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小标宋" w:eastAsia="小标宋"/>
          <w:color w:val="auto"/>
          <w:sz w:val="52"/>
          <w:szCs w:val="52"/>
          <w:highlight w:val="none"/>
          <w:lang w:val="en-GB"/>
        </w:rPr>
      </w:pPr>
    </w:p>
    <w:p>
      <w:pPr>
        <w:spacing w:before="156" w:beforeLines="50" w:after="156" w:afterLines="50" w:line="360" w:lineRule="auto"/>
        <w:jc w:val="center"/>
        <w:rPr>
          <w:rFonts w:ascii="小标宋" w:eastAsia="小标宋"/>
          <w:color w:val="auto"/>
          <w:sz w:val="52"/>
          <w:szCs w:val="52"/>
          <w:highlight w:val="none"/>
        </w:rPr>
      </w:pPr>
    </w:p>
    <w:p>
      <w:pPr>
        <w:spacing w:before="156" w:beforeLines="50" w:after="156" w:afterLines="50" w:line="360" w:lineRule="auto"/>
        <w:jc w:val="center"/>
        <w:rPr>
          <w:rFonts w:hint="eastAsia" w:ascii="小标宋" w:eastAsia="小标宋"/>
          <w:color w:val="auto"/>
          <w:sz w:val="52"/>
          <w:szCs w:val="52"/>
          <w:highlight w:val="none"/>
          <w:lang w:eastAsia="zh-CN"/>
        </w:rPr>
      </w:pPr>
      <w:r>
        <w:rPr>
          <w:rFonts w:hint="eastAsia" w:ascii="小标宋" w:eastAsia="小标宋"/>
          <w:color w:val="auto"/>
          <w:sz w:val="52"/>
          <w:szCs w:val="52"/>
          <w:highlight w:val="none"/>
        </w:rPr>
        <w:t>西安渼陂湖水系生态文化旅游区</w:t>
      </w:r>
    </w:p>
    <w:p>
      <w:pPr>
        <w:spacing w:before="156" w:beforeLines="50" w:after="156" w:afterLines="50" w:line="360" w:lineRule="auto"/>
        <w:jc w:val="center"/>
        <w:rPr>
          <w:rFonts w:ascii="小标宋" w:eastAsia="小标宋"/>
          <w:color w:val="auto"/>
          <w:sz w:val="52"/>
          <w:szCs w:val="52"/>
          <w:highlight w:val="none"/>
        </w:rPr>
      </w:pPr>
      <w:r>
        <w:rPr>
          <w:rFonts w:hint="eastAsia" w:ascii="小标宋" w:eastAsia="小标宋"/>
          <w:color w:val="auto"/>
          <w:sz w:val="52"/>
          <w:szCs w:val="52"/>
          <w:highlight w:val="none"/>
        </w:rPr>
        <w:t>综合开发项目合作协议书</w:t>
      </w:r>
    </w:p>
    <w:p>
      <w:pPr>
        <w:spacing w:before="156" w:beforeLines="50" w:after="156" w:afterLines="50" w:line="360" w:lineRule="auto"/>
        <w:jc w:val="center"/>
        <w:rPr>
          <w:rFonts w:ascii="小标宋" w:eastAsia="小标宋"/>
          <w:color w:val="auto"/>
          <w:sz w:val="52"/>
          <w:szCs w:val="52"/>
          <w:highlight w:val="none"/>
        </w:rPr>
      </w:pPr>
    </w:p>
    <w:p>
      <w:pPr>
        <w:spacing w:before="156" w:beforeLines="50" w:after="156" w:afterLines="50" w:line="360" w:lineRule="auto"/>
        <w:rPr>
          <w:rFonts w:ascii="小标宋" w:eastAsia="小标宋"/>
          <w:color w:val="auto"/>
          <w:sz w:val="52"/>
          <w:szCs w:val="52"/>
          <w:highlight w:val="none"/>
        </w:rPr>
      </w:pPr>
    </w:p>
    <w:p>
      <w:pPr>
        <w:spacing w:before="156" w:beforeLines="50" w:after="156" w:afterLines="50" w:line="360" w:lineRule="auto"/>
        <w:jc w:val="center"/>
        <w:rPr>
          <w:rFonts w:ascii="小标宋" w:eastAsia="小标宋"/>
          <w:color w:val="auto"/>
          <w:sz w:val="52"/>
          <w:szCs w:val="52"/>
          <w:highlight w:val="none"/>
        </w:rPr>
      </w:pPr>
    </w:p>
    <w:p>
      <w:pPr>
        <w:spacing w:before="156" w:beforeLines="50" w:after="156" w:afterLines="50" w:line="360" w:lineRule="auto"/>
        <w:jc w:val="center"/>
        <w:rPr>
          <w:rFonts w:ascii="Times New Roman" w:hAnsi="Times New Roman" w:eastAsia="宋体" w:cs="Times New Roman"/>
          <w:b/>
          <w:color w:val="auto"/>
          <w:sz w:val="40"/>
          <w:szCs w:val="40"/>
          <w:highlight w:val="none"/>
        </w:rPr>
      </w:pPr>
      <w:r>
        <w:rPr>
          <w:rFonts w:hint="eastAsia" w:ascii="Times New Roman" w:hAnsi="Times New Roman" w:eastAsia="宋体" w:cs="Times New Roman"/>
          <w:b/>
          <w:color w:val="auto"/>
          <w:sz w:val="40"/>
          <w:szCs w:val="40"/>
          <w:highlight w:val="none"/>
        </w:rPr>
        <w:t>西安曲江渼陂湖投资建设有限公司制定</w:t>
      </w:r>
    </w:p>
    <w:p>
      <w:pPr>
        <w:spacing w:before="156" w:beforeLines="50" w:after="156" w:afterLines="50" w:line="360" w:lineRule="auto"/>
        <w:jc w:val="center"/>
        <w:rPr>
          <w:rFonts w:ascii="Times New Roman" w:hAnsi="Times New Roman" w:eastAsia="宋体" w:cs="Times New Roman"/>
          <w:b/>
          <w:color w:val="auto"/>
          <w:sz w:val="40"/>
          <w:szCs w:val="40"/>
          <w:highlight w:val="none"/>
        </w:rPr>
      </w:pPr>
      <w:r>
        <w:rPr>
          <w:rFonts w:hint="eastAsia" w:ascii="Times New Roman" w:hAnsi="Times New Roman" w:eastAsia="宋体" w:cs="Times New Roman"/>
          <w:b/>
          <w:color w:val="auto"/>
          <w:sz w:val="40"/>
          <w:szCs w:val="40"/>
          <w:highlight w:val="none"/>
        </w:rPr>
        <w:t>202</w:t>
      </w:r>
      <w:r>
        <w:rPr>
          <w:rFonts w:ascii="Times New Roman" w:hAnsi="Times New Roman" w:eastAsia="宋体" w:cs="Times New Roman"/>
          <w:b/>
          <w:color w:val="auto"/>
          <w:sz w:val="40"/>
          <w:szCs w:val="40"/>
          <w:highlight w:val="none"/>
        </w:rPr>
        <w:t>2</w:t>
      </w:r>
      <w:r>
        <w:rPr>
          <w:rFonts w:hint="eastAsia" w:ascii="Times New Roman" w:hAnsi="Times New Roman" w:eastAsia="宋体" w:cs="Times New Roman"/>
          <w:b/>
          <w:color w:val="auto"/>
          <w:sz w:val="40"/>
          <w:szCs w:val="40"/>
          <w:highlight w:val="none"/>
        </w:rPr>
        <w:t>年</w:t>
      </w:r>
      <w:r>
        <w:rPr>
          <w:rFonts w:hint="eastAsia" w:ascii="Times New Roman" w:hAnsi="Times New Roman" w:eastAsia="宋体" w:cs="Times New Roman"/>
          <w:b/>
          <w:color w:val="auto"/>
          <w:sz w:val="40"/>
          <w:szCs w:val="40"/>
          <w:highlight w:val="none"/>
          <w:lang w:val="en-US" w:eastAsia="zh-CN"/>
        </w:rPr>
        <w:t xml:space="preserve">   </w:t>
      </w:r>
      <w:r>
        <w:rPr>
          <w:rFonts w:hint="eastAsia" w:ascii="Times New Roman" w:hAnsi="Times New Roman" w:eastAsia="宋体" w:cs="Times New Roman"/>
          <w:b/>
          <w:color w:val="auto"/>
          <w:sz w:val="40"/>
          <w:szCs w:val="40"/>
          <w:highlight w:val="none"/>
        </w:rPr>
        <w:t>月</w:t>
      </w:r>
    </w:p>
    <w:p>
      <w:pPr>
        <w:widowControl/>
        <w:spacing w:before="156" w:beforeLines="50" w:after="156" w:afterLines="50" w:line="360" w:lineRule="auto"/>
        <w:jc w:val="center"/>
        <w:rPr>
          <w:rFonts w:hint="eastAsia" w:ascii="小标宋" w:eastAsia="小标宋"/>
          <w:color w:val="auto"/>
          <w:sz w:val="52"/>
          <w:szCs w:val="52"/>
          <w:highlight w:val="none"/>
        </w:rPr>
        <w:sectPr>
          <w:headerReference r:id="rId3" w:type="default"/>
          <w:footerReference r:id="rId4" w:type="default"/>
          <w:pgSz w:w="11906" w:h="16838"/>
          <w:pgMar w:top="2098" w:right="1474" w:bottom="1985" w:left="1588" w:header="851" w:footer="992" w:gutter="0"/>
          <w:cols w:space="425" w:num="1"/>
          <w:docGrid w:type="lines" w:linePitch="312" w:charSpace="0"/>
        </w:sectPr>
      </w:pPr>
      <w:bookmarkStart w:id="185" w:name="_GoBack"/>
      <w:bookmarkEnd w:id="185"/>
    </w:p>
    <w:p>
      <w:pPr>
        <w:widowControl/>
        <w:spacing w:before="156" w:beforeLines="50" w:after="156" w:afterLines="50" w:line="360" w:lineRule="auto"/>
        <w:jc w:val="center"/>
        <w:rPr>
          <w:rFonts w:ascii="小标宋" w:eastAsia="小标宋"/>
          <w:color w:val="auto"/>
          <w:sz w:val="52"/>
          <w:szCs w:val="52"/>
          <w:highlight w:val="none"/>
        </w:rPr>
      </w:pPr>
      <w:r>
        <w:rPr>
          <w:rFonts w:hint="eastAsia" w:ascii="小标宋" w:eastAsia="小标宋"/>
          <w:color w:val="auto"/>
          <w:sz w:val="52"/>
          <w:szCs w:val="52"/>
          <w:highlight w:val="none"/>
        </w:rPr>
        <w:t xml:space="preserve">目 </w:t>
      </w:r>
      <w:r>
        <w:rPr>
          <w:rFonts w:ascii="小标宋" w:eastAsia="小标宋"/>
          <w:color w:val="auto"/>
          <w:sz w:val="52"/>
          <w:szCs w:val="52"/>
          <w:highlight w:val="none"/>
        </w:rPr>
        <w:t xml:space="preserve"> </w:t>
      </w:r>
      <w:r>
        <w:rPr>
          <w:rFonts w:hint="eastAsia" w:ascii="小标宋" w:eastAsia="小标宋"/>
          <w:color w:val="auto"/>
          <w:sz w:val="52"/>
          <w:szCs w:val="52"/>
          <w:highlight w:val="none"/>
        </w:rPr>
        <w:t>录</w:t>
      </w:r>
    </w:p>
    <w:p>
      <w:pPr>
        <w:pStyle w:val="15"/>
        <w:tabs>
          <w:tab w:val="right" w:leader="dot" w:pos="8834"/>
        </w:tabs>
        <w:spacing w:before="156" w:beforeLines="50" w:after="156" w:afterLines="50" w:line="360" w:lineRule="auto"/>
        <w:rPr>
          <w:rFonts w:cstheme="minorBidi"/>
          <w:b w:val="0"/>
          <w:bCs w:val="0"/>
          <w:i w:val="0"/>
          <w:iCs w:val="0"/>
          <w:color w:val="auto"/>
          <w:sz w:val="21"/>
          <w:highlight w:val="none"/>
        </w:rPr>
      </w:pPr>
      <w:r>
        <w:rPr>
          <w:rFonts w:ascii="小标宋" w:eastAsia="小标宋"/>
          <w:b w:val="0"/>
          <w:bCs w:val="0"/>
          <w:i w:val="0"/>
          <w:iCs w:val="0"/>
          <w:color w:val="auto"/>
          <w:sz w:val="52"/>
          <w:szCs w:val="52"/>
          <w:highlight w:val="none"/>
        </w:rPr>
        <w:fldChar w:fldCharType="begin"/>
      </w:r>
      <w:r>
        <w:rPr>
          <w:rFonts w:ascii="小标宋" w:eastAsia="小标宋"/>
          <w:b w:val="0"/>
          <w:bCs w:val="0"/>
          <w:i w:val="0"/>
          <w:iCs w:val="0"/>
          <w:color w:val="auto"/>
          <w:sz w:val="52"/>
          <w:szCs w:val="52"/>
          <w:highlight w:val="none"/>
        </w:rPr>
        <w:instrText xml:space="preserve"> TOC \o "1-2" \h \z \u </w:instrText>
      </w:r>
      <w:r>
        <w:rPr>
          <w:rFonts w:ascii="小标宋" w:eastAsia="小标宋"/>
          <w:b w:val="0"/>
          <w:bCs w:val="0"/>
          <w:i w:val="0"/>
          <w:iCs w:val="0"/>
          <w:color w:val="auto"/>
          <w:sz w:val="52"/>
          <w:szCs w:val="52"/>
          <w:highlight w:val="none"/>
        </w:rPr>
        <w:fldChar w:fldCharType="separate"/>
      </w:r>
      <w:r>
        <w:rPr>
          <w:color w:val="auto"/>
          <w:highlight w:val="none"/>
        </w:rPr>
        <w:fldChar w:fldCharType="begin"/>
      </w:r>
      <w:r>
        <w:rPr>
          <w:color w:val="auto"/>
          <w:highlight w:val="none"/>
        </w:rPr>
        <w:instrText xml:space="preserve"> HYPERLINK \l "_Toc101463823" </w:instrText>
      </w:r>
      <w:r>
        <w:rPr>
          <w:color w:val="auto"/>
          <w:highlight w:val="none"/>
        </w:rPr>
        <w:fldChar w:fldCharType="separate"/>
      </w:r>
      <w:r>
        <w:rPr>
          <w:rStyle w:val="23"/>
          <w:b w:val="0"/>
          <w:bCs w:val="0"/>
          <w:i w:val="0"/>
          <w:iCs w:val="0"/>
          <w:color w:val="auto"/>
          <w:highlight w:val="none"/>
        </w:rPr>
        <w:t>一、总则</w:t>
      </w:r>
      <w:r>
        <w:rPr>
          <w:b w:val="0"/>
          <w:bCs w:val="0"/>
          <w:i w:val="0"/>
          <w:iCs w:val="0"/>
          <w:color w:val="auto"/>
          <w:highlight w:val="none"/>
        </w:rPr>
        <w:tab/>
      </w:r>
      <w:r>
        <w:rPr>
          <w:b w:val="0"/>
          <w:bCs w:val="0"/>
          <w:i w:val="0"/>
          <w:iCs w:val="0"/>
          <w:color w:val="auto"/>
          <w:highlight w:val="none"/>
        </w:rPr>
        <w:fldChar w:fldCharType="begin"/>
      </w:r>
      <w:r>
        <w:rPr>
          <w:b w:val="0"/>
          <w:bCs w:val="0"/>
          <w:i w:val="0"/>
          <w:iCs w:val="0"/>
          <w:color w:val="auto"/>
          <w:highlight w:val="none"/>
        </w:rPr>
        <w:instrText xml:space="preserve"> PAGEREF _Toc101463823 \h </w:instrText>
      </w:r>
      <w:r>
        <w:rPr>
          <w:b w:val="0"/>
          <w:bCs w:val="0"/>
          <w:i w:val="0"/>
          <w:iCs w:val="0"/>
          <w:color w:val="auto"/>
          <w:highlight w:val="none"/>
        </w:rPr>
        <w:fldChar w:fldCharType="separate"/>
      </w:r>
      <w:r>
        <w:rPr>
          <w:b w:val="0"/>
          <w:bCs w:val="0"/>
          <w:i w:val="0"/>
          <w:iCs w:val="0"/>
          <w:color w:val="auto"/>
          <w:highlight w:val="none"/>
        </w:rPr>
        <w:t>7</w:t>
      </w:r>
      <w:r>
        <w:rPr>
          <w:b w:val="0"/>
          <w:bCs w:val="0"/>
          <w:i w:val="0"/>
          <w:iCs w:val="0"/>
          <w:color w:val="auto"/>
          <w:highlight w:val="none"/>
        </w:rPr>
        <w:fldChar w:fldCharType="end"/>
      </w:r>
      <w:r>
        <w:rPr>
          <w:b w:val="0"/>
          <w:bCs w:val="0"/>
          <w:i w:val="0"/>
          <w:i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"_Toc101463824" </w:instrText>
      </w:r>
      <w:r>
        <w:rPr>
          <w:color w:val="auto"/>
          <w:highlight w:val="none"/>
        </w:rPr>
        <w:fldChar w:fldCharType="separate"/>
      </w:r>
      <w:r>
        <w:rPr>
          <w:rStyle w:val="23"/>
          <w:b w:val="0"/>
          <w:bCs w:val="0"/>
          <w:color w:val="auto"/>
          <w:highlight w:val="none"/>
        </w:rPr>
        <w:t>1.定义和解释</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_Toc101463824 \h </w:instrText>
      </w:r>
      <w:r>
        <w:rPr>
          <w:b w:val="0"/>
          <w:bCs w:val="0"/>
          <w:color w:val="auto"/>
          <w:highlight w:val="none"/>
        </w:rPr>
        <w:fldChar w:fldCharType="separate"/>
      </w:r>
      <w:r>
        <w:rPr>
          <w:b w:val="0"/>
          <w:bCs w:val="0"/>
          <w:color w:val="auto"/>
          <w:highlight w:val="none"/>
        </w:rPr>
        <w:t>7</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"_Toc101463825" </w:instrText>
      </w:r>
      <w:r>
        <w:rPr>
          <w:color w:val="auto"/>
          <w:highlight w:val="none"/>
        </w:rPr>
        <w:fldChar w:fldCharType="separate"/>
      </w:r>
      <w:r>
        <w:rPr>
          <w:rStyle w:val="23"/>
          <w:b w:val="0"/>
          <w:bCs w:val="0"/>
          <w:color w:val="auto"/>
          <w:highlight w:val="none"/>
        </w:rPr>
        <w:t>2.协议背景</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_Toc101463825 \h </w:instrText>
      </w:r>
      <w:r>
        <w:rPr>
          <w:b w:val="0"/>
          <w:bCs w:val="0"/>
          <w:color w:val="auto"/>
          <w:highlight w:val="none"/>
        </w:rPr>
        <w:fldChar w:fldCharType="separate"/>
      </w:r>
      <w:r>
        <w:rPr>
          <w:b w:val="0"/>
          <w:bCs w:val="0"/>
          <w:color w:val="auto"/>
          <w:highlight w:val="none"/>
        </w:rPr>
        <w:t>9</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"_Toc101463826" </w:instrText>
      </w:r>
      <w:r>
        <w:rPr>
          <w:color w:val="auto"/>
          <w:highlight w:val="none"/>
        </w:rPr>
        <w:fldChar w:fldCharType="separate"/>
      </w:r>
      <w:r>
        <w:rPr>
          <w:rStyle w:val="23"/>
          <w:b w:val="0"/>
          <w:bCs w:val="0"/>
          <w:color w:val="auto"/>
          <w:highlight w:val="none"/>
        </w:rPr>
        <w:t>3.声明和保证</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_Toc101463826 \h </w:instrText>
      </w:r>
      <w:r>
        <w:rPr>
          <w:b w:val="0"/>
          <w:bCs w:val="0"/>
          <w:color w:val="auto"/>
          <w:highlight w:val="none"/>
        </w:rPr>
        <w:fldChar w:fldCharType="separate"/>
      </w:r>
      <w:r>
        <w:rPr>
          <w:b w:val="0"/>
          <w:bCs w:val="0"/>
          <w:color w:val="auto"/>
          <w:highlight w:val="none"/>
        </w:rPr>
        <w:t>9</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"_Toc101463827" </w:instrText>
      </w:r>
      <w:r>
        <w:rPr>
          <w:color w:val="auto"/>
          <w:highlight w:val="none"/>
        </w:rPr>
        <w:fldChar w:fldCharType="separate"/>
      </w:r>
      <w:r>
        <w:rPr>
          <w:rStyle w:val="23"/>
          <w:b w:val="0"/>
          <w:bCs w:val="0"/>
          <w:color w:val="auto"/>
          <w:highlight w:val="none"/>
        </w:rPr>
        <w:t>4.协议文件组成及优先解释顺序</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_Toc101463827 \h </w:instrText>
      </w:r>
      <w:r>
        <w:rPr>
          <w:b w:val="0"/>
          <w:bCs w:val="0"/>
          <w:color w:val="auto"/>
          <w:highlight w:val="none"/>
        </w:rPr>
        <w:fldChar w:fldCharType="separate"/>
      </w:r>
      <w:r>
        <w:rPr>
          <w:b w:val="0"/>
          <w:bCs w:val="0"/>
          <w:color w:val="auto"/>
          <w:highlight w:val="none"/>
        </w:rPr>
        <w:t>10</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"_Toc101463828" </w:instrText>
      </w:r>
      <w:r>
        <w:rPr>
          <w:color w:val="auto"/>
          <w:highlight w:val="none"/>
        </w:rPr>
        <w:fldChar w:fldCharType="separate"/>
      </w:r>
      <w:r>
        <w:rPr>
          <w:rStyle w:val="23"/>
          <w:b w:val="0"/>
          <w:bCs w:val="0"/>
          <w:color w:val="auto"/>
          <w:highlight w:val="none"/>
        </w:rPr>
        <w:t>5.风险分担</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_Toc101463828 \h </w:instrText>
      </w:r>
      <w:r>
        <w:rPr>
          <w:b w:val="0"/>
          <w:bCs w:val="0"/>
          <w:color w:val="auto"/>
          <w:highlight w:val="none"/>
        </w:rPr>
        <w:fldChar w:fldCharType="separate"/>
      </w:r>
      <w:r>
        <w:rPr>
          <w:b w:val="0"/>
          <w:bCs w:val="0"/>
          <w:color w:val="auto"/>
          <w:highlight w:val="none"/>
        </w:rPr>
        <w:t>11</w:t>
      </w:r>
      <w:r>
        <w:rPr>
          <w:b w:val="0"/>
          <w:bCs w:val="0"/>
          <w:color w:val="auto"/>
          <w:highlight w:val="none"/>
        </w:rPr>
        <w:fldChar w:fldCharType="end"/>
      </w:r>
      <w:r>
        <w:rPr>
          <w:b w:val="0"/>
          <w:bCs w:val="0"/>
          <w:color w:val="auto"/>
          <w:highlight w:val="none"/>
        </w:rPr>
        <w:fldChar w:fldCharType="end"/>
      </w:r>
    </w:p>
    <w:p>
      <w:pPr>
        <w:pStyle w:val="15"/>
        <w:tabs>
          <w:tab w:val="right" w:leader="dot" w:pos="8834"/>
        </w:tabs>
        <w:spacing w:before="156" w:beforeLines="50" w:after="156" w:afterLines="50" w:line="360" w:lineRule="auto"/>
        <w:rPr>
          <w:rFonts w:cstheme="minorBidi"/>
          <w:b w:val="0"/>
          <w:bCs w:val="0"/>
          <w:i w:val="0"/>
          <w:iCs w:val="0"/>
          <w:color w:val="auto"/>
          <w:sz w:val="21"/>
          <w:highlight w:val="none"/>
        </w:rPr>
      </w:pPr>
      <w:r>
        <w:rPr>
          <w:color w:val="auto"/>
          <w:highlight w:val="none"/>
        </w:rPr>
        <w:fldChar w:fldCharType="begin"/>
      </w:r>
      <w:r>
        <w:rPr>
          <w:color w:val="auto"/>
          <w:highlight w:val="none"/>
        </w:rPr>
        <w:instrText xml:space="preserve"> HYPERLINK \l "_Toc101463829" </w:instrText>
      </w:r>
      <w:r>
        <w:rPr>
          <w:color w:val="auto"/>
          <w:highlight w:val="none"/>
        </w:rPr>
        <w:fldChar w:fldCharType="separate"/>
      </w:r>
      <w:r>
        <w:rPr>
          <w:rStyle w:val="23"/>
          <w:b w:val="0"/>
          <w:bCs w:val="0"/>
          <w:i w:val="0"/>
          <w:iCs w:val="0"/>
          <w:color w:val="auto"/>
          <w:highlight w:val="none"/>
        </w:rPr>
        <w:t>二、项目合作</w:t>
      </w:r>
      <w:r>
        <w:rPr>
          <w:b w:val="0"/>
          <w:bCs w:val="0"/>
          <w:i w:val="0"/>
          <w:iCs w:val="0"/>
          <w:color w:val="auto"/>
          <w:highlight w:val="none"/>
        </w:rPr>
        <w:tab/>
      </w:r>
      <w:r>
        <w:rPr>
          <w:b w:val="0"/>
          <w:bCs w:val="0"/>
          <w:i w:val="0"/>
          <w:iCs w:val="0"/>
          <w:color w:val="auto"/>
          <w:highlight w:val="none"/>
        </w:rPr>
        <w:fldChar w:fldCharType="begin"/>
      </w:r>
      <w:r>
        <w:rPr>
          <w:b w:val="0"/>
          <w:bCs w:val="0"/>
          <w:i w:val="0"/>
          <w:iCs w:val="0"/>
          <w:color w:val="auto"/>
          <w:highlight w:val="none"/>
        </w:rPr>
        <w:instrText xml:space="preserve"> PAGEREF _Toc101463829 \h </w:instrText>
      </w:r>
      <w:r>
        <w:rPr>
          <w:b w:val="0"/>
          <w:bCs w:val="0"/>
          <w:i w:val="0"/>
          <w:iCs w:val="0"/>
          <w:color w:val="auto"/>
          <w:highlight w:val="none"/>
        </w:rPr>
        <w:fldChar w:fldCharType="separate"/>
      </w:r>
      <w:r>
        <w:rPr>
          <w:b w:val="0"/>
          <w:bCs w:val="0"/>
          <w:i w:val="0"/>
          <w:iCs w:val="0"/>
          <w:color w:val="auto"/>
          <w:highlight w:val="none"/>
        </w:rPr>
        <w:t>12</w:t>
      </w:r>
      <w:r>
        <w:rPr>
          <w:b w:val="0"/>
          <w:bCs w:val="0"/>
          <w:i w:val="0"/>
          <w:iCs w:val="0"/>
          <w:color w:val="auto"/>
          <w:highlight w:val="none"/>
        </w:rPr>
        <w:fldChar w:fldCharType="end"/>
      </w:r>
      <w:r>
        <w:rPr>
          <w:b w:val="0"/>
          <w:bCs w:val="0"/>
          <w:i w:val="0"/>
          <w:i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"_Toc101463830" </w:instrText>
      </w:r>
      <w:r>
        <w:rPr>
          <w:color w:val="auto"/>
          <w:highlight w:val="none"/>
        </w:rPr>
        <w:fldChar w:fldCharType="separate"/>
      </w:r>
      <w:r>
        <w:rPr>
          <w:rStyle w:val="23"/>
          <w:b w:val="0"/>
          <w:bCs w:val="0"/>
          <w:color w:val="auto"/>
          <w:highlight w:val="none"/>
        </w:rPr>
        <w:t>6.项目概况</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_Toc101463830 \h </w:instrText>
      </w:r>
      <w:r>
        <w:rPr>
          <w:b w:val="0"/>
          <w:bCs w:val="0"/>
          <w:color w:val="auto"/>
          <w:highlight w:val="none"/>
        </w:rPr>
        <w:fldChar w:fldCharType="separate"/>
      </w:r>
      <w:r>
        <w:rPr>
          <w:b w:val="0"/>
          <w:bCs w:val="0"/>
          <w:color w:val="auto"/>
          <w:highlight w:val="none"/>
        </w:rPr>
        <w:t>12</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"_Toc101463831" </w:instrText>
      </w:r>
      <w:r>
        <w:rPr>
          <w:color w:val="auto"/>
          <w:highlight w:val="none"/>
        </w:rPr>
        <w:fldChar w:fldCharType="separate"/>
      </w:r>
      <w:r>
        <w:rPr>
          <w:rStyle w:val="23"/>
          <w:b w:val="0"/>
          <w:bCs w:val="0"/>
          <w:color w:val="auto"/>
          <w:highlight w:val="none"/>
        </w:rPr>
        <w:t>7.合作方式</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_Toc101463831 \h </w:instrText>
      </w:r>
      <w:r>
        <w:rPr>
          <w:b w:val="0"/>
          <w:bCs w:val="0"/>
          <w:color w:val="auto"/>
          <w:highlight w:val="none"/>
        </w:rPr>
        <w:fldChar w:fldCharType="separate"/>
      </w:r>
      <w:r>
        <w:rPr>
          <w:b w:val="0"/>
          <w:bCs w:val="0"/>
          <w:color w:val="auto"/>
          <w:highlight w:val="none"/>
        </w:rPr>
        <w:t>13</w:t>
      </w:r>
      <w:r>
        <w:rPr>
          <w:b w:val="0"/>
          <w:bCs w:val="0"/>
          <w:color w:val="auto"/>
          <w:highlight w:val="none"/>
        </w:rPr>
        <w:fldChar w:fldCharType="end"/>
      </w:r>
      <w:r>
        <w:rPr>
          <w:b w:val="0"/>
          <w:bCs w:val="0"/>
          <w:color w:val="auto"/>
          <w:highlight w:val="none"/>
        </w:rPr>
        <w:fldChar w:fldCharType="end"/>
      </w:r>
    </w:p>
    <w:p>
      <w:pPr>
        <w:pStyle w:val="15"/>
        <w:tabs>
          <w:tab w:val="right" w:leader="dot" w:pos="8834"/>
        </w:tabs>
        <w:spacing w:before="156" w:beforeLines="50" w:after="156" w:afterLines="50" w:line="360" w:lineRule="auto"/>
        <w:rPr>
          <w:rFonts w:cstheme="minorBidi"/>
          <w:b w:val="0"/>
          <w:bCs w:val="0"/>
          <w:i w:val="0"/>
          <w:iCs w:val="0"/>
          <w:color w:val="auto"/>
          <w:sz w:val="21"/>
          <w:highlight w:val="none"/>
        </w:rPr>
      </w:pPr>
      <w:r>
        <w:rPr>
          <w:color w:val="auto"/>
          <w:highlight w:val="none"/>
        </w:rPr>
        <w:fldChar w:fldCharType="begin"/>
      </w:r>
      <w:r>
        <w:rPr>
          <w:color w:val="auto"/>
          <w:highlight w:val="none"/>
        </w:rPr>
        <w:instrText xml:space="preserve"> HYPERLINK \l "_Toc101463832" </w:instrText>
      </w:r>
      <w:r>
        <w:rPr>
          <w:color w:val="auto"/>
          <w:highlight w:val="none"/>
        </w:rPr>
        <w:fldChar w:fldCharType="separate"/>
      </w:r>
      <w:r>
        <w:rPr>
          <w:rStyle w:val="23"/>
          <w:b w:val="0"/>
          <w:bCs w:val="0"/>
          <w:i w:val="0"/>
          <w:iCs w:val="0"/>
          <w:color w:val="auto"/>
          <w:highlight w:val="none"/>
        </w:rPr>
        <w:t>三、前期工作</w:t>
      </w:r>
      <w:r>
        <w:rPr>
          <w:b w:val="0"/>
          <w:bCs w:val="0"/>
          <w:i w:val="0"/>
          <w:iCs w:val="0"/>
          <w:color w:val="auto"/>
          <w:highlight w:val="none"/>
        </w:rPr>
        <w:tab/>
      </w:r>
      <w:r>
        <w:rPr>
          <w:b w:val="0"/>
          <w:bCs w:val="0"/>
          <w:i w:val="0"/>
          <w:iCs w:val="0"/>
          <w:color w:val="auto"/>
          <w:highlight w:val="none"/>
        </w:rPr>
        <w:fldChar w:fldCharType="begin"/>
      </w:r>
      <w:r>
        <w:rPr>
          <w:b w:val="0"/>
          <w:bCs w:val="0"/>
          <w:i w:val="0"/>
          <w:iCs w:val="0"/>
          <w:color w:val="auto"/>
          <w:highlight w:val="none"/>
        </w:rPr>
        <w:instrText xml:space="preserve"> PAGEREF _Toc101463832 \h </w:instrText>
      </w:r>
      <w:r>
        <w:rPr>
          <w:b w:val="0"/>
          <w:bCs w:val="0"/>
          <w:i w:val="0"/>
          <w:iCs w:val="0"/>
          <w:color w:val="auto"/>
          <w:highlight w:val="none"/>
        </w:rPr>
        <w:fldChar w:fldCharType="separate"/>
      </w:r>
      <w:r>
        <w:rPr>
          <w:b w:val="0"/>
          <w:bCs w:val="0"/>
          <w:i w:val="0"/>
          <w:iCs w:val="0"/>
          <w:color w:val="auto"/>
          <w:highlight w:val="none"/>
        </w:rPr>
        <w:t>15</w:t>
      </w:r>
      <w:r>
        <w:rPr>
          <w:b w:val="0"/>
          <w:bCs w:val="0"/>
          <w:i w:val="0"/>
          <w:iCs w:val="0"/>
          <w:color w:val="auto"/>
          <w:highlight w:val="none"/>
        </w:rPr>
        <w:fldChar w:fldCharType="end"/>
      </w:r>
      <w:r>
        <w:rPr>
          <w:b w:val="0"/>
          <w:bCs w:val="0"/>
          <w:i w:val="0"/>
          <w:i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"_Toc101463833" </w:instrText>
      </w:r>
      <w:r>
        <w:rPr>
          <w:color w:val="auto"/>
          <w:highlight w:val="none"/>
        </w:rPr>
        <w:fldChar w:fldCharType="separate"/>
      </w:r>
      <w:r>
        <w:rPr>
          <w:rStyle w:val="23"/>
          <w:b w:val="0"/>
          <w:bCs w:val="0"/>
          <w:color w:val="auto"/>
          <w:highlight w:val="none"/>
        </w:rPr>
        <w:t>8.前期工作</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_Toc101463833 \h </w:instrText>
      </w:r>
      <w:r>
        <w:rPr>
          <w:b w:val="0"/>
          <w:bCs w:val="0"/>
          <w:color w:val="auto"/>
          <w:highlight w:val="none"/>
        </w:rPr>
        <w:fldChar w:fldCharType="separate"/>
      </w:r>
      <w:r>
        <w:rPr>
          <w:b w:val="0"/>
          <w:bCs w:val="0"/>
          <w:color w:val="auto"/>
          <w:highlight w:val="none"/>
        </w:rPr>
        <w:t>15</w:t>
      </w:r>
      <w:r>
        <w:rPr>
          <w:b w:val="0"/>
          <w:bCs w:val="0"/>
          <w:color w:val="auto"/>
          <w:highlight w:val="none"/>
        </w:rPr>
        <w:fldChar w:fldCharType="end"/>
      </w:r>
      <w:r>
        <w:rPr>
          <w:b w:val="0"/>
          <w:bCs w:val="0"/>
          <w:color w:val="auto"/>
          <w:highlight w:val="none"/>
        </w:rPr>
        <w:fldChar w:fldCharType="end"/>
      </w:r>
    </w:p>
    <w:p>
      <w:pPr>
        <w:pStyle w:val="15"/>
        <w:tabs>
          <w:tab w:val="right" w:leader="dot" w:pos="8834"/>
        </w:tabs>
        <w:spacing w:before="156" w:beforeLines="50" w:after="156" w:afterLines="50" w:line="360" w:lineRule="auto"/>
        <w:rPr>
          <w:rFonts w:cstheme="minorBidi"/>
          <w:b w:val="0"/>
          <w:bCs w:val="0"/>
          <w:i w:val="0"/>
          <w:iCs w:val="0"/>
          <w:color w:val="auto"/>
          <w:sz w:val="21"/>
          <w:highlight w:val="none"/>
        </w:rPr>
      </w:pPr>
      <w:r>
        <w:rPr>
          <w:color w:val="auto"/>
          <w:highlight w:val="none"/>
        </w:rPr>
        <w:fldChar w:fldCharType="begin"/>
      </w:r>
      <w:r>
        <w:rPr>
          <w:color w:val="auto"/>
          <w:highlight w:val="none"/>
        </w:rPr>
        <w:instrText xml:space="preserve"> HYPERLINK \l "_Toc101463834" </w:instrText>
      </w:r>
      <w:r>
        <w:rPr>
          <w:color w:val="auto"/>
          <w:highlight w:val="none"/>
        </w:rPr>
        <w:fldChar w:fldCharType="separate"/>
      </w:r>
      <w:r>
        <w:rPr>
          <w:rStyle w:val="23"/>
          <w:b w:val="0"/>
          <w:bCs w:val="0"/>
          <w:i w:val="0"/>
          <w:iCs w:val="0"/>
          <w:color w:val="auto"/>
          <w:highlight w:val="none"/>
        </w:rPr>
        <w:t>四、项目公司</w:t>
      </w:r>
      <w:r>
        <w:rPr>
          <w:b w:val="0"/>
          <w:bCs w:val="0"/>
          <w:i w:val="0"/>
          <w:iCs w:val="0"/>
          <w:color w:val="auto"/>
          <w:highlight w:val="none"/>
        </w:rPr>
        <w:tab/>
      </w:r>
      <w:r>
        <w:rPr>
          <w:b w:val="0"/>
          <w:bCs w:val="0"/>
          <w:i w:val="0"/>
          <w:iCs w:val="0"/>
          <w:color w:val="auto"/>
          <w:highlight w:val="none"/>
        </w:rPr>
        <w:fldChar w:fldCharType="begin"/>
      </w:r>
      <w:r>
        <w:rPr>
          <w:b w:val="0"/>
          <w:bCs w:val="0"/>
          <w:i w:val="0"/>
          <w:iCs w:val="0"/>
          <w:color w:val="auto"/>
          <w:highlight w:val="none"/>
        </w:rPr>
        <w:instrText xml:space="preserve"> PAGEREF _Toc101463834 \h </w:instrText>
      </w:r>
      <w:r>
        <w:rPr>
          <w:b w:val="0"/>
          <w:bCs w:val="0"/>
          <w:i w:val="0"/>
          <w:iCs w:val="0"/>
          <w:color w:val="auto"/>
          <w:highlight w:val="none"/>
        </w:rPr>
        <w:fldChar w:fldCharType="separate"/>
      </w:r>
      <w:r>
        <w:rPr>
          <w:b w:val="0"/>
          <w:bCs w:val="0"/>
          <w:i w:val="0"/>
          <w:iCs w:val="0"/>
          <w:color w:val="auto"/>
          <w:highlight w:val="none"/>
        </w:rPr>
        <w:t>16</w:t>
      </w:r>
      <w:r>
        <w:rPr>
          <w:b w:val="0"/>
          <w:bCs w:val="0"/>
          <w:i w:val="0"/>
          <w:iCs w:val="0"/>
          <w:color w:val="auto"/>
          <w:highlight w:val="none"/>
        </w:rPr>
        <w:fldChar w:fldCharType="end"/>
      </w:r>
      <w:r>
        <w:rPr>
          <w:b w:val="0"/>
          <w:bCs w:val="0"/>
          <w:i w:val="0"/>
          <w:i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"_Toc101463835" </w:instrText>
      </w:r>
      <w:r>
        <w:rPr>
          <w:color w:val="auto"/>
          <w:highlight w:val="none"/>
        </w:rPr>
        <w:fldChar w:fldCharType="separate"/>
      </w:r>
      <w:r>
        <w:rPr>
          <w:rStyle w:val="23"/>
          <w:b w:val="0"/>
          <w:bCs w:val="0"/>
          <w:color w:val="auto"/>
          <w:highlight w:val="none"/>
        </w:rPr>
        <w:t>9.项目公司的设立</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_Toc101463835 \h </w:instrText>
      </w:r>
      <w:r>
        <w:rPr>
          <w:b w:val="0"/>
          <w:bCs w:val="0"/>
          <w:color w:val="auto"/>
          <w:highlight w:val="none"/>
        </w:rPr>
        <w:fldChar w:fldCharType="separate"/>
      </w:r>
      <w:r>
        <w:rPr>
          <w:b w:val="0"/>
          <w:bCs w:val="0"/>
          <w:color w:val="auto"/>
          <w:highlight w:val="none"/>
        </w:rPr>
        <w:t>16</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"_Toc101463836" </w:instrText>
      </w:r>
      <w:r>
        <w:rPr>
          <w:color w:val="auto"/>
          <w:highlight w:val="none"/>
        </w:rPr>
        <w:fldChar w:fldCharType="separate"/>
      </w:r>
      <w:r>
        <w:rPr>
          <w:rStyle w:val="23"/>
          <w:b w:val="0"/>
          <w:bCs w:val="0"/>
          <w:color w:val="auto"/>
          <w:highlight w:val="none"/>
        </w:rPr>
        <w:t>10.项目公司治理</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_Toc101463836 \h </w:instrText>
      </w:r>
      <w:r>
        <w:rPr>
          <w:b w:val="0"/>
          <w:bCs w:val="0"/>
          <w:color w:val="auto"/>
          <w:highlight w:val="none"/>
        </w:rPr>
        <w:fldChar w:fldCharType="separate"/>
      </w:r>
      <w:r>
        <w:rPr>
          <w:b w:val="0"/>
          <w:bCs w:val="0"/>
          <w:color w:val="auto"/>
          <w:highlight w:val="none"/>
        </w:rPr>
        <w:t>17</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"_Toc101463837" </w:instrText>
      </w:r>
      <w:r>
        <w:rPr>
          <w:color w:val="auto"/>
          <w:highlight w:val="none"/>
        </w:rPr>
        <w:fldChar w:fldCharType="separate"/>
      </w:r>
      <w:r>
        <w:rPr>
          <w:rStyle w:val="23"/>
          <w:b w:val="0"/>
          <w:bCs w:val="0"/>
          <w:color w:val="auto"/>
          <w:highlight w:val="none"/>
        </w:rPr>
        <w:t>10.5 项目公司的经营管理</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_Toc101463837 \h </w:instrText>
      </w:r>
      <w:r>
        <w:rPr>
          <w:b w:val="0"/>
          <w:bCs w:val="0"/>
          <w:color w:val="auto"/>
          <w:highlight w:val="none"/>
        </w:rPr>
        <w:fldChar w:fldCharType="separate"/>
      </w:r>
      <w:r>
        <w:rPr>
          <w:b w:val="0"/>
          <w:bCs w:val="0"/>
          <w:color w:val="auto"/>
          <w:highlight w:val="none"/>
        </w:rPr>
        <w:t>17</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"_Toc101463838" </w:instrText>
      </w:r>
      <w:r>
        <w:rPr>
          <w:color w:val="auto"/>
          <w:highlight w:val="none"/>
        </w:rPr>
        <w:fldChar w:fldCharType="separate"/>
      </w:r>
      <w:r>
        <w:rPr>
          <w:rStyle w:val="23"/>
          <w:b w:val="0"/>
          <w:bCs w:val="0"/>
          <w:color w:val="auto"/>
          <w:highlight w:val="none"/>
        </w:rPr>
        <w:t>11.股权转让与股权担保限制</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_Toc101463838 \h </w:instrText>
      </w:r>
      <w:r>
        <w:rPr>
          <w:b w:val="0"/>
          <w:bCs w:val="0"/>
          <w:color w:val="auto"/>
          <w:highlight w:val="none"/>
        </w:rPr>
        <w:fldChar w:fldCharType="separate"/>
      </w:r>
      <w:r>
        <w:rPr>
          <w:b w:val="0"/>
          <w:bCs w:val="0"/>
          <w:color w:val="auto"/>
          <w:highlight w:val="none"/>
        </w:rPr>
        <w:t>18</w:t>
      </w:r>
      <w:r>
        <w:rPr>
          <w:b w:val="0"/>
          <w:bCs w:val="0"/>
          <w:color w:val="auto"/>
          <w:highlight w:val="none"/>
        </w:rPr>
        <w:fldChar w:fldCharType="end"/>
      </w:r>
      <w:r>
        <w:rPr>
          <w:b w:val="0"/>
          <w:bCs w:val="0"/>
          <w:color w:val="auto"/>
          <w:highlight w:val="none"/>
        </w:rPr>
        <w:fldChar w:fldCharType="end"/>
      </w:r>
    </w:p>
    <w:p>
      <w:pPr>
        <w:pStyle w:val="15"/>
        <w:tabs>
          <w:tab w:val="right" w:leader="dot" w:pos="8834"/>
        </w:tabs>
        <w:spacing w:before="156" w:beforeLines="50" w:after="156" w:afterLines="50" w:line="360" w:lineRule="auto"/>
        <w:rPr>
          <w:rFonts w:cstheme="minorBidi"/>
          <w:b w:val="0"/>
          <w:bCs w:val="0"/>
          <w:i w:val="0"/>
          <w:iCs w:val="0"/>
          <w:color w:val="auto"/>
          <w:sz w:val="21"/>
          <w:highlight w:val="none"/>
        </w:rPr>
      </w:pPr>
      <w:r>
        <w:rPr>
          <w:color w:val="auto"/>
          <w:highlight w:val="none"/>
        </w:rPr>
        <w:fldChar w:fldCharType="begin"/>
      </w:r>
      <w:r>
        <w:rPr>
          <w:color w:val="auto"/>
          <w:highlight w:val="none"/>
        </w:rPr>
        <w:instrText xml:space="preserve"> HYPERLINK \l "_Toc101463839" </w:instrText>
      </w:r>
      <w:r>
        <w:rPr>
          <w:color w:val="auto"/>
          <w:highlight w:val="none"/>
        </w:rPr>
        <w:fldChar w:fldCharType="separate"/>
      </w:r>
      <w:r>
        <w:rPr>
          <w:rStyle w:val="23"/>
          <w:b w:val="0"/>
          <w:bCs w:val="0"/>
          <w:i w:val="0"/>
          <w:iCs w:val="0"/>
          <w:color w:val="auto"/>
          <w:highlight w:val="none"/>
        </w:rPr>
        <w:t>五、项目资金</w:t>
      </w:r>
      <w:r>
        <w:rPr>
          <w:b w:val="0"/>
          <w:bCs w:val="0"/>
          <w:i w:val="0"/>
          <w:iCs w:val="0"/>
          <w:color w:val="auto"/>
          <w:highlight w:val="none"/>
        </w:rPr>
        <w:tab/>
      </w:r>
      <w:r>
        <w:rPr>
          <w:b w:val="0"/>
          <w:bCs w:val="0"/>
          <w:i w:val="0"/>
          <w:iCs w:val="0"/>
          <w:color w:val="auto"/>
          <w:highlight w:val="none"/>
        </w:rPr>
        <w:fldChar w:fldCharType="begin"/>
      </w:r>
      <w:r>
        <w:rPr>
          <w:b w:val="0"/>
          <w:bCs w:val="0"/>
          <w:i w:val="0"/>
          <w:iCs w:val="0"/>
          <w:color w:val="auto"/>
          <w:highlight w:val="none"/>
        </w:rPr>
        <w:instrText xml:space="preserve"> PAGEREF _Toc101463839 \h </w:instrText>
      </w:r>
      <w:r>
        <w:rPr>
          <w:b w:val="0"/>
          <w:bCs w:val="0"/>
          <w:i w:val="0"/>
          <w:iCs w:val="0"/>
          <w:color w:val="auto"/>
          <w:highlight w:val="none"/>
        </w:rPr>
        <w:fldChar w:fldCharType="separate"/>
      </w:r>
      <w:r>
        <w:rPr>
          <w:b w:val="0"/>
          <w:bCs w:val="0"/>
          <w:i w:val="0"/>
          <w:iCs w:val="0"/>
          <w:color w:val="auto"/>
          <w:highlight w:val="none"/>
        </w:rPr>
        <w:t>20</w:t>
      </w:r>
      <w:r>
        <w:rPr>
          <w:b w:val="0"/>
          <w:bCs w:val="0"/>
          <w:i w:val="0"/>
          <w:iCs w:val="0"/>
          <w:color w:val="auto"/>
          <w:highlight w:val="none"/>
        </w:rPr>
        <w:fldChar w:fldCharType="end"/>
      </w:r>
      <w:r>
        <w:rPr>
          <w:b w:val="0"/>
          <w:bCs w:val="0"/>
          <w:i w:val="0"/>
          <w:i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"_Toc101463840" </w:instrText>
      </w:r>
      <w:r>
        <w:rPr>
          <w:color w:val="auto"/>
          <w:highlight w:val="none"/>
        </w:rPr>
        <w:fldChar w:fldCharType="separate"/>
      </w:r>
      <w:r>
        <w:rPr>
          <w:rStyle w:val="23"/>
          <w:b w:val="0"/>
          <w:bCs w:val="0"/>
          <w:color w:val="auto"/>
          <w:highlight w:val="none"/>
        </w:rPr>
        <w:t>12.资金筹集方案及投资计划</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_Toc101463840 \h </w:instrText>
      </w:r>
      <w:r>
        <w:rPr>
          <w:b w:val="0"/>
          <w:bCs w:val="0"/>
          <w:color w:val="auto"/>
          <w:highlight w:val="none"/>
        </w:rPr>
        <w:fldChar w:fldCharType="separate"/>
      </w:r>
      <w:r>
        <w:rPr>
          <w:b w:val="0"/>
          <w:bCs w:val="0"/>
          <w:color w:val="auto"/>
          <w:highlight w:val="none"/>
        </w:rPr>
        <w:t>20</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"_Toc101463841" </w:instrText>
      </w:r>
      <w:r>
        <w:rPr>
          <w:color w:val="auto"/>
          <w:highlight w:val="none"/>
        </w:rPr>
        <w:fldChar w:fldCharType="separate"/>
      </w:r>
      <w:r>
        <w:rPr>
          <w:rStyle w:val="23"/>
          <w:b w:val="0"/>
          <w:bCs w:val="0"/>
          <w:color w:val="auto"/>
          <w:highlight w:val="none"/>
        </w:rPr>
        <w:t>13.甲方提供的融资支持及投资监管</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_Toc101463841 \h </w:instrText>
      </w:r>
      <w:r>
        <w:rPr>
          <w:b w:val="0"/>
          <w:bCs w:val="0"/>
          <w:color w:val="auto"/>
          <w:highlight w:val="none"/>
        </w:rPr>
        <w:fldChar w:fldCharType="separate"/>
      </w:r>
      <w:r>
        <w:rPr>
          <w:b w:val="0"/>
          <w:bCs w:val="0"/>
          <w:color w:val="auto"/>
          <w:highlight w:val="none"/>
        </w:rPr>
        <w:t>20</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"_Toc101463842" </w:instrText>
      </w:r>
      <w:r>
        <w:rPr>
          <w:color w:val="auto"/>
          <w:highlight w:val="none"/>
        </w:rPr>
        <w:fldChar w:fldCharType="separate"/>
      </w:r>
      <w:r>
        <w:rPr>
          <w:rStyle w:val="23"/>
          <w:b w:val="0"/>
          <w:bCs w:val="0"/>
          <w:color w:val="auto"/>
          <w:highlight w:val="none"/>
        </w:rPr>
        <w:t>14资金共管账户的开立及用途</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_Toc101463842 \h </w:instrText>
      </w:r>
      <w:r>
        <w:rPr>
          <w:b w:val="0"/>
          <w:bCs w:val="0"/>
          <w:color w:val="auto"/>
          <w:highlight w:val="none"/>
        </w:rPr>
        <w:fldChar w:fldCharType="separate"/>
      </w:r>
      <w:r>
        <w:rPr>
          <w:b w:val="0"/>
          <w:bCs w:val="0"/>
          <w:color w:val="auto"/>
          <w:highlight w:val="none"/>
        </w:rPr>
        <w:t>21</w:t>
      </w:r>
      <w:r>
        <w:rPr>
          <w:b w:val="0"/>
          <w:bCs w:val="0"/>
          <w:color w:val="auto"/>
          <w:highlight w:val="none"/>
        </w:rPr>
        <w:fldChar w:fldCharType="end"/>
      </w:r>
      <w:r>
        <w:rPr>
          <w:b w:val="0"/>
          <w:bCs w:val="0"/>
          <w:color w:val="auto"/>
          <w:highlight w:val="none"/>
        </w:rPr>
        <w:fldChar w:fldCharType="end"/>
      </w:r>
    </w:p>
    <w:p>
      <w:pPr>
        <w:pStyle w:val="15"/>
        <w:tabs>
          <w:tab w:val="right" w:leader="dot" w:pos="8834"/>
        </w:tabs>
        <w:spacing w:before="156" w:beforeLines="50" w:after="156" w:afterLines="50" w:line="360" w:lineRule="auto"/>
        <w:rPr>
          <w:rFonts w:cstheme="minorBidi"/>
          <w:b w:val="0"/>
          <w:bCs w:val="0"/>
          <w:i w:val="0"/>
          <w:iCs w:val="0"/>
          <w:color w:val="auto"/>
          <w:sz w:val="21"/>
          <w:highlight w:val="none"/>
        </w:rPr>
      </w:pPr>
      <w:r>
        <w:rPr>
          <w:color w:val="auto"/>
          <w:highlight w:val="none"/>
        </w:rPr>
        <w:fldChar w:fldCharType="begin"/>
      </w:r>
      <w:r>
        <w:rPr>
          <w:color w:val="auto"/>
          <w:highlight w:val="none"/>
        </w:rPr>
        <w:instrText xml:space="preserve"> HYPERLINK \l "_Toc101463843" </w:instrText>
      </w:r>
      <w:r>
        <w:rPr>
          <w:color w:val="auto"/>
          <w:highlight w:val="none"/>
        </w:rPr>
        <w:fldChar w:fldCharType="separate"/>
      </w:r>
      <w:r>
        <w:rPr>
          <w:rStyle w:val="23"/>
          <w:b w:val="0"/>
          <w:bCs w:val="0"/>
          <w:i w:val="0"/>
          <w:iCs w:val="0"/>
          <w:color w:val="auto"/>
          <w:highlight w:val="none"/>
        </w:rPr>
        <w:t>六、项目建设</w:t>
      </w:r>
      <w:r>
        <w:rPr>
          <w:b w:val="0"/>
          <w:bCs w:val="0"/>
          <w:i w:val="0"/>
          <w:iCs w:val="0"/>
          <w:color w:val="auto"/>
          <w:highlight w:val="none"/>
        </w:rPr>
        <w:tab/>
      </w:r>
      <w:r>
        <w:rPr>
          <w:b w:val="0"/>
          <w:bCs w:val="0"/>
          <w:i w:val="0"/>
          <w:iCs w:val="0"/>
          <w:color w:val="auto"/>
          <w:highlight w:val="none"/>
        </w:rPr>
        <w:fldChar w:fldCharType="begin"/>
      </w:r>
      <w:r>
        <w:rPr>
          <w:b w:val="0"/>
          <w:bCs w:val="0"/>
          <w:i w:val="0"/>
          <w:iCs w:val="0"/>
          <w:color w:val="auto"/>
          <w:highlight w:val="none"/>
        </w:rPr>
        <w:instrText xml:space="preserve"> PAGEREF _Toc101463843 \h </w:instrText>
      </w:r>
      <w:r>
        <w:rPr>
          <w:b w:val="0"/>
          <w:bCs w:val="0"/>
          <w:i w:val="0"/>
          <w:iCs w:val="0"/>
          <w:color w:val="auto"/>
          <w:highlight w:val="none"/>
        </w:rPr>
        <w:fldChar w:fldCharType="separate"/>
      </w:r>
      <w:r>
        <w:rPr>
          <w:b w:val="0"/>
          <w:bCs w:val="0"/>
          <w:i w:val="0"/>
          <w:iCs w:val="0"/>
          <w:color w:val="auto"/>
          <w:highlight w:val="none"/>
        </w:rPr>
        <w:t>22</w:t>
      </w:r>
      <w:r>
        <w:rPr>
          <w:b w:val="0"/>
          <w:bCs w:val="0"/>
          <w:i w:val="0"/>
          <w:iCs w:val="0"/>
          <w:color w:val="auto"/>
          <w:highlight w:val="none"/>
        </w:rPr>
        <w:fldChar w:fldCharType="end"/>
      </w:r>
      <w:r>
        <w:rPr>
          <w:b w:val="0"/>
          <w:bCs w:val="0"/>
          <w:i w:val="0"/>
          <w:i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"_Toc101463844" </w:instrText>
      </w:r>
      <w:r>
        <w:rPr>
          <w:color w:val="auto"/>
          <w:highlight w:val="none"/>
        </w:rPr>
        <w:fldChar w:fldCharType="separate"/>
      </w:r>
      <w:r>
        <w:rPr>
          <w:rStyle w:val="23"/>
          <w:b w:val="0"/>
          <w:bCs w:val="0"/>
          <w:color w:val="auto"/>
          <w:highlight w:val="none"/>
        </w:rPr>
        <w:t>15.建设标准和要求</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_Toc101463844 \h </w:instrText>
      </w:r>
      <w:r>
        <w:rPr>
          <w:b w:val="0"/>
          <w:bCs w:val="0"/>
          <w:color w:val="auto"/>
          <w:highlight w:val="none"/>
        </w:rPr>
        <w:fldChar w:fldCharType="separate"/>
      </w:r>
      <w:r>
        <w:rPr>
          <w:b w:val="0"/>
          <w:bCs w:val="0"/>
          <w:color w:val="auto"/>
          <w:highlight w:val="none"/>
        </w:rPr>
        <w:t>22</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"_Toc101463845" </w:instrText>
      </w:r>
      <w:r>
        <w:rPr>
          <w:color w:val="auto"/>
          <w:highlight w:val="none"/>
        </w:rPr>
        <w:fldChar w:fldCharType="separate"/>
      </w:r>
      <w:r>
        <w:rPr>
          <w:rStyle w:val="23"/>
          <w:b w:val="0"/>
          <w:bCs w:val="0"/>
          <w:color w:val="auto"/>
          <w:highlight w:val="none"/>
        </w:rPr>
        <w:t>16.计划、管理和延期</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_Toc101463845 \h </w:instrText>
      </w:r>
      <w:r>
        <w:rPr>
          <w:b w:val="0"/>
          <w:bCs w:val="0"/>
          <w:color w:val="auto"/>
          <w:highlight w:val="none"/>
        </w:rPr>
        <w:fldChar w:fldCharType="separate"/>
      </w:r>
      <w:r>
        <w:rPr>
          <w:b w:val="0"/>
          <w:bCs w:val="0"/>
          <w:color w:val="auto"/>
          <w:highlight w:val="none"/>
        </w:rPr>
        <w:t>22</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"_Toc101463846" </w:instrText>
      </w:r>
      <w:r>
        <w:rPr>
          <w:color w:val="auto"/>
          <w:highlight w:val="none"/>
        </w:rPr>
        <w:fldChar w:fldCharType="separate"/>
      </w:r>
      <w:r>
        <w:rPr>
          <w:rStyle w:val="23"/>
          <w:b w:val="0"/>
          <w:bCs w:val="0"/>
          <w:color w:val="auto"/>
          <w:highlight w:val="none"/>
        </w:rPr>
        <w:t>16.5项目管理要求</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_Toc101463846 \h </w:instrText>
      </w:r>
      <w:r>
        <w:rPr>
          <w:b w:val="0"/>
          <w:bCs w:val="0"/>
          <w:color w:val="auto"/>
          <w:highlight w:val="none"/>
        </w:rPr>
        <w:fldChar w:fldCharType="separate"/>
      </w:r>
      <w:r>
        <w:rPr>
          <w:b w:val="0"/>
          <w:bCs w:val="0"/>
          <w:color w:val="auto"/>
          <w:highlight w:val="none"/>
        </w:rPr>
        <w:t>24</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"_Toc101463847" </w:instrText>
      </w:r>
      <w:r>
        <w:rPr>
          <w:color w:val="auto"/>
          <w:highlight w:val="none"/>
        </w:rPr>
        <w:fldChar w:fldCharType="separate"/>
      </w:r>
      <w:r>
        <w:rPr>
          <w:rStyle w:val="23"/>
          <w:b w:val="0"/>
          <w:bCs w:val="0"/>
          <w:color w:val="auto"/>
          <w:highlight w:val="none"/>
        </w:rPr>
        <w:t>17.项目变更</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_Toc101463847 \h </w:instrText>
      </w:r>
      <w:r>
        <w:rPr>
          <w:b w:val="0"/>
          <w:bCs w:val="0"/>
          <w:color w:val="auto"/>
          <w:highlight w:val="none"/>
        </w:rPr>
        <w:fldChar w:fldCharType="separate"/>
      </w:r>
      <w:r>
        <w:rPr>
          <w:b w:val="0"/>
          <w:bCs w:val="0"/>
          <w:color w:val="auto"/>
          <w:highlight w:val="none"/>
        </w:rPr>
        <w:t>24</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"_Toc101463848" </w:instrText>
      </w:r>
      <w:r>
        <w:rPr>
          <w:color w:val="auto"/>
          <w:highlight w:val="none"/>
        </w:rPr>
        <w:fldChar w:fldCharType="separate"/>
      </w:r>
      <w:r>
        <w:rPr>
          <w:rStyle w:val="23"/>
          <w:b w:val="0"/>
          <w:bCs w:val="0"/>
          <w:color w:val="auto"/>
          <w:highlight w:val="none"/>
        </w:rPr>
        <w:t>18.竣工验收</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_Toc101463848 \h </w:instrText>
      </w:r>
      <w:r>
        <w:rPr>
          <w:b w:val="0"/>
          <w:bCs w:val="0"/>
          <w:color w:val="auto"/>
          <w:highlight w:val="none"/>
        </w:rPr>
        <w:fldChar w:fldCharType="separate"/>
      </w:r>
      <w:r>
        <w:rPr>
          <w:b w:val="0"/>
          <w:bCs w:val="0"/>
          <w:color w:val="auto"/>
          <w:highlight w:val="none"/>
        </w:rPr>
        <w:t>26</w:t>
      </w:r>
      <w:r>
        <w:rPr>
          <w:b w:val="0"/>
          <w:bCs w:val="0"/>
          <w:color w:val="auto"/>
          <w:highlight w:val="none"/>
        </w:rPr>
        <w:fldChar w:fldCharType="end"/>
      </w:r>
      <w:r>
        <w:rPr>
          <w:b w:val="0"/>
          <w:bCs w:val="0"/>
          <w:color w:val="auto"/>
          <w:highlight w:val="none"/>
        </w:rPr>
        <w:fldChar w:fldCharType="end"/>
      </w:r>
    </w:p>
    <w:p>
      <w:pPr>
        <w:pStyle w:val="18"/>
        <w:tabs>
          <w:tab w:val="left" w:pos="840"/>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"_Toc101463849" </w:instrText>
      </w:r>
      <w:r>
        <w:rPr>
          <w:color w:val="auto"/>
          <w:highlight w:val="none"/>
        </w:rPr>
        <w:fldChar w:fldCharType="separate"/>
      </w:r>
      <w:r>
        <w:rPr>
          <w:rStyle w:val="23"/>
          <w:b w:val="0"/>
          <w:bCs w:val="0"/>
          <w:color w:val="auto"/>
          <w:highlight w:val="none"/>
        </w:rPr>
        <w:t>19移交</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_Toc101463849 \h </w:instrText>
      </w:r>
      <w:r>
        <w:rPr>
          <w:b w:val="0"/>
          <w:bCs w:val="0"/>
          <w:color w:val="auto"/>
          <w:highlight w:val="none"/>
        </w:rPr>
        <w:fldChar w:fldCharType="separate"/>
      </w:r>
      <w:r>
        <w:rPr>
          <w:b w:val="0"/>
          <w:bCs w:val="0"/>
          <w:color w:val="auto"/>
          <w:highlight w:val="none"/>
        </w:rPr>
        <w:t>26</w:t>
      </w:r>
      <w:r>
        <w:rPr>
          <w:b w:val="0"/>
          <w:bCs w:val="0"/>
          <w:color w:val="auto"/>
          <w:highlight w:val="none"/>
        </w:rPr>
        <w:fldChar w:fldCharType="end"/>
      </w:r>
      <w:r>
        <w:rPr>
          <w:b w:val="0"/>
          <w:bCs w:val="0"/>
          <w:color w:val="auto"/>
          <w:highlight w:val="none"/>
        </w:rPr>
        <w:fldChar w:fldCharType="end"/>
      </w:r>
    </w:p>
    <w:p>
      <w:pPr>
        <w:pStyle w:val="15"/>
        <w:tabs>
          <w:tab w:val="right" w:leader="dot" w:pos="8834"/>
        </w:tabs>
        <w:spacing w:before="156" w:beforeLines="50" w:after="156" w:afterLines="50" w:line="360" w:lineRule="auto"/>
        <w:rPr>
          <w:rFonts w:cstheme="minorBidi"/>
          <w:b w:val="0"/>
          <w:bCs w:val="0"/>
          <w:i w:val="0"/>
          <w:iCs w:val="0"/>
          <w:color w:val="auto"/>
          <w:sz w:val="21"/>
          <w:highlight w:val="none"/>
        </w:rPr>
      </w:pPr>
      <w:r>
        <w:rPr>
          <w:color w:val="auto"/>
          <w:highlight w:val="none"/>
        </w:rPr>
        <w:fldChar w:fldCharType="begin"/>
      </w:r>
      <w:r>
        <w:rPr>
          <w:color w:val="auto"/>
          <w:highlight w:val="none"/>
        </w:rPr>
        <w:instrText xml:space="preserve"> HYPERLINK \l "_Toc101463850" </w:instrText>
      </w:r>
      <w:r>
        <w:rPr>
          <w:color w:val="auto"/>
          <w:highlight w:val="none"/>
        </w:rPr>
        <w:fldChar w:fldCharType="separate"/>
      </w:r>
      <w:r>
        <w:rPr>
          <w:rStyle w:val="23"/>
          <w:b w:val="0"/>
          <w:bCs w:val="0"/>
          <w:i w:val="0"/>
          <w:iCs w:val="0"/>
          <w:color w:val="auto"/>
          <w:highlight w:val="none"/>
        </w:rPr>
        <w:t>七、项目投资费用支付</w:t>
      </w:r>
      <w:r>
        <w:rPr>
          <w:b w:val="0"/>
          <w:bCs w:val="0"/>
          <w:i w:val="0"/>
          <w:iCs w:val="0"/>
          <w:color w:val="auto"/>
          <w:highlight w:val="none"/>
        </w:rPr>
        <w:tab/>
      </w:r>
      <w:r>
        <w:rPr>
          <w:b w:val="0"/>
          <w:bCs w:val="0"/>
          <w:i w:val="0"/>
          <w:iCs w:val="0"/>
          <w:color w:val="auto"/>
          <w:highlight w:val="none"/>
        </w:rPr>
        <w:fldChar w:fldCharType="begin"/>
      </w:r>
      <w:r>
        <w:rPr>
          <w:b w:val="0"/>
          <w:bCs w:val="0"/>
          <w:i w:val="0"/>
          <w:iCs w:val="0"/>
          <w:color w:val="auto"/>
          <w:highlight w:val="none"/>
        </w:rPr>
        <w:instrText xml:space="preserve"> PAGEREF _Toc101463850 \h </w:instrText>
      </w:r>
      <w:r>
        <w:rPr>
          <w:b w:val="0"/>
          <w:bCs w:val="0"/>
          <w:i w:val="0"/>
          <w:iCs w:val="0"/>
          <w:color w:val="auto"/>
          <w:highlight w:val="none"/>
        </w:rPr>
        <w:fldChar w:fldCharType="separate"/>
      </w:r>
      <w:r>
        <w:rPr>
          <w:b w:val="0"/>
          <w:bCs w:val="0"/>
          <w:i w:val="0"/>
          <w:iCs w:val="0"/>
          <w:color w:val="auto"/>
          <w:highlight w:val="none"/>
        </w:rPr>
        <w:t>28</w:t>
      </w:r>
      <w:r>
        <w:rPr>
          <w:b w:val="0"/>
          <w:bCs w:val="0"/>
          <w:i w:val="0"/>
          <w:iCs w:val="0"/>
          <w:color w:val="auto"/>
          <w:highlight w:val="none"/>
        </w:rPr>
        <w:fldChar w:fldCharType="end"/>
      </w:r>
      <w:r>
        <w:rPr>
          <w:b w:val="0"/>
          <w:bCs w:val="0"/>
          <w:i w:val="0"/>
          <w:i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"_Toc101463851" </w:instrText>
      </w:r>
      <w:r>
        <w:rPr>
          <w:color w:val="auto"/>
          <w:highlight w:val="none"/>
        </w:rPr>
        <w:fldChar w:fldCharType="separate"/>
      </w:r>
      <w:r>
        <w:rPr>
          <w:rStyle w:val="23"/>
          <w:b w:val="0"/>
          <w:bCs w:val="0"/>
          <w:color w:val="auto"/>
          <w:highlight w:val="none"/>
        </w:rPr>
        <w:t>20.前期工作费用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_Toc101463851 \h </w:instrText>
      </w:r>
      <w:r>
        <w:rPr>
          <w:b w:val="0"/>
          <w:bCs w:val="0"/>
          <w:color w:val="auto"/>
          <w:highlight w:val="none"/>
        </w:rPr>
        <w:fldChar w:fldCharType="separate"/>
      </w:r>
      <w:r>
        <w:rPr>
          <w:b w:val="0"/>
          <w:bCs w:val="0"/>
          <w:color w:val="auto"/>
          <w:highlight w:val="none"/>
        </w:rPr>
        <w:t>28</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"_Toc101463852" </w:instrText>
      </w:r>
      <w:r>
        <w:rPr>
          <w:color w:val="auto"/>
          <w:highlight w:val="none"/>
        </w:rPr>
        <w:fldChar w:fldCharType="separate"/>
      </w:r>
      <w:r>
        <w:rPr>
          <w:rStyle w:val="23"/>
          <w:rFonts w:ascii="黑体" w:hAnsi="黑体"/>
          <w:b w:val="0"/>
          <w:bCs w:val="0"/>
          <w:color w:val="auto"/>
          <w:highlight w:val="none"/>
        </w:rPr>
        <w:t>21</w:t>
      </w:r>
      <w:r>
        <w:rPr>
          <w:rStyle w:val="23"/>
          <w:b w:val="0"/>
          <w:bCs w:val="0"/>
          <w:color w:val="auto"/>
          <w:highlight w:val="none"/>
        </w:rPr>
        <w:t>.征地拆迁补偿费</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_Toc101463852 \h </w:instrText>
      </w:r>
      <w:r>
        <w:rPr>
          <w:b w:val="0"/>
          <w:bCs w:val="0"/>
          <w:color w:val="auto"/>
          <w:highlight w:val="none"/>
        </w:rPr>
        <w:fldChar w:fldCharType="separate"/>
      </w:r>
      <w:r>
        <w:rPr>
          <w:b w:val="0"/>
          <w:bCs w:val="0"/>
          <w:color w:val="auto"/>
          <w:highlight w:val="none"/>
        </w:rPr>
        <w:t>28</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"_Toc101463853" </w:instrText>
      </w:r>
      <w:r>
        <w:rPr>
          <w:color w:val="auto"/>
          <w:highlight w:val="none"/>
        </w:rPr>
        <w:fldChar w:fldCharType="separate"/>
      </w:r>
      <w:r>
        <w:rPr>
          <w:rStyle w:val="23"/>
          <w:rFonts w:ascii="黑体" w:hAnsi="黑体"/>
          <w:b w:val="0"/>
          <w:bCs w:val="0"/>
          <w:color w:val="auto"/>
          <w:highlight w:val="none"/>
        </w:rPr>
        <w:t>22.工程费用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_Toc101463853 \h </w:instrText>
      </w:r>
      <w:r>
        <w:rPr>
          <w:b w:val="0"/>
          <w:bCs w:val="0"/>
          <w:color w:val="auto"/>
          <w:highlight w:val="none"/>
        </w:rPr>
        <w:fldChar w:fldCharType="separate"/>
      </w:r>
      <w:r>
        <w:rPr>
          <w:b w:val="0"/>
          <w:bCs w:val="0"/>
          <w:color w:val="auto"/>
          <w:highlight w:val="none"/>
        </w:rPr>
        <w:t>29</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"_Toc101463854" </w:instrText>
      </w:r>
      <w:r>
        <w:rPr>
          <w:color w:val="auto"/>
          <w:highlight w:val="none"/>
        </w:rPr>
        <w:fldChar w:fldCharType="separate"/>
      </w:r>
      <w:r>
        <w:rPr>
          <w:rStyle w:val="23"/>
          <w:rFonts w:ascii="黑体" w:hAnsi="黑体"/>
          <w:b w:val="0"/>
          <w:bCs w:val="0"/>
          <w:color w:val="auto"/>
          <w:highlight w:val="none"/>
        </w:rPr>
        <w:t>23.管理费用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_Toc101463854 \h </w:instrText>
      </w:r>
      <w:r>
        <w:rPr>
          <w:b w:val="0"/>
          <w:bCs w:val="0"/>
          <w:color w:val="auto"/>
          <w:highlight w:val="none"/>
        </w:rPr>
        <w:fldChar w:fldCharType="separate"/>
      </w:r>
      <w:r>
        <w:rPr>
          <w:b w:val="0"/>
          <w:bCs w:val="0"/>
          <w:color w:val="auto"/>
          <w:highlight w:val="none"/>
        </w:rPr>
        <w:t>30</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"_Toc101463855" </w:instrText>
      </w:r>
      <w:r>
        <w:rPr>
          <w:color w:val="auto"/>
          <w:highlight w:val="none"/>
        </w:rPr>
        <w:fldChar w:fldCharType="separate"/>
      </w:r>
      <w:r>
        <w:rPr>
          <w:rStyle w:val="23"/>
          <w:rFonts w:ascii="黑体" w:hAnsi="黑体"/>
          <w:b w:val="0"/>
          <w:bCs w:val="0"/>
          <w:color w:val="auto"/>
          <w:highlight w:val="none"/>
        </w:rPr>
        <w:t>24.财务费用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_Toc101463855 \h </w:instrText>
      </w:r>
      <w:r>
        <w:rPr>
          <w:b w:val="0"/>
          <w:bCs w:val="0"/>
          <w:color w:val="auto"/>
          <w:highlight w:val="none"/>
        </w:rPr>
        <w:fldChar w:fldCharType="separate"/>
      </w:r>
      <w:r>
        <w:rPr>
          <w:b w:val="0"/>
          <w:bCs w:val="0"/>
          <w:color w:val="auto"/>
          <w:highlight w:val="none"/>
        </w:rPr>
        <w:t>30</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"_Toc101463856" </w:instrText>
      </w:r>
      <w:r>
        <w:rPr>
          <w:color w:val="auto"/>
          <w:highlight w:val="none"/>
        </w:rPr>
        <w:fldChar w:fldCharType="separate"/>
      </w:r>
      <w:r>
        <w:rPr>
          <w:rStyle w:val="23"/>
          <w:rFonts w:ascii="黑体" w:hAnsi="黑体"/>
          <w:b w:val="0"/>
          <w:bCs w:val="0"/>
          <w:color w:val="auto"/>
          <w:highlight w:val="none"/>
        </w:rPr>
        <w:t>25.税费</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_Toc101463856 \h </w:instrText>
      </w:r>
      <w:r>
        <w:rPr>
          <w:b w:val="0"/>
          <w:bCs w:val="0"/>
          <w:color w:val="auto"/>
          <w:highlight w:val="none"/>
        </w:rPr>
        <w:fldChar w:fldCharType="separate"/>
      </w:r>
      <w:r>
        <w:rPr>
          <w:b w:val="0"/>
          <w:bCs w:val="0"/>
          <w:color w:val="auto"/>
          <w:highlight w:val="none"/>
        </w:rPr>
        <w:t>30</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"_Toc101463857" </w:instrText>
      </w:r>
      <w:r>
        <w:rPr>
          <w:color w:val="auto"/>
          <w:highlight w:val="none"/>
        </w:rPr>
        <w:fldChar w:fldCharType="separate"/>
      </w:r>
      <w:r>
        <w:rPr>
          <w:rStyle w:val="23"/>
          <w:rFonts w:ascii="黑体" w:hAnsi="黑体"/>
          <w:b w:val="0"/>
          <w:bCs w:val="0"/>
          <w:color w:val="auto"/>
          <w:highlight w:val="none"/>
        </w:rPr>
        <w:t>26.其它费用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_Toc101463857 \h </w:instrText>
      </w:r>
      <w:r>
        <w:rPr>
          <w:b w:val="0"/>
          <w:bCs w:val="0"/>
          <w:color w:val="auto"/>
          <w:highlight w:val="none"/>
        </w:rPr>
        <w:fldChar w:fldCharType="separate"/>
      </w:r>
      <w:r>
        <w:rPr>
          <w:b w:val="0"/>
          <w:bCs w:val="0"/>
          <w:color w:val="auto"/>
          <w:highlight w:val="none"/>
        </w:rPr>
        <w:t>30</w:t>
      </w:r>
      <w:r>
        <w:rPr>
          <w:b w:val="0"/>
          <w:bCs w:val="0"/>
          <w:color w:val="auto"/>
          <w:highlight w:val="none"/>
        </w:rPr>
        <w:fldChar w:fldCharType="end"/>
      </w:r>
      <w:r>
        <w:rPr>
          <w:b w:val="0"/>
          <w:bCs w:val="0"/>
          <w:color w:val="auto"/>
          <w:highlight w:val="none"/>
        </w:rPr>
        <w:fldChar w:fldCharType="end"/>
      </w:r>
    </w:p>
    <w:p>
      <w:pPr>
        <w:pStyle w:val="15"/>
        <w:tabs>
          <w:tab w:val="right" w:leader="dot" w:pos="8834"/>
        </w:tabs>
        <w:spacing w:before="156" w:beforeLines="50" w:after="156" w:afterLines="50" w:line="360" w:lineRule="auto"/>
        <w:rPr>
          <w:rFonts w:cstheme="minorBidi"/>
          <w:b w:val="0"/>
          <w:bCs w:val="0"/>
          <w:i w:val="0"/>
          <w:iCs w:val="0"/>
          <w:color w:val="auto"/>
          <w:sz w:val="21"/>
          <w:highlight w:val="none"/>
        </w:rPr>
      </w:pPr>
      <w:r>
        <w:rPr>
          <w:color w:val="auto"/>
          <w:highlight w:val="none"/>
        </w:rPr>
        <w:fldChar w:fldCharType="begin"/>
      </w:r>
      <w:r>
        <w:rPr>
          <w:color w:val="auto"/>
          <w:highlight w:val="none"/>
        </w:rPr>
        <w:instrText xml:space="preserve"> HYPERLINK \l "_Toc101463858" </w:instrText>
      </w:r>
      <w:r>
        <w:rPr>
          <w:color w:val="auto"/>
          <w:highlight w:val="none"/>
        </w:rPr>
        <w:fldChar w:fldCharType="separate"/>
      </w:r>
      <w:r>
        <w:rPr>
          <w:rStyle w:val="23"/>
          <w:b w:val="0"/>
          <w:bCs w:val="0"/>
          <w:i w:val="0"/>
          <w:iCs w:val="0"/>
          <w:color w:val="auto"/>
          <w:highlight w:val="none"/>
        </w:rPr>
        <w:t>八、投资回报</w:t>
      </w:r>
      <w:r>
        <w:rPr>
          <w:b w:val="0"/>
          <w:bCs w:val="0"/>
          <w:i w:val="0"/>
          <w:iCs w:val="0"/>
          <w:color w:val="auto"/>
          <w:highlight w:val="none"/>
        </w:rPr>
        <w:tab/>
      </w:r>
      <w:r>
        <w:rPr>
          <w:b w:val="0"/>
          <w:bCs w:val="0"/>
          <w:i w:val="0"/>
          <w:iCs w:val="0"/>
          <w:color w:val="auto"/>
          <w:highlight w:val="none"/>
        </w:rPr>
        <w:fldChar w:fldCharType="begin"/>
      </w:r>
      <w:r>
        <w:rPr>
          <w:b w:val="0"/>
          <w:bCs w:val="0"/>
          <w:i w:val="0"/>
          <w:iCs w:val="0"/>
          <w:color w:val="auto"/>
          <w:highlight w:val="none"/>
        </w:rPr>
        <w:instrText xml:space="preserve"> PAGEREF _Toc101463858 \h </w:instrText>
      </w:r>
      <w:r>
        <w:rPr>
          <w:b w:val="0"/>
          <w:bCs w:val="0"/>
          <w:i w:val="0"/>
          <w:iCs w:val="0"/>
          <w:color w:val="auto"/>
          <w:highlight w:val="none"/>
        </w:rPr>
        <w:fldChar w:fldCharType="separate"/>
      </w:r>
      <w:r>
        <w:rPr>
          <w:b w:val="0"/>
          <w:bCs w:val="0"/>
          <w:i w:val="0"/>
          <w:iCs w:val="0"/>
          <w:color w:val="auto"/>
          <w:highlight w:val="none"/>
        </w:rPr>
        <w:t>32</w:t>
      </w:r>
      <w:r>
        <w:rPr>
          <w:b w:val="0"/>
          <w:bCs w:val="0"/>
          <w:i w:val="0"/>
          <w:iCs w:val="0"/>
          <w:color w:val="auto"/>
          <w:highlight w:val="none"/>
        </w:rPr>
        <w:fldChar w:fldCharType="end"/>
      </w:r>
      <w:r>
        <w:rPr>
          <w:b w:val="0"/>
          <w:bCs w:val="0"/>
          <w:i w:val="0"/>
          <w:i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"_Toc101463859" </w:instrText>
      </w:r>
      <w:r>
        <w:rPr>
          <w:color w:val="auto"/>
          <w:highlight w:val="none"/>
        </w:rPr>
        <w:fldChar w:fldCharType="separate"/>
      </w:r>
      <w:r>
        <w:rPr>
          <w:rStyle w:val="23"/>
          <w:b w:val="0"/>
          <w:bCs w:val="0"/>
          <w:color w:val="auto"/>
          <w:highlight w:val="none"/>
        </w:rPr>
        <w:t>27.项目投资回收总额</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_Toc101463859 \h </w:instrText>
      </w:r>
      <w:r>
        <w:rPr>
          <w:b w:val="0"/>
          <w:bCs w:val="0"/>
          <w:color w:val="auto"/>
          <w:highlight w:val="none"/>
        </w:rPr>
        <w:fldChar w:fldCharType="separate"/>
      </w:r>
      <w:r>
        <w:rPr>
          <w:b w:val="0"/>
          <w:bCs w:val="0"/>
          <w:color w:val="auto"/>
          <w:highlight w:val="none"/>
        </w:rPr>
        <w:t>32</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"_Toc101463860" </w:instrText>
      </w:r>
      <w:r>
        <w:rPr>
          <w:color w:val="auto"/>
          <w:highlight w:val="none"/>
        </w:rPr>
        <w:fldChar w:fldCharType="separate"/>
      </w:r>
      <w:r>
        <w:rPr>
          <w:rStyle w:val="23"/>
          <w:b w:val="0"/>
          <w:bCs w:val="0"/>
          <w:color w:val="auto"/>
          <w:highlight w:val="none"/>
        </w:rPr>
        <w:t>28.投资收益</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_Toc101463860 \h </w:instrText>
      </w:r>
      <w:r>
        <w:rPr>
          <w:b w:val="0"/>
          <w:bCs w:val="0"/>
          <w:color w:val="auto"/>
          <w:highlight w:val="none"/>
        </w:rPr>
        <w:fldChar w:fldCharType="separate"/>
      </w:r>
      <w:r>
        <w:rPr>
          <w:b w:val="0"/>
          <w:bCs w:val="0"/>
          <w:color w:val="auto"/>
          <w:highlight w:val="none"/>
        </w:rPr>
        <w:t>32</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"_Toc101463861" </w:instrText>
      </w:r>
      <w:r>
        <w:rPr>
          <w:color w:val="auto"/>
          <w:highlight w:val="none"/>
        </w:rPr>
        <w:fldChar w:fldCharType="separate"/>
      </w:r>
      <w:r>
        <w:rPr>
          <w:rStyle w:val="23"/>
          <w:b w:val="0"/>
          <w:bCs w:val="0"/>
          <w:color w:val="auto"/>
          <w:highlight w:val="none"/>
        </w:rPr>
        <w:t>29项目投资收益的结算</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_Toc101463861 \h </w:instrText>
      </w:r>
      <w:r>
        <w:rPr>
          <w:b w:val="0"/>
          <w:bCs w:val="0"/>
          <w:color w:val="auto"/>
          <w:highlight w:val="none"/>
        </w:rPr>
        <w:fldChar w:fldCharType="separate"/>
      </w:r>
      <w:r>
        <w:rPr>
          <w:b w:val="0"/>
          <w:bCs w:val="0"/>
          <w:color w:val="auto"/>
          <w:highlight w:val="none"/>
        </w:rPr>
        <w:t>32</w:t>
      </w:r>
      <w:r>
        <w:rPr>
          <w:b w:val="0"/>
          <w:bCs w:val="0"/>
          <w:color w:val="auto"/>
          <w:highlight w:val="none"/>
        </w:rPr>
        <w:fldChar w:fldCharType="end"/>
      </w:r>
      <w:r>
        <w:rPr>
          <w:b w:val="0"/>
          <w:bCs w:val="0"/>
          <w:color w:val="auto"/>
          <w:highlight w:val="none"/>
        </w:rPr>
        <w:fldChar w:fldCharType="end"/>
      </w:r>
    </w:p>
    <w:p>
      <w:pPr>
        <w:pStyle w:val="15"/>
        <w:tabs>
          <w:tab w:val="right" w:leader="dot" w:pos="8834"/>
        </w:tabs>
        <w:spacing w:before="156" w:beforeLines="50" w:after="156" w:afterLines="50" w:line="360" w:lineRule="auto"/>
        <w:rPr>
          <w:rFonts w:cstheme="minorBidi"/>
          <w:b w:val="0"/>
          <w:bCs w:val="0"/>
          <w:i w:val="0"/>
          <w:iCs w:val="0"/>
          <w:color w:val="auto"/>
          <w:sz w:val="21"/>
          <w:highlight w:val="none"/>
        </w:rPr>
      </w:pPr>
      <w:r>
        <w:rPr>
          <w:color w:val="auto"/>
          <w:highlight w:val="none"/>
        </w:rPr>
        <w:fldChar w:fldCharType="begin"/>
      </w:r>
      <w:r>
        <w:rPr>
          <w:color w:val="auto"/>
          <w:highlight w:val="none"/>
        </w:rPr>
        <w:instrText xml:space="preserve"> HYPERLINK \l "_Toc101463862" </w:instrText>
      </w:r>
      <w:r>
        <w:rPr>
          <w:color w:val="auto"/>
          <w:highlight w:val="none"/>
        </w:rPr>
        <w:fldChar w:fldCharType="separate"/>
      </w:r>
      <w:r>
        <w:rPr>
          <w:rStyle w:val="23"/>
          <w:b w:val="0"/>
          <w:bCs w:val="0"/>
          <w:i w:val="0"/>
          <w:iCs w:val="0"/>
          <w:color w:val="auto"/>
          <w:highlight w:val="none"/>
        </w:rPr>
        <w:t>九、各方的权利义务</w:t>
      </w:r>
      <w:r>
        <w:rPr>
          <w:b w:val="0"/>
          <w:bCs w:val="0"/>
          <w:i w:val="0"/>
          <w:iCs w:val="0"/>
          <w:color w:val="auto"/>
          <w:highlight w:val="none"/>
        </w:rPr>
        <w:tab/>
      </w:r>
      <w:r>
        <w:rPr>
          <w:b w:val="0"/>
          <w:bCs w:val="0"/>
          <w:i w:val="0"/>
          <w:iCs w:val="0"/>
          <w:color w:val="auto"/>
          <w:highlight w:val="none"/>
        </w:rPr>
        <w:fldChar w:fldCharType="begin"/>
      </w:r>
      <w:r>
        <w:rPr>
          <w:b w:val="0"/>
          <w:bCs w:val="0"/>
          <w:i w:val="0"/>
          <w:iCs w:val="0"/>
          <w:color w:val="auto"/>
          <w:highlight w:val="none"/>
        </w:rPr>
        <w:instrText xml:space="preserve"> PAGEREF _Toc101463862 \h </w:instrText>
      </w:r>
      <w:r>
        <w:rPr>
          <w:b w:val="0"/>
          <w:bCs w:val="0"/>
          <w:i w:val="0"/>
          <w:iCs w:val="0"/>
          <w:color w:val="auto"/>
          <w:highlight w:val="none"/>
        </w:rPr>
        <w:fldChar w:fldCharType="separate"/>
      </w:r>
      <w:r>
        <w:rPr>
          <w:b w:val="0"/>
          <w:bCs w:val="0"/>
          <w:i w:val="0"/>
          <w:iCs w:val="0"/>
          <w:color w:val="auto"/>
          <w:highlight w:val="none"/>
        </w:rPr>
        <w:t>34</w:t>
      </w:r>
      <w:r>
        <w:rPr>
          <w:b w:val="0"/>
          <w:bCs w:val="0"/>
          <w:i w:val="0"/>
          <w:iCs w:val="0"/>
          <w:color w:val="auto"/>
          <w:highlight w:val="none"/>
        </w:rPr>
        <w:fldChar w:fldCharType="end"/>
      </w:r>
      <w:r>
        <w:rPr>
          <w:b w:val="0"/>
          <w:bCs w:val="0"/>
          <w:i w:val="0"/>
          <w:i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"_Toc101463863" </w:instrText>
      </w:r>
      <w:r>
        <w:rPr>
          <w:color w:val="auto"/>
          <w:highlight w:val="none"/>
        </w:rPr>
        <w:fldChar w:fldCharType="separate"/>
      </w:r>
      <w:r>
        <w:rPr>
          <w:rStyle w:val="23"/>
          <w:b w:val="0"/>
          <w:bCs w:val="0"/>
          <w:color w:val="auto"/>
          <w:highlight w:val="none"/>
        </w:rPr>
        <w:t>31.甲方的权利</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_Toc101463863 \h </w:instrText>
      </w:r>
      <w:r>
        <w:rPr>
          <w:b w:val="0"/>
          <w:bCs w:val="0"/>
          <w:color w:val="auto"/>
          <w:highlight w:val="none"/>
        </w:rPr>
        <w:fldChar w:fldCharType="separate"/>
      </w:r>
      <w:r>
        <w:rPr>
          <w:b w:val="0"/>
          <w:bCs w:val="0"/>
          <w:color w:val="auto"/>
          <w:highlight w:val="none"/>
        </w:rPr>
        <w:t>34</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"_Toc101463864" </w:instrText>
      </w:r>
      <w:r>
        <w:rPr>
          <w:color w:val="auto"/>
          <w:highlight w:val="none"/>
        </w:rPr>
        <w:fldChar w:fldCharType="separate"/>
      </w:r>
      <w:r>
        <w:rPr>
          <w:rStyle w:val="23"/>
          <w:b w:val="0"/>
          <w:bCs w:val="0"/>
          <w:color w:val="auto"/>
          <w:highlight w:val="none"/>
        </w:rPr>
        <w:t>32.甲方的义务</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_Toc101463864 \h </w:instrText>
      </w:r>
      <w:r>
        <w:rPr>
          <w:b w:val="0"/>
          <w:bCs w:val="0"/>
          <w:color w:val="auto"/>
          <w:highlight w:val="none"/>
        </w:rPr>
        <w:fldChar w:fldCharType="separate"/>
      </w:r>
      <w:r>
        <w:rPr>
          <w:b w:val="0"/>
          <w:bCs w:val="0"/>
          <w:color w:val="auto"/>
          <w:highlight w:val="none"/>
        </w:rPr>
        <w:t>34</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"_Toc101463865" </w:instrText>
      </w:r>
      <w:r>
        <w:rPr>
          <w:color w:val="auto"/>
          <w:highlight w:val="none"/>
        </w:rPr>
        <w:fldChar w:fldCharType="separate"/>
      </w:r>
      <w:r>
        <w:rPr>
          <w:rStyle w:val="23"/>
          <w:b w:val="0"/>
          <w:bCs w:val="0"/>
          <w:color w:val="auto"/>
          <w:highlight w:val="none"/>
        </w:rPr>
        <w:t>33.乙方的权利</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_Toc101463865 \h </w:instrText>
      </w:r>
      <w:r>
        <w:rPr>
          <w:b w:val="0"/>
          <w:bCs w:val="0"/>
          <w:color w:val="auto"/>
          <w:highlight w:val="none"/>
        </w:rPr>
        <w:fldChar w:fldCharType="separate"/>
      </w:r>
      <w:r>
        <w:rPr>
          <w:b w:val="0"/>
          <w:bCs w:val="0"/>
          <w:color w:val="auto"/>
          <w:highlight w:val="none"/>
        </w:rPr>
        <w:t>35</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"_Toc101463866" </w:instrText>
      </w:r>
      <w:r>
        <w:rPr>
          <w:color w:val="auto"/>
          <w:highlight w:val="none"/>
        </w:rPr>
        <w:fldChar w:fldCharType="separate"/>
      </w:r>
      <w:r>
        <w:rPr>
          <w:rStyle w:val="23"/>
          <w:b w:val="0"/>
          <w:bCs w:val="0"/>
          <w:color w:val="auto"/>
          <w:highlight w:val="none"/>
        </w:rPr>
        <w:t>34.乙方的义务</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_Toc101463866 \h </w:instrText>
      </w:r>
      <w:r>
        <w:rPr>
          <w:b w:val="0"/>
          <w:bCs w:val="0"/>
          <w:color w:val="auto"/>
          <w:highlight w:val="none"/>
        </w:rPr>
        <w:fldChar w:fldCharType="separate"/>
      </w:r>
      <w:r>
        <w:rPr>
          <w:b w:val="0"/>
          <w:bCs w:val="0"/>
          <w:color w:val="auto"/>
          <w:highlight w:val="none"/>
        </w:rPr>
        <w:t>35</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"_Toc101463867" </w:instrText>
      </w:r>
      <w:r>
        <w:rPr>
          <w:color w:val="auto"/>
          <w:highlight w:val="none"/>
        </w:rPr>
        <w:fldChar w:fldCharType="separate"/>
      </w:r>
      <w:r>
        <w:rPr>
          <w:rStyle w:val="23"/>
          <w:b w:val="0"/>
          <w:bCs w:val="0"/>
          <w:color w:val="auto"/>
          <w:highlight w:val="none"/>
        </w:rPr>
        <w:t>35.项目公司权利</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_Toc101463867 \h </w:instrText>
      </w:r>
      <w:r>
        <w:rPr>
          <w:b w:val="0"/>
          <w:bCs w:val="0"/>
          <w:color w:val="auto"/>
          <w:highlight w:val="none"/>
        </w:rPr>
        <w:fldChar w:fldCharType="separate"/>
      </w:r>
      <w:r>
        <w:rPr>
          <w:b w:val="0"/>
          <w:bCs w:val="0"/>
          <w:color w:val="auto"/>
          <w:highlight w:val="none"/>
        </w:rPr>
        <w:t>36</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"_Toc101463868" </w:instrText>
      </w:r>
      <w:r>
        <w:rPr>
          <w:color w:val="auto"/>
          <w:highlight w:val="none"/>
        </w:rPr>
        <w:fldChar w:fldCharType="separate"/>
      </w:r>
      <w:r>
        <w:rPr>
          <w:rStyle w:val="23"/>
          <w:b w:val="0"/>
          <w:bCs w:val="0"/>
          <w:color w:val="auto"/>
          <w:highlight w:val="none"/>
        </w:rPr>
        <w:t>36.项目公司义务</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_Toc101463868 \h </w:instrText>
      </w:r>
      <w:r>
        <w:rPr>
          <w:b w:val="0"/>
          <w:bCs w:val="0"/>
          <w:color w:val="auto"/>
          <w:highlight w:val="none"/>
        </w:rPr>
        <w:fldChar w:fldCharType="separate"/>
      </w:r>
      <w:r>
        <w:rPr>
          <w:b w:val="0"/>
          <w:bCs w:val="0"/>
          <w:color w:val="auto"/>
          <w:highlight w:val="none"/>
        </w:rPr>
        <w:t>36</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"_Toc101463869" </w:instrText>
      </w:r>
      <w:r>
        <w:rPr>
          <w:color w:val="auto"/>
          <w:highlight w:val="none"/>
        </w:rPr>
        <w:fldChar w:fldCharType="separate"/>
      </w:r>
      <w:r>
        <w:rPr>
          <w:rStyle w:val="23"/>
          <w:b w:val="0"/>
          <w:bCs w:val="0"/>
          <w:color w:val="auto"/>
          <w:highlight w:val="none"/>
        </w:rPr>
        <w:t>37.各方保密义务</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_Toc101463869 \h </w:instrText>
      </w:r>
      <w:r>
        <w:rPr>
          <w:b w:val="0"/>
          <w:bCs w:val="0"/>
          <w:color w:val="auto"/>
          <w:highlight w:val="none"/>
        </w:rPr>
        <w:fldChar w:fldCharType="separate"/>
      </w:r>
      <w:r>
        <w:rPr>
          <w:b w:val="0"/>
          <w:bCs w:val="0"/>
          <w:color w:val="auto"/>
          <w:highlight w:val="none"/>
        </w:rPr>
        <w:t>37</w:t>
      </w:r>
      <w:r>
        <w:rPr>
          <w:b w:val="0"/>
          <w:bCs w:val="0"/>
          <w:color w:val="auto"/>
          <w:highlight w:val="none"/>
        </w:rPr>
        <w:fldChar w:fldCharType="end"/>
      </w:r>
      <w:r>
        <w:rPr>
          <w:b w:val="0"/>
          <w:bCs w:val="0"/>
          <w:color w:val="auto"/>
          <w:highlight w:val="none"/>
        </w:rPr>
        <w:fldChar w:fldCharType="end"/>
      </w:r>
    </w:p>
    <w:p>
      <w:pPr>
        <w:pStyle w:val="15"/>
        <w:tabs>
          <w:tab w:val="right" w:leader="dot" w:pos="8834"/>
        </w:tabs>
        <w:spacing w:before="156" w:beforeLines="50" w:after="156" w:afterLines="50" w:line="360" w:lineRule="auto"/>
        <w:rPr>
          <w:rFonts w:cstheme="minorBidi"/>
          <w:b w:val="0"/>
          <w:bCs w:val="0"/>
          <w:i w:val="0"/>
          <w:iCs w:val="0"/>
          <w:color w:val="auto"/>
          <w:sz w:val="21"/>
          <w:highlight w:val="none"/>
        </w:rPr>
      </w:pPr>
      <w:r>
        <w:rPr>
          <w:color w:val="auto"/>
          <w:highlight w:val="none"/>
        </w:rPr>
        <w:fldChar w:fldCharType="begin"/>
      </w:r>
      <w:r>
        <w:rPr>
          <w:color w:val="auto"/>
          <w:highlight w:val="none"/>
        </w:rPr>
        <w:instrText xml:space="preserve"> HYPERLINK \l "_Toc101463870" </w:instrText>
      </w:r>
      <w:r>
        <w:rPr>
          <w:color w:val="auto"/>
          <w:highlight w:val="none"/>
        </w:rPr>
        <w:fldChar w:fldCharType="separate"/>
      </w:r>
      <w:r>
        <w:rPr>
          <w:rStyle w:val="23"/>
          <w:b w:val="0"/>
          <w:bCs w:val="0"/>
          <w:i w:val="0"/>
          <w:iCs w:val="0"/>
          <w:color w:val="auto"/>
          <w:highlight w:val="none"/>
        </w:rPr>
        <w:t>十、违约责任</w:t>
      </w:r>
      <w:r>
        <w:rPr>
          <w:b w:val="0"/>
          <w:bCs w:val="0"/>
          <w:i w:val="0"/>
          <w:iCs w:val="0"/>
          <w:color w:val="auto"/>
          <w:highlight w:val="none"/>
        </w:rPr>
        <w:tab/>
      </w:r>
      <w:r>
        <w:rPr>
          <w:b w:val="0"/>
          <w:bCs w:val="0"/>
          <w:i w:val="0"/>
          <w:iCs w:val="0"/>
          <w:color w:val="auto"/>
          <w:highlight w:val="none"/>
        </w:rPr>
        <w:fldChar w:fldCharType="begin"/>
      </w:r>
      <w:r>
        <w:rPr>
          <w:b w:val="0"/>
          <w:bCs w:val="0"/>
          <w:i w:val="0"/>
          <w:iCs w:val="0"/>
          <w:color w:val="auto"/>
          <w:highlight w:val="none"/>
        </w:rPr>
        <w:instrText xml:space="preserve"> PAGEREF _Toc101463870 \h </w:instrText>
      </w:r>
      <w:r>
        <w:rPr>
          <w:b w:val="0"/>
          <w:bCs w:val="0"/>
          <w:i w:val="0"/>
          <w:iCs w:val="0"/>
          <w:color w:val="auto"/>
          <w:highlight w:val="none"/>
        </w:rPr>
        <w:fldChar w:fldCharType="separate"/>
      </w:r>
      <w:r>
        <w:rPr>
          <w:b w:val="0"/>
          <w:bCs w:val="0"/>
          <w:i w:val="0"/>
          <w:iCs w:val="0"/>
          <w:color w:val="auto"/>
          <w:highlight w:val="none"/>
        </w:rPr>
        <w:t>38</w:t>
      </w:r>
      <w:r>
        <w:rPr>
          <w:b w:val="0"/>
          <w:bCs w:val="0"/>
          <w:i w:val="0"/>
          <w:iCs w:val="0"/>
          <w:color w:val="auto"/>
          <w:highlight w:val="none"/>
        </w:rPr>
        <w:fldChar w:fldCharType="end"/>
      </w:r>
      <w:r>
        <w:rPr>
          <w:b w:val="0"/>
          <w:bCs w:val="0"/>
          <w:i w:val="0"/>
          <w:i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"_Toc101463871" </w:instrText>
      </w:r>
      <w:r>
        <w:rPr>
          <w:color w:val="auto"/>
          <w:highlight w:val="none"/>
        </w:rPr>
        <w:fldChar w:fldCharType="separate"/>
      </w:r>
      <w:r>
        <w:rPr>
          <w:rStyle w:val="23"/>
          <w:b w:val="0"/>
          <w:bCs w:val="0"/>
          <w:color w:val="auto"/>
          <w:highlight w:val="none"/>
        </w:rPr>
        <w:t>38.甲方违约责任</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_Toc101463871 \h </w:instrText>
      </w:r>
      <w:r>
        <w:rPr>
          <w:b w:val="0"/>
          <w:bCs w:val="0"/>
          <w:color w:val="auto"/>
          <w:highlight w:val="none"/>
        </w:rPr>
        <w:fldChar w:fldCharType="separate"/>
      </w:r>
      <w:r>
        <w:rPr>
          <w:b w:val="0"/>
          <w:bCs w:val="0"/>
          <w:color w:val="auto"/>
          <w:highlight w:val="none"/>
        </w:rPr>
        <w:t>38</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"_Toc101463872" </w:instrText>
      </w:r>
      <w:r>
        <w:rPr>
          <w:color w:val="auto"/>
          <w:highlight w:val="none"/>
        </w:rPr>
        <w:fldChar w:fldCharType="separate"/>
      </w:r>
      <w:r>
        <w:rPr>
          <w:rStyle w:val="23"/>
          <w:b w:val="0"/>
          <w:bCs w:val="0"/>
          <w:color w:val="auto"/>
          <w:highlight w:val="none"/>
        </w:rPr>
        <w:t>39.乙方违约责任</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_Toc101463872 \h </w:instrText>
      </w:r>
      <w:r>
        <w:rPr>
          <w:b w:val="0"/>
          <w:bCs w:val="0"/>
          <w:color w:val="auto"/>
          <w:highlight w:val="none"/>
        </w:rPr>
        <w:fldChar w:fldCharType="separate"/>
      </w:r>
      <w:r>
        <w:rPr>
          <w:b w:val="0"/>
          <w:bCs w:val="0"/>
          <w:color w:val="auto"/>
          <w:highlight w:val="none"/>
        </w:rPr>
        <w:t>38</w:t>
      </w:r>
      <w:r>
        <w:rPr>
          <w:b w:val="0"/>
          <w:bCs w:val="0"/>
          <w:color w:val="auto"/>
          <w:highlight w:val="none"/>
        </w:rPr>
        <w:fldChar w:fldCharType="end"/>
      </w:r>
      <w:r>
        <w:rPr>
          <w:b w:val="0"/>
          <w:bCs w:val="0"/>
          <w:color w:val="auto"/>
          <w:highlight w:val="none"/>
        </w:rPr>
        <w:fldChar w:fldCharType="end"/>
      </w:r>
    </w:p>
    <w:p>
      <w:pPr>
        <w:pStyle w:val="15"/>
        <w:tabs>
          <w:tab w:val="right" w:leader="dot" w:pos="8834"/>
        </w:tabs>
        <w:spacing w:before="156" w:beforeLines="50" w:after="156" w:afterLines="50" w:line="360" w:lineRule="auto"/>
        <w:rPr>
          <w:rFonts w:cstheme="minorBidi"/>
          <w:b w:val="0"/>
          <w:bCs w:val="0"/>
          <w:i w:val="0"/>
          <w:iCs w:val="0"/>
          <w:color w:val="auto"/>
          <w:sz w:val="21"/>
          <w:highlight w:val="none"/>
        </w:rPr>
      </w:pPr>
      <w:r>
        <w:rPr>
          <w:color w:val="auto"/>
          <w:highlight w:val="none"/>
        </w:rPr>
        <w:fldChar w:fldCharType="begin"/>
      </w:r>
      <w:r>
        <w:rPr>
          <w:color w:val="auto"/>
          <w:highlight w:val="none"/>
        </w:rPr>
        <w:instrText xml:space="preserve"> HYPERLINK \l "_Toc101463873" </w:instrText>
      </w:r>
      <w:r>
        <w:rPr>
          <w:color w:val="auto"/>
          <w:highlight w:val="none"/>
        </w:rPr>
        <w:fldChar w:fldCharType="separate"/>
      </w:r>
      <w:r>
        <w:rPr>
          <w:rStyle w:val="23"/>
          <w:b w:val="0"/>
          <w:bCs w:val="0"/>
          <w:i w:val="0"/>
          <w:iCs w:val="0"/>
          <w:color w:val="auto"/>
          <w:highlight w:val="none"/>
        </w:rPr>
        <w:t>十一、不可抗力</w:t>
      </w:r>
      <w:r>
        <w:rPr>
          <w:b w:val="0"/>
          <w:bCs w:val="0"/>
          <w:i w:val="0"/>
          <w:iCs w:val="0"/>
          <w:color w:val="auto"/>
          <w:highlight w:val="none"/>
        </w:rPr>
        <w:tab/>
      </w:r>
      <w:r>
        <w:rPr>
          <w:b w:val="0"/>
          <w:bCs w:val="0"/>
          <w:i w:val="0"/>
          <w:iCs w:val="0"/>
          <w:color w:val="auto"/>
          <w:highlight w:val="none"/>
        </w:rPr>
        <w:fldChar w:fldCharType="begin"/>
      </w:r>
      <w:r>
        <w:rPr>
          <w:b w:val="0"/>
          <w:bCs w:val="0"/>
          <w:i w:val="0"/>
          <w:iCs w:val="0"/>
          <w:color w:val="auto"/>
          <w:highlight w:val="none"/>
        </w:rPr>
        <w:instrText xml:space="preserve"> PAGEREF _Toc101463873 \h </w:instrText>
      </w:r>
      <w:r>
        <w:rPr>
          <w:b w:val="0"/>
          <w:bCs w:val="0"/>
          <w:i w:val="0"/>
          <w:iCs w:val="0"/>
          <w:color w:val="auto"/>
          <w:highlight w:val="none"/>
        </w:rPr>
        <w:fldChar w:fldCharType="separate"/>
      </w:r>
      <w:r>
        <w:rPr>
          <w:b w:val="0"/>
          <w:bCs w:val="0"/>
          <w:i w:val="0"/>
          <w:iCs w:val="0"/>
          <w:color w:val="auto"/>
          <w:highlight w:val="none"/>
        </w:rPr>
        <w:t>40</w:t>
      </w:r>
      <w:r>
        <w:rPr>
          <w:b w:val="0"/>
          <w:bCs w:val="0"/>
          <w:i w:val="0"/>
          <w:iCs w:val="0"/>
          <w:color w:val="auto"/>
          <w:highlight w:val="none"/>
        </w:rPr>
        <w:fldChar w:fldCharType="end"/>
      </w:r>
      <w:r>
        <w:rPr>
          <w:b w:val="0"/>
          <w:bCs w:val="0"/>
          <w:i w:val="0"/>
          <w:i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"_Toc101463874" </w:instrText>
      </w:r>
      <w:r>
        <w:rPr>
          <w:color w:val="auto"/>
          <w:highlight w:val="none"/>
        </w:rPr>
        <w:fldChar w:fldCharType="separate"/>
      </w:r>
      <w:r>
        <w:rPr>
          <w:rStyle w:val="23"/>
          <w:b w:val="0"/>
          <w:bCs w:val="0"/>
          <w:color w:val="auto"/>
          <w:highlight w:val="none"/>
        </w:rPr>
        <w:t>40.不可抗力的定义和情形</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_Toc101463874 \h </w:instrText>
      </w:r>
      <w:r>
        <w:rPr>
          <w:b w:val="0"/>
          <w:bCs w:val="0"/>
          <w:color w:val="auto"/>
          <w:highlight w:val="none"/>
        </w:rPr>
        <w:fldChar w:fldCharType="separate"/>
      </w:r>
      <w:r>
        <w:rPr>
          <w:b w:val="0"/>
          <w:bCs w:val="0"/>
          <w:color w:val="auto"/>
          <w:highlight w:val="none"/>
        </w:rPr>
        <w:t>40</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"_Toc101463875" </w:instrText>
      </w:r>
      <w:r>
        <w:rPr>
          <w:color w:val="auto"/>
          <w:highlight w:val="none"/>
        </w:rPr>
        <w:fldChar w:fldCharType="separate"/>
      </w:r>
      <w:r>
        <w:rPr>
          <w:rStyle w:val="23"/>
          <w:b w:val="0"/>
          <w:bCs w:val="0"/>
          <w:color w:val="auto"/>
          <w:highlight w:val="none"/>
        </w:rPr>
        <w:t>41.不可抗力事件的认定和评估</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_Toc101463875 \h </w:instrText>
      </w:r>
      <w:r>
        <w:rPr>
          <w:b w:val="0"/>
          <w:bCs w:val="0"/>
          <w:color w:val="auto"/>
          <w:highlight w:val="none"/>
        </w:rPr>
        <w:fldChar w:fldCharType="separate"/>
      </w:r>
      <w:r>
        <w:rPr>
          <w:b w:val="0"/>
          <w:bCs w:val="0"/>
          <w:color w:val="auto"/>
          <w:highlight w:val="none"/>
        </w:rPr>
        <w:t>40</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"_Toc101463876" </w:instrText>
      </w:r>
      <w:r>
        <w:rPr>
          <w:color w:val="auto"/>
          <w:highlight w:val="none"/>
        </w:rPr>
        <w:fldChar w:fldCharType="separate"/>
      </w:r>
      <w:r>
        <w:rPr>
          <w:rStyle w:val="23"/>
          <w:b w:val="0"/>
          <w:bCs w:val="0"/>
          <w:color w:val="auto"/>
          <w:highlight w:val="none"/>
        </w:rPr>
        <w:t>42.不可抗力的通知</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_Toc101463876 \h </w:instrText>
      </w:r>
      <w:r>
        <w:rPr>
          <w:b w:val="0"/>
          <w:bCs w:val="0"/>
          <w:color w:val="auto"/>
          <w:highlight w:val="none"/>
        </w:rPr>
        <w:fldChar w:fldCharType="separate"/>
      </w:r>
      <w:r>
        <w:rPr>
          <w:b w:val="0"/>
          <w:bCs w:val="0"/>
          <w:color w:val="auto"/>
          <w:highlight w:val="none"/>
        </w:rPr>
        <w:t>40</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"_Toc101463877" </w:instrText>
      </w:r>
      <w:r>
        <w:rPr>
          <w:color w:val="auto"/>
          <w:highlight w:val="none"/>
        </w:rPr>
        <w:fldChar w:fldCharType="separate"/>
      </w:r>
      <w:r>
        <w:rPr>
          <w:rStyle w:val="23"/>
          <w:b w:val="0"/>
          <w:bCs w:val="0"/>
          <w:color w:val="auto"/>
          <w:highlight w:val="none"/>
        </w:rPr>
        <w:t>43.不可抗力事件的处理</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_Toc101463877 \h </w:instrText>
      </w:r>
      <w:r>
        <w:rPr>
          <w:b w:val="0"/>
          <w:bCs w:val="0"/>
          <w:color w:val="auto"/>
          <w:highlight w:val="none"/>
        </w:rPr>
        <w:fldChar w:fldCharType="separate"/>
      </w:r>
      <w:r>
        <w:rPr>
          <w:b w:val="0"/>
          <w:bCs w:val="0"/>
          <w:color w:val="auto"/>
          <w:highlight w:val="none"/>
        </w:rPr>
        <w:t>41</w:t>
      </w:r>
      <w:r>
        <w:rPr>
          <w:b w:val="0"/>
          <w:bCs w:val="0"/>
          <w:color w:val="auto"/>
          <w:highlight w:val="none"/>
        </w:rPr>
        <w:fldChar w:fldCharType="end"/>
      </w:r>
      <w:r>
        <w:rPr>
          <w:b w:val="0"/>
          <w:bCs w:val="0"/>
          <w:color w:val="auto"/>
          <w:highlight w:val="none"/>
        </w:rPr>
        <w:fldChar w:fldCharType="end"/>
      </w:r>
    </w:p>
    <w:p>
      <w:pPr>
        <w:pStyle w:val="15"/>
        <w:tabs>
          <w:tab w:val="right" w:leader="dot" w:pos="8834"/>
        </w:tabs>
        <w:spacing w:before="156" w:beforeLines="50" w:after="156" w:afterLines="50" w:line="360" w:lineRule="auto"/>
        <w:rPr>
          <w:rFonts w:cstheme="minorBidi"/>
          <w:b w:val="0"/>
          <w:bCs w:val="0"/>
          <w:i w:val="0"/>
          <w:iCs w:val="0"/>
          <w:color w:val="auto"/>
          <w:sz w:val="21"/>
          <w:highlight w:val="none"/>
        </w:rPr>
      </w:pPr>
      <w:r>
        <w:rPr>
          <w:color w:val="auto"/>
          <w:highlight w:val="none"/>
        </w:rPr>
        <w:fldChar w:fldCharType="begin"/>
      </w:r>
      <w:r>
        <w:rPr>
          <w:color w:val="auto"/>
          <w:highlight w:val="none"/>
        </w:rPr>
        <w:instrText xml:space="preserve"> HYPERLINK \l "_Toc101463878" </w:instrText>
      </w:r>
      <w:r>
        <w:rPr>
          <w:color w:val="auto"/>
          <w:highlight w:val="none"/>
        </w:rPr>
        <w:fldChar w:fldCharType="separate"/>
      </w:r>
      <w:r>
        <w:rPr>
          <w:rStyle w:val="23"/>
          <w:b w:val="0"/>
          <w:bCs w:val="0"/>
          <w:i w:val="0"/>
          <w:iCs w:val="0"/>
          <w:color w:val="auto"/>
          <w:highlight w:val="none"/>
        </w:rPr>
        <w:t>十二、协议的解除和终止</w:t>
      </w:r>
      <w:r>
        <w:rPr>
          <w:b w:val="0"/>
          <w:bCs w:val="0"/>
          <w:i w:val="0"/>
          <w:iCs w:val="0"/>
          <w:color w:val="auto"/>
          <w:highlight w:val="none"/>
        </w:rPr>
        <w:tab/>
      </w:r>
      <w:r>
        <w:rPr>
          <w:b w:val="0"/>
          <w:bCs w:val="0"/>
          <w:i w:val="0"/>
          <w:iCs w:val="0"/>
          <w:color w:val="auto"/>
          <w:highlight w:val="none"/>
        </w:rPr>
        <w:fldChar w:fldCharType="begin"/>
      </w:r>
      <w:r>
        <w:rPr>
          <w:b w:val="0"/>
          <w:bCs w:val="0"/>
          <w:i w:val="0"/>
          <w:iCs w:val="0"/>
          <w:color w:val="auto"/>
          <w:highlight w:val="none"/>
        </w:rPr>
        <w:instrText xml:space="preserve"> PAGEREF _Toc101463878 \h </w:instrText>
      </w:r>
      <w:r>
        <w:rPr>
          <w:b w:val="0"/>
          <w:bCs w:val="0"/>
          <w:i w:val="0"/>
          <w:iCs w:val="0"/>
          <w:color w:val="auto"/>
          <w:highlight w:val="none"/>
        </w:rPr>
        <w:fldChar w:fldCharType="separate"/>
      </w:r>
      <w:r>
        <w:rPr>
          <w:b w:val="0"/>
          <w:bCs w:val="0"/>
          <w:i w:val="0"/>
          <w:iCs w:val="0"/>
          <w:color w:val="auto"/>
          <w:highlight w:val="none"/>
        </w:rPr>
        <w:t>42</w:t>
      </w:r>
      <w:r>
        <w:rPr>
          <w:b w:val="0"/>
          <w:bCs w:val="0"/>
          <w:i w:val="0"/>
          <w:iCs w:val="0"/>
          <w:color w:val="auto"/>
          <w:highlight w:val="none"/>
        </w:rPr>
        <w:fldChar w:fldCharType="end"/>
      </w:r>
      <w:r>
        <w:rPr>
          <w:b w:val="0"/>
          <w:bCs w:val="0"/>
          <w:i w:val="0"/>
          <w:i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"_Toc101463879" </w:instrText>
      </w:r>
      <w:r>
        <w:rPr>
          <w:color w:val="auto"/>
          <w:highlight w:val="none"/>
        </w:rPr>
        <w:fldChar w:fldCharType="separate"/>
      </w:r>
      <w:r>
        <w:rPr>
          <w:rStyle w:val="23"/>
          <w:b w:val="0"/>
          <w:bCs w:val="0"/>
          <w:color w:val="auto"/>
          <w:highlight w:val="none"/>
        </w:rPr>
        <w:t>44.协议终止</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_Toc101463879 \h </w:instrText>
      </w:r>
      <w:r>
        <w:rPr>
          <w:b w:val="0"/>
          <w:bCs w:val="0"/>
          <w:color w:val="auto"/>
          <w:highlight w:val="none"/>
        </w:rPr>
        <w:fldChar w:fldCharType="separate"/>
      </w:r>
      <w:r>
        <w:rPr>
          <w:b w:val="0"/>
          <w:bCs w:val="0"/>
          <w:color w:val="auto"/>
          <w:highlight w:val="none"/>
        </w:rPr>
        <w:t>42</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"_Toc101463880" </w:instrText>
      </w:r>
      <w:r>
        <w:rPr>
          <w:color w:val="auto"/>
          <w:highlight w:val="none"/>
        </w:rPr>
        <w:fldChar w:fldCharType="separate"/>
      </w:r>
      <w:r>
        <w:rPr>
          <w:rStyle w:val="23"/>
          <w:b w:val="0"/>
          <w:bCs w:val="0"/>
          <w:color w:val="auto"/>
          <w:highlight w:val="none"/>
        </w:rPr>
        <w:t>45.协议解除</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_Toc101463880 \h </w:instrText>
      </w:r>
      <w:r>
        <w:rPr>
          <w:b w:val="0"/>
          <w:bCs w:val="0"/>
          <w:color w:val="auto"/>
          <w:highlight w:val="none"/>
        </w:rPr>
        <w:fldChar w:fldCharType="separate"/>
      </w:r>
      <w:r>
        <w:rPr>
          <w:b w:val="0"/>
          <w:bCs w:val="0"/>
          <w:color w:val="auto"/>
          <w:highlight w:val="none"/>
        </w:rPr>
        <w:t>42</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"_Toc101463881" </w:instrText>
      </w:r>
      <w:r>
        <w:rPr>
          <w:color w:val="auto"/>
          <w:highlight w:val="none"/>
        </w:rPr>
        <w:fldChar w:fldCharType="separate"/>
      </w:r>
      <w:r>
        <w:rPr>
          <w:rStyle w:val="23"/>
          <w:b w:val="0"/>
          <w:bCs w:val="0"/>
          <w:color w:val="auto"/>
          <w:highlight w:val="none"/>
        </w:rPr>
        <w:t>46.协议解除后的清算</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_Toc101463881 \h </w:instrText>
      </w:r>
      <w:r>
        <w:rPr>
          <w:b w:val="0"/>
          <w:bCs w:val="0"/>
          <w:color w:val="auto"/>
          <w:highlight w:val="none"/>
        </w:rPr>
        <w:fldChar w:fldCharType="separate"/>
      </w:r>
      <w:r>
        <w:rPr>
          <w:b w:val="0"/>
          <w:bCs w:val="0"/>
          <w:color w:val="auto"/>
          <w:highlight w:val="none"/>
        </w:rPr>
        <w:t>44</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"_Toc101463882" </w:instrText>
      </w:r>
      <w:r>
        <w:rPr>
          <w:color w:val="auto"/>
          <w:highlight w:val="none"/>
        </w:rPr>
        <w:fldChar w:fldCharType="separate"/>
      </w:r>
      <w:r>
        <w:rPr>
          <w:rStyle w:val="23"/>
          <w:b w:val="0"/>
          <w:bCs w:val="0"/>
          <w:color w:val="auto"/>
          <w:highlight w:val="none"/>
        </w:rPr>
        <w:t>47.协议解除后的其他约定</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_Toc101463882 \h </w:instrText>
      </w:r>
      <w:r>
        <w:rPr>
          <w:b w:val="0"/>
          <w:bCs w:val="0"/>
          <w:color w:val="auto"/>
          <w:highlight w:val="none"/>
        </w:rPr>
        <w:fldChar w:fldCharType="separate"/>
      </w:r>
      <w:r>
        <w:rPr>
          <w:b w:val="0"/>
          <w:bCs w:val="0"/>
          <w:color w:val="auto"/>
          <w:highlight w:val="none"/>
        </w:rPr>
        <w:t>44</w:t>
      </w:r>
      <w:r>
        <w:rPr>
          <w:b w:val="0"/>
          <w:bCs w:val="0"/>
          <w:color w:val="auto"/>
          <w:highlight w:val="none"/>
        </w:rPr>
        <w:fldChar w:fldCharType="end"/>
      </w:r>
      <w:r>
        <w:rPr>
          <w:b w:val="0"/>
          <w:bCs w:val="0"/>
          <w:color w:val="auto"/>
          <w:highlight w:val="none"/>
        </w:rPr>
        <w:fldChar w:fldCharType="end"/>
      </w:r>
    </w:p>
    <w:p>
      <w:pPr>
        <w:pStyle w:val="15"/>
        <w:tabs>
          <w:tab w:val="right" w:leader="dot" w:pos="8834"/>
        </w:tabs>
        <w:spacing w:before="156" w:beforeLines="50" w:after="156" w:afterLines="50" w:line="360" w:lineRule="auto"/>
        <w:rPr>
          <w:rFonts w:cstheme="minorBidi"/>
          <w:b w:val="0"/>
          <w:bCs w:val="0"/>
          <w:i w:val="0"/>
          <w:iCs w:val="0"/>
          <w:color w:val="auto"/>
          <w:sz w:val="21"/>
          <w:highlight w:val="none"/>
        </w:rPr>
      </w:pPr>
      <w:r>
        <w:rPr>
          <w:color w:val="auto"/>
          <w:highlight w:val="none"/>
        </w:rPr>
        <w:fldChar w:fldCharType="begin"/>
      </w:r>
      <w:r>
        <w:rPr>
          <w:color w:val="auto"/>
          <w:highlight w:val="none"/>
        </w:rPr>
        <w:instrText xml:space="preserve"> HYPERLINK \l "_Toc101463883" </w:instrText>
      </w:r>
      <w:r>
        <w:rPr>
          <w:color w:val="auto"/>
          <w:highlight w:val="none"/>
        </w:rPr>
        <w:fldChar w:fldCharType="separate"/>
      </w:r>
      <w:r>
        <w:rPr>
          <w:rStyle w:val="23"/>
          <w:b w:val="0"/>
          <w:bCs w:val="0"/>
          <w:i w:val="0"/>
          <w:iCs w:val="0"/>
          <w:color w:val="auto"/>
          <w:highlight w:val="none"/>
        </w:rPr>
        <w:t>十三、争议解决</w:t>
      </w:r>
      <w:r>
        <w:rPr>
          <w:b w:val="0"/>
          <w:bCs w:val="0"/>
          <w:i w:val="0"/>
          <w:iCs w:val="0"/>
          <w:color w:val="auto"/>
          <w:highlight w:val="none"/>
        </w:rPr>
        <w:tab/>
      </w:r>
      <w:r>
        <w:rPr>
          <w:b w:val="0"/>
          <w:bCs w:val="0"/>
          <w:i w:val="0"/>
          <w:iCs w:val="0"/>
          <w:color w:val="auto"/>
          <w:highlight w:val="none"/>
        </w:rPr>
        <w:fldChar w:fldCharType="begin"/>
      </w:r>
      <w:r>
        <w:rPr>
          <w:b w:val="0"/>
          <w:bCs w:val="0"/>
          <w:i w:val="0"/>
          <w:iCs w:val="0"/>
          <w:color w:val="auto"/>
          <w:highlight w:val="none"/>
        </w:rPr>
        <w:instrText xml:space="preserve"> PAGEREF _Toc101463883 \h </w:instrText>
      </w:r>
      <w:r>
        <w:rPr>
          <w:b w:val="0"/>
          <w:bCs w:val="0"/>
          <w:i w:val="0"/>
          <w:iCs w:val="0"/>
          <w:color w:val="auto"/>
          <w:highlight w:val="none"/>
        </w:rPr>
        <w:fldChar w:fldCharType="separate"/>
      </w:r>
      <w:r>
        <w:rPr>
          <w:b w:val="0"/>
          <w:bCs w:val="0"/>
          <w:i w:val="0"/>
          <w:iCs w:val="0"/>
          <w:color w:val="auto"/>
          <w:highlight w:val="none"/>
        </w:rPr>
        <w:t>46</w:t>
      </w:r>
      <w:r>
        <w:rPr>
          <w:b w:val="0"/>
          <w:bCs w:val="0"/>
          <w:i w:val="0"/>
          <w:iCs w:val="0"/>
          <w:color w:val="auto"/>
          <w:highlight w:val="none"/>
        </w:rPr>
        <w:fldChar w:fldCharType="end"/>
      </w:r>
      <w:r>
        <w:rPr>
          <w:b w:val="0"/>
          <w:bCs w:val="0"/>
          <w:i w:val="0"/>
          <w:i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"_Toc101463884" </w:instrText>
      </w:r>
      <w:r>
        <w:rPr>
          <w:color w:val="auto"/>
          <w:highlight w:val="none"/>
        </w:rPr>
        <w:fldChar w:fldCharType="separate"/>
      </w:r>
      <w:r>
        <w:rPr>
          <w:rStyle w:val="23"/>
          <w:b w:val="0"/>
          <w:bCs w:val="0"/>
          <w:color w:val="auto"/>
          <w:highlight w:val="none"/>
        </w:rPr>
        <w:t>48.民事争议的解决方式</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_Toc101463884 \h </w:instrText>
      </w:r>
      <w:r>
        <w:rPr>
          <w:b w:val="0"/>
          <w:bCs w:val="0"/>
          <w:color w:val="auto"/>
          <w:highlight w:val="none"/>
        </w:rPr>
        <w:fldChar w:fldCharType="separate"/>
      </w:r>
      <w:r>
        <w:rPr>
          <w:b w:val="0"/>
          <w:bCs w:val="0"/>
          <w:color w:val="auto"/>
          <w:highlight w:val="none"/>
        </w:rPr>
        <w:t>46</w:t>
      </w:r>
      <w:r>
        <w:rPr>
          <w:b w:val="0"/>
          <w:bCs w:val="0"/>
          <w:color w:val="auto"/>
          <w:highlight w:val="none"/>
        </w:rPr>
        <w:fldChar w:fldCharType="end"/>
      </w:r>
      <w:r>
        <w:rPr>
          <w:b w:val="0"/>
          <w:bCs w:val="0"/>
          <w:color w:val="auto"/>
          <w:highlight w:val="none"/>
        </w:rPr>
        <w:fldChar w:fldCharType="end"/>
      </w:r>
    </w:p>
    <w:p>
      <w:pPr>
        <w:pStyle w:val="15"/>
        <w:tabs>
          <w:tab w:val="right" w:leader="dot" w:pos="8834"/>
        </w:tabs>
        <w:spacing w:before="156" w:beforeLines="50" w:after="156" w:afterLines="50" w:line="360" w:lineRule="auto"/>
        <w:rPr>
          <w:rFonts w:cstheme="minorBidi"/>
          <w:b w:val="0"/>
          <w:bCs w:val="0"/>
          <w:i w:val="0"/>
          <w:iCs w:val="0"/>
          <w:color w:val="auto"/>
          <w:sz w:val="21"/>
          <w:highlight w:val="none"/>
        </w:rPr>
      </w:pPr>
      <w:r>
        <w:rPr>
          <w:color w:val="auto"/>
          <w:highlight w:val="none"/>
        </w:rPr>
        <w:fldChar w:fldCharType="begin"/>
      </w:r>
      <w:r>
        <w:rPr>
          <w:color w:val="auto"/>
          <w:highlight w:val="none"/>
        </w:rPr>
        <w:instrText xml:space="preserve"> HYPERLINK \l "_Toc101463885" </w:instrText>
      </w:r>
      <w:r>
        <w:rPr>
          <w:color w:val="auto"/>
          <w:highlight w:val="none"/>
        </w:rPr>
        <w:fldChar w:fldCharType="separate"/>
      </w:r>
      <w:r>
        <w:rPr>
          <w:rStyle w:val="23"/>
          <w:b w:val="0"/>
          <w:bCs w:val="0"/>
          <w:i w:val="0"/>
          <w:iCs w:val="0"/>
          <w:color w:val="auto"/>
          <w:highlight w:val="none"/>
        </w:rPr>
        <w:t>十四、其他约定</w:t>
      </w:r>
      <w:r>
        <w:rPr>
          <w:b w:val="0"/>
          <w:bCs w:val="0"/>
          <w:i w:val="0"/>
          <w:iCs w:val="0"/>
          <w:color w:val="auto"/>
          <w:highlight w:val="none"/>
        </w:rPr>
        <w:tab/>
      </w:r>
      <w:r>
        <w:rPr>
          <w:b w:val="0"/>
          <w:bCs w:val="0"/>
          <w:i w:val="0"/>
          <w:iCs w:val="0"/>
          <w:color w:val="auto"/>
          <w:highlight w:val="none"/>
        </w:rPr>
        <w:fldChar w:fldCharType="begin"/>
      </w:r>
      <w:r>
        <w:rPr>
          <w:b w:val="0"/>
          <w:bCs w:val="0"/>
          <w:i w:val="0"/>
          <w:iCs w:val="0"/>
          <w:color w:val="auto"/>
          <w:highlight w:val="none"/>
        </w:rPr>
        <w:instrText xml:space="preserve"> PAGEREF _Toc101463885 \h </w:instrText>
      </w:r>
      <w:r>
        <w:rPr>
          <w:b w:val="0"/>
          <w:bCs w:val="0"/>
          <w:i w:val="0"/>
          <w:iCs w:val="0"/>
          <w:color w:val="auto"/>
          <w:highlight w:val="none"/>
        </w:rPr>
        <w:fldChar w:fldCharType="separate"/>
      </w:r>
      <w:r>
        <w:rPr>
          <w:b w:val="0"/>
          <w:bCs w:val="0"/>
          <w:i w:val="0"/>
          <w:iCs w:val="0"/>
          <w:color w:val="auto"/>
          <w:highlight w:val="none"/>
        </w:rPr>
        <w:t>47</w:t>
      </w:r>
      <w:r>
        <w:rPr>
          <w:b w:val="0"/>
          <w:bCs w:val="0"/>
          <w:i w:val="0"/>
          <w:iCs w:val="0"/>
          <w:color w:val="auto"/>
          <w:highlight w:val="none"/>
        </w:rPr>
        <w:fldChar w:fldCharType="end"/>
      </w:r>
      <w:r>
        <w:rPr>
          <w:b w:val="0"/>
          <w:bCs w:val="0"/>
          <w:i w:val="0"/>
          <w:i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"_Toc101463886" </w:instrText>
      </w:r>
      <w:r>
        <w:rPr>
          <w:color w:val="auto"/>
          <w:highlight w:val="none"/>
        </w:rPr>
        <w:fldChar w:fldCharType="separate"/>
      </w:r>
      <w:r>
        <w:rPr>
          <w:rStyle w:val="23"/>
          <w:b w:val="0"/>
          <w:bCs w:val="0"/>
          <w:color w:val="auto"/>
          <w:highlight w:val="none"/>
        </w:rPr>
        <w:t>49.法律适用及法律变更</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_Toc101463886 \h </w:instrText>
      </w:r>
      <w:r>
        <w:rPr>
          <w:b w:val="0"/>
          <w:bCs w:val="0"/>
          <w:color w:val="auto"/>
          <w:highlight w:val="none"/>
        </w:rPr>
        <w:fldChar w:fldCharType="separate"/>
      </w:r>
      <w:r>
        <w:rPr>
          <w:b w:val="0"/>
          <w:bCs w:val="0"/>
          <w:color w:val="auto"/>
          <w:highlight w:val="none"/>
        </w:rPr>
        <w:t>47</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"_Toc101463887" </w:instrText>
      </w:r>
      <w:r>
        <w:rPr>
          <w:color w:val="auto"/>
          <w:highlight w:val="none"/>
        </w:rPr>
        <w:fldChar w:fldCharType="separate"/>
      </w:r>
      <w:r>
        <w:rPr>
          <w:rStyle w:val="23"/>
          <w:b w:val="0"/>
          <w:bCs w:val="0"/>
          <w:color w:val="auto"/>
          <w:highlight w:val="none"/>
        </w:rPr>
        <w:t>50.通知与送达</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_Toc101463887 \h </w:instrText>
      </w:r>
      <w:r>
        <w:rPr>
          <w:b w:val="0"/>
          <w:bCs w:val="0"/>
          <w:color w:val="auto"/>
          <w:highlight w:val="none"/>
        </w:rPr>
        <w:fldChar w:fldCharType="separate"/>
      </w:r>
      <w:r>
        <w:rPr>
          <w:b w:val="0"/>
          <w:bCs w:val="0"/>
          <w:color w:val="auto"/>
          <w:highlight w:val="none"/>
        </w:rPr>
        <w:t>47</w:t>
      </w:r>
      <w:r>
        <w:rPr>
          <w:b w:val="0"/>
          <w:bCs w:val="0"/>
          <w:color w:val="auto"/>
          <w:highlight w:val="none"/>
        </w:rPr>
        <w:fldChar w:fldCharType="end"/>
      </w:r>
      <w:r>
        <w:rPr>
          <w:b w:val="0"/>
          <w:bCs w:val="0"/>
          <w:color w:val="auto"/>
          <w:highlight w:val="none"/>
        </w:rPr>
        <w:fldChar w:fldCharType="end"/>
      </w:r>
    </w:p>
    <w:p>
      <w:pPr>
        <w:pStyle w:val="18"/>
        <w:tabs>
          <w:tab w:val="right" w:leader="dot" w:pos="8834"/>
        </w:tabs>
        <w:spacing w:before="156" w:beforeLines="50" w:after="156" w:afterLines="50" w:line="360" w:lineRule="auto"/>
        <w:rPr>
          <w:rFonts w:cstheme="minorBidi"/>
          <w:b w:val="0"/>
          <w:bCs w:val="0"/>
          <w:color w:val="auto"/>
          <w:sz w:val="21"/>
          <w:szCs w:val="24"/>
          <w:highlight w:val="none"/>
        </w:rPr>
      </w:pPr>
      <w:r>
        <w:rPr>
          <w:color w:val="auto"/>
          <w:highlight w:val="none"/>
        </w:rPr>
        <w:fldChar w:fldCharType="begin"/>
      </w:r>
      <w:r>
        <w:rPr>
          <w:color w:val="auto"/>
          <w:highlight w:val="none"/>
        </w:rPr>
        <w:instrText xml:space="preserve"> HYPERLINK \l "_Toc101463888" </w:instrText>
      </w:r>
      <w:r>
        <w:rPr>
          <w:color w:val="auto"/>
          <w:highlight w:val="none"/>
        </w:rPr>
        <w:fldChar w:fldCharType="separate"/>
      </w:r>
      <w:r>
        <w:rPr>
          <w:rStyle w:val="23"/>
          <w:b w:val="0"/>
          <w:bCs w:val="0"/>
          <w:color w:val="auto"/>
          <w:highlight w:val="none"/>
        </w:rPr>
        <w:t>51.合同生效及份数</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_Toc101463888 \h </w:instrText>
      </w:r>
      <w:r>
        <w:rPr>
          <w:b w:val="0"/>
          <w:bCs w:val="0"/>
          <w:color w:val="auto"/>
          <w:highlight w:val="none"/>
        </w:rPr>
        <w:fldChar w:fldCharType="separate"/>
      </w:r>
      <w:r>
        <w:rPr>
          <w:b w:val="0"/>
          <w:bCs w:val="0"/>
          <w:color w:val="auto"/>
          <w:highlight w:val="none"/>
        </w:rPr>
        <w:t>48</w:t>
      </w:r>
      <w:r>
        <w:rPr>
          <w:b w:val="0"/>
          <w:bCs w:val="0"/>
          <w:color w:val="auto"/>
          <w:highlight w:val="none"/>
        </w:rPr>
        <w:fldChar w:fldCharType="end"/>
      </w:r>
      <w:r>
        <w:rPr>
          <w:b w:val="0"/>
          <w:bCs w:val="0"/>
          <w:color w:val="auto"/>
          <w:highlight w:val="none"/>
        </w:rPr>
        <w:fldChar w:fldCharType="end"/>
      </w:r>
    </w:p>
    <w:p>
      <w:pPr>
        <w:pStyle w:val="15"/>
        <w:tabs>
          <w:tab w:val="right" w:leader="dot" w:pos="8834"/>
        </w:tabs>
        <w:spacing w:before="156" w:beforeLines="50" w:after="156" w:afterLines="50" w:line="360" w:lineRule="auto"/>
        <w:rPr>
          <w:rFonts w:cstheme="minorBidi"/>
          <w:b w:val="0"/>
          <w:bCs w:val="0"/>
          <w:i w:val="0"/>
          <w:iCs w:val="0"/>
          <w:color w:val="auto"/>
          <w:sz w:val="21"/>
          <w:highlight w:val="none"/>
        </w:rPr>
      </w:pPr>
    </w:p>
    <w:p>
      <w:pPr>
        <w:widowControl/>
        <w:spacing w:before="156" w:beforeLines="50" w:after="156" w:afterLines="50" w:line="360" w:lineRule="auto"/>
        <w:jc w:val="left"/>
        <w:rPr>
          <w:rFonts w:ascii="小标宋" w:eastAsia="小标宋"/>
          <w:color w:val="auto"/>
          <w:sz w:val="52"/>
          <w:szCs w:val="52"/>
          <w:highlight w:val="none"/>
        </w:rPr>
      </w:pPr>
      <w:r>
        <w:rPr>
          <w:rFonts w:ascii="小标宋" w:eastAsia="小标宋"/>
          <w:color w:val="auto"/>
          <w:sz w:val="52"/>
          <w:szCs w:val="52"/>
          <w:highlight w:val="none"/>
        </w:rPr>
        <w:fldChar w:fldCharType="end"/>
      </w:r>
    </w:p>
    <w:p>
      <w:pPr>
        <w:pStyle w:val="2"/>
        <w:spacing w:before="156" w:beforeLines="50" w:after="156" w:afterLines="50" w:line="360" w:lineRule="auto"/>
        <w:rPr>
          <w:color w:val="auto"/>
          <w:highlight w:val="none"/>
        </w:rPr>
      </w:pPr>
      <w:r>
        <w:rPr>
          <w:color w:val="auto"/>
          <w:highlight w:val="none"/>
        </w:rPr>
        <w:br w:type="page"/>
      </w:r>
    </w:p>
    <w:p>
      <w:pPr>
        <w:widowControl/>
        <w:spacing w:before="156" w:beforeLines="50" w:after="156" w:afterLines="50" w:line="360" w:lineRule="auto"/>
        <w:jc w:val="left"/>
        <w:rPr>
          <w:rFonts w:ascii="小标宋" w:eastAsia="小标宋"/>
          <w:color w:val="auto"/>
          <w:sz w:val="52"/>
          <w:szCs w:val="52"/>
          <w:highlight w:val="none"/>
        </w:rPr>
      </w:pPr>
    </w:p>
    <w:p>
      <w:pPr>
        <w:widowControl/>
        <w:spacing w:before="156" w:beforeLines="50" w:after="156" w:afterLines="50" w:line="360" w:lineRule="auto"/>
        <w:jc w:val="center"/>
        <w:rPr>
          <w:rFonts w:ascii="小标宋" w:eastAsia="小标宋"/>
          <w:color w:val="auto"/>
          <w:sz w:val="48"/>
          <w:szCs w:val="48"/>
          <w:highlight w:val="none"/>
        </w:rPr>
      </w:pPr>
      <w:r>
        <w:rPr>
          <w:rFonts w:hint="eastAsia" w:ascii="小标宋" w:eastAsia="小标宋"/>
          <w:color w:val="auto"/>
          <w:sz w:val="48"/>
          <w:szCs w:val="48"/>
          <w:highlight w:val="none"/>
        </w:rPr>
        <w:t>西安渼陂湖水系生态文化旅游区</w:t>
      </w:r>
    </w:p>
    <w:p>
      <w:pPr>
        <w:widowControl/>
        <w:spacing w:before="156" w:beforeLines="50" w:after="156" w:afterLines="50" w:line="360" w:lineRule="auto"/>
        <w:jc w:val="center"/>
        <w:rPr>
          <w:rFonts w:ascii="小标宋" w:eastAsia="小标宋"/>
          <w:color w:val="auto"/>
          <w:sz w:val="52"/>
          <w:szCs w:val="52"/>
          <w:highlight w:val="none"/>
        </w:rPr>
      </w:pPr>
      <w:r>
        <w:rPr>
          <w:rFonts w:hint="eastAsia" w:ascii="小标宋" w:eastAsia="小标宋"/>
          <w:color w:val="auto"/>
          <w:sz w:val="48"/>
          <w:szCs w:val="48"/>
          <w:highlight w:val="none"/>
        </w:rPr>
        <w:t>综合开发项目合作协议书</w:t>
      </w:r>
    </w:p>
    <w:p>
      <w:pPr>
        <w:spacing w:before="156" w:beforeLines="50" w:after="156" w:afterLines="50" w:line="360" w:lineRule="auto"/>
        <w:jc w:val="center"/>
        <w:rPr>
          <w:rFonts w:ascii="小标宋" w:eastAsia="小标宋"/>
          <w:color w:val="auto"/>
          <w:sz w:val="52"/>
          <w:szCs w:val="52"/>
          <w:highlight w:val="none"/>
        </w:rPr>
      </w:pPr>
    </w:p>
    <w:p>
      <w:pPr>
        <w:spacing w:before="156" w:beforeLines="50" w:after="156" w:afterLines="50"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甲方：西安曲江渼陂湖投资建设有限公司</w:t>
      </w:r>
    </w:p>
    <w:p>
      <w:pPr>
        <w:spacing w:before="156" w:beforeLines="50" w:after="156" w:afterLines="50"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地址：西安曲江新区杜陵邑南路6号2号楼</w:t>
      </w:r>
    </w:p>
    <w:p>
      <w:pPr>
        <w:spacing w:before="156" w:beforeLines="50" w:after="156" w:afterLines="50"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乙方</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联合体牵头人</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：中国铁建投资集团有限公司</w:t>
      </w:r>
    </w:p>
    <w:p>
      <w:pPr>
        <w:spacing w:before="156" w:beforeLines="50" w:after="156" w:afterLines="50"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地址：珠海市横琴新区荣珠道169号4501办公</w:t>
      </w:r>
    </w:p>
    <w:p>
      <w:pPr>
        <w:spacing w:before="156" w:beforeLines="50" w:after="156" w:afterLines="50"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乙方</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联合体成员</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：中铁十二局集团有限公司</w:t>
      </w:r>
    </w:p>
    <w:p>
      <w:pPr>
        <w:spacing w:before="156" w:beforeLines="50" w:after="156" w:afterLines="50"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地址：太原市万柏林区西矿街130号</w:t>
      </w:r>
    </w:p>
    <w:p>
      <w:pPr>
        <w:spacing w:before="156" w:beforeLines="50" w:after="156" w:afterLines="50"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乙方</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联合体成员</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中铁</w:t>
      </w:r>
      <w:r>
        <w:rPr>
          <w:rFonts w:hint="eastAsia" w:ascii="宋体" w:hAnsi="宋体" w:eastAsia="宋体"/>
          <w:color w:val="auto"/>
          <w:sz w:val="24"/>
          <w:szCs w:val="24"/>
          <w:highlight w:val="none"/>
        </w:rPr>
        <w:t>二十局集团有限公司</w:t>
      </w:r>
    </w:p>
    <w:p>
      <w:pPr>
        <w:spacing w:before="156" w:beforeLines="50" w:after="156" w:afterLines="50"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地址：西安市未央区太华北路89号</w:t>
      </w:r>
    </w:p>
    <w:p>
      <w:pPr>
        <w:spacing w:before="156" w:beforeLines="50" w:after="156" w:afterLines="50"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乙方</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联合体成员</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：中铁二十四局集团有限公司</w:t>
      </w:r>
    </w:p>
    <w:p>
      <w:pPr>
        <w:spacing w:before="156" w:beforeLines="50" w:after="156" w:afterLines="50"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地址：上海市会文路2号</w:t>
      </w:r>
    </w:p>
    <w:p>
      <w:pPr>
        <w:spacing w:before="156" w:beforeLines="50" w:after="156" w:afterLines="50"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乙方</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联合体成员</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：中国铁建电气化局集团有限公司</w:t>
      </w:r>
    </w:p>
    <w:p>
      <w:pPr>
        <w:spacing w:before="156" w:beforeLines="50" w:after="156" w:afterLines="50"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地址：北京市石景山区八大处高科技园区西井路3号崇新大厦1号楼108A8房间</w:t>
      </w:r>
    </w:p>
    <w:p>
      <w:pPr>
        <w:spacing w:before="156" w:beforeLines="50" w:after="156" w:afterLines="50"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乙方</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联合体成员</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：中铁第一勘察设计院集团有限公司</w:t>
      </w:r>
    </w:p>
    <w:p>
      <w:pPr>
        <w:spacing w:before="156" w:beforeLines="50" w:after="156" w:afterLines="50"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地址：西安市雁塔区西影路2号 </w:t>
      </w:r>
    </w:p>
    <w:p>
      <w:pPr>
        <w:spacing w:before="156" w:beforeLines="50" w:after="156" w:afterLines="50"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乙方</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联合体成员</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：中铁建苏州设计研究院有限公司</w:t>
      </w:r>
    </w:p>
    <w:p>
      <w:pPr>
        <w:spacing w:before="156" w:beforeLines="50" w:after="156" w:afterLines="50"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地址：</w:t>
      </w:r>
      <w:r>
        <w:rPr>
          <w:rFonts w:hint="eastAsia" w:ascii="宋体" w:hAnsi="宋体" w:eastAsia="宋体"/>
          <w:color w:val="auto"/>
          <w:sz w:val="24"/>
          <w:szCs w:val="24"/>
          <w:highlight w:val="none"/>
          <w:lang w:val="en-US"/>
        </w:rPr>
        <w:t>苏州市姑苏区福运路198号常润大厦7F-701</w:t>
      </w:r>
    </w:p>
    <w:p>
      <w:pPr>
        <w:spacing w:before="156" w:beforeLines="50" w:after="156" w:afterLines="50"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乙方</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联合体成员</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中铁建投资基金管理有限公司</w:t>
      </w:r>
    </w:p>
    <w:p>
      <w:pPr>
        <w:spacing w:before="156" w:beforeLines="50" w:after="156" w:afterLines="50"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地址：北京市海淀区复兴路40号院1号楼8层西侧</w:t>
      </w:r>
    </w:p>
    <w:p>
      <w:pPr>
        <w:spacing w:before="156" w:beforeLines="50" w:after="156" w:afterLines="50" w:line="360" w:lineRule="auto"/>
        <w:ind w:firstLine="480" w:firstLineChars="200"/>
        <w:jc w:val="left"/>
        <w:rPr>
          <w:rFonts w:ascii="宋体" w:hAnsi="宋体" w:eastAsia="宋体"/>
          <w:color w:val="auto"/>
          <w:sz w:val="24"/>
          <w:szCs w:val="24"/>
          <w:highlight w:val="none"/>
        </w:rPr>
      </w:pP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根据法律规定，遵循诚实守信、长期合作、公平公正、平等协商的原则，协议各方就项目合作事宜协商一致，订立本协议。</w:t>
      </w:r>
    </w:p>
    <w:p>
      <w:pPr>
        <w:pStyle w:val="3"/>
        <w:spacing w:before="156" w:beforeLines="50" w:after="156" w:afterLines="50" w:line="360" w:lineRule="auto"/>
        <w:jc w:val="center"/>
        <w:rPr>
          <w:b/>
          <w:color w:val="auto"/>
          <w:sz w:val="36"/>
          <w:szCs w:val="52"/>
          <w:highlight w:val="none"/>
        </w:rPr>
      </w:pPr>
      <w:bookmarkStart w:id="0" w:name="_Toc101463823"/>
      <w:bookmarkStart w:id="1" w:name="_Toc55980999"/>
      <w:r>
        <w:rPr>
          <w:rFonts w:hint="eastAsia"/>
          <w:b/>
          <w:color w:val="auto"/>
          <w:sz w:val="36"/>
          <w:szCs w:val="52"/>
          <w:highlight w:val="none"/>
        </w:rPr>
        <w:t>一、总则</w:t>
      </w:r>
      <w:bookmarkEnd w:id="0"/>
      <w:bookmarkEnd w:id="1"/>
    </w:p>
    <w:p>
      <w:pPr>
        <w:pStyle w:val="2"/>
        <w:spacing w:before="156" w:beforeLines="50" w:after="156" w:afterLines="50" w:line="360" w:lineRule="auto"/>
        <w:rPr>
          <w:color w:val="auto"/>
          <w:sz w:val="32"/>
          <w:szCs w:val="40"/>
          <w:highlight w:val="none"/>
        </w:rPr>
      </w:pPr>
      <w:bookmarkStart w:id="2" w:name="_Toc101463824"/>
      <w:bookmarkStart w:id="3" w:name="_Toc55981000"/>
      <w:r>
        <w:rPr>
          <w:rFonts w:hint="eastAsia"/>
          <w:color w:val="auto"/>
          <w:sz w:val="32"/>
          <w:szCs w:val="40"/>
          <w:highlight w:val="none"/>
        </w:rPr>
        <w:t>1.定义和解释</w:t>
      </w:r>
      <w:bookmarkEnd w:id="2"/>
      <w:bookmarkEnd w:id="3"/>
    </w:p>
    <w:p>
      <w:pPr>
        <w:pStyle w:val="38"/>
        <w:spacing w:before="156" w:beforeLines="50" w:after="156" w:afterLines="50" w:line="360" w:lineRule="auto"/>
        <w:rPr>
          <w:color w:val="auto"/>
          <w:sz w:val="32"/>
          <w:szCs w:val="40"/>
          <w:highlight w:val="none"/>
        </w:rPr>
      </w:pPr>
      <w:bookmarkStart w:id="4" w:name="_Toc55981001"/>
      <w:r>
        <w:rPr>
          <w:rFonts w:hint="eastAsia"/>
          <w:color w:val="auto"/>
          <w:sz w:val="32"/>
          <w:szCs w:val="40"/>
          <w:highlight w:val="none"/>
        </w:rPr>
        <w:t>1.1定义</w:t>
      </w:r>
      <w:bookmarkEnd w:id="4"/>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ascii="Times New Roman" w:hAnsi="Times New Roman" w:eastAsia="宋体" w:cs="Times New Roman"/>
          <w:color w:val="auto"/>
          <w:sz w:val="24"/>
          <w:szCs w:val="24"/>
          <w:highlight w:val="none"/>
        </w:rPr>
        <w:t xml:space="preserve">1.1.1 </w:t>
      </w:r>
      <w:r>
        <w:rPr>
          <w:rFonts w:hint="eastAsia" w:ascii="宋体" w:hAnsi="宋体" w:eastAsia="宋体"/>
          <w:color w:val="auto"/>
          <w:sz w:val="24"/>
          <w:szCs w:val="24"/>
          <w:highlight w:val="none"/>
        </w:rPr>
        <w:t>“本协议”是指西安渼陂湖水系生态文化旅游区综合开发项目合作协议书。</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 xml:space="preserve">1.1.2 </w:t>
      </w:r>
      <w:r>
        <w:rPr>
          <w:rFonts w:hint="eastAsia" w:ascii="宋体" w:hAnsi="宋体" w:eastAsia="宋体"/>
          <w:color w:val="auto"/>
          <w:sz w:val="24"/>
          <w:szCs w:val="24"/>
          <w:highlight w:val="none"/>
        </w:rPr>
        <w:t>“投标函”是指构成本协议的，由乙方填写并签署的用于投标的名为“投标函”的文件。</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 xml:space="preserve">1.1.3 </w:t>
      </w:r>
      <w:r>
        <w:rPr>
          <w:rFonts w:hint="eastAsia" w:ascii="宋体" w:hAnsi="宋体" w:eastAsia="宋体"/>
          <w:color w:val="auto"/>
          <w:sz w:val="24"/>
          <w:szCs w:val="24"/>
          <w:highlight w:val="none"/>
        </w:rPr>
        <w:t>“投标文件”是指乙方按照招标文件要求编制，并对招标文件予以实质性响应的文件。</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 xml:space="preserve">1.1.4 </w:t>
      </w:r>
      <w:r>
        <w:rPr>
          <w:rFonts w:hint="eastAsia" w:ascii="宋体" w:hAnsi="宋体" w:eastAsia="宋体"/>
          <w:color w:val="auto"/>
          <w:sz w:val="24"/>
          <w:szCs w:val="24"/>
          <w:highlight w:val="none"/>
        </w:rPr>
        <w:t>“本项目”是指“项目概况”中所指项目。</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 xml:space="preserve">1.1.5 </w:t>
      </w:r>
      <w:r>
        <w:rPr>
          <w:rFonts w:hint="eastAsia" w:ascii="宋体" w:hAnsi="宋体" w:eastAsia="宋体"/>
          <w:color w:val="auto"/>
          <w:sz w:val="24"/>
          <w:szCs w:val="24"/>
          <w:highlight w:val="none"/>
        </w:rPr>
        <w:t>“单项工程”是指本项目开发范围内甲乙双方按有关规定协商确定的各个分片或分段具有独立立项</w:t>
      </w:r>
      <w:r>
        <w:rPr>
          <w:rFonts w:ascii="宋体" w:hAnsi="宋体" w:eastAsia="宋体"/>
          <w:color w:val="auto"/>
          <w:sz w:val="24"/>
          <w:szCs w:val="24"/>
          <w:highlight w:val="none"/>
        </w:rPr>
        <w:t>、</w:t>
      </w:r>
      <w:r>
        <w:rPr>
          <w:rFonts w:hint="eastAsia" w:ascii="宋体" w:hAnsi="宋体" w:eastAsia="宋体"/>
          <w:color w:val="auto"/>
          <w:sz w:val="24"/>
          <w:szCs w:val="24"/>
          <w:highlight w:val="none"/>
        </w:rPr>
        <w:t>设计文件，竣工后可以独立发挥生产能力或效益的工程。</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 xml:space="preserve">1.1.6 </w:t>
      </w:r>
      <w:r>
        <w:rPr>
          <w:rFonts w:hint="eastAsia" w:ascii="宋体" w:hAnsi="宋体" w:eastAsia="宋体"/>
          <w:color w:val="auto"/>
          <w:sz w:val="24"/>
          <w:szCs w:val="24"/>
          <w:highlight w:val="none"/>
        </w:rPr>
        <w:t>“单位工程”是指本项目开发范围内甲乙双方按有关规定协商确定的具有单独设计和独立施工条件，但不能独立发挥生产能力或效益的工程，它是单项工程的组成部分。</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1.1.7 “</w:t>
      </w:r>
      <w:r>
        <w:rPr>
          <w:rFonts w:hint="eastAsia" w:ascii="宋体" w:hAnsi="宋体" w:eastAsia="宋体"/>
          <w:color w:val="auto"/>
          <w:sz w:val="24"/>
          <w:szCs w:val="24"/>
          <w:highlight w:val="none"/>
        </w:rPr>
        <w:t>甲方”是西安曲江渼陂湖投资建设有限公司。</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 xml:space="preserve">1.1.8 </w:t>
      </w:r>
      <w:r>
        <w:rPr>
          <w:rFonts w:hint="eastAsia" w:ascii="宋体" w:hAnsi="宋体" w:eastAsia="宋体"/>
          <w:color w:val="auto"/>
          <w:sz w:val="24"/>
          <w:szCs w:val="24"/>
          <w:highlight w:val="none"/>
        </w:rPr>
        <w:t>“乙方”是指甲方依法通过公开招标方式确定的负责本项目投融资、建设、管理、移交等合作内容的主体。乙方为多方成员组成的联合体的，应指联合体或联合体成员。</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 xml:space="preserve">1.1.9 </w:t>
      </w:r>
      <w:r>
        <w:rPr>
          <w:rFonts w:hint="eastAsia" w:ascii="宋体" w:hAnsi="宋体" w:eastAsia="宋体"/>
          <w:color w:val="auto"/>
          <w:sz w:val="24"/>
          <w:szCs w:val="24"/>
          <w:highlight w:val="none"/>
        </w:rPr>
        <w:t>“项目公司”是指由乙方与甲方共同出资设立的，根据甲方的安排或委托负责完成本项目规划设计、投融资、建设、管理、移交、运营等合作内容的独立法人。</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1.1.10</w:t>
      </w:r>
      <w:r>
        <w:rPr>
          <w:rFonts w:hint="eastAsia" w:ascii="宋体" w:hAnsi="宋体" w:eastAsia="宋体"/>
          <w:color w:val="auto"/>
          <w:sz w:val="24"/>
          <w:szCs w:val="24"/>
          <w:highlight w:val="none"/>
        </w:rPr>
        <w:t xml:space="preserve"> “协议各方”是指本协议任何一方或多方，以及其各自合法的继任者或受让人。</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1.1.11</w:t>
      </w:r>
      <w:r>
        <w:rPr>
          <w:rFonts w:hint="eastAsia" w:ascii="宋体" w:hAnsi="宋体" w:eastAsia="宋体"/>
          <w:color w:val="auto"/>
          <w:sz w:val="24"/>
          <w:szCs w:val="24"/>
          <w:highlight w:val="none"/>
        </w:rPr>
        <w:t xml:space="preserve"> “融资机构”是指为本项目融资资金的第三方，包括但不限于银行、保险公司、基金等。</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1.1.12</w:t>
      </w:r>
      <w:r>
        <w:rPr>
          <w:rFonts w:hint="eastAsia" w:ascii="宋体" w:hAnsi="宋体" w:eastAsia="宋体"/>
          <w:color w:val="auto"/>
          <w:sz w:val="24"/>
          <w:szCs w:val="24"/>
          <w:highlight w:val="none"/>
        </w:rPr>
        <w:t xml:space="preserve"> “项目变更”是指本项目合作内容中的工程建设部分，甲方书面通知或批准的，对工程进行的更改。</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1.1.13</w:t>
      </w:r>
      <w:r>
        <w:rPr>
          <w:rFonts w:hint="eastAsia" w:ascii="宋体" w:hAnsi="宋体" w:eastAsia="宋体"/>
          <w:color w:val="auto"/>
          <w:sz w:val="24"/>
          <w:szCs w:val="24"/>
          <w:highlight w:val="none"/>
        </w:rPr>
        <w:t xml:space="preserve">资金投资峰值是指在项目合作期内，根据项目滚动开发原则，乙方在所有时间节点累计尚未收回的资金最大值（资金投资峰值=MAX（乙方累计投入的资金-甲方累计支付的资金）） </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 xml:space="preserve">1.1.14 </w:t>
      </w:r>
      <w:r>
        <w:rPr>
          <w:rFonts w:hint="eastAsia" w:ascii="宋体" w:hAnsi="宋体" w:eastAsia="宋体"/>
          <w:color w:val="auto"/>
          <w:sz w:val="24"/>
          <w:szCs w:val="24"/>
          <w:highlight w:val="none"/>
        </w:rPr>
        <w:t>“法律”是指国家及项目所在地政府、省级及以上政府不时颁布的任何法律、法律解释、行政法规、地方性法规、部门规章、政府规章、规范性文件等（不包括港、澳、台的法律、法规及其他法律规定）。</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 xml:space="preserve">1.1.15 </w:t>
      </w:r>
      <w:r>
        <w:rPr>
          <w:rFonts w:hint="eastAsia" w:ascii="宋体" w:hAnsi="宋体" w:eastAsia="宋体"/>
          <w:color w:val="auto"/>
          <w:sz w:val="24"/>
          <w:szCs w:val="24"/>
          <w:highlight w:val="none"/>
        </w:rPr>
        <w:t>“日”除特别指明外，均指日历天。按日计算时间的，开始当日不计入，从次日开始计算，期限最后一日的截止时间为当日的24:00。</w:t>
      </w:r>
    </w:p>
    <w:p>
      <w:pPr>
        <w:spacing w:before="156" w:beforeLines="50" w:after="156" w:afterLines="50" w:line="360" w:lineRule="auto"/>
        <w:ind w:firstLine="480" w:firstLineChars="200"/>
        <w:jc w:val="lef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1.1.16</w:t>
      </w:r>
      <w:r>
        <w:rPr>
          <w:rFonts w:hint="eastAsia" w:ascii="Times New Roman" w:hAnsi="Times New Roman" w:cs="Times New Roman"/>
          <w:color w:val="auto"/>
          <w:sz w:val="24"/>
          <w:szCs w:val="24"/>
          <w:highlight w:val="none"/>
        </w:rPr>
        <w:t>平衡资金是</w:t>
      </w:r>
      <w:r>
        <w:rPr>
          <w:rFonts w:ascii="Times New Roman" w:hAnsi="Times New Roman" w:cs="Times New Roman"/>
          <w:color w:val="auto"/>
          <w:sz w:val="24"/>
          <w:szCs w:val="24"/>
          <w:highlight w:val="none"/>
        </w:rPr>
        <w:t>指</w:t>
      </w:r>
      <w:r>
        <w:rPr>
          <w:rFonts w:hint="eastAsia" w:ascii="Times New Roman" w:hAnsi="Times New Roman" w:cs="Times New Roman"/>
          <w:color w:val="auto"/>
          <w:sz w:val="24"/>
          <w:szCs w:val="24"/>
          <w:highlight w:val="none"/>
        </w:rPr>
        <w:t>甲方用于支付本项目投资成本、投资收益、管理费等所有按本协议约定需向乙方或项目公司支付费用的资金。</w:t>
      </w:r>
    </w:p>
    <w:p>
      <w:pPr>
        <w:pStyle w:val="38"/>
        <w:spacing w:before="156" w:beforeLines="50" w:after="156" w:afterLines="50" w:line="360" w:lineRule="auto"/>
        <w:rPr>
          <w:color w:val="auto"/>
          <w:sz w:val="32"/>
          <w:szCs w:val="40"/>
          <w:highlight w:val="none"/>
        </w:rPr>
      </w:pPr>
      <w:bookmarkStart w:id="5" w:name="_Toc55981002"/>
      <w:r>
        <w:rPr>
          <w:rFonts w:hint="eastAsia"/>
          <w:color w:val="auto"/>
          <w:sz w:val="32"/>
          <w:szCs w:val="40"/>
          <w:highlight w:val="none"/>
        </w:rPr>
        <w:t>1.2 语言文字</w:t>
      </w:r>
      <w:bookmarkEnd w:id="5"/>
    </w:p>
    <w:p>
      <w:pPr>
        <w:spacing w:before="156" w:beforeLines="50" w:after="156" w:afterLines="50" w:line="360" w:lineRule="auto"/>
        <w:ind w:firstLine="480"/>
        <w:jc w:val="left"/>
        <w:rPr>
          <w:rFonts w:ascii="宋体" w:hAnsi="宋体" w:eastAsia="宋体"/>
          <w:color w:val="auto"/>
          <w:sz w:val="24"/>
          <w:szCs w:val="24"/>
          <w:highlight w:val="none"/>
        </w:rPr>
      </w:pPr>
      <w:r>
        <w:rPr>
          <w:rFonts w:hint="eastAsia" w:ascii="宋体" w:hAnsi="宋体" w:eastAsia="宋体"/>
          <w:color w:val="auto"/>
          <w:sz w:val="24"/>
          <w:szCs w:val="24"/>
          <w:highlight w:val="none"/>
        </w:rPr>
        <w:t>除协议另有约定外，本协议以中国的汉语简体文字编写、解释和说明。协议各方在协议中约定使用两种以上语言的，汉语为优先解释和说明协议的语言。</w:t>
      </w:r>
    </w:p>
    <w:p>
      <w:pPr>
        <w:pStyle w:val="38"/>
        <w:spacing w:before="156" w:beforeLines="50" w:after="156" w:afterLines="50" w:line="360" w:lineRule="auto"/>
        <w:rPr>
          <w:color w:val="auto"/>
          <w:sz w:val="32"/>
          <w:szCs w:val="40"/>
          <w:highlight w:val="none"/>
        </w:rPr>
      </w:pPr>
      <w:bookmarkStart w:id="6" w:name="_Toc55981003"/>
      <w:r>
        <w:rPr>
          <w:rFonts w:hint="eastAsia"/>
          <w:color w:val="auto"/>
          <w:sz w:val="32"/>
          <w:szCs w:val="40"/>
          <w:highlight w:val="none"/>
        </w:rPr>
        <w:t>1.3 解释</w:t>
      </w:r>
      <w:bookmarkEnd w:id="6"/>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1.3.1</w:t>
      </w:r>
      <w:r>
        <w:rPr>
          <w:rFonts w:hint="eastAsia" w:ascii="宋体" w:hAnsi="宋体" w:eastAsia="宋体"/>
          <w:color w:val="auto"/>
          <w:sz w:val="24"/>
          <w:szCs w:val="24"/>
          <w:highlight w:val="none"/>
        </w:rPr>
        <w:t>月和年是指公历的月和年。</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1.3.2</w:t>
      </w:r>
      <w:r>
        <w:rPr>
          <w:rFonts w:hint="eastAsia" w:ascii="宋体" w:hAnsi="宋体" w:eastAsia="宋体"/>
          <w:color w:val="auto"/>
          <w:sz w:val="24"/>
          <w:szCs w:val="24"/>
          <w:highlight w:val="none"/>
        </w:rPr>
        <w:t xml:space="preserve"> 因国家、地方政府、行业颁布新的规范和标准等，致使本协议引用的规范和标准不再适用的，协议各方应确保本协议符合最新的规范和标准。</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 xml:space="preserve">1.3.3 </w:t>
      </w:r>
      <w:r>
        <w:rPr>
          <w:rFonts w:hint="eastAsia" w:ascii="宋体" w:hAnsi="宋体" w:eastAsia="宋体"/>
          <w:color w:val="auto"/>
          <w:sz w:val="24"/>
          <w:szCs w:val="24"/>
          <w:highlight w:val="none"/>
        </w:rPr>
        <w:t>按照本协议发出或颁布的与本协议有关的任何通知、同意、批准、证明或决定，除另有说明外，均指其书面形式。书面形式包括传真、电子数据交换和电子邮件等以有形表现所载内容的形式。</w:t>
      </w:r>
    </w:p>
    <w:p>
      <w:pPr>
        <w:pStyle w:val="2"/>
        <w:spacing w:before="156" w:beforeLines="50" w:after="156" w:afterLines="50" w:line="360" w:lineRule="auto"/>
        <w:rPr>
          <w:color w:val="auto"/>
          <w:sz w:val="32"/>
          <w:szCs w:val="40"/>
          <w:highlight w:val="none"/>
        </w:rPr>
      </w:pPr>
      <w:bookmarkStart w:id="7" w:name="_Toc101463825"/>
      <w:bookmarkStart w:id="8" w:name="_Toc55981004"/>
      <w:r>
        <w:rPr>
          <w:rFonts w:hint="eastAsia"/>
          <w:color w:val="auto"/>
          <w:sz w:val="32"/>
          <w:szCs w:val="40"/>
          <w:highlight w:val="none"/>
        </w:rPr>
        <w:t>2.协议背景</w:t>
      </w:r>
      <w:bookmarkEnd w:id="7"/>
      <w:bookmarkEnd w:id="8"/>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.1</w:t>
      </w:r>
      <w:r>
        <w:rPr>
          <w:rFonts w:hint="eastAsia" w:ascii="宋体" w:hAnsi="宋体" w:eastAsia="宋体"/>
          <w:color w:val="auto"/>
          <w:sz w:val="24"/>
          <w:szCs w:val="24"/>
          <w:highlight w:val="none"/>
        </w:rPr>
        <w:t>甲方已取得实施本项目的政府授权书，有权通过公开招标选定乙方进行项目合作，并签订本协议 。</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.2</w:t>
      </w:r>
      <w:r>
        <w:rPr>
          <w:rFonts w:hint="eastAsia" w:ascii="宋体" w:hAnsi="宋体" w:eastAsia="宋体"/>
          <w:color w:val="auto"/>
          <w:sz w:val="24"/>
          <w:szCs w:val="24"/>
          <w:highlight w:val="none"/>
        </w:rPr>
        <w:t>乙方已依法通过公开投标方式成为本项目中标人，同意订立本协议。</w:t>
      </w:r>
    </w:p>
    <w:p>
      <w:pPr>
        <w:pStyle w:val="2"/>
        <w:spacing w:before="156" w:beforeLines="50" w:after="156" w:afterLines="50" w:line="360" w:lineRule="auto"/>
        <w:rPr>
          <w:color w:val="auto"/>
          <w:sz w:val="32"/>
          <w:szCs w:val="40"/>
          <w:highlight w:val="none"/>
        </w:rPr>
      </w:pPr>
      <w:bookmarkStart w:id="9" w:name="_Toc55981005"/>
      <w:bookmarkStart w:id="10" w:name="_Toc101463826"/>
      <w:r>
        <w:rPr>
          <w:rFonts w:hint="eastAsia"/>
          <w:color w:val="auto"/>
          <w:sz w:val="32"/>
          <w:szCs w:val="40"/>
          <w:highlight w:val="none"/>
        </w:rPr>
        <w:t>3.声明和保证</w:t>
      </w:r>
      <w:bookmarkEnd w:id="9"/>
      <w:bookmarkEnd w:id="10"/>
    </w:p>
    <w:p>
      <w:pPr>
        <w:pStyle w:val="38"/>
        <w:spacing w:before="156" w:beforeLines="50" w:after="156" w:afterLines="50" w:line="360" w:lineRule="auto"/>
        <w:rPr>
          <w:color w:val="auto"/>
          <w:sz w:val="32"/>
          <w:szCs w:val="40"/>
          <w:highlight w:val="none"/>
        </w:rPr>
      </w:pPr>
      <w:bookmarkStart w:id="11" w:name="_Toc55981006"/>
      <w:r>
        <w:rPr>
          <w:rFonts w:hint="eastAsia"/>
          <w:color w:val="auto"/>
          <w:sz w:val="32"/>
          <w:szCs w:val="40"/>
          <w:highlight w:val="none"/>
        </w:rPr>
        <w:t>3.1 甲方的声明</w:t>
      </w:r>
      <w:bookmarkEnd w:id="11"/>
      <w:r>
        <w:rPr>
          <w:rFonts w:hint="eastAsia"/>
          <w:color w:val="auto"/>
          <w:sz w:val="32"/>
          <w:szCs w:val="40"/>
          <w:highlight w:val="none"/>
        </w:rPr>
        <w:t>和</w:t>
      </w:r>
      <w:r>
        <w:rPr>
          <w:color w:val="auto"/>
          <w:sz w:val="32"/>
          <w:szCs w:val="40"/>
          <w:highlight w:val="none"/>
        </w:rPr>
        <w:t>保证</w:t>
      </w:r>
    </w:p>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甲方应确保以下声明均真实、完整、准确、有效：</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（1）具有依法签署和履行本协议及与本协议有关的其他文件的资格和能力，确保严格按照本协议约定履行相关义务；</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（2）已依法取得本项目签订前应当获得的全部审批、核准、备案等文件和手续；</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（3）有权与乙方共同组建项目公司，并向项目公司授予本项目的投融资、建设、管理、</w:t>
      </w:r>
      <w:r>
        <w:rPr>
          <w:rFonts w:ascii="宋体" w:hAnsi="宋体" w:eastAsia="宋体"/>
          <w:color w:val="auto"/>
          <w:sz w:val="24"/>
          <w:szCs w:val="24"/>
          <w:highlight w:val="none"/>
        </w:rPr>
        <w:t>移交</w:t>
      </w:r>
      <w:r>
        <w:rPr>
          <w:rFonts w:hint="eastAsia" w:ascii="宋体" w:hAnsi="宋体" w:eastAsia="宋体"/>
          <w:color w:val="auto"/>
          <w:sz w:val="24"/>
          <w:szCs w:val="24"/>
          <w:highlight w:val="none"/>
        </w:rPr>
        <w:t>等权利；</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（4）本项目没有被其他方主张权益，或受其他主体权利影响；</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（5）本项目不存在其他未披露的可能影响本项目实施的诉讼、仲裁等争议。</w:t>
      </w:r>
    </w:p>
    <w:p>
      <w:pPr>
        <w:pStyle w:val="38"/>
        <w:spacing w:before="156" w:beforeLines="50" w:after="156" w:afterLines="50" w:line="360" w:lineRule="auto"/>
        <w:rPr>
          <w:rFonts w:ascii="黑体" w:hAnsi="黑体"/>
          <w:color w:val="auto"/>
          <w:sz w:val="32"/>
          <w:highlight w:val="none"/>
        </w:rPr>
      </w:pPr>
      <w:bookmarkStart w:id="12" w:name="_Toc55981007"/>
      <w:r>
        <w:rPr>
          <w:rFonts w:hint="eastAsia"/>
          <w:color w:val="auto"/>
          <w:sz w:val="32"/>
          <w:szCs w:val="40"/>
          <w:highlight w:val="none"/>
        </w:rPr>
        <w:t>3.2 乙方的声明</w:t>
      </w:r>
      <w:bookmarkEnd w:id="12"/>
      <w:r>
        <w:rPr>
          <w:rFonts w:hint="eastAsia"/>
          <w:color w:val="auto"/>
          <w:sz w:val="32"/>
          <w:szCs w:val="40"/>
          <w:highlight w:val="none"/>
        </w:rPr>
        <w:t>和</w:t>
      </w:r>
      <w:r>
        <w:rPr>
          <w:color w:val="auto"/>
          <w:sz w:val="32"/>
          <w:szCs w:val="40"/>
          <w:highlight w:val="none"/>
        </w:rPr>
        <w:t>保证</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rPr>
        <w:t>乙方应确保以下声明和保证均真实</w:t>
      </w:r>
      <w:r>
        <w:rPr>
          <w:rFonts w:hint="eastAsia" w:ascii="宋体" w:hAnsi="宋体" w:eastAsia="宋体"/>
          <w:color w:val="auto"/>
          <w:sz w:val="24"/>
          <w:szCs w:val="24"/>
          <w:highlight w:val="none"/>
        </w:rPr>
        <w:t>、</w:t>
      </w:r>
      <w:r>
        <w:rPr>
          <w:rFonts w:ascii="宋体" w:hAnsi="宋体" w:eastAsia="宋体"/>
          <w:color w:val="auto"/>
          <w:sz w:val="24"/>
          <w:szCs w:val="24"/>
          <w:highlight w:val="none"/>
        </w:rPr>
        <w:t>完整</w:t>
      </w:r>
      <w:r>
        <w:rPr>
          <w:rFonts w:hint="eastAsia" w:ascii="宋体" w:hAnsi="宋体" w:eastAsia="宋体"/>
          <w:color w:val="auto"/>
          <w:sz w:val="24"/>
          <w:szCs w:val="24"/>
          <w:highlight w:val="none"/>
        </w:rPr>
        <w:t>、</w:t>
      </w:r>
      <w:r>
        <w:rPr>
          <w:rFonts w:ascii="宋体" w:hAnsi="宋体" w:eastAsia="宋体"/>
          <w:color w:val="auto"/>
          <w:sz w:val="24"/>
          <w:szCs w:val="24"/>
          <w:highlight w:val="none"/>
        </w:rPr>
        <w:t>准确</w:t>
      </w:r>
      <w:r>
        <w:rPr>
          <w:rFonts w:hint="eastAsia" w:ascii="宋体" w:hAnsi="宋体" w:eastAsia="宋体"/>
          <w:color w:val="auto"/>
          <w:sz w:val="24"/>
          <w:szCs w:val="24"/>
          <w:highlight w:val="none"/>
        </w:rPr>
        <w:t>、</w:t>
      </w:r>
      <w:r>
        <w:rPr>
          <w:rFonts w:ascii="宋体" w:hAnsi="宋体" w:eastAsia="宋体"/>
          <w:color w:val="auto"/>
          <w:sz w:val="24"/>
          <w:szCs w:val="24"/>
          <w:highlight w:val="none"/>
        </w:rPr>
        <w:t>有效</w:t>
      </w:r>
      <w:r>
        <w:rPr>
          <w:rFonts w:hint="eastAsia" w:ascii="宋体" w:hAnsi="宋体" w:eastAsia="宋体"/>
          <w:color w:val="auto"/>
          <w:sz w:val="24"/>
          <w:szCs w:val="24"/>
          <w:highlight w:val="none"/>
        </w:rPr>
        <w:t>：</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（1）已充分理解本协议背景、</w:t>
      </w:r>
      <w:r>
        <w:rPr>
          <w:rFonts w:ascii="宋体" w:hAnsi="宋体" w:eastAsia="宋体"/>
          <w:color w:val="auto"/>
          <w:sz w:val="24"/>
          <w:szCs w:val="24"/>
          <w:highlight w:val="none"/>
        </w:rPr>
        <w:t>项目所涉及的各项风险</w:t>
      </w:r>
      <w:r>
        <w:rPr>
          <w:rFonts w:hint="eastAsia" w:ascii="宋体" w:hAnsi="宋体" w:eastAsia="宋体"/>
          <w:color w:val="auto"/>
          <w:sz w:val="24"/>
          <w:szCs w:val="24"/>
          <w:highlight w:val="none"/>
        </w:rPr>
        <w:t>等；</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（2）系根据法律合法设立且有效存续的法人，具有签署和履行本协议及与本协议有关的其他文件的资格和能力，包括但不限于资格条件、资金实力、技术力量、人力资源、经营管理能力等；</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（3）已根据法律规定和章程约定取得从事本协议项下活动的一切同意与批准，包括但不限于股东会决议和董事会决议及监管部门的审批等；</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（4）遵守法律规定，履行本协议项下义务，接</w:t>
      </w:r>
      <w:r>
        <w:rPr>
          <w:rFonts w:hint="eastAsia" w:ascii="宋体" w:hAnsi="宋体" w:eastAsia="宋体"/>
          <w:color w:val="auto"/>
          <w:sz w:val="24"/>
          <w:szCs w:val="24"/>
          <w:highlight w:val="none"/>
          <w:lang w:eastAsia="zh-Hans"/>
        </w:rPr>
        <w:t>受</w:t>
      </w:r>
      <w:r>
        <w:rPr>
          <w:rFonts w:hint="eastAsia" w:ascii="宋体" w:hAnsi="宋体" w:eastAsia="宋体"/>
          <w:color w:val="auto"/>
          <w:sz w:val="24"/>
          <w:szCs w:val="24"/>
          <w:highlight w:val="none"/>
        </w:rPr>
        <w:t>甲方按照法律规定和本协议约定对本项目实施的监管；</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（5）保证按协议约定与甲方共同设立项目公司，并督促项目公司履行相应义务。</w:t>
      </w:r>
    </w:p>
    <w:p>
      <w:pPr>
        <w:pStyle w:val="2"/>
        <w:spacing w:before="156" w:beforeLines="50" w:after="156" w:afterLines="50" w:line="360" w:lineRule="auto"/>
        <w:rPr>
          <w:color w:val="auto"/>
          <w:sz w:val="32"/>
          <w:szCs w:val="40"/>
          <w:highlight w:val="none"/>
        </w:rPr>
      </w:pPr>
      <w:bookmarkStart w:id="13" w:name="_Toc101463827"/>
      <w:bookmarkStart w:id="14" w:name="_Toc55981008"/>
      <w:r>
        <w:rPr>
          <w:rFonts w:hint="eastAsia"/>
          <w:color w:val="auto"/>
          <w:sz w:val="32"/>
          <w:szCs w:val="40"/>
          <w:highlight w:val="none"/>
        </w:rPr>
        <w:t>4.协议文件组成及优先解释顺序</w:t>
      </w:r>
      <w:bookmarkEnd w:id="13"/>
      <w:bookmarkEnd w:id="14"/>
    </w:p>
    <w:p>
      <w:pPr>
        <w:pStyle w:val="38"/>
        <w:spacing w:before="156" w:beforeLines="50" w:after="156" w:afterLines="50" w:line="360" w:lineRule="auto"/>
        <w:rPr>
          <w:color w:val="auto"/>
          <w:sz w:val="32"/>
          <w:szCs w:val="40"/>
          <w:highlight w:val="none"/>
        </w:rPr>
      </w:pPr>
      <w:bookmarkStart w:id="15" w:name="_Toc55981009"/>
      <w:r>
        <w:rPr>
          <w:rFonts w:hint="eastAsia"/>
          <w:color w:val="auto"/>
          <w:sz w:val="32"/>
          <w:szCs w:val="40"/>
          <w:highlight w:val="none"/>
        </w:rPr>
        <w:t>4.1 协议文件组成及优先解释顺序</w:t>
      </w:r>
      <w:bookmarkEnd w:id="15"/>
    </w:p>
    <w:p>
      <w:pPr>
        <w:spacing w:before="156" w:beforeLines="50" w:after="156" w:afterLines="50" w:line="360" w:lineRule="auto"/>
        <w:ind w:firstLine="460"/>
        <w:jc w:val="left"/>
        <w:rPr>
          <w:rFonts w:ascii="宋体" w:hAnsi="宋体" w:eastAsia="宋体"/>
          <w:color w:val="auto"/>
          <w:sz w:val="24"/>
          <w:szCs w:val="24"/>
          <w:highlight w:val="none"/>
        </w:rPr>
      </w:pPr>
      <w:r>
        <w:rPr>
          <w:rFonts w:hint="eastAsia" w:ascii="宋体" w:hAnsi="宋体" w:eastAsia="宋体"/>
          <w:color w:val="auto"/>
          <w:sz w:val="24"/>
          <w:szCs w:val="24"/>
          <w:highlight w:val="none"/>
        </w:rPr>
        <w:t>除另有约定外，本协议的组成及优先解释顺序如下：</w:t>
      </w:r>
    </w:p>
    <w:p>
      <w:pPr>
        <w:spacing w:before="156" w:beforeLines="50" w:after="156" w:afterLines="50" w:line="360" w:lineRule="auto"/>
        <w:ind w:firstLine="46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1）协议书或组成本协议的其他文件</w:t>
      </w:r>
      <w:r>
        <w:rPr>
          <w:rFonts w:hint="eastAsia" w:ascii="宋体" w:hAnsi="宋体" w:eastAsia="宋体"/>
          <w:color w:val="auto"/>
          <w:sz w:val="24"/>
          <w:szCs w:val="24"/>
          <w:highlight w:val="none"/>
        </w:rPr>
        <w:t>（备忘录、补充协议等）</w:t>
      </w:r>
      <w:r>
        <w:rPr>
          <w:rFonts w:ascii="宋体" w:hAnsi="宋体" w:eastAsia="宋体"/>
          <w:color w:val="auto"/>
          <w:sz w:val="24"/>
          <w:szCs w:val="24"/>
          <w:highlight w:val="none"/>
        </w:rPr>
        <w:t>；</w:t>
      </w:r>
    </w:p>
    <w:p>
      <w:pPr>
        <w:spacing w:before="156" w:beforeLines="50" w:after="156" w:afterLines="50" w:line="360" w:lineRule="auto"/>
        <w:ind w:firstLine="46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（2）中标或成交通知书；</w:t>
      </w:r>
    </w:p>
    <w:p>
      <w:pPr>
        <w:spacing w:before="156" w:beforeLines="50" w:after="156" w:afterLines="50" w:line="360" w:lineRule="auto"/>
        <w:ind w:firstLine="46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（3）确认谈判备忘录(如有)；</w:t>
      </w:r>
    </w:p>
    <w:p>
      <w:pPr>
        <w:spacing w:before="156" w:beforeLines="50" w:after="156" w:afterLines="50" w:line="360" w:lineRule="auto"/>
        <w:ind w:firstLine="460"/>
        <w:jc w:val="left"/>
        <w:rPr>
          <w:rFonts w:ascii="宋体" w:hAnsi="宋体" w:eastAsia="宋体"/>
          <w:color w:val="auto"/>
          <w:sz w:val="24"/>
          <w:szCs w:val="24"/>
          <w:highlight w:val="none"/>
        </w:rPr>
      </w:pPr>
      <w:r>
        <w:rPr>
          <w:rFonts w:hint="eastAsia" w:ascii="宋体" w:hAnsi="宋体" w:eastAsia="宋体"/>
          <w:color w:val="auto"/>
          <w:sz w:val="24"/>
          <w:szCs w:val="24"/>
          <w:highlight w:val="none"/>
        </w:rPr>
        <w:t>（4）投标函；</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rPr>
        <w:t>协议订立及履行过程中</w:t>
      </w:r>
      <w:r>
        <w:rPr>
          <w:rFonts w:hint="eastAsia" w:ascii="宋体" w:hAnsi="宋体" w:eastAsia="宋体"/>
          <w:color w:val="auto"/>
          <w:sz w:val="24"/>
          <w:szCs w:val="24"/>
          <w:highlight w:val="none"/>
        </w:rPr>
        <w:t>，</w:t>
      </w:r>
      <w:r>
        <w:rPr>
          <w:rFonts w:ascii="宋体" w:hAnsi="宋体" w:eastAsia="宋体"/>
          <w:color w:val="auto"/>
          <w:sz w:val="24"/>
          <w:szCs w:val="24"/>
          <w:highlight w:val="none"/>
        </w:rPr>
        <w:t>协议各方</w:t>
      </w:r>
      <w:r>
        <w:rPr>
          <w:rFonts w:hint="eastAsia" w:ascii="宋体" w:hAnsi="宋体" w:eastAsia="宋体"/>
          <w:color w:val="auto"/>
          <w:sz w:val="24"/>
          <w:szCs w:val="24"/>
          <w:highlight w:val="none"/>
        </w:rPr>
        <w:t>形</w:t>
      </w:r>
      <w:r>
        <w:rPr>
          <w:rFonts w:ascii="宋体" w:hAnsi="宋体" w:eastAsia="宋体"/>
          <w:color w:val="auto"/>
          <w:sz w:val="24"/>
          <w:szCs w:val="24"/>
          <w:highlight w:val="none"/>
        </w:rPr>
        <w:t>成的</w:t>
      </w:r>
      <w:r>
        <w:rPr>
          <w:rFonts w:hint="eastAsia" w:ascii="宋体" w:hAnsi="宋体" w:eastAsia="宋体"/>
          <w:color w:val="auto"/>
          <w:sz w:val="24"/>
          <w:szCs w:val="24"/>
          <w:highlight w:val="none"/>
        </w:rPr>
        <w:t>，</w:t>
      </w:r>
      <w:r>
        <w:rPr>
          <w:rFonts w:ascii="宋体" w:hAnsi="宋体" w:eastAsia="宋体"/>
          <w:color w:val="auto"/>
          <w:sz w:val="24"/>
          <w:szCs w:val="24"/>
          <w:highlight w:val="none"/>
        </w:rPr>
        <w:t>与协议有关的文件均构成协议文件的组成部分</w:t>
      </w:r>
      <w:r>
        <w:rPr>
          <w:rFonts w:hint="eastAsia" w:ascii="宋体" w:hAnsi="宋体" w:eastAsia="宋体"/>
          <w:color w:val="auto"/>
          <w:sz w:val="24"/>
          <w:szCs w:val="24"/>
          <w:highlight w:val="none"/>
        </w:rPr>
        <w:t>。</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上述各项协议文件包括协议各方就该协议文件所做出的补充和修改，属于同一类内容的文件，应以签订时间在后的文件为准。</w:t>
      </w:r>
    </w:p>
    <w:p>
      <w:pPr>
        <w:pStyle w:val="38"/>
        <w:spacing w:before="156" w:beforeLines="50" w:after="156" w:afterLines="50" w:line="360" w:lineRule="auto"/>
        <w:rPr>
          <w:rFonts w:ascii="黑体" w:hAnsi="黑体"/>
          <w:color w:val="auto"/>
          <w:sz w:val="32"/>
          <w:highlight w:val="none"/>
        </w:rPr>
      </w:pPr>
      <w:bookmarkStart w:id="16" w:name="_Toc55981010"/>
      <w:r>
        <w:rPr>
          <w:rFonts w:hint="eastAsia"/>
          <w:color w:val="auto"/>
          <w:sz w:val="32"/>
          <w:szCs w:val="40"/>
          <w:highlight w:val="none"/>
        </w:rPr>
        <w:t>4.2 完整的协议</w:t>
      </w:r>
      <w:bookmarkEnd w:id="16"/>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 xml:space="preserve">4.2.1 </w:t>
      </w:r>
      <w:r>
        <w:rPr>
          <w:rFonts w:hint="eastAsia" w:ascii="宋体" w:hAnsi="宋体" w:eastAsia="宋体"/>
          <w:color w:val="auto"/>
          <w:sz w:val="24"/>
          <w:szCs w:val="24"/>
          <w:highlight w:val="none"/>
        </w:rPr>
        <w:t>上述协议文件构成各方对本项目的理解，协议文件组成部分在本协议签署时未完成或未产生的，则自其完成或产生时即成为本协议的相应组成部分，本协议签订后完成或产生的文件解释顺序按照文件性质相应确定。</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4.2.2</w:t>
      </w:r>
      <w:r>
        <w:rPr>
          <w:rFonts w:hint="eastAsia" w:ascii="宋体" w:hAnsi="宋体" w:eastAsia="宋体"/>
          <w:color w:val="auto"/>
          <w:sz w:val="24"/>
          <w:szCs w:val="24"/>
          <w:highlight w:val="none"/>
        </w:rPr>
        <w:t xml:space="preserve"> 上述协议文件组成部分互为补充和解释。</w:t>
      </w:r>
    </w:p>
    <w:p>
      <w:pPr>
        <w:pStyle w:val="38"/>
        <w:spacing w:before="156" w:beforeLines="50" w:after="156" w:afterLines="50" w:line="360" w:lineRule="auto"/>
        <w:rPr>
          <w:rFonts w:ascii="黑体" w:hAnsi="黑体"/>
          <w:color w:val="auto"/>
          <w:sz w:val="32"/>
          <w:highlight w:val="none"/>
        </w:rPr>
      </w:pPr>
      <w:bookmarkStart w:id="17" w:name="_Toc55981011"/>
      <w:r>
        <w:rPr>
          <w:rFonts w:hint="eastAsia"/>
          <w:color w:val="auto"/>
          <w:sz w:val="32"/>
          <w:szCs w:val="40"/>
          <w:highlight w:val="none"/>
        </w:rPr>
        <w:t>4.3 协议的可分割性</w:t>
      </w:r>
      <w:bookmarkEnd w:id="17"/>
    </w:p>
    <w:p>
      <w:pPr>
        <w:spacing w:before="156" w:beforeLines="50" w:after="156" w:afterLines="50" w:line="360" w:lineRule="auto"/>
        <w:ind w:firstLine="48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协议任何条款违法、无效或不能执行，或任何有管辖权的法院认定其为不合法、无效或不能执行的，其他条款仍然合法、有效和可执行；且协议各方应针对违法、无效或不能执行的条款进行修改改正，使之合法、有效并可执行。</w:t>
      </w:r>
    </w:p>
    <w:p>
      <w:pPr>
        <w:pStyle w:val="2"/>
        <w:spacing w:before="156" w:beforeLines="50" w:after="156" w:afterLines="50" w:line="360" w:lineRule="auto"/>
        <w:rPr>
          <w:rFonts w:eastAsia="楷体"/>
          <w:color w:val="auto"/>
          <w:sz w:val="32"/>
          <w:szCs w:val="40"/>
          <w:highlight w:val="none"/>
        </w:rPr>
      </w:pPr>
      <w:bookmarkStart w:id="18" w:name="_Toc55981012"/>
      <w:bookmarkStart w:id="19" w:name="_Toc101463828"/>
      <w:r>
        <w:rPr>
          <w:rFonts w:hint="eastAsia"/>
          <w:color w:val="auto"/>
          <w:sz w:val="32"/>
          <w:szCs w:val="40"/>
          <w:highlight w:val="none"/>
        </w:rPr>
        <w:t>5.风险分担</w:t>
      </w:r>
      <w:bookmarkEnd w:id="18"/>
      <w:bookmarkEnd w:id="19"/>
    </w:p>
    <w:p>
      <w:pPr>
        <w:spacing w:before="156" w:beforeLines="50" w:after="156" w:afterLines="50" w:line="360" w:lineRule="auto"/>
        <w:ind w:firstLine="480"/>
        <w:jc w:val="left"/>
        <w:rPr>
          <w:rFonts w:ascii="宋体" w:hAnsi="宋体" w:eastAsia="宋体"/>
          <w:color w:val="auto"/>
          <w:sz w:val="24"/>
          <w:szCs w:val="24"/>
          <w:highlight w:val="none"/>
        </w:rPr>
      </w:pPr>
      <w:r>
        <w:rPr>
          <w:rFonts w:hint="eastAsia" w:ascii="宋体" w:hAnsi="宋体" w:eastAsia="宋体"/>
          <w:color w:val="auto"/>
          <w:sz w:val="24"/>
          <w:szCs w:val="24"/>
          <w:highlight w:val="none"/>
        </w:rPr>
        <w:t>5.1协议各方按照风险分配优化、风险收益对等和风险可控的原则合理分担风险；</w:t>
      </w:r>
    </w:p>
    <w:p>
      <w:pPr>
        <w:spacing w:before="156" w:beforeLines="50" w:after="156" w:afterLines="50" w:line="360" w:lineRule="auto"/>
        <w:ind w:firstLine="480"/>
        <w:rPr>
          <w:rFonts w:ascii="宋体" w:hAnsi="宋体" w:eastAsia="宋体"/>
          <w:color w:val="auto"/>
          <w:sz w:val="24"/>
          <w:szCs w:val="24"/>
          <w:highlight w:val="none"/>
        </w:rPr>
      </w:pPr>
      <w:r>
        <w:rPr>
          <w:rFonts w:hint="eastAsia" w:ascii="宋体" w:hAnsi="宋体" w:eastAsia="宋体"/>
          <w:color w:val="auto"/>
          <w:sz w:val="24"/>
          <w:szCs w:val="24"/>
          <w:highlight w:val="none"/>
        </w:rPr>
        <w:t>5.2除协议另有约定外，可由</w:t>
      </w:r>
      <w:bookmarkStart w:id="20" w:name="_Hlk108622674"/>
      <w:r>
        <w:rPr>
          <w:rFonts w:hint="eastAsia" w:ascii="宋体" w:hAnsi="宋体" w:eastAsia="宋体"/>
          <w:color w:val="auto"/>
          <w:sz w:val="24"/>
          <w:szCs w:val="24"/>
          <w:highlight w:val="none"/>
        </w:rPr>
        <w:t>甲方控制的</w:t>
      </w:r>
      <w:bookmarkEnd w:id="20"/>
      <w:r>
        <w:rPr>
          <w:rFonts w:hint="eastAsia" w:ascii="宋体" w:hAnsi="宋体" w:eastAsia="宋体"/>
          <w:color w:val="auto"/>
          <w:sz w:val="24"/>
          <w:szCs w:val="24"/>
          <w:highlight w:val="none"/>
        </w:rPr>
        <w:t xml:space="preserve">设计、规划、环保、政策风险、征地拆迁等风险由甲方承担； </w:t>
      </w:r>
    </w:p>
    <w:p>
      <w:pPr>
        <w:spacing w:before="156" w:beforeLines="50" w:after="156" w:afterLines="50" w:line="360" w:lineRule="auto"/>
        <w:ind w:firstLine="480"/>
        <w:rPr>
          <w:rFonts w:ascii="宋体" w:hAnsi="宋体" w:eastAsia="宋体"/>
          <w:color w:val="auto"/>
          <w:sz w:val="24"/>
          <w:szCs w:val="24"/>
          <w:highlight w:val="none"/>
        </w:rPr>
      </w:pPr>
      <w:r>
        <w:rPr>
          <w:rFonts w:ascii="宋体" w:hAnsi="宋体" w:eastAsia="宋体"/>
          <w:color w:val="auto"/>
          <w:sz w:val="24"/>
          <w:szCs w:val="24"/>
          <w:highlight w:val="none"/>
        </w:rPr>
        <w:t>5.3乙方负责自行承担项目投资、融资、建设、管理</w:t>
      </w:r>
      <w:r>
        <w:rPr>
          <w:rFonts w:hint="eastAsia" w:ascii="宋体" w:hAnsi="宋体" w:eastAsia="宋体"/>
          <w:color w:val="auto"/>
          <w:sz w:val="24"/>
          <w:szCs w:val="24"/>
          <w:highlight w:val="none"/>
        </w:rPr>
        <w:t>和</w:t>
      </w:r>
      <w:r>
        <w:rPr>
          <w:rFonts w:ascii="宋体" w:hAnsi="宋体" w:eastAsia="宋体"/>
          <w:color w:val="auto"/>
          <w:sz w:val="24"/>
          <w:szCs w:val="24"/>
          <w:highlight w:val="none"/>
        </w:rPr>
        <w:t>移交</w:t>
      </w:r>
      <w:r>
        <w:rPr>
          <w:rFonts w:hint="eastAsia" w:ascii="宋体" w:hAnsi="宋体" w:eastAsia="宋体"/>
          <w:color w:val="auto"/>
          <w:sz w:val="24"/>
          <w:szCs w:val="24"/>
          <w:highlight w:val="none"/>
        </w:rPr>
        <w:t>、运营</w:t>
      </w:r>
      <w:r>
        <w:rPr>
          <w:rFonts w:ascii="宋体" w:hAnsi="宋体" w:eastAsia="宋体"/>
          <w:color w:val="auto"/>
          <w:sz w:val="24"/>
          <w:szCs w:val="24"/>
          <w:highlight w:val="none"/>
        </w:rPr>
        <w:t>等商业和技术风险</w:t>
      </w:r>
      <w:r>
        <w:rPr>
          <w:rFonts w:hint="eastAsia" w:ascii="宋体" w:hAnsi="宋体" w:eastAsia="宋体"/>
          <w:color w:val="auto"/>
          <w:sz w:val="24"/>
          <w:szCs w:val="24"/>
          <w:highlight w:val="none"/>
        </w:rPr>
        <w:t>及可由乙方控制的政策风险</w:t>
      </w:r>
      <w:r>
        <w:rPr>
          <w:rFonts w:ascii="宋体" w:hAnsi="宋体" w:eastAsia="宋体"/>
          <w:color w:val="auto"/>
          <w:sz w:val="24"/>
          <w:szCs w:val="24"/>
          <w:highlight w:val="none"/>
        </w:rPr>
        <w:t>。</w:t>
      </w:r>
    </w:p>
    <w:p>
      <w:pPr>
        <w:spacing w:before="156" w:beforeLines="50" w:after="156" w:afterLines="50" w:line="360" w:lineRule="auto"/>
        <w:ind w:firstLine="480"/>
        <w:rPr>
          <w:rFonts w:ascii="宋体" w:hAnsi="宋体" w:eastAsia="宋体"/>
          <w:color w:val="auto"/>
          <w:sz w:val="24"/>
          <w:szCs w:val="24"/>
          <w:highlight w:val="none"/>
        </w:rPr>
      </w:pPr>
      <w:r>
        <w:rPr>
          <w:rFonts w:ascii="宋体" w:hAnsi="宋体" w:eastAsia="宋体"/>
          <w:color w:val="auto"/>
          <w:sz w:val="24"/>
          <w:szCs w:val="24"/>
          <w:highlight w:val="none"/>
        </w:rPr>
        <w:t>5.4</w:t>
      </w:r>
      <w:r>
        <w:rPr>
          <w:rFonts w:hint="eastAsia" w:ascii="宋体" w:hAnsi="宋体" w:eastAsia="宋体"/>
          <w:color w:val="auto"/>
          <w:sz w:val="24"/>
          <w:szCs w:val="24"/>
          <w:highlight w:val="none"/>
        </w:rPr>
        <w:t>不可归责于双方的风</w:t>
      </w:r>
      <w:r>
        <w:rPr>
          <w:rFonts w:ascii="宋体" w:hAnsi="宋体" w:eastAsia="宋体"/>
          <w:color w:val="auto"/>
          <w:sz w:val="24"/>
          <w:szCs w:val="24"/>
          <w:highlight w:val="none"/>
        </w:rPr>
        <w:t>险由甲方与乙方</w:t>
      </w:r>
      <w:r>
        <w:rPr>
          <w:rFonts w:hint="eastAsia" w:ascii="宋体" w:hAnsi="宋体" w:eastAsia="宋体"/>
          <w:color w:val="auto"/>
          <w:sz w:val="24"/>
          <w:szCs w:val="24"/>
          <w:highlight w:val="none"/>
        </w:rPr>
        <w:t>按照公平原则</w:t>
      </w:r>
      <w:r>
        <w:rPr>
          <w:rFonts w:ascii="宋体" w:hAnsi="宋体" w:eastAsia="宋体"/>
          <w:color w:val="auto"/>
          <w:sz w:val="24"/>
          <w:szCs w:val="24"/>
          <w:highlight w:val="none"/>
        </w:rPr>
        <w:t>合理分担。</w:t>
      </w:r>
    </w:p>
    <w:p>
      <w:pPr>
        <w:spacing w:before="156" w:beforeLines="50" w:after="156" w:afterLines="50" w:line="360" w:lineRule="auto"/>
        <w:ind w:firstLine="480"/>
        <w:jc w:val="left"/>
        <w:rPr>
          <w:color w:val="auto"/>
          <w:sz w:val="24"/>
          <w:szCs w:val="28"/>
          <w:highlight w:val="none"/>
        </w:rPr>
      </w:pPr>
      <w:r>
        <w:rPr>
          <w:color w:val="auto"/>
          <w:sz w:val="24"/>
          <w:szCs w:val="28"/>
          <w:highlight w:val="none"/>
        </w:rPr>
        <w:br w:type="page"/>
      </w:r>
    </w:p>
    <w:p>
      <w:pPr>
        <w:pStyle w:val="3"/>
        <w:spacing w:before="156" w:beforeLines="50" w:after="156" w:afterLines="50" w:line="360" w:lineRule="auto"/>
        <w:jc w:val="center"/>
        <w:rPr>
          <w:rFonts w:eastAsia="黑体"/>
          <w:b/>
          <w:color w:val="auto"/>
          <w:sz w:val="36"/>
          <w:szCs w:val="52"/>
          <w:highlight w:val="none"/>
        </w:rPr>
      </w:pPr>
      <w:bookmarkStart w:id="21" w:name="_Toc55981013"/>
      <w:bookmarkStart w:id="22" w:name="_Toc101463829"/>
      <w:r>
        <w:rPr>
          <w:rFonts w:hint="eastAsia"/>
          <w:b/>
          <w:color w:val="auto"/>
          <w:sz w:val="36"/>
          <w:szCs w:val="52"/>
          <w:highlight w:val="none"/>
        </w:rPr>
        <w:t>二、项目合作</w:t>
      </w:r>
      <w:bookmarkEnd w:id="21"/>
      <w:bookmarkEnd w:id="22"/>
    </w:p>
    <w:p>
      <w:pPr>
        <w:pStyle w:val="2"/>
        <w:spacing w:before="156" w:beforeLines="50" w:after="156" w:afterLines="50" w:line="360" w:lineRule="auto"/>
        <w:rPr>
          <w:color w:val="auto"/>
          <w:sz w:val="32"/>
          <w:szCs w:val="40"/>
          <w:highlight w:val="none"/>
        </w:rPr>
      </w:pPr>
      <w:bookmarkStart w:id="23" w:name="_Toc55981014"/>
      <w:bookmarkStart w:id="24" w:name="_Toc101463830"/>
      <w:r>
        <w:rPr>
          <w:rFonts w:hint="eastAsia"/>
          <w:color w:val="auto"/>
          <w:sz w:val="32"/>
          <w:szCs w:val="40"/>
          <w:highlight w:val="none"/>
        </w:rPr>
        <w:t>6.项目概况</w:t>
      </w:r>
      <w:bookmarkEnd w:id="23"/>
      <w:bookmarkEnd w:id="24"/>
    </w:p>
    <w:p>
      <w:pPr>
        <w:pStyle w:val="38"/>
        <w:spacing w:before="156" w:beforeLines="50" w:after="156" w:afterLines="50" w:line="360" w:lineRule="auto"/>
        <w:rPr>
          <w:color w:val="auto"/>
          <w:sz w:val="32"/>
          <w:szCs w:val="40"/>
          <w:highlight w:val="none"/>
        </w:rPr>
      </w:pPr>
      <w:bookmarkStart w:id="25" w:name="_Toc55981015"/>
      <w:r>
        <w:rPr>
          <w:rFonts w:hint="eastAsia"/>
          <w:color w:val="auto"/>
          <w:sz w:val="32"/>
          <w:szCs w:val="40"/>
          <w:highlight w:val="none"/>
        </w:rPr>
        <w:t>6.1项目名称</w:t>
      </w:r>
      <w:bookmarkEnd w:id="25"/>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西安渼陂湖水系生态文化旅游区综合开发项目。</w:t>
      </w:r>
    </w:p>
    <w:p>
      <w:pPr>
        <w:pStyle w:val="38"/>
        <w:spacing w:before="156" w:beforeLines="50" w:after="156" w:afterLines="50" w:line="360" w:lineRule="auto"/>
        <w:rPr>
          <w:color w:val="auto"/>
          <w:sz w:val="32"/>
          <w:szCs w:val="40"/>
          <w:highlight w:val="none"/>
        </w:rPr>
      </w:pPr>
      <w:bookmarkStart w:id="26" w:name="_Toc55981016"/>
      <w:r>
        <w:rPr>
          <w:rFonts w:hint="eastAsia"/>
          <w:color w:val="auto"/>
          <w:sz w:val="32"/>
          <w:szCs w:val="40"/>
          <w:highlight w:val="none"/>
        </w:rPr>
        <w:t>6.2项目地点</w:t>
      </w:r>
      <w:bookmarkEnd w:id="26"/>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西安市鄠邑主城区以西、涝河西畔、渼陂湖周边，合作范围约占地9.75平方公里，最终以实际合作的范围为准。 </w:t>
      </w:r>
    </w:p>
    <w:p>
      <w:pPr>
        <w:pStyle w:val="38"/>
        <w:spacing w:before="156" w:beforeLines="50" w:after="156" w:afterLines="50" w:line="360" w:lineRule="auto"/>
        <w:rPr>
          <w:color w:val="auto"/>
          <w:sz w:val="32"/>
          <w:szCs w:val="40"/>
          <w:highlight w:val="none"/>
        </w:rPr>
      </w:pPr>
      <w:bookmarkStart w:id="27" w:name="_Toc55981017"/>
      <w:r>
        <w:rPr>
          <w:rFonts w:hint="eastAsia"/>
          <w:color w:val="auto"/>
          <w:sz w:val="32"/>
          <w:szCs w:val="40"/>
          <w:highlight w:val="none"/>
        </w:rPr>
        <w:t>6.3项目合作开发范围</w:t>
      </w:r>
      <w:bookmarkEnd w:id="27"/>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开发范围：南到规划路、北至东西四号路，西到渭涝路、东至西苑北路。（不包含曲抱村村庄拆迁安置；曲抱地块公共服务设施建设；预留用地内的公共服务设施建设、防护绿地；已实施东西五号路以北环湖路及环湖路以内公园绿地、水域；东西五号路以南的环湖路、公园绿地），</w:t>
      </w:r>
      <w:r>
        <w:rPr>
          <w:rFonts w:ascii="宋体" w:hAnsi="宋体" w:eastAsia="宋体"/>
          <w:color w:val="auto"/>
          <w:sz w:val="24"/>
          <w:szCs w:val="24"/>
          <w:highlight w:val="none"/>
        </w:rPr>
        <w:t>具体详见</w:t>
      </w:r>
      <w:r>
        <w:rPr>
          <w:rFonts w:hint="eastAsia" w:ascii="宋体" w:hAnsi="宋体" w:eastAsia="宋体"/>
          <w:color w:val="auto"/>
          <w:sz w:val="24"/>
          <w:szCs w:val="24"/>
          <w:highlight w:val="none"/>
        </w:rPr>
        <w:t>附件</w:t>
      </w:r>
      <w:r>
        <w:rPr>
          <w:rFonts w:ascii="宋体" w:hAnsi="宋体" w:eastAsia="宋体"/>
          <w:color w:val="auto"/>
          <w:sz w:val="24"/>
          <w:szCs w:val="24"/>
          <w:highlight w:val="none"/>
        </w:rPr>
        <w:t>一四至示意图</w:t>
      </w:r>
      <w:r>
        <w:rPr>
          <w:rFonts w:hint="eastAsia" w:ascii="宋体" w:hAnsi="宋体" w:eastAsia="宋体"/>
          <w:color w:val="auto"/>
          <w:sz w:val="24"/>
          <w:szCs w:val="24"/>
          <w:highlight w:val="none"/>
        </w:rPr>
        <w:t>。根据项目推进情况，经双方协商一致，并</w:t>
      </w:r>
      <w:r>
        <w:rPr>
          <w:rFonts w:ascii="宋体" w:hAnsi="宋体" w:eastAsia="宋体"/>
          <w:color w:val="auto"/>
          <w:sz w:val="24"/>
          <w:szCs w:val="24"/>
          <w:highlight w:val="none"/>
        </w:rPr>
        <w:t>取得区域主管部门及</w:t>
      </w:r>
      <w:r>
        <w:rPr>
          <w:rFonts w:hint="eastAsia" w:ascii="宋体" w:hAnsi="宋体" w:eastAsia="宋体"/>
          <w:color w:val="auto"/>
          <w:sz w:val="24"/>
          <w:szCs w:val="24"/>
          <w:highlight w:val="none"/>
        </w:rPr>
        <w:t>相关</w:t>
      </w:r>
      <w:r>
        <w:rPr>
          <w:rFonts w:ascii="宋体" w:hAnsi="宋体" w:eastAsia="宋体"/>
          <w:color w:val="auto"/>
          <w:sz w:val="24"/>
          <w:szCs w:val="24"/>
          <w:highlight w:val="none"/>
        </w:rPr>
        <w:t>有权机构批准后，方</w:t>
      </w:r>
      <w:r>
        <w:rPr>
          <w:rFonts w:hint="eastAsia" w:ascii="宋体" w:hAnsi="宋体" w:eastAsia="宋体"/>
          <w:color w:val="auto"/>
          <w:sz w:val="24"/>
          <w:szCs w:val="24"/>
          <w:highlight w:val="none"/>
        </w:rPr>
        <w:t>可对建设内容进行调整。</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项目规划总用地面积约9.75平方公里，项目合作范围内预计可出让建设用地面积约4658亩，其中住宅约2633.4亩，商业约2024.22亩。政府预留住宅用地约415.5亩，项目安置用地约314.74亩，双方一致认为合作区域具有广阔的发展前景。</w:t>
      </w:r>
    </w:p>
    <w:p>
      <w:pPr>
        <w:pStyle w:val="38"/>
        <w:spacing w:before="156" w:beforeLines="50" w:after="156" w:afterLines="50" w:line="360" w:lineRule="auto"/>
        <w:rPr>
          <w:color w:val="auto"/>
          <w:sz w:val="32"/>
          <w:szCs w:val="40"/>
          <w:highlight w:val="none"/>
        </w:rPr>
      </w:pPr>
      <w:bookmarkStart w:id="28" w:name="_Toc55981018"/>
      <w:r>
        <w:rPr>
          <w:rFonts w:hint="eastAsia"/>
          <w:color w:val="auto"/>
          <w:sz w:val="32"/>
          <w:szCs w:val="40"/>
          <w:highlight w:val="none"/>
        </w:rPr>
        <w:t>6.4项目总投资</w:t>
      </w:r>
      <w:bookmarkEnd w:id="28"/>
    </w:p>
    <w:p>
      <w:pPr>
        <w:spacing w:before="156" w:beforeLines="50" w:after="156" w:afterLines="50" w:line="360" w:lineRule="auto"/>
        <w:ind w:firstLine="405"/>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本项目投资估算总额暂定为161亿元，</w:t>
      </w:r>
      <w:r>
        <w:rPr>
          <w:rFonts w:ascii="宋体" w:hAnsi="宋体" w:eastAsia="宋体"/>
          <w:color w:val="auto"/>
          <w:sz w:val="24"/>
          <w:szCs w:val="24"/>
          <w:highlight w:val="none"/>
        </w:rPr>
        <w:t>大写人民币壹佰陆拾</w:t>
      </w:r>
      <w:r>
        <w:rPr>
          <w:rFonts w:hint="eastAsia" w:ascii="宋体" w:hAnsi="宋体" w:eastAsia="宋体"/>
          <w:color w:val="auto"/>
          <w:sz w:val="24"/>
          <w:szCs w:val="24"/>
          <w:highlight w:val="none"/>
        </w:rPr>
        <w:t>壹</w:t>
      </w:r>
      <w:r>
        <w:rPr>
          <w:rFonts w:ascii="宋体" w:hAnsi="宋体" w:eastAsia="宋体"/>
          <w:color w:val="auto"/>
          <w:sz w:val="24"/>
          <w:szCs w:val="24"/>
          <w:highlight w:val="none"/>
        </w:rPr>
        <w:t>亿元整</w:t>
      </w:r>
      <w:r>
        <w:rPr>
          <w:rFonts w:hint="eastAsia" w:ascii="宋体" w:hAnsi="宋体" w:eastAsia="宋体"/>
          <w:color w:val="auto"/>
          <w:sz w:val="24"/>
          <w:szCs w:val="24"/>
          <w:highlight w:val="none"/>
        </w:rPr>
        <w:t>，最终以双方认可的第三方</w:t>
      </w:r>
      <w:r>
        <w:rPr>
          <w:rFonts w:ascii="宋体" w:hAnsi="宋体" w:eastAsia="宋体"/>
          <w:color w:val="auto"/>
          <w:sz w:val="24"/>
          <w:szCs w:val="24"/>
          <w:highlight w:val="none"/>
        </w:rPr>
        <w:t>审核</w:t>
      </w:r>
      <w:r>
        <w:rPr>
          <w:rFonts w:hint="eastAsia" w:ascii="宋体" w:hAnsi="宋体" w:eastAsia="宋体"/>
          <w:color w:val="auto"/>
          <w:sz w:val="24"/>
          <w:szCs w:val="24"/>
          <w:highlight w:val="none"/>
        </w:rPr>
        <w:t>/审计</w:t>
      </w:r>
      <w:r>
        <w:rPr>
          <w:rFonts w:ascii="宋体" w:hAnsi="宋体" w:eastAsia="宋体"/>
          <w:color w:val="auto"/>
          <w:sz w:val="24"/>
          <w:szCs w:val="24"/>
          <w:highlight w:val="none"/>
        </w:rPr>
        <w:t>机构</w:t>
      </w:r>
      <w:r>
        <w:rPr>
          <w:rFonts w:hint="eastAsia" w:ascii="宋体" w:hAnsi="宋体" w:eastAsia="宋体"/>
          <w:color w:val="auto"/>
          <w:sz w:val="24"/>
          <w:szCs w:val="24"/>
          <w:highlight w:val="none"/>
        </w:rPr>
        <w:t>或双方共同</w:t>
      </w:r>
      <w:r>
        <w:rPr>
          <w:rFonts w:ascii="宋体" w:hAnsi="宋体" w:eastAsia="宋体"/>
          <w:color w:val="auto"/>
          <w:sz w:val="24"/>
          <w:szCs w:val="24"/>
          <w:highlight w:val="none"/>
        </w:rPr>
        <w:t>确</w:t>
      </w:r>
      <w:r>
        <w:rPr>
          <w:rFonts w:hint="eastAsia" w:ascii="宋体" w:hAnsi="宋体" w:eastAsia="宋体"/>
          <w:color w:val="auto"/>
          <w:sz w:val="24"/>
          <w:szCs w:val="24"/>
          <w:highlight w:val="none"/>
        </w:rPr>
        <w:t>认的金额为准。</w:t>
      </w:r>
    </w:p>
    <w:p>
      <w:pPr>
        <w:spacing w:before="156" w:beforeLines="50" w:after="156" w:afterLines="50" w:line="360" w:lineRule="auto"/>
        <w:ind w:firstLine="405"/>
        <w:jc w:val="left"/>
        <w:rPr>
          <w:rFonts w:ascii="宋体" w:hAnsi="宋体" w:eastAsia="宋体"/>
          <w:color w:val="auto"/>
          <w:sz w:val="24"/>
          <w:szCs w:val="24"/>
          <w:highlight w:val="none"/>
        </w:rPr>
      </w:pPr>
      <w:r>
        <w:rPr>
          <w:rFonts w:hint="eastAsia" w:ascii="宋体" w:hAnsi="宋体"/>
          <w:color w:val="auto"/>
          <w:sz w:val="24"/>
          <w:szCs w:val="28"/>
          <w:highlight w:val="none"/>
        </w:rPr>
        <w:t>合作期间，若因包括但不限于项目开发范围和内容调整、政策调整、地质条件发生重大变化等原因造成实际投资成本变动的，由甲乙双方另行协商确定</w:t>
      </w:r>
      <w:r>
        <w:rPr>
          <w:rFonts w:hint="eastAsia" w:ascii="宋体" w:hAnsi="宋体" w:eastAsia="宋体"/>
          <w:color w:val="auto"/>
          <w:sz w:val="24"/>
          <w:szCs w:val="24"/>
          <w:highlight w:val="none"/>
        </w:rPr>
        <w:t>。</w:t>
      </w:r>
    </w:p>
    <w:p>
      <w:pPr>
        <w:pStyle w:val="2"/>
        <w:spacing w:before="156" w:beforeLines="50" w:after="156" w:afterLines="50" w:line="360" w:lineRule="auto"/>
        <w:rPr>
          <w:color w:val="auto"/>
          <w:sz w:val="32"/>
          <w:szCs w:val="40"/>
          <w:highlight w:val="none"/>
        </w:rPr>
      </w:pPr>
      <w:bookmarkStart w:id="29" w:name="_Toc101463831"/>
      <w:bookmarkStart w:id="30" w:name="_Toc55981019"/>
      <w:r>
        <w:rPr>
          <w:rFonts w:hint="eastAsia"/>
          <w:color w:val="auto"/>
          <w:sz w:val="32"/>
          <w:szCs w:val="40"/>
          <w:highlight w:val="none"/>
        </w:rPr>
        <w:t>7.合作方式</w:t>
      </w:r>
      <w:bookmarkEnd w:id="29"/>
      <w:bookmarkEnd w:id="30"/>
    </w:p>
    <w:p>
      <w:pPr>
        <w:pStyle w:val="38"/>
        <w:spacing w:before="156" w:beforeLines="50" w:after="156" w:afterLines="50" w:line="360" w:lineRule="auto"/>
        <w:rPr>
          <w:color w:val="auto"/>
          <w:sz w:val="32"/>
          <w:szCs w:val="40"/>
          <w:highlight w:val="none"/>
        </w:rPr>
      </w:pPr>
      <w:bookmarkStart w:id="31" w:name="_Toc55981020"/>
      <w:r>
        <w:rPr>
          <w:rFonts w:hint="eastAsia"/>
          <w:color w:val="auto"/>
          <w:sz w:val="32"/>
          <w:szCs w:val="40"/>
          <w:highlight w:val="none"/>
        </w:rPr>
        <w:t>7.1合作模式</w:t>
      </w:r>
      <w:bookmarkEnd w:id="31"/>
    </w:p>
    <w:p>
      <w:pPr>
        <w:spacing w:before="156" w:beforeLines="50" w:after="156" w:afterLines="50" w:line="360" w:lineRule="auto"/>
        <w:ind w:firstLine="480" w:firstLineChars="200"/>
        <w:jc w:val="left"/>
        <w:rPr>
          <w:rFonts w:ascii="宋体" w:hAnsi="宋体"/>
          <w:color w:val="auto"/>
          <w:sz w:val="24"/>
          <w:szCs w:val="28"/>
          <w:highlight w:val="none"/>
        </w:rPr>
      </w:pPr>
      <w:r>
        <w:rPr>
          <w:rFonts w:hint="eastAsia" w:ascii="宋体" w:hAnsi="宋体"/>
          <w:color w:val="auto"/>
          <w:sz w:val="24"/>
          <w:szCs w:val="28"/>
          <w:highlight w:val="none"/>
        </w:rPr>
        <w:t>7.1.1本项目依法合规地采用多种投资开发建设模式，包括但不限于投资人</w:t>
      </w:r>
      <w:r>
        <w:rPr>
          <w:rFonts w:ascii="宋体" w:hAnsi="宋体"/>
          <w:color w:val="auto"/>
          <w:sz w:val="24"/>
          <w:szCs w:val="28"/>
          <w:highlight w:val="none"/>
        </w:rPr>
        <w:t>+EPC</w:t>
      </w:r>
      <w:r>
        <w:rPr>
          <w:rFonts w:hint="eastAsia" w:ascii="宋体" w:hAnsi="宋体"/>
          <w:color w:val="auto"/>
          <w:sz w:val="24"/>
          <w:szCs w:val="28"/>
          <w:highlight w:val="none"/>
        </w:rPr>
        <w:t>、项目合作、股权合作等。乙方在其资质范围内依法承担本项目的投资、勘察、设计、施工总承包任务。</w:t>
      </w:r>
    </w:p>
    <w:p>
      <w:pPr>
        <w:spacing w:before="156" w:beforeLines="50" w:after="156" w:afterLines="50" w:line="360" w:lineRule="auto"/>
        <w:ind w:firstLine="480" w:firstLineChars="200"/>
        <w:jc w:val="left"/>
        <w:rPr>
          <w:rFonts w:ascii="宋体" w:hAnsi="宋体"/>
          <w:color w:val="auto"/>
          <w:sz w:val="24"/>
          <w:szCs w:val="28"/>
          <w:highlight w:val="none"/>
        </w:rPr>
      </w:pPr>
      <w:r>
        <w:rPr>
          <w:rFonts w:hint="eastAsia" w:ascii="宋体" w:hAnsi="宋体"/>
          <w:color w:val="auto"/>
          <w:sz w:val="24"/>
          <w:szCs w:val="28"/>
          <w:highlight w:val="none"/>
        </w:rPr>
        <w:t>7.1.2甲方与乙方共同成立项目公司，作为本项目的投资开发主体，根据</w:t>
      </w:r>
      <w:r>
        <w:rPr>
          <w:rFonts w:ascii="宋体" w:hAnsi="宋体"/>
          <w:color w:val="auto"/>
          <w:sz w:val="24"/>
          <w:szCs w:val="28"/>
          <w:highlight w:val="none"/>
        </w:rPr>
        <w:t>甲方的</w:t>
      </w:r>
      <w:r>
        <w:rPr>
          <w:rFonts w:hint="eastAsia" w:ascii="宋体" w:hAnsi="宋体"/>
          <w:color w:val="auto"/>
          <w:sz w:val="24"/>
          <w:szCs w:val="28"/>
          <w:highlight w:val="none"/>
        </w:rPr>
        <w:t>授权或安排负责本项目的开发</w:t>
      </w:r>
      <w:r>
        <w:rPr>
          <w:rFonts w:ascii="宋体" w:hAnsi="宋体"/>
          <w:color w:val="auto"/>
          <w:sz w:val="24"/>
          <w:szCs w:val="28"/>
          <w:highlight w:val="none"/>
        </w:rPr>
        <w:t>、规划、建设、投资、管理</w:t>
      </w:r>
      <w:r>
        <w:rPr>
          <w:rFonts w:hint="eastAsia" w:ascii="宋体" w:hAnsi="宋体"/>
          <w:color w:val="auto"/>
          <w:sz w:val="24"/>
          <w:szCs w:val="28"/>
          <w:highlight w:val="none"/>
        </w:rPr>
        <w:t>、移交等工作，</w:t>
      </w:r>
      <w:r>
        <w:rPr>
          <w:rFonts w:ascii="宋体" w:hAnsi="宋体"/>
          <w:color w:val="auto"/>
          <w:sz w:val="24"/>
          <w:szCs w:val="28"/>
          <w:highlight w:val="none"/>
        </w:rPr>
        <w:t>严格按照本协议的约定</w:t>
      </w:r>
      <w:r>
        <w:rPr>
          <w:rFonts w:hint="eastAsia" w:ascii="宋体" w:hAnsi="宋体"/>
          <w:color w:val="auto"/>
          <w:sz w:val="24"/>
          <w:szCs w:val="28"/>
          <w:highlight w:val="none"/>
        </w:rPr>
        <w:t>承继、承担相应</w:t>
      </w:r>
      <w:r>
        <w:rPr>
          <w:rFonts w:ascii="宋体" w:hAnsi="宋体"/>
          <w:color w:val="auto"/>
          <w:sz w:val="24"/>
          <w:szCs w:val="28"/>
          <w:highlight w:val="none"/>
        </w:rPr>
        <w:t>的权责利。</w:t>
      </w:r>
    </w:p>
    <w:p>
      <w:pPr>
        <w:spacing w:before="156" w:beforeLines="50" w:after="156" w:afterLines="50" w:line="360" w:lineRule="auto"/>
        <w:ind w:firstLine="480" w:firstLineChars="200"/>
        <w:jc w:val="left"/>
        <w:rPr>
          <w:rFonts w:ascii="宋体" w:hAnsi="宋体"/>
          <w:color w:val="auto"/>
          <w:sz w:val="24"/>
          <w:szCs w:val="28"/>
          <w:highlight w:val="none"/>
        </w:rPr>
      </w:pPr>
      <w:r>
        <w:rPr>
          <w:rFonts w:hint="eastAsia" w:ascii="宋体" w:hAnsi="宋体"/>
          <w:color w:val="auto"/>
          <w:sz w:val="24"/>
          <w:szCs w:val="28"/>
          <w:highlight w:val="none"/>
        </w:rPr>
        <w:t>7.1.3项目合作期满或</w:t>
      </w:r>
      <w:r>
        <w:rPr>
          <w:rFonts w:ascii="宋体" w:hAnsi="宋体"/>
          <w:color w:val="auto"/>
          <w:sz w:val="24"/>
          <w:szCs w:val="28"/>
          <w:highlight w:val="none"/>
        </w:rPr>
        <w:t>项目合作终止</w:t>
      </w:r>
      <w:r>
        <w:rPr>
          <w:rFonts w:hint="eastAsia" w:ascii="宋体" w:hAnsi="宋体"/>
          <w:color w:val="auto"/>
          <w:sz w:val="24"/>
          <w:szCs w:val="28"/>
          <w:highlight w:val="none"/>
        </w:rPr>
        <w:t>，项目公司收回投资成本及收益后，甲乙双方</w:t>
      </w:r>
      <w:r>
        <w:rPr>
          <w:rFonts w:ascii="宋体" w:hAnsi="宋体"/>
          <w:color w:val="auto"/>
          <w:sz w:val="24"/>
          <w:szCs w:val="28"/>
          <w:highlight w:val="none"/>
        </w:rPr>
        <w:t>按照</w:t>
      </w:r>
      <w:r>
        <w:rPr>
          <w:rFonts w:hint="eastAsia" w:ascii="宋体" w:hAnsi="宋体"/>
          <w:color w:val="auto"/>
          <w:sz w:val="24"/>
          <w:szCs w:val="28"/>
          <w:highlight w:val="none"/>
        </w:rPr>
        <w:t>项目</w:t>
      </w:r>
      <w:r>
        <w:rPr>
          <w:rFonts w:ascii="宋体" w:hAnsi="宋体"/>
          <w:color w:val="auto"/>
          <w:sz w:val="24"/>
          <w:szCs w:val="28"/>
          <w:highlight w:val="none"/>
        </w:rPr>
        <w:t>公司章程的约定进行解散</w:t>
      </w:r>
      <w:r>
        <w:rPr>
          <w:rFonts w:hint="eastAsia" w:ascii="宋体" w:hAnsi="宋体"/>
          <w:color w:val="auto"/>
          <w:sz w:val="24"/>
          <w:szCs w:val="28"/>
          <w:highlight w:val="none"/>
        </w:rPr>
        <w:t>、股权转让</w:t>
      </w:r>
      <w:r>
        <w:rPr>
          <w:rFonts w:ascii="宋体" w:hAnsi="宋体"/>
          <w:color w:val="auto"/>
          <w:sz w:val="24"/>
          <w:szCs w:val="28"/>
          <w:highlight w:val="none"/>
        </w:rPr>
        <w:t>或双方约定的其他方式退出。</w:t>
      </w:r>
    </w:p>
    <w:p>
      <w:pPr>
        <w:pStyle w:val="38"/>
        <w:spacing w:before="156" w:beforeLines="50" w:after="156" w:afterLines="50" w:line="360" w:lineRule="auto"/>
        <w:rPr>
          <w:rFonts w:ascii="宋体" w:hAnsi="宋体" w:eastAsia="宋体"/>
          <w:color w:val="auto"/>
          <w:sz w:val="32"/>
          <w:szCs w:val="24"/>
          <w:highlight w:val="none"/>
        </w:rPr>
      </w:pPr>
      <w:bookmarkStart w:id="32" w:name="_Toc55981021"/>
      <w:r>
        <w:rPr>
          <w:rFonts w:hint="eastAsia"/>
          <w:color w:val="auto"/>
          <w:sz w:val="32"/>
          <w:szCs w:val="40"/>
          <w:highlight w:val="none"/>
        </w:rPr>
        <w:t>7.2项目合作开发内容</w:t>
      </w:r>
      <w:bookmarkEnd w:id="32"/>
    </w:p>
    <w:p>
      <w:pPr>
        <w:spacing w:before="156" w:beforeLines="50" w:after="156" w:afterLines="50" w:line="360" w:lineRule="auto"/>
        <w:ind w:firstLine="480" w:firstLineChars="200"/>
        <w:jc w:val="left"/>
        <w:rPr>
          <w:rFonts w:ascii="宋体" w:hAnsi="宋体"/>
          <w:color w:val="auto"/>
          <w:sz w:val="24"/>
          <w:szCs w:val="28"/>
          <w:highlight w:val="none"/>
        </w:rPr>
      </w:pPr>
      <w:r>
        <w:rPr>
          <w:rFonts w:hint="eastAsia" w:ascii="宋体" w:hAnsi="宋体"/>
          <w:color w:val="auto"/>
          <w:sz w:val="24"/>
          <w:szCs w:val="28"/>
          <w:highlight w:val="none"/>
        </w:rPr>
        <w:t>双方协商一致根据甲方的要求或授权，项目公司实施项目合作范围内的开发、规划、建设、投资、融资、管理、运营等工作，投资范围包括不限于前期手续办理、规划编制、勘察设计、土地整理、土地平整、安置房建设、基础设施建设、公共配套设施建设、生态修复、智慧城市建设及运营等费用。</w:t>
      </w:r>
    </w:p>
    <w:p>
      <w:pPr>
        <w:pStyle w:val="38"/>
        <w:spacing w:before="156" w:beforeLines="50" w:after="156" w:afterLines="50" w:line="360" w:lineRule="auto"/>
        <w:rPr>
          <w:color w:val="auto"/>
          <w:sz w:val="32"/>
          <w:szCs w:val="40"/>
          <w:highlight w:val="none"/>
        </w:rPr>
      </w:pPr>
      <w:bookmarkStart w:id="33" w:name="_Toc55981022"/>
      <w:r>
        <w:rPr>
          <w:rFonts w:hint="eastAsia"/>
          <w:color w:val="auto"/>
          <w:sz w:val="32"/>
          <w:szCs w:val="40"/>
          <w:highlight w:val="none"/>
        </w:rPr>
        <w:t>7.3项目合作期限</w:t>
      </w:r>
      <w:bookmarkEnd w:id="33"/>
    </w:p>
    <w:p>
      <w:pPr>
        <w:spacing w:before="156" w:beforeLines="50" w:after="156" w:afterLines="50" w:line="360" w:lineRule="auto"/>
        <w:ind w:firstLine="480" w:firstLineChars="200"/>
        <w:jc w:val="left"/>
        <w:rPr>
          <w:rFonts w:ascii="宋体" w:hAnsi="宋体"/>
          <w:color w:val="auto"/>
          <w:sz w:val="24"/>
          <w:szCs w:val="28"/>
          <w:highlight w:val="none"/>
        </w:rPr>
      </w:pPr>
      <w:r>
        <w:rPr>
          <w:rFonts w:hint="eastAsia" w:ascii="宋体" w:hAnsi="宋体"/>
          <w:color w:val="auto"/>
          <w:sz w:val="24"/>
          <w:szCs w:val="28"/>
          <w:highlight w:val="none"/>
        </w:rPr>
        <w:t>7.3.1项目合作期限自合同生效日起至甲乙双方全部履行完本协议项下的权利和义务之日止。</w:t>
      </w:r>
    </w:p>
    <w:p>
      <w:pPr>
        <w:spacing w:before="156" w:beforeLines="50" w:after="156" w:afterLines="50" w:line="360" w:lineRule="auto"/>
        <w:ind w:firstLine="480" w:firstLineChars="200"/>
        <w:jc w:val="left"/>
        <w:rPr>
          <w:rFonts w:ascii="宋体" w:hAnsi="宋体"/>
          <w:color w:val="auto"/>
          <w:sz w:val="24"/>
          <w:szCs w:val="28"/>
          <w:highlight w:val="none"/>
        </w:rPr>
      </w:pPr>
      <w:r>
        <w:rPr>
          <w:rFonts w:hint="eastAsia" w:ascii="宋体" w:hAnsi="宋体"/>
          <w:color w:val="auto"/>
          <w:sz w:val="24"/>
          <w:szCs w:val="28"/>
          <w:highlight w:val="none"/>
        </w:rPr>
        <w:t>7.3.2本项目合作期限暂定</w:t>
      </w:r>
      <w:r>
        <w:rPr>
          <w:rFonts w:ascii="宋体" w:hAnsi="宋体"/>
          <w:color w:val="auto"/>
          <w:sz w:val="24"/>
          <w:szCs w:val="28"/>
          <w:highlight w:val="none"/>
        </w:rPr>
        <w:t>10</w:t>
      </w:r>
      <w:r>
        <w:rPr>
          <w:rFonts w:hint="eastAsia" w:ascii="宋体" w:hAnsi="宋体"/>
          <w:color w:val="auto"/>
          <w:sz w:val="24"/>
          <w:szCs w:val="28"/>
          <w:highlight w:val="none"/>
        </w:rPr>
        <w:t>年，</w:t>
      </w:r>
      <w:r>
        <w:rPr>
          <w:rFonts w:ascii="宋体" w:hAnsi="宋体"/>
          <w:color w:val="auto"/>
          <w:sz w:val="24"/>
          <w:szCs w:val="28"/>
          <w:highlight w:val="none"/>
        </w:rPr>
        <w:t>自本</w:t>
      </w:r>
      <w:r>
        <w:rPr>
          <w:rFonts w:hint="eastAsia" w:ascii="宋体" w:hAnsi="宋体"/>
          <w:color w:val="auto"/>
          <w:sz w:val="24"/>
          <w:szCs w:val="28"/>
          <w:highlight w:val="none"/>
        </w:rPr>
        <w:t>协议</w:t>
      </w:r>
      <w:r>
        <w:rPr>
          <w:rFonts w:ascii="宋体" w:hAnsi="宋体"/>
          <w:color w:val="auto"/>
          <w:sz w:val="24"/>
          <w:szCs w:val="28"/>
          <w:highlight w:val="none"/>
        </w:rPr>
        <w:t>生效之日起计算</w:t>
      </w:r>
      <w:r>
        <w:rPr>
          <w:rFonts w:hint="eastAsia" w:ascii="宋体" w:hAnsi="宋体"/>
          <w:color w:val="auto"/>
          <w:sz w:val="24"/>
          <w:szCs w:val="28"/>
          <w:highlight w:val="none"/>
        </w:rPr>
        <w:t xml:space="preserve">，分别为项目建设期（2022年-2026年）、项目移交期（2023年-2027年）、智慧城市运营期（2024年-2031年）。 </w:t>
      </w:r>
    </w:p>
    <w:p>
      <w:pPr>
        <w:spacing w:before="156" w:beforeLines="50" w:after="156" w:afterLines="50" w:line="360" w:lineRule="auto"/>
        <w:ind w:firstLine="480" w:firstLineChars="200"/>
        <w:jc w:val="left"/>
        <w:rPr>
          <w:rFonts w:ascii="宋体" w:hAnsi="宋体"/>
          <w:color w:val="auto"/>
          <w:sz w:val="24"/>
          <w:szCs w:val="28"/>
          <w:highlight w:val="none"/>
        </w:rPr>
      </w:pPr>
      <w:r>
        <w:rPr>
          <w:rFonts w:hint="eastAsia" w:ascii="宋体" w:hAnsi="宋体"/>
          <w:color w:val="auto"/>
          <w:sz w:val="24"/>
          <w:szCs w:val="28"/>
          <w:highlight w:val="none"/>
        </w:rPr>
        <w:t>经双方协商一致，并</w:t>
      </w:r>
      <w:r>
        <w:rPr>
          <w:rFonts w:ascii="宋体" w:hAnsi="宋体"/>
          <w:color w:val="auto"/>
          <w:sz w:val="24"/>
          <w:szCs w:val="28"/>
          <w:highlight w:val="none"/>
        </w:rPr>
        <w:t>取得区域主管部门及</w:t>
      </w:r>
      <w:r>
        <w:rPr>
          <w:rFonts w:hint="eastAsia" w:ascii="宋体" w:hAnsi="宋体"/>
          <w:color w:val="auto"/>
          <w:sz w:val="24"/>
          <w:szCs w:val="28"/>
          <w:highlight w:val="none"/>
        </w:rPr>
        <w:t>相关</w:t>
      </w:r>
      <w:r>
        <w:rPr>
          <w:rFonts w:ascii="宋体" w:hAnsi="宋体"/>
          <w:color w:val="auto"/>
          <w:sz w:val="24"/>
          <w:szCs w:val="28"/>
          <w:highlight w:val="none"/>
        </w:rPr>
        <w:t>有权机构批准</w:t>
      </w:r>
      <w:r>
        <w:rPr>
          <w:rFonts w:hint="eastAsia" w:ascii="宋体" w:hAnsi="宋体"/>
          <w:color w:val="auto"/>
          <w:sz w:val="24"/>
          <w:szCs w:val="28"/>
          <w:highlight w:val="none"/>
        </w:rPr>
        <w:t>（若需）</w:t>
      </w:r>
      <w:r>
        <w:rPr>
          <w:rFonts w:ascii="宋体" w:hAnsi="宋体"/>
          <w:color w:val="auto"/>
          <w:sz w:val="24"/>
          <w:szCs w:val="28"/>
          <w:highlight w:val="none"/>
        </w:rPr>
        <w:t>后，</w:t>
      </w:r>
      <w:r>
        <w:rPr>
          <w:rFonts w:hint="eastAsia" w:ascii="宋体" w:hAnsi="宋体"/>
          <w:color w:val="auto"/>
          <w:sz w:val="24"/>
          <w:szCs w:val="28"/>
          <w:highlight w:val="none"/>
        </w:rPr>
        <w:t>项目合作期限可进行调整，</w:t>
      </w:r>
      <w:r>
        <w:rPr>
          <w:rFonts w:ascii="宋体" w:hAnsi="宋体"/>
          <w:color w:val="auto"/>
          <w:sz w:val="24"/>
          <w:szCs w:val="28"/>
          <w:highlight w:val="none"/>
        </w:rPr>
        <w:t>届时双方应当另行签署补充协议</w:t>
      </w:r>
      <w:r>
        <w:rPr>
          <w:rFonts w:hint="eastAsia" w:ascii="宋体" w:hAnsi="宋体"/>
          <w:color w:val="auto"/>
          <w:sz w:val="24"/>
          <w:szCs w:val="28"/>
          <w:highlight w:val="none"/>
        </w:rPr>
        <w:t>。</w:t>
      </w:r>
    </w:p>
    <w:p>
      <w:pPr>
        <w:pStyle w:val="38"/>
        <w:spacing w:before="156" w:beforeLines="50" w:after="156" w:afterLines="50" w:line="360" w:lineRule="auto"/>
        <w:rPr>
          <w:color w:val="auto"/>
          <w:sz w:val="32"/>
          <w:szCs w:val="40"/>
          <w:highlight w:val="none"/>
        </w:rPr>
      </w:pPr>
      <w:bookmarkStart w:id="34" w:name="_Toc55981023"/>
      <w:r>
        <w:rPr>
          <w:rFonts w:hint="eastAsia"/>
          <w:color w:val="auto"/>
          <w:sz w:val="32"/>
          <w:szCs w:val="40"/>
          <w:highlight w:val="none"/>
        </w:rPr>
        <w:t>7.4 项目合作开发原则</w:t>
      </w:r>
      <w:bookmarkEnd w:id="34"/>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7.4.1合作双方按照“整体策划、分步实施、滚动开发、封闭运作”的原则，根据合作区域特点和功能、市场需求等因素，综合考虑项目投资成本及收益平衡的前提下，共同确定合理的开发建设计划及投资强度。</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7.4.2甲方按照本协议的约定及时返还或支付项目公司投资和收益，由项目公司依法结算并支付甲方、乙方的投资回报。</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rPr>
        <w:t>7.4.3乙方应当严格控制项目投资成本，</w:t>
      </w:r>
      <w:r>
        <w:rPr>
          <w:rFonts w:hint="eastAsia" w:ascii="宋体" w:hAnsi="宋体" w:eastAsia="宋体"/>
          <w:color w:val="auto"/>
          <w:sz w:val="24"/>
          <w:szCs w:val="24"/>
          <w:highlight w:val="none"/>
        </w:rPr>
        <w:t>加强投资强度，</w:t>
      </w:r>
      <w:r>
        <w:rPr>
          <w:rFonts w:ascii="宋体" w:hAnsi="宋体" w:eastAsia="宋体"/>
          <w:color w:val="auto"/>
          <w:sz w:val="24"/>
          <w:szCs w:val="24"/>
          <w:highlight w:val="none"/>
        </w:rPr>
        <w:t>并</w:t>
      </w:r>
      <w:r>
        <w:rPr>
          <w:rFonts w:hint="eastAsia" w:ascii="宋体" w:hAnsi="宋体" w:eastAsia="宋体"/>
          <w:color w:val="auto"/>
          <w:sz w:val="24"/>
          <w:szCs w:val="24"/>
          <w:highlight w:val="none"/>
        </w:rPr>
        <w:t>确保本项目资金投资峰值原则上不高于【</w:t>
      </w:r>
      <w:r>
        <w:rPr>
          <w:rFonts w:ascii="宋体" w:hAnsi="宋体" w:eastAsia="宋体"/>
          <w:color w:val="auto"/>
          <w:sz w:val="24"/>
          <w:szCs w:val="24"/>
          <w:highlight w:val="none"/>
        </w:rPr>
        <w:t>30.42</w:t>
      </w:r>
      <w:r>
        <w:rPr>
          <w:rFonts w:hint="eastAsia" w:ascii="宋体" w:hAnsi="宋体" w:eastAsia="宋体"/>
          <w:color w:val="auto"/>
          <w:sz w:val="24"/>
          <w:szCs w:val="24"/>
          <w:highlight w:val="none"/>
        </w:rPr>
        <w:t>】亿元。</w:t>
      </w:r>
    </w:p>
    <w:p>
      <w:pPr>
        <w:pStyle w:val="38"/>
        <w:spacing w:before="156" w:beforeLines="50" w:after="156" w:afterLines="50" w:line="360" w:lineRule="auto"/>
        <w:rPr>
          <w:rFonts w:ascii="黑体" w:hAnsi="黑体"/>
          <w:color w:val="auto"/>
          <w:sz w:val="32"/>
          <w:highlight w:val="none"/>
        </w:rPr>
      </w:pPr>
      <w:bookmarkStart w:id="35" w:name="_Toc55981024"/>
      <w:r>
        <w:rPr>
          <w:rFonts w:hint="eastAsia"/>
          <w:color w:val="auto"/>
          <w:sz w:val="32"/>
          <w:szCs w:val="40"/>
          <w:highlight w:val="none"/>
        </w:rPr>
        <w:t>7.5排他性约定</w:t>
      </w:r>
      <w:bookmarkEnd w:id="35"/>
    </w:p>
    <w:p>
      <w:pPr>
        <w:spacing w:before="156" w:beforeLines="50" w:after="156" w:afterLines="50"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甲方授予乙方的项目合作权为独家的排他性权利。</w:t>
      </w:r>
    </w:p>
    <w:p>
      <w:pPr>
        <w:spacing w:before="156" w:beforeLines="50" w:after="156" w:afterLines="50" w:line="360" w:lineRule="auto"/>
        <w:ind w:firstLine="480" w:firstLineChars="200"/>
        <w:jc w:val="left"/>
        <w:rPr>
          <w:color w:val="auto"/>
          <w:sz w:val="24"/>
          <w:szCs w:val="28"/>
          <w:highlight w:val="none"/>
        </w:rPr>
      </w:pPr>
      <w:r>
        <w:rPr>
          <w:rFonts w:hint="eastAsia" w:asciiTheme="minorEastAsia" w:hAnsiTheme="minorEastAsia"/>
          <w:color w:val="auto"/>
          <w:sz w:val="24"/>
          <w:szCs w:val="24"/>
          <w:highlight w:val="none"/>
        </w:rPr>
        <w:t>双方确认，在本协议</w:t>
      </w:r>
      <w:r>
        <w:rPr>
          <w:rFonts w:hint="eastAsia" w:asciiTheme="minorEastAsia" w:hAnsiTheme="minorEastAsia"/>
          <w:color w:val="auto"/>
          <w:sz w:val="24"/>
          <w:szCs w:val="24"/>
          <w:highlight w:val="none"/>
          <w:lang w:eastAsia="zh-Hans"/>
        </w:rPr>
        <w:t>合作期</w:t>
      </w:r>
      <w:r>
        <w:rPr>
          <w:rFonts w:hint="eastAsia" w:asciiTheme="minorEastAsia" w:hAnsiTheme="minorEastAsia"/>
          <w:color w:val="auto"/>
          <w:sz w:val="24"/>
          <w:szCs w:val="24"/>
          <w:highlight w:val="none"/>
        </w:rPr>
        <w:t>内，就本协议约定的项目内容，乙方为甲方的唯一合作伙伴，未征得乙方书面同意，甲方不得与任何他方建立与本协议合作内容相同或类似的合作关系。</w:t>
      </w:r>
      <w:r>
        <w:rPr>
          <w:color w:val="auto"/>
          <w:sz w:val="24"/>
          <w:szCs w:val="28"/>
          <w:highlight w:val="none"/>
        </w:rPr>
        <w:br w:type="page"/>
      </w:r>
    </w:p>
    <w:p>
      <w:pPr>
        <w:pStyle w:val="3"/>
        <w:spacing w:before="156" w:beforeLines="50" w:after="156" w:afterLines="50" w:line="360" w:lineRule="auto"/>
        <w:jc w:val="center"/>
        <w:rPr>
          <w:b/>
          <w:color w:val="auto"/>
          <w:sz w:val="36"/>
          <w:szCs w:val="52"/>
          <w:highlight w:val="none"/>
        </w:rPr>
      </w:pPr>
      <w:bookmarkStart w:id="36" w:name="_Toc55981025"/>
      <w:bookmarkStart w:id="37" w:name="_Toc101463832"/>
      <w:r>
        <w:rPr>
          <w:rFonts w:hint="eastAsia"/>
          <w:b/>
          <w:color w:val="auto"/>
          <w:sz w:val="36"/>
          <w:szCs w:val="52"/>
          <w:highlight w:val="none"/>
        </w:rPr>
        <w:t>三、前期工作</w:t>
      </w:r>
      <w:bookmarkEnd w:id="36"/>
      <w:bookmarkEnd w:id="37"/>
    </w:p>
    <w:p>
      <w:pPr>
        <w:pStyle w:val="2"/>
        <w:spacing w:before="156" w:beforeLines="50" w:after="156" w:afterLines="50" w:line="360" w:lineRule="auto"/>
        <w:rPr>
          <w:color w:val="auto"/>
          <w:sz w:val="32"/>
          <w:szCs w:val="40"/>
          <w:highlight w:val="none"/>
        </w:rPr>
      </w:pPr>
      <w:bookmarkStart w:id="38" w:name="_Toc55981026"/>
      <w:bookmarkStart w:id="39" w:name="_Toc101463833"/>
      <w:r>
        <w:rPr>
          <w:rFonts w:hint="eastAsia"/>
          <w:color w:val="auto"/>
          <w:sz w:val="32"/>
          <w:szCs w:val="40"/>
          <w:highlight w:val="none"/>
        </w:rPr>
        <w:t>8.前期工作</w:t>
      </w:r>
      <w:bookmarkEnd w:id="38"/>
      <w:bookmarkEnd w:id="39"/>
    </w:p>
    <w:p>
      <w:pPr>
        <w:pStyle w:val="38"/>
        <w:spacing w:before="156" w:beforeLines="50" w:after="156" w:afterLines="50" w:line="360" w:lineRule="auto"/>
        <w:rPr>
          <w:color w:val="auto"/>
          <w:sz w:val="32"/>
          <w:szCs w:val="40"/>
          <w:highlight w:val="none"/>
        </w:rPr>
      </w:pPr>
      <w:bookmarkStart w:id="40" w:name="_Toc55981027"/>
      <w:r>
        <w:rPr>
          <w:rFonts w:hint="eastAsia"/>
          <w:color w:val="auto"/>
          <w:sz w:val="32"/>
          <w:szCs w:val="40"/>
          <w:highlight w:val="none"/>
        </w:rPr>
        <w:t>8.1前期工作内容</w:t>
      </w:r>
      <w:bookmarkEnd w:id="40"/>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前期工作是指为项目建设开展的前期准备工作，包括但不限于前期规划、可行性研究文件编制、项目投融资咨询、采购咨询、法律咨询、土地平整、存量资产评估等工作。</w:t>
      </w:r>
    </w:p>
    <w:p>
      <w:pPr>
        <w:pStyle w:val="38"/>
        <w:spacing w:before="156" w:beforeLines="50" w:after="156" w:afterLines="50" w:line="360" w:lineRule="auto"/>
        <w:rPr>
          <w:color w:val="auto"/>
          <w:sz w:val="32"/>
          <w:szCs w:val="40"/>
          <w:highlight w:val="none"/>
        </w:rPr>
      </w:pPr>
      <w:bookmarkStart w:id="41" w:name="_Toc55981028"/>
      <w:r>
        <w:rPr>
          <w:rFonts w:hint="eastAsia"/>
          <w:color w:val="auto"/>
          <w:sz w:val="32"/>
          <w:szCs w:val="40"/>
          <w:highlight w:val="none"/>
        </w:rPr>
        <w:t>8.2前期工作费用</w:t>
      </w:r>
      <w:bookmarkEnd w:id="41"/>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rPr>
        <w:t>项目公司成立前发生的前期</w:t>
      </w:r>
      <w:r>
        <w:rPr>
          <w:rFonts w:hint="eastAsia" w:ascii="宋体" w:hAnsi="宋体" w:eastAsia="宋体"/>
          <w:color w:val="auto"/>
          <w:sz w:val="24"/>
          <w:szCs w:val="24"/>
          <w:highlight w:val="none"/>
        </w:rPr>
        <w:t>工作</w:t>
      </w:r>
      <w:r>
        <w:rPr>
          <w:rFonts w:ascii="宋体" w:hAnsi="宋体" w:eastAsia="宋体"/>
          <w:color w:val="auto"/>
          <w:sz w:val="24"/>
          <w:szCs w:val="24"/>
          <w:highlight w:val="none"/>
        </w:rPr>
        <w:t>费用</w:t>
      </w:r>
      <w:r>
        <w:rPr>
          <w:rFonts w:hint="eastAsia" w:ascii="宋体" w:hAnsi="宋体" w:eastAsia="宋体"/>
          <w:color w:val="auto"/>
          <w:sz w:val="24"/>
          <w:szCs w:val="24"/>
          <w:highlight w:val="none"/>
        </w:rPr>
        <w:t>，待项目公司成立后，若甲方有需要且双方认可的，未支付的费用可由项目公司投资。届时由项目公司聘请双方认可的有资质的第三方审计机构对前期工作及费用进行审核，项目公司按照审核结果及甲方安排据实支付费用，并纳入其投资总额，最终结算投资回报。</w:t>
      </w:r>
    </w:p>
    <w:p>
      <w:pPr>
        <w:pStyle w:val="38"/>
        <w:spacing w:before="156" w:beforeLines="50" w:after="156" w:afterLines="50" w:line="360" w:lineRule="auto"/>
        <w:rPr>
          <w:color w:val="auto"/>
          <w:sz w:val="32"/>
          <w:szCs w:val="40"/>
          <w:highlight w:val="none"/>
        </w:rPr>
      </w:pPr>
      <w:bookmarkStart w:id="42" w:name="_Toc55981029"/>
      <w:r>
        <w:rPr>
          <w:rFonts w:hint="eastAsia"/>
          <w:color w:val="auto"/>
          <w:sz w:val="32"/>
          <w:szCs w:val="40"/>
          <w:highlight w:val="none"/>
        </w:rPr>
        <w:t>8.3前期工作成果移交</w:t>
      </w:r>
      <w:bookmarkEnd w:id="42"/>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需要由项目公司实施投资的，甲方应当在本协议生效后60日内，将前期工作成果移交给项目公司，前期工作移交成果以移交时各方确认的移交清单为准。</w:t>
      </w:r>
    </w:p>
    <w:p>
      <w:pPr>
        <w:pStyle w:val="38"/>
        <w:spacing w:before="156" w:beforeLines="50" w:after="156" w:afterLines="50" w:line="360" w:lineRule="auto"/>
        <w:rPr>
          <w:bCs w:val="0"/>
          <w:color w:val="auto"/>
          <w:sz w:val="32"/>
          <w:szCs w:val="40"/>
          <w:highlight w:val="none"/>
        </w:rPr>
      </w:pPr>
      <w:bookmarkStart w:id="43" w:name="_Toc55981030"/>
      <w:r>
        <w:rPr>
          <w:rFonts w:hint="eastAsia"/>
          <w:color w:val="auto"/>
          <w:sz w:val="32"/>
          <w:szCs w:val="40"/>
          <w:highlight w:val="none"/>
        </w:rPr>
        <w:t>8.4前期工作遗漏、缺陷或错误的处理</w:t>
      </w:r>
      <w:bookmarkEnd w:id="43"/>
    </w:p>
    <w:p>
      <w:pPr>
        <w:spacing w:before="156" w:beforeLines="50" w:after="156" w:afterLines="50" w:line="360" w:lineRule="auto"/>
        <w:ind w:firstLine="480" w:firstLineChars="200"/>
        <w:jc w:val="left"/>
        <w:rPr>
          <w:color w:val="auto"/>
          <w:sz w:val="24"/>
          <w:szCs w:val="28"/>
          <w:highlight w:val="none"/>
        </w:rPr>
      </w:pPr>
      <w:r>
        <w:rPr>
          <w:rFonts w:hint="eastAsia" w:ascii="宋体" w:hAnsi="宋体" w:eastAsia="宋体"/>
          <w:color w:val="auto"/>
          <w:sz w:val="24"/>
          <w:szCs w:val="24"/>
          <w:highlight w:val="none"/>
        </w:rPr>
        <w:t>因前期工作存在遗漏、缺陷或错误的，甲方有义务协助项目公司补充、修正和改正，由此产生的费用纳入项目公司的投资额。</w:t>
      </w:r>
      <w:r>
        <w:rPr>
          <w:color w:val="auto"/>
          <w:sz w:val="24"/>
          <w:szCs w:val="28"/>
          <w:highlight w:val="none"/>
        </w:rPr>
        <w:br w:type="page"/>
      </w:r>
    </w:p>
    <w:p>
      <w:pPr>
        <w:pStyle w:val="3"/>
        <w:spacing w:before="156" w:beforeLines="50" w:after="156" w:afterLines="50" w:line="360" w:lineRule="auto"/>
        <w:jc w:val="center"/>
        <w:rPr>
          <w:b/>
          <w:color w:val="auto"/>
          <w:sz w:val="36"/>
          <w:szCs w:val="52"/>
          <w:highlight w:val="none"/>
        </w:rPr>
      </w:pPr>
      <w:bookmarkStart w:id="44" w:name="_Toc101463834"/>
      <w:bookmarkStart w:id="45" w:name="_Toc55981031"/>
      <w:r>
        <w:rPr>
          <w:rFonts w:hint="eastAsia"/>
          <w:b/>
          <w:color w:val="auto"/>
          <w:sz w:val="36"/>
          <w:szCs w:val="52"/>
          <w:highlight w:val="none"/>
        </w:rPr>
        <w:t>四、项目公司</w:t>
      </w:r>
      <w:bookmarkEnd w:id="44"/>
      <w:bookmarkEnd w:id="45"/>
    </w:p>
    <w:p>
      <w:pPr>
        <w:pStyle w:val="2"/>
        <w:spacing w:before="156" w:beforeLines="50" w:after="156" w:afterLines="50" w:line="360" w:lineRule="auto"/>
        <w:rPr>
          <w:color w:val="auto"/>
          <w:sz w:val="32"/>
          <w:szCs w:val="40"/>
          <w:highlight w:val="none"/>
        </w:rPr>
      </w:pPr>
      <w:bookmarkStart w:id="46" w:name="_Toc55981032"/>
      <w:bookmarkStart w:id="47" w:name="_Toc101463835"/>
      <w:r>
        <w:rPr>
          <w:rFonts w:hint="eastAsia"/>
          <w:color w:val="auto"/>
          <w:sz w:val="32"/>
          <w:szCs w:val="40"/>
          <w:highlight w:val="none"/>
        </w:rPr>
        <w:t>9.项目公司的设立</w:t>
      </w:r>
      <w:bookmarkEnd w:id="46"/>
      <w:bookmarkEnd w:id="47"/>
    </w:p>
    <w:p>
      <w:pPr>
        <w:pStyle w:val="38"/>
        <w:spacing w:before="156" w:beforeLines="50" w:after="156" w:afterLines="50" w:line="360" w:lineRule="auto"/>
        <w:rPr>
          <w:color w:val="auto"/>
          <w:sz w:val="32"/>
          <w:szCs w:val="40"/>
          <w:highlight w:val="none"/>
        </w:rPr>
      </w:pPr>
      <w:bookmarkStart w:id="48" w:name="_Toc55981033"/>
      <w:r>
        <w:rPr>
          <w:rFonts w:hint="eastAsia"/>
          <w:color w:val="auto"/>
          <w:sz w:val="32"/>
          <w:szCs w:val="40"/>
          <w:highlight w:val="none"/>
        </w:rPr>
        <w:t>9.1项目公司注册资本</w:t>
      </w:r>
      <w:bookmarkEnd w:id="48"/>
    </w:p>
    <w:p>
      <w:pPr>
        <w:spacing w:before="156" w:beforeLines="50" w:after="156" w:afterLines="5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项目公司</w:t>
      </w:r>
      <w:r>
        <w:rPr>
          <w:rFonts w:ascii="宋体" w:hAnsi="宋体" w:eastAsia="宋体"/>
          <w:color w:val="auto"/>
          <w:sz w:val="24"/>
          <w:szCs w:val="24"/>
          <w:highlight w:val="none"/>
        </w:rPr>
        <w:t>注册资本为</w:t>
      </w:r>
      <w:r>
        <w:rPr>
          <w:rFonts w:hint="eastAsia" w:ascii="宋体" w:hAnsi="宋体" w:eastAsia="宋体"/>
          <w:color w:val="auto"/>
          <w:sz w:val="24"/>
          <w:szCs w:val="24"/>
          <w:highlight w:val="none"/>
        </w:rPr>
        <w:t>壹</w:t>
      </w:r>
      <w:r>
        <w:rPr>
          <w:rFonts w:ascii="宋体" w:hAnsi="宋体" w:eastAsia="宋体"/>
          <w:color w:val="auto"/>
          <w:sz w:val="24"/>
          <w:szCs w:val="24"/>
          <w:highlight w:val="none"/>
        </w:rPr>
        <w:t>亿元人民币</w:t>
      </w:r>
      <w:r>
        <w:rPr>
          <w:rFonts w:hint="eastAsia" w:ascii="宋体" w:hAnsi="宋体" w:eastAsia="宋体"/>
          <w:color w:val="auto"/>
          <w:sz w:val="24"/>
          <w:szCs w:val="24"/>
          <w:highlight w:val="none"/>
        </w:rPr>
        <w:t>。</w:t>
      </w:r>
      <w:r>
        <w:rPr>
          <w:rFonts w:ascii="宋体" w:hAnsi="宋体" w:eastAsia="宋体"/>
          <w:color w:val="auto"/>
          <w:sz w:val="24"/>
          <w:szCs w:val="24"/>
          <w:highlight w:val="none"/>
        </w:rPr>
        <w:t>其中:</w:t>
      </w:r>
      <w:r>
        <w:rPr>
          <w:rFonts w:hint="eastAsia" w:ascii="宋体" w:hAnsi="宋体" w:eastAsia="宋体"/>
          <w:color w:val="auto"/>
          <w:sz w:val="24"/>
          <w:szCs w:val="24"/>
          <w:highlight w:val="none"/>
        </w:rPr>
        <w:t>甲方</w:t>
      </w:r>
      <w:r>
        <w:rPr>
          <w:rFonts w:ascii="宋体" w:hAnsi="宋体" w:eastAsia="宋体"/>
          <w:color w:val="auto"/>
          <w:sz w:val="24"/>
          <w:szCs w:val="24"/>
          <w:highlight w:val="none"/>
        </w:rPr>
        <w:t>出资</w:t>
      </w:r>
      <w:r>
        <w:rPr>
          <w:rFonts w:hint="eastAsia" w:ascii="宋体" w:hAnsi="宋体" w:eastAsia="宋体"/>
          <w:color w:val="auto"/>
          <w:sz w:val="24"/>
          <w:szCs w:val="24"/>
          <w:highlight w:val="none"/>
        </w:rPr>
        <w:t>1000万元，</w:t>
      </w:r>
      <w:r>
        <w:rPr>
          <w:rFonts w:ascii="宋体" w:hAnsi="宋体" w:eastAsia="宋体"/>
          <w:color w:val="auto"/>
          <w:sz w:val="24"/>
          <w:szCs w:val="24"/>
          <w:highlight w:val="none"/>
        </w:rPr>
        <w:t>持股比例为10</w:t>
      </w:r>
      <w:r>
        <w:rPr>
          <w:rFonts w:hint="eastAsia" w:ascii="宋体" w:hAnsi="宋体" w:eastAsia="宋体"/>
          <w:color w:val="auto"/>
          <w:sz w:val="24"/>
          <w:szCs w:val="24"/>
          <w:highlight w:val="none"/>
        </w:rPr>
        <w:t>%为特殊股权，乙方出资9000万元</w:t>
      </w:r>
      <w:r>
        <w:rPr>
          <w:rFonts w:ascii="宋体" w:hAnsi="宋体" w:eastAsia="宋体"/>
          <w:color w:val="auto"/>
          <w:sz w:val="24"/>
          <w:szCs w:val="24"/>
          <w:highlight w:val="none"/>
        </w:rPr>
        <w:t>，持股比例为90</w:t>
      </w:r>
      <w:r>
        <w:rPr>
          <w:rFonts w:hint="eastAsia" w:ascii="宋体" w:hAnsi="宋体" w:eastAsia="宋体"/>
          <w:color w:val="auto"/>
          <w:sz w:val="24"/>
          <w:szCs w:val="24"/>
          <w:highlight w:val="none"/>
        </w:rPr>
        <w:t>%。</w:t>
      </w:r>
      <w:r>
        <w:rPr>
          <w:rFonts w:ascii="宋体" w:hAnsi="宋体" w:eastAsia="宋体"/>
          <w:color w:val="auto"/>
          <w:sz w:val="24"/>
          <w:szCs w:val="24"/>
          <w:highlight w:val="none"/>
        </w:rPr>
        <w:t>项目公司的注册资本金应当</w:t>
      </w:r>
      <w:r>
        <w:rPr>
          <w:rFonts w:hint="eastAsia" w:ascii="宋体" w:hAnsi="宋体" w:eastAsia="宋体"/>
          <w:color w:val="auto"/>
          <w:sz w:val="24"/>
          <w:szCs w:val="24"/>
          <w:highlight w:val="none"/>
        </w:rPr>
        <w:t>于</w:t>
      </w:r>
      <w:r>
        <w:rPr>
          <w:rFonts w:ascii="宋体" w:hAnsi="宋体" w:eastAsia="宋体"/>
          <w:color w:val="auto"/>
          <w:sz w:val="24"/>
          <w:szCs w:val="24"/>
          <w:highlight w:val="none"/>
        </w:rPr>
        <w:t>项目公司设立</w:t>
      </w:r>
      <w:r>
        <w:rPr>
          <w:rFonts w:hint="eastAsia" w:ascii="宋体" w:hAnsi="宋体" w:eastAsia="宋体"/>
          <w:color w:val="auto"/>
          <w:sz w:val="24"/>
          <w:szCs w:val="24"/>
          <w:highlight w:val="none"/>
        </w:rPr>
        <w:t>登记</w:t>
      </w:r>
      <w:r>
        <w:rPr>
          <w:rFonts w:ascii="宋体" w:hAnsi="宋体" w:eastAsia="宋体"/>
          <w:color w:val="auto"/>
          <w:sz w:val="24"/>
          <w:szCs w:val="24"/>
          <w:highlight w:val="none"/>
        </w:rPr>
        <w:t>完成后60</w:t>
      </w:r>
      <w:r>
        <w:rPr>
          <w:rFonts w:hint="eastAsia" w:ascii="宋体" w:hAnsi="宋体" w:eastAsia="宋体"/>
          <w:color w:val="auto"/>
          <w:sz w:val="24"/>
          <w:szCs w:val="24"/>
          <w:highlight w:val="none"/>
        </w:rPr>
        <w:t>日</w:t>
      </w:r>
      <w:r>
        <w:rPr>
          <w:rFonts w:ascii="宋体" w:hAnsi="宋体" w:eastAsia="宋体"/>
          <w:color w:val="auto"/>
          <w:sz w:val="24"/>
          <w:szCs w:val="24"/>
          <w:highlight w:val="none"/>
        </w:rPr>
        <w:t>内</w:t>
      </w:r>
      <w:r>
        <w:rPr>
          <w:rFonts w:hint="eastAsia" w:ascii="宋体" w:hAnsi="宋体" w:eastAsia="宋体"/>
          <w:color w:val="auto"/>
          <w:sz w:val="24"/>
          <w:szCs w:val="24"/>
          <w:highlight w:val="none"/>
        </w:rPr>
        <w:t>全部</w:t>
      </w:r>
      <w:r>
        <w:rPr>
          <w:rFonts w:ascii="宋体" w:hAnsi="宋体" w:eastAsia="宋体"/>
          <w:color w:val="auto"/>
          <w:sz w:val="24"/>
          <w:szCs w:val="24"/>
          <w:highlight w:val="none"/>
        </w:rPr>
        <w:t>缴纳完毕。</w:t>
      </w:r>
    </w:p>
    <w:p>
      <w:pPr>
        <w:pStyle w:val="38"/>
        <w:spacing w:before="156" w:beforeLines="50" w:after="156" w:afterLines="50" w:line="360" w:lineRule="auto"/>
        <w:rPr>
          <w:color w:val="auto"/>
          <w:sz w:val="32"/>
          <w:szCs w:val="40"/>
          <w:highlight w:val="none"/>
        </w:rPr>
      </w:pPr>
      <w:bookmarkStart w:id="49" w:name="_Toc55981034"/>
      <w:r>
        <w:rPr>
          <w:rFonts w:hint="eastAsia"/>
          <w:color w:val="auto"/>
          <w:sz w:val="32"/>
          <w:szCs w:val="40"/>
          <w:highlight w:val="none"/>
        </w:rPr>
        <w:t>9.2项目资本金</w:t>
      </w:r>
      <w:bookmarkEnd w:id="49"/>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本项目资本金比例为投资估算总额的</w:t>
      </w:r>
      <w:r>
        <w:rPr>
          <w:rFonts w:ascii="宋体" w:hAnsi="宋体" w:eastAsia="宋体"/>
          <w:color w:val="auto"/>
          <w:sz w:val="24"/>
          <w:szCs w:val="24"/>
          <w:highlight w:val="none"/>
        </w:rPr>
        <w:t>20%</w:t>
      </w:r>
      <w:r>
        <w:rPr>
          <w:rFonts w:hint="eastAsia" w:ascii="宋体" w:hAnsi="宋体" w:eastAsia="宋体"/>
          <w:color w:val="auto"/>
          <w:sz w:val="24"/>
          <w:szCs w:val="24"/>
          <w:highlight w:val="none"/>
        </w:rPr>
        <w:t>，除注册资本金以外的项目资本金由乙方各方按照股权比例并根据项目进度计划和资金计划及时认缴到位。</w:t>
      </w:r>
    </w:p>
    <w:p>
      <w:pPr>
        <w:pStyle w:val="38"/>
        <w:spacing w:before="156" w:beforeLines="50" w:after="156" w:afterLines="50" w:line="360" w:lineRule="auto"/>
        <w:rPr>
          <w:color w:val="auto"/>
          <w:sz w:val="32"/>
          <w:szCs w:val="40"/>
          <w:highlight w:val="none"/>
        </w:rPr>
      </w:pPr>
      <w:r>
        <w:rPr>
          <w:rFonts w:hint="eastAsia"/>
          <w:color w:val="auto"/>
          <w:sz w:val="32"/>
          <w:szCs w:val="40"/>
          <w:highlight w:val="none"/>
        </w:rPr>
        <w:t>9.</w:t>
      </w:r>
      <w:r>
        <w:rPr>
          <w:color w:val="auto"/>
          <w:sz w:val="32"/>
          <w:szCs w:val="40"/>
          <w:highlight w:val="none"/>
        </w:rPr>
        <w:t>3</w:t>
      </w:r>
      <w:r>
        <w:rPr>
          <w:rFonts w:hint="eastAsia"/>
          <w:color w:val="auto"/>
          <w:sz w:val="32"/>
          <w:szCs w:val="40"/>
          <w:highlight w:val="none"/>
        </w:rPr>
        <w:t>项目</w:t>
      </w:r>
      <w:r>
        <w:rPr>
          <w:color w:val="auto"/>
          <w:sz w:val="32"/>
          <w:szCs w:val="40"/>
          <w:highlight w:val="none"/>
        </w:rPr>
        <w:t>债务性资金</w:t>
      </w:r>
    </w:p>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项目债务资金约占总投资的80%，由项目公司作为融资主体通过银行贷款等方式筹集。若无特别确认，本项目建设、管理、移交等所需要的全部投资均由项目公司负责筹措解决。</w:t>
      </w:r>
    </w:p>
    <w:p>
      <w:pPr>
        <w:pStyle w:val="38"/>
        <w:spacing w:before="156" w:beforeLines="50" w:after="156" w:afterLines="50" w:line="360" w:lineRule="auto"/>
        <w:rPr>
          <w:color w:val="auto"/>
          <w:sz w:val="32"/>
          <w:szCs w:val="40"/>
          <w:highlight w:val="none"/>
        </w:rPr>
      </w:pPr>
      <w:r>
        <w:rPr>
          <w:rFonts w:hint="eastAsia"/>
          <w:color w:val="auto"/>
          <w:sz w:val="32"/>
          <w:szCs w:val="40"/>
          <w:highlight w:val="none"/>
        </w:rPr>
        <w:t>9.4出资</w:t>
      </w:r>
      <w:r>
        <w:rPr>
          <w:color w:val="auto"/>
          <w:sz w:val="32"/>
          <w:szCs w:val="40"/>
          <w:highlight w:val="none"/>
        </w:rPr>
        <w:t>要求</w:t>
      </w:r>
    </w:p>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9.4.1乙方应按甲方具体实施项目时的初始批复概算金额、项目投资计划和资本金比例确定实际的项目资本金金额，并按建设进度足额到位。如需要增加项目投资并追加项目资本金的，甲方、</w:t>
      </w:r>
      <w:r>
        <w:rPr>
          <w:rFonts w:ascii="宋体" w:hAnsi="宋体" w:eastAsia="宋体"/>
          <w:color w:val="auto"/>
          <w:sz w:val="24"/>
          <w:szCs w:val="24"/>
          <w:highlight w:val="none"/>
        </w:rPr>
        <w:t>乙方</w:t>
      </w:r>
      <w:r>
        <w:rPr>
          <w:rFonts w:hint="eastAsia" w:ascii="宋体" w:hAnsi="宋体" w:eastAsia="宋体"/>
          <w:color w:val="auto"/>
          <w:sz w:val="24"/>
          <w:szCs w:val="24"/>
          <w:highlight w:val="none"/>
        </w:rPr>
        <w:t>届时协商确定后以补充协议的方式约定。</w:t>
      </w:r>
    </w:p>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9.4.2乙方确保为项目公司实施相关工作提供必要的协助，并按照本协议约定的时间和内容提供本项目所需的资源和条件，包括但不限于资金、技术、资源等。合作期内，甲乙双方应当根据本协议要求，协助项目公司维持完成相应工作所需的资信条件。</w:t>
      </w:r>
    </w:p>
    <w:p>
      <w:pPr>
        <w:pStyle w:val="2"/>
        <w:spacing w:before="156" w:beforeLines="50" w:after="156" w:afterLines="50" w:line="360" w:lineRule="auto"/>
        <w:rPr>
          <w:color w:val="auto"/>
          <w:sz w:val="32"/>
          <w:szCs w:val="40"/>
          <w:highlight w:val="none"/>
        </w:rPr>
      </w:pPr>
      <w:bookmarkStart w:id="50" w:name="_Toc101463836"/>
      <w:bookmarkStart w:id="51" w:name="_Toc55981035"/>
      <w:r>
        <w:rPr>
          <w:rFonts w:hint="eastAsia"/>
          <w:color w:val="auto"/>
          <w:sz w:val="32"/>
          <w:szCs w:val="40"/>
          <w:highlight w:val="none"/>
        </w:rPr>
        <w:t>10.项目公司治理</w:t>
      </w:r>
      <w:bookmarkEnd w:id="50"/>
      <w:bookmarkEnd w:id="51"/>
    </w:p>
    <w:p>
      <w:pPr>
        <w:pStyle w:val="38"/>
        <w:spacing w:before="156" w:beforeLines="50" w:after="156" w:afterLines="50" w:line="360" w:lineRule="auto"/>
        <w:rPr>
          <w:color w:val="auto"/>
          <w:sz w:val="32"/>
          <w:szCs w:val="40"/>
          <w:highlight w:val="none"/>
        </w:rPr>
      </w:pPr>
      <w:bookmarkStart w:id="52" w:name="_Toc55981036"/>
      <w:r>
        <w:rPr>
          <w:rFonts w:hint="eastAsia"/>
          <w:color w:val="auto"/>
          <w:sz w:val="32"/>
          <w:szCs w:val="40"/>
          <w:highlight w:val="none"/>
        </w:rPr>
        <w:t>10.1项目公司股东会</w:t>
      </w:r>
      <w:bookmarkEnd w:id="52"/>
    </w:p>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项目公司设股东会，由全体股东组成，股东会是项目公司的最高权力机构，参照《公司法》相关规定，各股东权责利由公司章程确定。</w:t>
      </w:r>
    </w:p>
    <w:p>
      <w:pPr>
        <w:pStyle w:val="38"/>
        <w:spacing w:before="156" w:beforeLines="50" w:after="156" w:afterLines="50" w:line="360" w:lineRule="auto"/>
        <w:rPr>
          <w:color w:val="auto"/>
          <w:sz w:val="32"/>
          <w:szCs w:val="40"/>
          <w:highlight w:val="none"/>
        </w:rPr>
      </w:pPr>
      <w:bookmarkStart w:id="53" w:name="_Toc55981037"/>
      <w:r>
        <w:rPr>
          <w:rFonts w:hint="eastAsia"/>
          <w:color w:val="auto"/>
          <w:sz w:val="32"/>
          <w:szCs w:val="40"/>
          <w:highlight w:val="none"/>
        </w:rPr>
        <w:t>10.2项目公司董事会</w:t>
      </w:r>
      <w:bookmarkEnd w:id="53"/>
    </w:p>
    <w:p>
      <w:pPr>
        <w:spacing w:before="156" w:beforeLines="50" w:after="156" w:afterLines="50" w:line="360" w:lineRule="auto"/>
        <w:ind w:firstLine="420"/>
        <w:jc w:val="left"/>
        <w:rPr>
          <w:rFonts w:ascii="宋体" w:hAnsi="宋体" w:eastAsia="宋体"/>
          <w:color w:val="auto"/>
          <w:sz w:val="24"/>
          <w:szCs w:val="24"/>
          <w:highlight w:val="none"/>
        </w:rPr>
      </w:pPr>
      <w:r>
        <w:rPr>
          <w:rFonts w:ascii="宋体" w:hAnsi="宋体" w:eastAsia="宋体"/>
          <w:color w:val="auto"/>
          <w:sz w:val="24"/>
          <w:szCs w:val="24"/>
          <w:highlight w:val="none"/>
        </w:rPr>
        <w:t>项目公司设董事会</w:t>
      </w:r>
      <w:r>
        <w:rPr>
          <w:rFonts w:hint="eastAsia" w:ascii="宋体" w:hAnsi="宋体" w:eastAsia="宋体"/>
          <w:color w:val="auto"/>
          <w:sz w:val="24"/>
          <w:szCs w:val="24"/>
          <w:highlight w:val="none"/>
        </w:rPr>
        <w:t>，</w:t>
      </w:r>
      <w:r>
        <w:rPr>
          <w:rFonts w:ascii="宋体" w:hAnsi="宋体" w:eastAsia="宋体"/>
          <w:color w:val="auto"/>
          <w:sz w:val="24"/>
          <w:szCs w:val="24"/>
          <w:highlight w:val="none"/>
        </w:rPr>
        <w:t>董事会对股东会负责</w:t>
      </w:r>
      <w:r>
        <w:rPr>
          <w:rFonts w:hint="eastAsia" w:ascii="宋体" w:hAnsi="宋体" w:eastAsia="宋体"/>
          <w:color w:val="auto"/>
          <w:sz w:val="24"/>
          <w:szCs w:val="24"/>
          <w:highlight w:val="none"/>
        </w:rPr>
        <w:t>。董事会由</w:t>
      </w:r>
      <w:r>
        <w:rPr>
          <w:rFonts w:ascii="宋体" w:hAnsi="宋体" w:eastAsia="宋体"/>
          <w:color w:val="auto"/>
          <w:sz w:val="24"/>
          <w:szCs w:val="24"/>
          <w:highlight w:val="none"/>
        </w:rPr>
        <w:t>5</w:t>
      </w:r>
      <w:r>
        <w:rPr>
          <w:rFonts w:hint="eastAsia" w:ascii="宋体" w:hAnsi="宋体" w:eastAsia="宋体"/>
          <w:color w:val="auto"/>
          <w:sz w:val="24"/>
          <w:szCs w:val="24"/>
          <w:highlight w:val="none"/>
        </w:rPr>
        <w:t>名董事组成，含职工董事</w:t>
      </w:r>
      <w:r>
        <w:rPr>
          <w:rFonts w:ascii="宋体" w:hAnsi="宋体" w:eastAsia="宋体"/>
          <w:color w:val="auto"/>
          <w:sz w:val="24"/>
          <w:szCs w:val="24"/>
          <w:highlight w:val="none"/>
        </w:rPr>
        <w:t>1</w:t>
      </w:r>
      <w:r>
        <w:rPr>
          <w:rFonts w:hint="eastAsia" w:ascii="宋体" w:hAnsi="宋体" w:eastAsia="宋体"/>
          <w:color w:val="auto"/>
          <w:sz w:val="24"/>
          <w:szCs w:val="24"/>
          <w:highlight w:val="none"/>
        </w:rPr>
        <w:t>名。其中，甲方委派</w:t>
      </w:r>
      <w:r>
        <w:rPr>
          <w:rFonts w:ascii="宋体" w:hAnsi="宋体" w:eastAsia="宋体"/>
          <w:color w:val="auto"/>
          <w:sz w:val="24"/>
          <w:szCs w:val="24"/>
          <w:highlight w:val="none"/>
        </w:rPr>
        <w:t>1</w:t>
      </w:r>
      <w:r>
        <w:rPr>
          <w:rFonts w:hint="eastAsia" w:ascii="宋体" w:hAnsi="宋体" w:eastAsia="宋体"/>
          <w:color w:val="auto"/>
          <w:sz w:val="24"/>
          <w:szCs w:val="24"/>
          <w:highlight w:val="none"/>
        </w:rPr>
        <w:t>名，乙方委派</w:t>
      </w:r>
      <w:r>
        <w:rPr>
          <w:rFonts w:ascii="宋体" w:hAnsi="宋体" w:eastAsia="宋体"/>
          <w:color w:val="auto"/>
          <w:sz w:val="24"/>
          <w:szCs w:val="24"/>
          <w:highlight w:val="none"/>
        </w:rPr>
        <w:t>3</w:t>
      </w:r>
      <w:r>
        <w:rPr>
          <w:rFonts w:hint="eastAsia" w:ascii="宋体" w:hAnsi="宋体" w:eastAsia="宋体"/>
          <w:color w:val="auto"/>
          <w:sz w:val="24"/>
          <w:szCs w:val="24"/>
          <w:highlight w:val="none"/>
        </w:rPr>
        <w:t>名，职工董事</w:t>
      </w:r>
      <w:r>
        <w:rPr>
          <w:rFonts w:ascii="宋体" w:hAnsi="宋体" w:eastAsia="宋体"/>
          <w:color w:val="auto"/>
          <w:sz w:val="24"/>
          <w:szCs w:val="24"/>
          <w:highlight w:val="none"/>
        </w:rPr>
        <w:t>1</w:t>
      </w:r>
      <w:r>
        <w:rPr>
          <w:rFonts w:hint="eastAsia" w:ascii="宋体" w:hAnsi="宋体" w:eastAsia="宋体"/>
          <w:color w:val="auto"/>
          <w:sz w:val="24"/>
          <w:szCs w:val="24"/>
          <w:highlight w:val="none"/>
        </w:rPr>
        <w:t>名，通过项目公司职工大会或其他方式民主选举产生。董事会设董事长</w:t>
      </w:r>
      <w:r>
        <w:rPr>
          <w:rFonts w:ascii="宋体" w:hAnsi="宋体" w:eastAsia="宋体"/>
          <w:color w:val="auto"/>
          <w:sz w:val="24"/>
          <w:szCs w:val="24"/>
          <w:highlight w:val="none"/>
        </w:rPr>
        <w:t>1</w:t>
      </w:r>
      <w:r>
        <w:rPr>
          <w:rFonts w:hint="eastAsia" w:ascii="宋体" w:hAnsi="宋体" w:eastAsia="宋体"/>
          <w:color w:val="auto"/>
          <w:sz w:val="24"/>
          <w:szCs w:val="24"/>
          <w:highlight w:val="none"/>
        </w:rPr>
        <w:t>人，由全体董事在乙方委派的董事中选举产生，为公司法定代表人。按照公司法执行。</w:t>
      </w:r>
    </w:p>
    <w:p>
      <w:pPr>
        <w:pStyle w:val="38"/>
        <w:spacing w:before="156" w:beforeLines="50" w:after="156" w:afterLines="50" w:line="360" w:lineRule="auto"/>
        <w:rPr>
          <w:rFonts w:ascii="黑体" w:hAnsi="黑体"/>
          <w:color w:val="auto"/>
          <w:sz w:val="32"/>
          <w:highlight w:val="none"/>
        </w:rPr>
      </w:pPr>
      <w:bookmarkStart w:id="54" w:name="_Toc55981038"/>
      <w:r>
        <w:rPr>
          <w:rFonts w:hint="eastAsia"/>
          <w:color w:val="auto"/>
          <w:sz w:val="32"/>
          <w:szCs w:val="40"/>
          <w:highlight w:val="none"/>
        </w:rPr>
        <w:t>10.3项目公司监事会</w:t>
      </w:r>
      <w:bookmarkEnd w:id="54"/>
    </w:p>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公司设立监事会，是公司的监督机构，主要职责是对公司董事、总经理及其他高级管理人员行使监督职能。监事会由3名监事组成（含职工监事1名），甲乙双方各推荐1名，职工监事1名，通过项目公司职工大会或其他方式民主选举产生。监事会主席由全体监事在</w:t>
      </w:r>
      <w:r>
        <w:rPr>
          <w:rFonts w:ascii="宋体" w:hAnsi="宋体" w:eastAsia="宋体"/>
          <w:color w:val="auto"/>
          <w:sz w:val="24"/>
          <w:szCs w:val="24"/>
          <w:highlight w:val="none"/>
        </w:rPr>
        <w:t>乙方推荐的监事中</w:t>
      </w:r>
      <w:r>
        <w:rPr>
          <w:rFonts w:hint="eastAsia" w:ascii="宋体" w:hAnsi="宋体" w:eastAsia="宋体"/>
          <w:color w:val="auto"/>
          <w:sz w:val="24"/>
          <w:szCs w:val="24"/>
          <w:highlight w:val="none"/>
        </w:rPr>
        <w:t>经过半数监事</w:t>
      </w:r>
      <w:r>
        <w:rPr>
          <w:rFonts w:ascii="宋体" w:hAnsi="宋体" w:eastAsia="宋体"/>
          <w:color w:val="auto"/>
          <w:sz w:val="24"/>
          <w:szCs w:val="24"/>
          <w:highlight w:val="none"/>
        </w:rPr>
        <w:t>同意后</w:t>
      </w:r>
      <w:r>
        <w:rPr>
          <w:rFonts w:hint="eastAsia" w:ascii="宋体" w:hAnsi="宋体" w:eastAsia="宋体"/>
          <w:color w:val="auto"/>
          <w:sz w:val="24"/>
          <w:szCs w:val="24"/>
          <w:highlight w:val="none"/>
        </w:rPr>
        <w:t>选举产生。</w:t>
      </w:r>
    </w:p>
    <w:p>
      <w:pPr>
        <w:pStyle w:val="38"/>
        <w:spacing w:before="156" w:beforeLines="50" w:after="156" w:afterLines="50" w:line="360" w:lineRule="auto"/>
        <w:rPr>
          <w:color w:val="auto"/>
          <w:sz w:val="32"/>
          <w:szCs w:val="40"/>
          <w:highlight w:val="none"/>
        </w:rPr>
      </w:pPr>
      <w:bookmarkStart w:id="55" w:name="_Toc55981039"/>
      <w:r>
        <w:rPr>
          <w:rFonts w:hint="eastAsia"/>
          <w:color w:val="auto"/>
          <w:sz w:val="32"/>
          <w:szCs w:val="40"/>
          <w:highlight w:val="none"/>
        </w:rPr>
        <w:t>10.4项目公司经理层</w:t>
      </w:r>
      <w:bookmarkEnd w:id="55"/>
    </w:p>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经理层由1名总经理和3名副总经理（含财务总监担任</w:t>
      </w:r>
      <w:r>
        <w:rPr>
          <w:rFonts w:ascii="宋体" w:hAnsi="宋体" w:eastAsia="宋体"/>
          <w:color w:val="auto"/>
          <w:sz w:val="24"/>
          <w:szCs w:val="24"/>
          <w:highlight w:val="none"/>
        </w:rPr>
        <w:t>财务负责人</w:t>
      </w:r>
      <w:r>
        <w:rPr>
          <w:rFonts w:hint="eastAsia" w:ascii="宋体" w:hAnsi="宋体" w:eastAsia="宋体"/>
          <w:color w:val="auto"/>
          <w:sz w:val="24"/>
          <w:szCs w:val="24"/>
          <w:highlight w:val="none"/>
        </w:rPr>
        <w:t>）组成。其中总经理1名，由乙方推荐，负责公司的日常经营管理工作。副总经理3名，乙方推荐</w:t>
      </w:r>
      <w:r>
        <w:rPr>
          <w:rFonts w:ascii="宋体" w:hAnsi="宋体" w:eastAsia="宋体"/>
          <w:color w:val="auto"/>
          <w:sz w:val="24"/>
          <w:szCs w:val="24"/>
          <w:highlight w:val="none"/>
        </w:rPr>
        <w:t>2名（含财务总监</w:t>
      </w:r>
      <w:r>
        <w:rPr>
          <w:rFonts w:hint="eastAsia" w:ascii="宋体" w:hAnsi="宋体" w:eastAsia="宋体"/>
          <w:color w:val="auto"/>
          <w:sz w:val="24"/>
          <w:szCs w:val="24"/>
          <w:highlight w:val="none"/>
        </w:rPr>
        <w:t>），甲方推荐1名。项目公司经理层由董事会决定聘任或解聘。</w:t>
      </w:r>
    </w:p>
    <w:p>
      <w:pPr>
        <w:pStyle w:val="2"/>
        <w:spacing w:before="156" w:beforeLines="50" w:after="156" w:afterLines="50" w:line="360" w:lineRule="auto"/>
        <w:rPr>
          <w:color w:val="auto"/>
          <w:sz w:val="32"/>
          <w:szCs w:val="40"/>
          <w:highlight w:val="none"/>
        </w:rPr>
      </w:pPr>
      <w:bookmarkStart w:id="56" w:name="_Toc101463837"/>
      <w:bookmarkStart w:id="57" w:name="_Hlk101618524"/>
      <w:r>
        <w:rPr>
          <w:rFonts w:hint="eastAsia"/>
          <w:color w:val="auto"/>
          <w:sz w:val="32"/>
          <w:szCs w:val="40"/>
          <w:highlight w:val="none"/>
        </w:rPr>
        <w:t>1</w:t>
      </w:r>
      <w:r>
        <w:rPr>
          <w:color w:val="auto"/>
          <w:sz w:val="32"/>
          <w:szCs w:val="40"/>
          <w:highlight w:val="none"/>
        </w:rPr>
        <w:t xml:space="preserve">0.5 </w:t>
      </w:r>
      <w:r>
        <w:rPr>
          <w:rFonts w:hint="eastAsia"/>
          <w:color w:val="auto"/>
          <w:sz w:val="32"/>
          <w:szCs w:val="40"/>
          <w:highlight w:val="none"/>
        </w:rPr>
        <w:t>项目公司的经营管理</w:t>
      </w:r>
      <w:bookmarkEnd w:id="56"/>
    </w:p>
    <w:bookmarkEnd w:id="57"/>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0.5.1</w:t>
      </w:r>
      <w:r>
        <w:rPr>
          <w:rFonts w:hint="eastAsia" w:ascii="宋体" w:hAnsi="宋体" w:eastAsia="宋体"/>
          <w:color w:val="auto"/>
          <w:sz w:val="24"/>
          <w:szCs w:val="24"/>
          <w:highlight w:val="none"/>
        </w:rPr>
        <w:t>除非双方一致同意，项目公司不另行招聘工作人员。经双方协商同意后，项目公司可将除手续办理、规划报批外的其他全部经营管理事项委托给乙方指定且甲方同意的主体负责，由项目公司向负责主体支付</w:t>
      </w:r>
      <w:r>
        <w:rPr>
          <w:rFonts w:ascii="宋体" w:hAnsi="宋体" w:eastAsia="宋体"/>
          <w:color w:val="auto"/>
          <w:sz w:val="24"/>
          <w:szCs w:val="24"/>
          <w:highlight w:val="none"/>
        </w:rPr>
        <w:t>720</w:t>
      </w:r>
      <w:r>
        <w:rPr>
          <w:rFonts w:hint="eastAsia" w:ascii="宋体" w:hAnsi="宋体" w:eastAsia="宋体"/>
          <w:color w:val="auto"/>
          <w:sz w:val="24"/>
          <w:szCs w:val="24"/>
          <w:highlight w:val="none"/>
        </w:rPr>
        <w:t>万元</w:t>
      </w:r>
      <w:r>
        <w:rPr>
          <w:rFonts w:ascii="宋体" w:hAnsi="宋体" w:eastAsia="宋体"/>
          <w:color w:val="auto"/>
          <w:sz w:val="24"/>
          <w:szCs w:val="24"/>
          <w:highlight w:val="none"/>
        </w:rPr>
        <w:t>/</w:t>
      </w:r>
      <w:r>
        <w:rPr>
          <w:rFonts w:hint="eastAsia" w:ascii="宋体" w:hAnsi="宋体" w:eastAsia="宋体"/>
          <w:color w:val="auto"/>
          <w:sz w:val="24"/>
          <w:szCs w:val="24"/>
          <w:highlight w:val="none"/>
        </w:rPr>
        <w:t>年的委托费用，作为项目公司的经营管理费用；具体管理权限、方式、费用以负责主体及项目公司签署的委托管理协议的约定为准。</w:t>
      </w:r>
    </w:p>
    <w:p>
      <w:pPr>
        <w:spacing w:before="156" w:beforeLines="50" w:after="156" w:afterLines="50" w:line="360" w:lineRule="auto"/>
        <w:ind w:firstLine="420"/>
        <w:jc w:val="left"/>
        <w:rPr>
          <w:rFonts w:ascii="宋体" w:hAnsi="宋体" w:eastAsia="宋体"/>
          <w:color w:val="auto"/>
          <w:sz w:val="24"/>
          <w:szCs w:val="24"/>
          <w:highlight w:val="none"/>
        </w:rPr>
      </w:pPr>
      <w:r>
        <w:rPr>
          <w:rFonts w:ascii="宋体" w:hAnsi="宋体" w:eastAsia="宋体"/>
          <w:color w:val="auto"/>
          <w:sz w:val="24"/>
          <w:szCs w:val="24"/>
          <w:highlight w:val="none"/>
        </w:rPr>
        <w:t>10.5.2</w:t>
      </w:r>
      <w:r>
        <w:rPr>
          <w:rFonts w:hint="eastAsia" w:ascii="宋体" w:hAnsi="宋体" w:eastAsia="宋体"/>
          <w:color w:val="auto"/>
          <w:sz w:val="24"/>
          <w:szCs w:val="24"/>
          <w:highlight w:val="none"/>
        </w:rPr>
        <w:t>经双方协商同意后，项目公司成立后可将手续办理、规划报批等项目前期事项委托给甲方实施，由项目公司向甲方支付</w:t>
      </w:r>
      <w:r>
        <w:rPr>
          <w:rFonts w:ascii="宋体" w:hAnsi="宋体" w:eastAsia="宋体"/>
          <w:color w:val="auto"/>
          <w:sz w:val="24"/>
          <w:szCs w:val="24"/>
          <w:highlight w:val="none"/>
        </w:rPr>
        <w:t>80</w:t>
      </w:r>
      <w:r>
        <w:rPr>
          <w:rFonts w:hint="eastAsia" w:ascii="宋体" w:hAnsi="宋体" w:eastAsia="宋体"/>
          <w:color w:val="auto"/>
          <w:sz w:val="24"/>
          <w:szCs w:val="24"/>
          <w:highlight w:val="none"/>
        </w:rPr>
        <w:t>万元</w:t>
      </w:r>
      <w:r>
        <w:rPr>
          <w:rFonts w:ascii="宋体" w:hAnsi="宋体" w:eastAsia="宋体"/>
          <w:color w:val="auto"/>
          <w:sz w:val="24"/>
          <w:szCs w:val="24"/>
          <w:highlight w:val="none"/>
        </w:rPr>
        <w:t>/</w:t>
      </w:r>
      <w:r>
        <w:rPr>
          <w:rFonts w:hint="eastAsia" w:ascii="宋体" w:hAnsi="宋体" w:eastAsia="宋体"/>
          <w:color w:val="auto"/>
          <w:sz w:val="24"/>
          <w:szCs w:val="24"/>
          <w:highlight w:val="none"/>
        </w:rPr>
        <w:t>年的委托费，作为项目公司的经营管理费用；具体管理权限、方式、费用以甲方及项目公司签署的委托管理协议的约定为准。</w:t>
      </w:r>
    </w:p>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0.5.3 </w:t>
      </w:r>
      <w:r>
        <w:rPr>
          <w:rFonts w:hint="eastAsia" w:ascii="宋体" w:hAnsi="宋体" w:eastAsia="宋体"/>
          <w:color w:val="auto"/>
          <w:sz w:val="24"/>
          <w:szCs w:val="24"/>
          <w:highlight w:val="none"/>
        </w:rPr>
        <w:t>双方力争项目公司的</w:t>
      </w:r>
      <w:bookmarkStart w:id="58" w:name="_Hlk108622798"/>
      <w:r>
        <w:rPr>
          <w:rFonts w:hint="eastAsia" w:ascii="宋体" w:hAnsi="宋体" w:eastAsia="宋体"/>
          <w:color w:val="auto"/>
          <w:sz w:val="24"/>
          <w:szCs w:val="24"/>
          <w:highlight w:val="none"/>
        </w:rPr>
        <w:t>上述两项经营管理费用</w:t>
      </w:r>
      <w:bookmarkEnd w:id="58"/>
      <w:r>
        <w:rPr>
          <w:rFonts w:ascii="宋体" w:hAnsi="宋体" w:eastAsia="宋体"/>
          <w:color w:val="auto"/>
          <w:sz w:val="24"/>
          <w:szCs w:val="24"/>
          <w:highlight w:val="none"/>
        </w:rPr>
        <w:t>800</w:t>
      </w:r>
      <w:r>
        <w:rPr>
          <w:rFonts w:hint="eastAsia" w:ascii="宋体" w:hAnsi="宋体" w:eastAsia="宋体"/>
          <w:color w:val="auto"/>
          <w:sz w:val="24"/>
          <w:szCs w:val="24"/>
          <w:highlight w:val="none"/>
        </w:rPr>
        <w:t>万元/年，上述两项经营管理费用计入投资成本。</w:t>
      </w:r>
    </w:p>
    <w:p>
      <w:pPr>
        <w:pStyle w:val="2"/>
        <w:spacing w:before="156" w:beforeLines="50" w:after="156" w:afterLines="50" w:line="360" w:lineRule="auto"/>
        <w:rPr>
          <w:color w:val="auto"/>
          <w:sz w:val="32"/>
          <w:szCs w:val="40"/>
          <w:highlight w:val="none"/>
        </w:rPr>
      </w:pPr>
      <w:bookmarkStart w:id="59" w:name="_Toc101463838"/>
      <w:bookmarkStart w:id="60" w:name="_Toc55981040"/>
      <w:r>
        <w:rPr>
          <w:rFonts w:hint="eastAsia"/>
          <w:color w:val="auto"/>
          <w:sz w:val="32"/>
          <w:szCs w:val="40"/>
          <w:highlight w:val="none"/>
        </w:rPr>
        <w:t>11.股权转让与股权担保限制</w:t>
      </w:r>
      <w:bookmarkEnd w:id="59"/>
      <w:bookmarkEnd w:id="60"/>
    </w:p>
    <w:p>
      <w:pPr>
        <w:pStyle w:val="38"/>
        <w:spacing w:before="156" w:beforeLines="50" w:after="156" w:afterLines="50" w:line="360" w:lineRule="auto"/>
        <w:rPr>
          <w:color w:val="auto"/>
          <w:sz w:val="32"/>
          <w:szCs w:val="40"/>
          <w:highlight w:val="none"/>
        </w:rPr>
      </w:pPr>
      <w:bookmarkStart w:id="61" w:name="_Toc55981041"/>
      <w:r>
        <w:rPr>
          <w:rFonts w:hint="eastAsia"/>
          <w:color w:val="auto"/>
          <w:sz w:val="32"/>
          <w:szCs w:val="40"/>
          <w:highlight w:val="none"/>
        </w:rPr>
        <w:t>11.1 一般约定</w:t>
      </w:r>
      <w:bookmarkEnd w:id="61"/>
    </w:p>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（1）建设期内，乙方原则上不得转让其持有的项目公司股权，但在不影响项目正常推进且甲方书面同意的情况下可以进行股权转让。</w:t>
      </w:r>
    </w:p>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（2）项目建设期</w:t>
      </w:r>
      <w:r>
        <w:rPr>
          <w:rFonts w:ascii="宋体" w:hAnsi="宋体" w:eastAsia="宋体"/>
          <w:color w:val="auto"/>
          <w:sz w:val="24"/>
          <w:szCs w:val="24"/>
          <w:highlight w:val="none"/>
        </w:rPr>
        <w:t>满后</w:t>
      </w:r>
      <w:r>
        <w:rPr>
          <w:rFonts w:hint="eastAsia" w:ascii="宋体" w:hAnsi="宋体" w:eastAsia="宋体"/>
          <w:color w:val="auto"/>
          <w:sz w:val="24"/>
          <w:szCs w:val="24"/>
          <w:highlight w:val="none"/>
        </w:rPr>
        <w:t>，未经</w:t>
      </w:r>
      <w:r>
        <w:rPr>
          <w:rFonts w:ascii="宋体" w:hAnsi="宋体" w:eastAsia="宋体"/>
          <w:color w:val="auto"/>
          <w:sz w:val="24"/>
          <w:szCs w:val="24"/>
          <w:highlight w:val="none"/>
        </w:rPr>
        <w:t>甲方同意，</w:t>
      </w:r>
      <w:r>
        <w:rPr>
          <w:rFonts w:hint="eastAsia" w:ascii="宋体" w:hAnsi="宋体" w:eastAsia="宋体"/>
          <w:color w:val="auto"/>
          <w:sz w:val="24"/>
          <w:szCs w:val="24"/>
          <w:highlight w:val="none"/>
        </w:rPr>
        <w:t>乙方不得转让其在项目公司的全部或部分股权。</w:t>
      </w:r>
    </w:p>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（3）为保证项目公司稳定经营，建设</w:t>
      </w:r>
      <w:r>
        <w:rPr>
          <w:rFonts w:ascii="宋体" w:hAnsi="宋体" w:eastAsia="宋体"/>
          <w:color w:val="auto"/>
          <w:sz w:val="24"/>
          <w:szCs w:val="24"/>
          <w:highlight w:val="none"/>
        </w:rPr>
        <w:t>期满后项目公司</w:t>
      </w:r>
      <w:r>
        <w:rPr>
          <w:rFonts w:hint="eastAsia" w:ascii="宋体" w:hAnsi="宋体" w:eastAsia="宋体"/>
          <w:color w:val="auto"/>
          <w:sz w:val="24"/>
          <w:szCs w:val="24"/>
          <w:highlight w:val="none"/>
        </w:rPr>
        <w:t>股权变动还应满足以下条件：</w:t>
      </w:r>
    </w:p>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①受让方或变更后的实际控制人应在资信实力、管理水平等方面具有在国内同行业中的领先水平，且</w:t>
      </w:r>
      <w:r>
        <w:rPr>
          <w:rFonts w:ascii="宋体" w:hAnsi="宋体" w:eastAsia="宋体"/>
          <w:color w:val="auto"/>
          <w:sz w:val="24"/>
          <w:szCs w:val="24"/>
          <w:highlight w:val="none"/>
        </w:rPr>
        <w:t>不低于投标时</w:t>
      </w:r>
      <w:r>
        <w:rPr>
          <w:rFonts w:hint="eastAsia" w:ascii="宋体" w:hAnsi="宋体" w:eastAsia="宋体"/>
          <w:color w:val="auto"/>
          <w:sz w:val="24"/>
          <w:szCs w:val="24"/>
          <w:highlight w:val="none"/>
        </w:rPr>
        <w:t>乙方</w:t>
      </w:r>
      <w:r>
        <w:rPr>
          <w:rFonts w:ascii="宋体" w:hAnsi="宋体" w:eastAsia="宋体"/>
          <w:color w:val="auto"/>
          <w:sz w:val="24"/>
          <w:szCs w:val="24"/>
          <w:highlight w:val="none"/>
        </w:rPr>
        <w:t>提供的主体资信等条件，</w:t>
      </w:r>
      <w:r>
        <w:rPr>
          <w:rFonts w:hint="eastAsia" w:ascii="宋体" w:hAnsi="宋体" w:eastAsia="宋体"/>
          <w:color w:val="auto"/>
          <w:sz w:val="24"/>
          <w:szCs w:val="24"/>
          <w:highlight w:val="none"/>
        </w:rPr>
        <w:t>有能力促使项目公司承担或履行本协议项下的责任和义务；</w:t>
      </w:r>
    </w:p>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②该等转让或变更不应影响本项目的正常管理；</w:t>
      </w:r>
    </w:p>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③在乙方拟转让其持有的项目公司股权时，甲方或</w:t>
      </w:r>
      <w:r>
        <w:rPr>
          <w:rFonts w:ascii="宋体" w:hAnsi="宋体" w:eastAsia="宋体"/>
          <w:color w:val="auto"/>
          <w:sz w:val="24"/>
          <w:szCs w:val="24"/>
          <w:highlight w:val="none"/>
        </w:rPr>
        <w:t>其</w:t>
      </w:r>
      <w:r>
        <w:rPr>
          <w:rFonts w:hint="eastAsia" w:ascii="宋体" w:hAnsi="宋体" w:eastAsia="宋体"/>
          <w:color w:val="auto"/>
          <w:sz w:val="24"/>
          <w:szCs w:val="24"/>
          <w:highlight w:val="none"/>
        </w:rPr>
        <w:t>指定的主体具有优先购买权；</w:t>
      </w:r>
    </w:p>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（4）乙方</w:t>
      </w:r>
      <w:r>
        <w:rPr>
          <w:rFonts w:ascii="宋体" w:hAnsi="宋体" w:eastAsia="宋体"/>
          <w:color w:val="auto"/>
          <w:sz w:val="24"/>
          <w:szCs w:val="24"/>
          <w:highlight w:val="none"/>
        </w:rPr>
        <w:t>应确保项目公司的股权不会因</w:t>
      </w:r>
      <w:r>
        <w:rPr>
          <w:rFonts w:hint="eastAsia" w:ascii="宋体" w:hAnsi="宋体" w:eastAsia="宋体"/>
          <w:color w:val="auto"/>
          <w:sz w:val="24"/>
          <w:szCs w:val="24"/>
          <w:highlight w:val="none"/>
        </w:rPr>
        <w:t>司法判决或仲裁裁决导致</w:t>
      </w:r>
      <w:r>
        <w:rPr>
          <w:rFonts w:ascii="宋体" w:hAnsi="宋体" w:eastAsia="宋体"/>
          <w:color w:val="auto"/>
          <w:sz w:val="24"/>
          <w:szCs w:val="24"/>
          <w:highlight w:val="none"/>
        </w:rPr>
        <w:t>变动，若发生相关风险情形，双方均应当积极化解</w:t>
      </w:r>
      <w:r>
        <w:rPr>
          <w:rFonts w:hint="eastAsia" w:ascii="宋体" w:hAnsi="宋体" w:eastAsia="宋体"/>
          <w:color w:val="auto"/>
          <w:sz w:val="24"/>
          <w:szCs w:val="24"/>
          <w:highlight w:val="none"/>
        </w:rPr>
        <w:t>。若</w:t>
      </w:r>
      <w:r>
        <w:rPr>
          <w:rFonts w:ascii="宋体" w:hAnsi="宋体" w:eastAsia="宋体"/>
          <w:color w:val="auto"/>
          <w:sz w:val="24"/>
          <w:szCs w:val="24"/>
          <w:highlight w:val="none"/>
        </w:rPr>
        <w:t>甲方</w:t>
      </w:r>
      <w:r>
        <w:rPr>
          <w:rFonts w:hint="eastAsia" w:ascii="宋体" w:hAnsi="宋体" w:eastAsia="宋体"/>
          <w:color w:val="auto"/>
          <w:sz w:val="24"/>
          <w:szCs w:val="24"/>
          <w:highlight w:val="none"/>
        </w:rPr>
        <w:t>发现项目公司</w:t>
      </w:r>
      <w:r>
        <w:rPr>
          <w:rFonts w:ascii="宋体" w:hAnsi="宋体" w:eastAsia="宋体"/>
          <w:color w:val="auto"/>
          <w:sz w:val="24"/>
          <w:szCs w:val="24"/>
          <w:highlight w:val="none"/>
        </w:rPr>
        <w:t>存在</w:t>
      </w:r>
      <w:r>
        <w:rPr>
          <w:rFonts w:hint="eastAsia" w:ascii="宋体" w:hAnsi="宋体" w:eastAsia="宋体"/>
          <w:color w:val="auto"/>
          <w:sz w:val="24"/>
          <w:szCs w:val="24"/>
          <w:highlight w:val="none"/>
        </w:rPr>
        <w:t>上述</w:t>
      </w:r>
      <w:r>
        <w:rPr>
          <w:rFonts w:ascii="宋体" w:hAnsi="宋体" w:eastAsia="宋体"/>
          <w:color w:val="auto"/>
          <w:sz w:val="24"/>
          <w:szCs w:val="24"/>
          <w:highlight w:val="none"/>
        </w:rPr>
        <w:t>股权变动风险，有权要求乙方</w:t>
      </w:r>
      <w:r>
        <w:rPr>
          <w:rFonts w:hint="eastAsia" w:ascii="宋体" w:hAnsi="宋体" w:eastAsia="宋体"/>
          <w:color w:val="auto"/>
          <w:sz w:val="24"/>
          <w:szCs w:val="24"/>
          <w:highlight w:val="none"/>
        </w:rPr>
        <w:t>将其</w:t>
      </w:r>
      <w:r>
        <w:rPr>
          <w:rFonts w:ascii="宋体" w:hAnsi="宋体" w:eastAsia="宋体"/>
          <w:color w:val="auto"/>
          <w:sz w:val="24"/>
          <w:szCs w:val="24"/>
          <w:highlight w:val="none"/>
        </w:rPr>
        <w:t>持有的</w:t>
      </w:r>
      <w:r>
        <w:rPr>
          <w:rFonts w:hint="eastAsia" w:ascii="宋体" w:hAnsi="宋体" w:eastAsia="宋体"/>
          <w:color w:val="auto"/>
          <w:sz w:val="24"/>
          <w:szCs w:val="24"/>
          <w:highlight w:val="none"/>
        </w:rPr>
        <w:t>项目公司全部或部分股权质押</w:t>
      </w:r>
      <w:r>
        <w:rPr>
          <w:rFonts w:ascii="宋体" w:hAnsi="宋体" w:eastAsia="宋体"/>
          <w:color w:val="auto"/>
          <w:sz w:val="24"/>
          <w:szCs w:val="24"/>
          <w:highlight w:val="none"/>
        </w:rPr>
        <w:t>于甲方，直至</w:t>
      </w:r>
      <w:r>
        <w:rPr>
          <w:rFonts w:hint="eastAsia" w:ascii="宋体" w:hAnsi="宋体" w:eastAsia="宋体"/>
          <w:color w:val="auto"/>
          <w:sz w:val="24"/>
          <w:szCs w:val="24"/>
          <w:highlight w:val="none"/>
        </w:rPr>
        <w:t>该等</w:t>
      </w:r>
      <w:r>
        <w:rPr>
          <w:rFonts w:ascii="宋体" w:hAnsi="宋体" w:eastAsia="宋体"/>
          <w:color w:val="auto"/>
          <w:sz w:val="24"/>
          <w:szCs w:val="24"/>
          <w:highlight w:val="none"/>
        </w:rPr>
        <w:t>风险解除</w:t>
      </w:r>
      <w:r>
        <w:rPr>
          <w:rFonts w:hint="eastAsia" w:ascii="宋体" w:hAnsi="宋体" w:eastAsia="宋体"/>
          <w:color w:val="auto"/>
          <w:sz w:val="24"/>
          <w:szCs w:val="24"/>
          <w:highlight w:val="none"/>
        </w:rPr>
        <w:t>。</w:t>
      </w:r>
    </w:p>
    <w:p>
      <w:pPr>
        <w:pStyle w:val="38"/>
        <w:spacing w:before="156" w:beforeLines="50" w:after="156" w:afterLines="50" w:line="360" w:lineRule="auto"/>
        <w:rPr>
          <w:color w:val="auto"/>
          <w:sz w:val="32"/>
          <w:szCs w:val="40"/>
          <w:highlight w:val="none"/>
        </w:rPr>
      </w:pPr>
      <w:bookmarkStart w:id="62" w:name="_Toc55981042"/>
      <w:r>
        <w:rPr>
          <w:rFonts w:hint="eastAsia"/>
          <w:color w:val="auto"/>
          <w:sz w:val="32"/>
          <w:szCs w:val="40"/>
          <w:highlight w:val="none"/>
        </w:rPr>
        <w:t>11.2股权担保限制</w:t>
      </w:r>
      <w:bookmarkEnd w:id="62"/>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rPr>
        <w:t>除</w:t>
      </w:r>
      <w:r>
        <w:rPr>
          <w:rFonts w:hint="eastAsia" w:ascii="宋体" w:hAnsi="宋体" w:eastAsia="宋体"/>
          <w:color w:val="auto"/>
          <w:sz w:val="24"/>
          <w:szCs w:val="24"/>
          <w:highlight w:val="none"/>
        </w:rPr>
        <w:t>本</w:t>
      </w:r>
      <w:r>
        <w:rPr>
          <w:rFonts w:ascii="宋体" w:hAnsi="宋体" w:eastAsia="宋体"/>
          <w:color w:val="auto"/>
          <w:sz w:val="24"/>
          <w:szCs w:val="24"/>
          <w:highlight w:val="none"/>
        </w:rPr>
        <w:t>协议另有约定外</w:t>
      </w:r>
      <w:r>
        <w:rPr>
          <w:rFonts w:hint="eastAsia" w:ascii="宋体" w:hAnsi="宋体" w:eastAsia="宋体"/>
          <w:color w:val="auto"/>
          <w:sz w:val="24"/>
          <w:szCs w:val="24"/>
          <w:highlight w:val="none"/>
        </w:rPr>
        <w:t>，</w:t>
      </w:r>
      <w:r>
        <w:rPr>
          <w:rFonts w:ascii="宋体" w:hAnsi="宋体" w:eastAsia="宋体"/>
          <w:color w:val="auto"/>
          <w:sz w:val="24"/>
          <w:szCs w:val="24"/>
          <w:highlight w:val="none"/>
        </w:rPr>
        <w:t>未经</w:t>
      </w:r>
      <w:r>
        <w:rPr>
          <w:rFonts w:hint="eastAsia" w:ascii="宋体" w:hAnsi="宋体" w:eastAsia="宋体"/>
          <w:color w:val="auto"/>
          <w:sz w:val="24"/>
          <w:szCs w:val="24"/>
          <w:highlight w:val="none"/>
        </w:rPr>
        <w:t>各</w:t>
      </w:r>
      <w:r>
        <w:rPr>
          <w:rFonts w:ascii="宋体" w:hAnsi="宋体" w:eastAsia="宋体"/>
          <w:color w:val="auto"/>
          <w:sz w:val="24"/>
          <w:szCs w:val="24"/>
          <w:highlight w:val="none"/>
        </w:rPr>
        <w:t>方书面同意</w:t>
      </w:r>
      <w:r>
        <w:rPr>
          <w:rFonts w:hint="eastAsia" w:ascii="宋体" w:hAnsi="宋体" w:eastAsia="宋体"/>
          <w:color w:val="auto"/>
          <w:sz w:val="24"/>
          <w:szCs w:val="24"/>
          <w:highlight w:val="none"/>
        </w:rPr>
        <w:t>，</w:t>
      </w:r>
      <w:r>
        <w:rPr>
          <w:rFonts w:ascii="宋体" w:hAnsi="宋体" w:eastAsia="宋体"/>
          <w:color w:val="auto"/>
          <w:sz w:val="24"/>
          <w:szCs w:val="24"/>
          <w:highlight w:val="none"/>
        </w:rPr>
        <w:t>项目公司股东不得将其持有的全部或部分股权设置质押或其他形式</w:t>
      </w:r>
      <w:r>
        <w:rPr>
          <w:rFonts w:hint="eastAsia" w:ascii="宋体" w:hAnsi="宋体" w:eastAsia="宋体"/>
          <w:color w:val="auto"/>
          <w:sz w:val="24"/>
          <w:szCs w:val="24"/>
          <w:highlight w:val="none"/>
        </w:rPr>
        <w:t>的</w:t>
      </w:r>
      <w:r>
        <w:rPr>
          <w:rFonts w:ascii="宋体" w:hAnsi="宋体" w:eastAsia="宋体"/>
          <w:color w:val="auto"/>
          <w:sz w:val="24"/>
          <w:szCs w:val="24"/>
          <w:highlight w:val="none"/>
        </w:rPr>
        <w:t>担保</w:t>
      </w:r>
      <w:r>
        <w:rPr>
          <w:rFonts w:hint="eastAsia" w:ascii="宋体" w:hAnsi="宋体" w:eastAsia="宋体"/>
          <w:color w:val="auto"/>
          <w:sz w:val="24"/>
          <w:szCs w:val="24"/>
          <w:highlight w:val="none"/>
        </w:rPr>
        <w:t>。</w:t>
      </w:r>
    </w:p>
    <w:p>
      <w:pPr>
        <w:pStyle w:val="38"/>
        <w:spacing w:before="156" w:beforeLines="50" w:after="156" w:afterLines="50" w:line="360" w:lineRule="auto"/>
        <w:rPr>
          <w:color w:val="auto"/>
          <w:sz w:val="32"/>
          <w:szCs w:val="40"/>
          <w:highlight w:val="none"/>
        </w:rPr>
      </w:pPr>
      <w:bookmarkStart w:id="63" w:name="_Toc55981043"/>
      <w:r>
        <w:rPr>
          <w:rFonts w:hint="eastAsia"/>
          <w:color w:val="auto"/>
          <w:sz w:val="32"/>
          <w:szCs w:val="40"/>
          <w:highlight w:val="none"/>
        </w:rPr>
        <w:t>11.3股权退出</w:t>
      </w:r>
      <w:bookmarkEnd w:id="63"/>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1.3.1</w:t>
      </w:r>
      <w:r>
        <w:rPr>
          <w:rFonts w:hint="eastAsia" w:ascii="宋体" w:hAnsi="宋体" w:eastAsia="宋体"/>
          <w:color w:val="auto"/>
          <w:sz w:val="24"/>
          <w:szCs w:val="24"/>
          <w:highlight w:val="none"/>
        </w:rPr>
        <w:t>关于股权退出的事宜，在遵守相关法律法规的前提下由甲乙双方协商确定。</w:t>
      </w:r>
    </w:p>
    <w:p>
      <w:pPr>
        <w:spacing w:before="156" w:beforeLines="50" w:after="156" w:afterLines="50" w:line="360" w:lineRule="auto"/>
        <w:ind w:firstLine="480" w:firstLineChars="200"/>
        <w:jc w:val="left"/>
        <w:rPr>
          <w:color w:val="auto"/>
          <w:sz w:val="24"/>
          <w:szCs w:val="28"/>
          <w:highlight w:val="none"/>
        </w:rPr>
      </w:pPr>
      <w:r>
        <w:rPr>
          <w:rFonts w:ascii="宋体" w:hAnsi="宋体" w:eastAsia="宋体"/>
          <w:color w:val="auto"/>
          <w:sz w:val="24"/>
          <w:szCs w:val="24"/>
          <w:highlight w:val="none"/>
        </w:rPr>
        <w:t xml:space="preserve">11.3.2 </w:t>
      </w:r>
      <w:r>
        <w:rPr>
          <w:rFonts w:hint="eastAsia" w:ascii="宋体" w:hAnsi="宋体" w:eastAsia="宋体"/>
          <w:color w:val="auto"/>
          <w:sz w:val="24"/>
          <w:szCs w:val="24"/>
          <w:highlight w:val="none"/>
        </w:rPr>
        <w:t>除法定程序外，双方均不得以任何方式抽回对项目公司的出资。</w:t>
      </w:r>
      <w:r>
        <w:rPr>
          <w:color w:val="auto"/>
          <w:sz w:val="24"/>
          <w:szCs w:val="28"/>
          <w:highlight w:val="none"/>
        </w:rPr>
        <w:br w:type="page"/>
      </w:r>
    </w:p>
    <w:p>
      <w:pPr>
        <w:pStyle w:val="3"/>
        <w:spacing w:before="156" w:beforeLines="50" w:after="156" w:afterLines="50" w:line="360" w:lineRule="auto"/>
        <w:jc w:val="center"/>
        <w:rPr>
          <w:b/>
          <w:color w:val="auto"/>
          <w:sz w:val="36"/>
          <w:szCs w:val="52"/>
          <w:highlight w:val="none"/>
        </w:rPr>
      </w:pPr>
      <w:bookmarkStart w:id="64" w:name="_Toc101463839"/>
      <w:bookmarkStart w:id="65" w:name="_Toc55981044"/>
      <w:r>
        <w:rPr>
          <w:rFonts w:hint="eastAsia"/>
          <w:b/>
          <w:color w:val="auto"/>
          <w:sz w:val="36"/>
          <w:szCs w:val="52"/>
          <w:highlight w:val="none"/>
        </w:rPr>
        <w:t>五、项目资金</w:t>
      </w:r>
      <w:bookmarkEnd w:id="64"/>
      <w:bookmarkEnd w:id="65"/>
    </w:p>
    <w:p>
      <w:pPr>
        <w:pStyle w:val="2"/>
        <w:spacing w:before="156" w:beforeLines="50" w:after="156" w:afterLines="50" w:line="360" w:lineRule="auto"/>
        <w:rPr>
          <w:color w:val="auto"/>
          <w:sz w:val="32"/>
          <w:szCs w:val="40"/>
          <w:highlight w:val="none"/>
        </w:rPr>
      </w:pPr>
      <w:bookmarkStart w:id="66" w:name="_Toc55981045"/>
      <w:bookmarkStart w:id="67" w:name="_Toc101463840"/>
      <w:r>
        <w:rPr>
          <w:rFonts w:hint="eastAsia"/>
          <w:color w:val="auto"/>
          <w:sz w:val="32"/>
          <w:szCs w:val="40"/>
          <w:highlight w:val="none"/>
        </w:rPr>
        <w:t>12.资金筹集方案</w:t>
      </w:r>
      <w:bookmarkEnd w:id="66"/>
      <w:r>
        <w:rPr>
          <w:rFonts w:hint="eastAsia"/>
          <w:color w:val="auto"/>
          <w:sz w:val="32"/>
          <w:szCs w:val="40"/>
          <w:highlight w:val="none"/>
        </w:rPr>
        <w:t>及</w:t>
      </w:r>
      <w:r>
        <w:rPr>
          <w:color w:val="auto"/>
          <w:sz w:val="32"/>
          <w:szCs w:val="40"/>
          <w:highlight w:val="none"/>
        </w:rPr>
        <w:t>投资计划</w:t>
      </w:r>
      <w:bookmarkEnd w:id="67"/>
    </w:p>
    <w:p>
      <w:pPr>
        <w:pStyle w:val="38"/>
        <w:spacing w:before="156" w:beforeLines="50" w:after="156" w:afterLines="50" w:line="360" w:lineRule="auto"/>
        <w:rPr>
          <w:color w:val="auto"/>
          <w:sz w:val="32"/>
          <w:szCs w:val="40"/>
          <w:highlight w:val="none"/>
        </w:rPr>
      </w:pPr>
      <w:bookmarkStart w:id="68" w:name="_Toc55981046"/>
      <w:r>
        <w:rPr>
          <w:rFonts w:hint="eastAsia"/>
          <w:color w:val="auto"/>
          <w:sz w:val="32"/>
          <w:szCs w:val="40"/>
          <w:highlight w:val="none"/>
        </w:rPr>
        <w:t>12.1一般约定</w:t>
      </w:r>
      <w:bookmarkEnd w:id="68"/>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（1）项目资金包括项目</w:t>
      </w:r>
      <w:r>
        <w:rPr>
          <w:rFonts w:ascii="宋体" w:hAnsi="宋体" w:eastAsia="宋体"/>
          <w:color w:val="auto"/>
          <w:sz w:val="24"/>
          <w:szCs w:val="24"/>
          <w:highlight w:val="none"/>
        </w:rPr>
        <w:t>公司注册资本金、</w:t>
      </w:r>
      <w:r>
        <w:rPr>
          <w:rFonts w:hint="eastAsia" w:ascii="宋体" w:hAnsi="宋体" w:eastAsia="宋体"/>
          <w:color w:val="auto"/>
          <w:sz w:val="24"/>
          <w:szCs w:val="24"/>
          <w:highlight w:val="none"/>
        </w:rPr>
        <w:t>项目</w:t>
      </w:r>
      <w:r>
        <w:rPr>
          <w:rFonts w:ascii="宋体" w:hAnsi="宋体" w:eastAsia="宋体"/>
          <w:color w:val="auto"/>
          <w:sz w:val="24"/>
          <w:szCs w:val="24"/>
          <w:highlight w:val="none"/>
        </w:rPr>
        <w:t>资本金</w:t>
      </w:r>
      <w:r>
        <w:rPr>
          <w:rFonts w:hint="eastAsia" w:ascii="宋体" w:hAnsi="宋体" w:eastAsia="宋体"/>
          <w:color w:val="auto"/>
          <w:sz w:val="24"/>
          <w:szCs w:val="24"/>
          <w:highlight w:val="none"/>
        </w:rPr>
        <w:t>、</w:t>
      </w:r>
      <w:r>
        <w:rPr>
          <w:rFonts w:ascii="宋体" w:hAnsi="宋体" w:eastAsia="宋体"/>
          <w:color w:val="auto"/>
          <w:sz w:val="24"/>
          <w:szCs w:val="24"/>
          <w:highlight w:val="none"/>
        </w:rPr>
        <w:t>项目公司债务性</w:t>
      </w:r>
      <w:r>
        <w:rPr>
          <w:rFonts w:hint="eastAsia" w:ascii="宋体" w:hAnsi="宋体" w:eastAsia="宋体"/>
          <w:color w:val="auto"/>
          <w:sz w:val="24"/>
          <w:szCs w:val="24"/>
          <w:highlight w:val="none"/>
        </w:rPr>
        <w:t>融资</w:t>
      </w:r>
      <w:r>
        <w:rPr>
          <w:rFonts w:ascii="宋体" w:hAnsi="宋体" w:eastAsia="宋体"/>
          <w:color w:val="auto"/>
          <w:sz w:val="24"/>
          <w:szCs w:val="24"/>
          <w:highlight w:val="none"/>
        </w:rPr>
        <w:t>。</w:t>
      </w:r>
      <w:r>
        <w:rPr>
          <w:rFonts w:hint="eastAsia" w:ascii="宋体" w:hAnsi="宋体" w:eastAsia="宋体"/>
          <w:color w:val="auto"/>
          <w:sz w:val="24"/>
          <w:szCs w:val="24"/>
          <w:highlight w:val="none"/>
        </w:rPr>
        <w:t>项目资金封闭性</w:t>
      </w:r>
      <w:r>
        <w:rPr>
          <w:rFonts w:ascii="宋体" w:hAnsi="宋体" w:eastAsia="宋体"/>
          <w:color w:val="auto"/>
          <w:sz w:val="24"/>
          <w:szCs w:val="24"/>
          <w:highlight w:val="none"/>
        </w:rPr>
        <w:t>运作</w:t>
      </w:r>
      <w:r>
        <w:rPr>
          <w:rFonts w:hint="eastAsia" w:ascii="宋体" w:hAnsi="宋体" w:eastAsia="宋体"/>
          <w:color w:val="auto"/>
          <w:sz w:val="24"/>
          <w:szCs w:val="24"/>
          <w:highlight w:val="none"/>
        </w:rPr>
        <w:t>，仅限用于本项目，未经</w:t>
      </w:r>
      <w:r>
        <w:rPr>
          <w:rFonts w:ascii="宋体" w:hAnsi="宋体" w:eastAsia="宋体"/>
          <w:color w:val="auto"/>
          <w:sz w:val="24"/>
          <w:szCs w:val="24"/>
          <w:highlight w:val="none"/>
        </w:rPr>
        <w:t>双方书面同意</w:t>
      </w:r>
      <w:r>
        <w:rPr>
          <w:rFonts w:hint="eastAsia" w:ascii="宋体" w:hAnsi="宋体" w:eastAsia="宋体"/>
          <w:color w:val="auto"/>
          <w:sz w:val="24"/>
          <w:szCs w:val="24"/>
          <w:highlight w:val="none"/>
        </w:rPr>
        <w:t>不得用于其他用途或其他项目。</w:t>
      </w:r>
    </w:p>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）项目公司</w:t>
      </w:r>
      <w:r>
        <w:rPr>
          <w:rFonts w:ascii="宋体" w:hAnsi="宋体" w:eastAsia="宋体"/>
          <w:color w:val="auto"/>
          <w:sz w:val="24"/>
          <w:szCs w:val="24"/>
          <w:highlight w:val="none"/>
        </w:rPr>
        <w:t>注册资本金</w:t>
      </w:r>
      <w:r>
        <w:rPr>
          <w:rFonts w:hint="eastAsia" w:ascii="宋体" w:hAnsi="宋体" w:eastAsia="宋体"/>
          <w:color w:val="auto"/>
          <w:sz w:val="24"/>
          <w:szCs w:val="24"/>
          <w:highlight w:val="none"/>
        </w:rPr>
        <w:t>及</w:t>
      </w:r>
      <w:r>
        <w:rPr>
          <w:rFonts w:ascii="宋体" w:hAnsi="宋体" w:eastAsia="宋体"/>
          <w:color w:val="auto"/>
          <w:sz w:val="24"/>
          <w:szCs w:val="24"/>
          <w:highlight w:val="none"/>
        </w:rPr>
        <w:t>项目</w:t>
      </w:r>
      <w:r>
        <w:rPr>
          <w:rFonts w:hint="eastAsia" w:ascii="宋体" w:hAnsi="宋体" w:eastAsia="宋体"/>
          <w:color w:val="auto"/>
          <w:sz w:val="24"/>
          <w:szCs w:val="24"/>
          <w:highlight w:val="none"/>
        </w:rPr>
        <w:t>资本金应当由乙方依法以</w:t>
      </w:r>
      <w:r>
        <w:rPr>
          <w:rFonts w:ascii="宋体" w:hAnsi="宋体" w:eastAsia="宋体"/>
          <w:color w:val="auto"/>
          <w:sz w:val="24"/>
          <w:szCs w:val="24"/>
          <w:highlight w:val="none"/>
        </w:rPr>
        <w:t>自有资金出资</w:t>
      </w:r>
      <w:r>
        <w:rPr>
          <w:rFonts w:hint="eastAsia" w:ascii="宋体" w:hAnsi="宋体" w:eastAsia="宋体"/>
          <w:color w:val="auto"/>
          <w:sz w:val="24"/>
          <w:szCs w:val="24"/>
          <w:highlight w:val="none"/>
        </w:rPr>
        <w:t>（甲方承担部分除外）并直接提供给项目公司。</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（3）乙方协助项目公司能够按照甲方和项目公司双方认可的项目投资计划完成资本金之外的债务性融资。</w:t>
      </w:r>
    </w:p>
    <w:p>
      <w:pPr>
        <w:spacing w:before="156" w:beforeLines="50" w:after="156" w:afterLines="50" w:line="360" w:lineRule="auto"/>
        <w:ind w:firstLine="480" w:firstLineChars="200"/>
        <w:jc w:val="left"/>
        <w:rPr>
          <w:color w:val="auto"/>
          <w:sz w:val="24"/>
          <w:szCs w:val="28"/>
          <w:highlight w:val="none"/>
        </w:rPr>
      </w:pPr>
      <w:r>
        <w:rPr>
          <w:rFonts w:hint="eastAsia" w:ascii="宋体" w:hAnsi="宋体" w:eastAsia="宋体"/>
          <w:color w:val="auto"/>
          <w:sz w:val="24"/>
          <w:szCs w:val="24"/>
          <w:highlight w:val="none"/>
        </w:rPr>
        <w:t>（4）项目公司应于</w:t>
      </w:r>
      <w:r>
        <w:rPr>
          <w:rFonts w:ascii="宋体" w:hAnsi="宋体" w:eastAsia="宋体"/>
          <w:color w:val="auto"/>
          <w:sz w:val="24"/>
          <w:szCs w:val="24"/>
          <w:highlight w:val="none"/>
        </w:rPr>
        <w:t>每年11</w:t>
      </w:r>
      <w:r>
        <w:rPr>
          <w:rFonts w:hint="eastAsia" w:ascii="宋体" w:hAnsi="宋体" w:eastAsia="宋体"/>
          <w:color w:val="auto"/>
          <w:sz w:val="24"/>
          <w:szCs w:val="24"/>
          <w:highlight w:val="none"/>
        </w:rPr>
        <w:t>月30日</w:t>
      </w:r>
      <w:r>
        <w:rPr>
          <w:rFonts w:ascii="宋体" w:hAnsi="宋体" w:eastAsia="宋体"/>
          <w:color w:val="auto"/>
          <w:sz w:val="24"/>
          <w:szCs w:val="24"/>
          <w:highlight w:val="none"/>
        </w:rPr>
        <w:t>前</w:t>
      </w:r>
      <w:r>
        <w:rPr>
          <w:rFonts w:hint="eastAsia" w:ascii="宋体" w:hAnsi="宋体" w:eastAsia="宋体"/>
          <w:color w:val="auto"/>
          <w:sz w:val="24"/>
          <w:szCs w:val="24"/>
          <w:highlight w:val="none"/>
        </w:rPr>
        <w:t>按照本项目投资、建设、管理及移交的需要，编制资金筹措和使用年度计划，并报送甲方审核。项目</w:t>
      </w:r>
      <w:r>
        <w:rPr>
          <w:rFonts w:ascii="宋体" w:hAnsi="宋体" w:eastAsia="宋体"/>
          <w:color w:val="auto"/>
          <w:sz w:val="24"/>
          <w:szCs w:val="24"/>
          <w:highlight w:val="none"/>
        </w:rPr>
        <w:t>公司应当按照甲方确认后的投资计划表按期</w:t>
      </w:r>
      <w:r>
        <w:rPr>
          <w:rFonts w:hint="eastAsia" w:ascii="宋体" w:hAnsi="宋体" w:eastAsia="宋体"/>
          <w:color w:val="auto"/>
          <w:sz w:val="24"/>
          <w:szCs w:val="24"/>
          <w:highlight w:val="none"/>
        </w:rPr>
        <w:t>实施项目投融资，未经甲方认可不得自行实施。</w:t>
      </w:r>
    </w:p>
    <w:p>
      <w:pPr>
        <w:pStyle w:val="4"/>
        <w:spacing w:before="156" w:beforeLines="50" w:after="156" w:afterLines="50" w:line="360" w:lineRule="auto"/>
        <w:rPr>
          <w:color w:val="auto"/>
          <w:szCs w:val="40"/>
          <w:highlight w:val="none"/>
        </w:rPr>
      </w:pPr>
      <w:r>
        <w:rPr>
          <w:rFonts w:hint="eastAsia"/>
          <w:color w:val="auto"/>
          <w:szCs w:val="40"/>
          <w:highlight w:val="none"/>
        </w:rPr>
        <w:t>12.</w:t>
      </w:r>
      <w:r>
        <w:rPr>
          <w:color w:val="auto"/>
          <w:szCs w:val="40"/>
          <w:highlight w:val="none"/>
        </w:rPr>
        <w:t>2</w:t>
      </w:r>
      <w:r>
        <w:rPr>
          <w:rFonts w:hint="eastAsia"/>
          <w:color w:val="auto"/>
          <w:szCs w:val="40"/>
          <w:highlight w:val="none"/>
        </w:rPr>
        <w:t xml:space="preserve"> 资金</w:t>
      </w:r>
      <w:r>
        <w:rPr>
          <w:color w:val="auto"/>
          <w:szCs w:val="40"/>
          <w:highlight w:val="none"/>
        </w:rPr>
        <w:t>来源安排</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（1）项目公司注册资本金、项目资本金出资均采用货币出资方式，需按双方确认的缴付时限及工程建设进度如期到位。</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项目公司作为融资主体，负责承接本项目债务性资金。项目债务性资金由项目公司作为融资主体通过银行贷款等方式筹集，项目公司应尽可能争取较低的融资成本。在项目公司融资困难的情况下，由乙方为项目公司融资提供相关支持。</w:t>
      </w:r>
    </w:p>
    <w:p>
      <w:pPr>
        <w:pStyle w:val="2"/>
        <w:spacing w:before="156" w:beforeLines="50" w:after="156" w:afterLines="50" w:line="360" w:lineRule="auto"/>
        <w:rPr>
          <w:color w:val="auto"/>
          <w:sz w:val="32"/>
          <w:szCs w:val="40"/>
          <w:highlight w:val="none"/>
        </w:rPr>
      </w:pPr>
      <w:bookmarkStart w:id="69" w:name="_Toc55981047"/>
      <w:bookmarkStart w:id="70" w:name="_Toc101463841"/>
      <w:r>
        <w:rPr>
          <w:rFonts w:hint="eastAsia"/>
          <w:color w:val="auto"/>
          <w:sz w:val="32"/>
          <w:szCs w:val="40"/>
          <w:highlight w:val="none"/>
        </w:rPr>
        <w:t>13.甲方提供的融资支持</w:t>
      </w:r>
      <w:bookmarkEnd w:id="69"/>
      <w:r>
        <w:rPr>
          <w:rFonts w:hint="eastAsia"/>
          <w:color w:val="auto"/>
          <w:sz w:val="32"/>
          <w:szCs w:val="40"/>
          <w:highlight w:val="none"/>
        </w:rPr>
        <w:t>及</w:t>
      </w:r>
      <w:r>
        <w:rPr>
          <w:color w:val="auto"/>
          <w:sz w:val="32"/>
          <w:szCs w:val="40"/>
          <w:highlight w:val="none"/>
        </w:rPr>
        <w:t>投资监管</w:t>
      </w:r>
      <w:bookmarkEnd w:id="70"/>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（1）为达到本项目融资目的，经</w:t>
      </w:r>
      <w:r>
        <w:rPr>
          <w:rFonts w:ascii="宋体" w:hAnsi="宋体" w:eastAsia="宋体"/>
          <w:color w:val="auto"/>
          <w:sz w:val="24"/>
          <w:szCs w:val="24"/>
          <w:highlight w:val="none"/>
        </w:rPr>
        <w:t>甲方、乙方</w:t>
      </w:r>
      <w:r>
        <w:rPr>
          <w:rFonts w:hint="eastAsia" w:ascii="宋体" w:hAnsi="宋体" w:eastAsia="宋体"/>
          <w:color w:val="auto"/>
          <w:sz w:val="24"/>
          <w:szCs w:val="24"/>
          <w:highlight w:val="none"/>
        </w:rPr>
        <w:t>书面</w:t>
      </w:r>
      <w:r>
        <w:rPr>
          <w:rFonts w:ascii="宋体" w:hAnsi="宋体" w:eastAsia="宋体"/>
          <w:color w:val="auto"/>
          <w:sz w:val="24"/>
          <w:szCs w:val="24"/>
          <w:highlight w:val="none"/>
        </w:rPr>
        <w:t>同意后，</w:t>
      </w:r>
      <w:r>
        <w:rPr>
          <w:rFonts w:hint="eastAsia" w:ascii="宋体" w:hAnsi="宋体" w:eastAsia="宋体"/>
          <w:color w:val="auto"/>
          <w:sz w:val="24"/>
          <w:szCs w:val="24"/>
          <w:highlight w:val="none"/>
        </w:rPr>
        <w:t>项目公司可就其在本协议项下的收益权进行质押。甲方在收到项目公司相关融资支持请求后应尽快协助配合，包括提供与项目融资有关的批复、证明、说明及相关文件等（甲方不为项目公司融资提供的相关担保、</w:t>
      </w:r>
      <w:r>
        <w:rPr>
          <w:rFonts w:ascii="宋体" w:hAnsi="宋体" w:eastAsia="宋体"/>
          <w:color w:val="auto"/>
          <w:sz w:val="24"/>
          <w:szCs w:val="24"/>
          <w:highlight w:val="none"/>
        </w:rPr>
        <w:t>流动性支持、差额补足、收益支付承诺</w:t>
      </w:r>
      <w:r>
        <w:rPr>
          <w:rFonts w:hint="eastAsia" w:ascii="宋体" w:hAnsi="宋体" w:eastAsia="宋体"/>
          <w:color w:val="auto"/>
          <w:sz w:val="24"/>
          <w:szCs w:val="24"/>
          <w:highlight w:val="none"/>
        </w:rPr>
        <w:t>等</w:t>
      </w:r>
      <w:r>
        <w:rPr>
          <w:rFonts w:hint="eastAsia" w:ascii="宋体" w:hAnsi="宋体" w:eastAsia="宋体"/>
          <w:color w:val="auto"/>
          <w:sz w:val="24"/>
          <w:szCs w:val="24"/>
          <w:highlight w:val="none"/>
          <w:lang w:eastAsia="zh-Hans"/>
        </w:rPr>
        <w:t>增信</w:t>
      </w:r>
      <w:r>
        <w:rPr>
          <w:rFonts w:hint="eastAsia" w:ascii="宋体" w:hAnsi="宋体" w:eastAsia="宋体"/>
          <w:color w:val="auto"/>
          <w:sz w:val="24"/>
          <w:szCs w:val="24"/>
          <w:highlight w:val="none"/>
        </w:rPr>
        <w:t>内容)。</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（2）为项目公司获得更优惠的融资贷款利率或其他优惠条件提供必要的协助配合。</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（3）甲方对本项目的监督、审查，以及为本项目所做的任何批准、批复或同意、备案，均不应理解为对本项目提供任何形式的担保，不应作为要求甲方承担乙方或项目公司债务的理由。</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4）甲方有权了解项目公司的投资计划执行和资金筹措情况，并要求项目公司书面提供相关文字说明及数据信息，或者通过过程审计以及其他适当方式加强监管，保证资金用于本项目，项目公司应对此积极配合。</w:t>
      </w:r>
    </w:p>
    <w:p>
      <w:pPr>
        <w:pStyle w:val="2"/>
        <w:spacing w:before="156" w:beforeLines="50" w:after="156" w:afterLines="50" w:line="360" w:lineRule="auto"/>
        <w:rPr>
          <w:color w:val="auto"/>
          <w:sz w:val="32"/>
          <w:szCs w:val="40"/>
          <w:highlight w:val="none"/>
        </w:rPr>
      </w:pPr>
      <w:bookmarkStart w:id="71" w:name="_Toc101463842"/>
      <w:bookmarkStart w:id="72" w:name="_Toc55981048"/>
      <w:r>
        <w:rPr>
          <w:rFonts w:hint="eastAsia"/>
          <w:color w:val="auto"/>
          <w:sz w:val="32"/>
          <w:szCs w:val="40"/>
          <w:highlight w:val="none"/>
        </w:rPr>
        <w:t>14资金共管账户的开立及用途</w:t>
      </w:r>
      <w:bookmarkEnd w:id="71"/>
      <w:bookmarkEnd w:id="72"/>
    </w:p>
    <w:p>
      <w:pPr>
        <w:adjustRightInd w:val="0"/>
        <w:snapToGrid w:val="0"/>
        <w:spacing w:before="156" w:beforeLines="50" w:after="156" w:afterLines="5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（1）资金共管账户以甲方的名义开立，由甲方和项目公司共同管理，管理</w:t>
      </w:r>
      <w:r>
        <w:rPr>
          <w:rFonts w:ascii="宋体" w:hAnsi="宋体" w:eastAsia="宋体"/>
          <w:color w:val="auto"/>
          <w:sz w:val="24"/>
          <w:szCs w:val="24"/>
          <w:highlight w:val="none"/>
        </w:rPr>
        <w:t>方式为</w:t>
      </w:r>
      <w:r>
        <w:rPr>
          <w:rFonts w:hint="eastAsia" w:ascii="宋体" w:hAnsi="宋体" w:eastAsia="宋体"/>
          <w:color w:val="auto"/>
          <w:sz w:val="24"/>
          <w:szCs w:val="24"/>
          <w:highlight w:val="none"/>
        </w:rPr>
        <w:t>预留甲乙双方指定人印章、各持一个网银盾等账户管理工具，并做好账户管理工具相关信息的备案登记和签认，甲乙双方各执一份。</w:t>
      </w:r>
    </w:p>
    <w:p>
      <w:pPr>
        <w:adjustRightInd w:val="0"/>
        <w:snapToGrid w:val="0"/>
        <w:spacing w:before="156" w:beforeLines="50" w:after="156" w:afterLines="5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（2）资金共管账户的资金主要包括：</w:t>
      </w:r>
    </w:p>
    <w:p>
      <w:pPr>
        <w:spacing w:before="156" w:beforeLines="50" w:after="156" w:afterLines="50" w:line="360" w:lineRule="auto"/>
        <w:ind w:firstLine="480" w:firstLineChars="200"/>
        <w:rPr>
          <w:rFonts w:ascii="宋体" w:hAnsi="宋体"/>
          <w:color w:val="auto"/>
          <w:sz w:val="24"/>
          <w:szCs w:val="24"/>
          <w:highlight w:val="none"/>
        </w:rPr>
      </w:pPr>
      <w:r>
        <w:rPr>
          <w:rFonts w:hint="eastAsia" w:ascii="宋体" w:hAnsi="宋体" w:eastAsia="宋体"/>
          <w:color w:val="auto"/>
          <w:sz w:val="24"/>
          <w:szCs w:val="24"/>
          <w:highlight w:val="none"/>
        </w:rPr>
        <w:t>项目公司向甲方提供由甲方使用于</w:t>
      </w:r>
      <w:r>
        <w:rPr>
          <w:rFonts w:ascii="宋体" w:hAnsi="宋体" w:eastAsia="宋体"/>
          <w:color w:val="auto"/>
          <w:sz w:val="24"/>
          <w:szCs w:val="24"/>
          <w:highlight w:val="none"/>
        </w:rPr>
        <w:t>本合作项目范围内</w:t>
      </w:r>
      <w:r>
        <w:rPr>
          <w:rFonts w:hint="eastAsia" w:ascii="宋体" w:hAnsi="宋体" w:eastAsia="宋体"/>
          <w:color w:val="auto"/>
          <w:sz w:val="24"/>
          <w:szCs w:val="24"/>
          <w:highlight w:val="none"/>
        </w:rPr>
        <w:t>的资金、项目合作范围内甲方获得的平衡资金、</w:t>
      </w:r>
      <w:r>
        <w:rPr>
          <w:rFonts w:hint="eastAsia" w:ascii="宋体" w:hAnsi="宋体"/>
          <w:color w:val="auto"/>
          <w:sz w:val="24"/>
          <w:szCs w:val="24"/>
          <w:highlight w:val="none"/>
        </w:rPr>
        <w:t>共管账户本身产生的银行利息和银行手续费、其他经双方协商一致纳入资金共管账户管理的资金。</w:t>
      </w:r>
    </w:p>
    <w:p>
      <w:pPr>
        <w:widowControl/>
        <w:spacing w:before="156" w:beforeLines="50" w:after="156" w:afterLines="50" w:line="360" w:lineRule="auto"/>
        <w:jc w:val="left"/>
        <w:rPr>
          <w:rFonts w:ascii="Calibri" w:hAnsi="Calibri" w:eastAsia="楷体" w:cs="Times New Roman"/>
          <w:bCs/>
          <w:color w:val="auto"/>
          <w:kern w:val="44"/>
          <w:sz w:val="36"/>
          <w:szCs w:val="52"/>
          <w:highlight w:val="none"/>
        </w:rPr>
      </w:pPr>
      <w:bookmarkStart w:id="73" w:name="_Toc55981049"/>
      <w:r>
        <w:rPr>
          <w:color w:val="auto"/>
          <w:sz w:val="24"/>
          <w:szCs w:val="28"/>
          <w:highlight w:val="none"/>
        </w:rPr>
        <w:br w:type="page"/>
      </w:r>
    </w:p>
    <w:p>
      <w:pPr>
        <w:pStyle w:val="3"/>
        <w:spacing w:before="156" w:beforeLines="50" w:after="156" w:afterLines="50" w:line="360" w:lineRule="auto"/>
        <w:jc w:val="center"/>
        <w:rPr>
          <w:b/>
          <w:color w:val="auto"/>
          <w:sz w:val="36"/>
          <w:szCs w:val="52"/>
          <w:highlight w:val="none"/>
        </w:rPr>
      </w:pPr>
      <w:bookmarkStart w:id="74" w:name="_Toc101463843"/>
      <w:r>
        <w:rPr>
          <w:rFonts w:hint="eastAsia"/>
          <w:b/>
          <w:color w:val="auto"/>
          <w:sz w:val="36"/>
          <w:szCs w:val="52"/>
          <w:highlight w:val="none"/>
        </w:rPr>
        <w:t>六、项目建设</w:t>
      </w:r>
      <w:bookmarkEnd w:id="73"/>
      <w:bookmarkEnd w:id="74"/>
    </w:p>
    <w:p>
      <w:pPr>
        <w:pStyle w:val="2"/>
        <w:spacing w:before="156" w:beforeLines="50" w:after="156" w:afterLines="50" w:line="360" w:lineRule="auto"/>
        <w:rPr>
          <w:color w:val="auto"/>
          <w:sz w:val="32"/>
          <w:szCs w:val="40"/>
          <w:highlight w:val="none"/>
        </w:rPr>
      </w:pPr>
      <w:bookmarkStart w:id="75" w:name="_Toc101463844"/>
      <w:bookmarkStart w:id="76" w:name="_Toc55981050"/>
      <w:r>
        <w:rPr>
          <w:rFonts w:hint="eastAsia"/>
          <w:color w:val="auto"/>
          <w:sz w:val="32"/>
          <w:szCs w:val="40"/>
          <w:highlight w:val="none"/>
        </w:rPr>
        <w:t>15.建设标准和要求</w:t>
      </w:r>
      <w:bookmarkEnd w:id="75"/>
      <w:bookmarkEnd w:id="76"/>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（1）本项目属于新建项目，建设主体应按照本协议约定及</w:t>
      </w:r>
      <w:r>
        <w:rPr>
          <w:rFonts w:ascii="宋体" w:hAnsi="宋体" w:eastAsia="宋体"/>
          <w:color w:val="auto"/>
          <w:sz w:val="24"/>
          <w:szCs w:val="24"/>
          <w:highlight w:val="none"/>
        </w:rPr>
        <w:t>单项项目</w:t>
      </w:r>
      <w:r>
        <w:rPr>
          <w:rFonts w:hint="eastAsia" w:ascii="宋体" w:hAnsi="宋体" w:eastAsia="宋体"/>
          <w:color w:val="auto"/>
          <w:sz w:val="24"/>
          <w:szCs w:val="24"/>
          <w:highlight w:val="none"/>
        </w:rPr>
        <w:t>经</w:t>
      </w:r>
      <w:r>
        <w:rPr>
          <w:rFonts w:ascii="宋体" w:hAnsi="宋体" w:eastAsia="宋体"/>
          <w:color w:val="auto"/>
          <w:sz w:val="24"/>
          <w:szCs w:val="24"/>
          <w:highlight w:val="none"/>
        </w:rPr>
        <w:t>批复的初步设计及施工图设计确</w:t>
      </w:r>
      <w:r>
        <w:rPr>
          <w:rFonts w:hint="eastAsia" w:ascii="宋体" w:hAnsi="宋体" w:eastAsia="宋体"/>
          <w:color w:val="auto"/>
          <w:sz w:val="24"/>
          <w:szCs w:val="24"/>
          <w:highlight w:val="none"/>
        </w:rPr>
        <w:t>定或</w:t>
      </w:r>
      <w:r>
        <w:rPr>
          <w:rFonts w:ascii="宋体" w:hAnsi="宋体" w:eastAsia="宋体"/>
          <w:color w:val="auto"/>
          <w:sz w:val="24"/>
          <w:szCs w:val="24"/>
          <w:highlight w:val="none"/>
        </w:rPr>
        <w:t>双方认可</w:t>
      </w:r>
      <w:r>
        <w:rPr>
          <w:rFonts w:hint="eastAsia" w:ascii="宋体" w:hAnsi="宋体" w:eastAsia="宋体"/>
          <w:color w:val="auto"/>
          <w:sz w:val="24"/>
          <w:szCs w:val="24"/>
          <w:highlight w:val="none"/>
        </w:rPr>
        <w:t>的建设内容进行建设，项目公司负责依法投资、建设管理。</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建设主体应按照本协议约定的建设内容进行建设管理，适用于本项目的建设标准要求包括但不限于现行的设计标准、施工标准、验收标准、安全生产和环境保护标准等，建设过程中应无条件接受国家、行业、地方政府有关部门依法进行的监督和检查。</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（3）本项目的项目建设、项目管理及项目验收等必须严格执行有关法律、法规以及国家行业主管部门、陕西省、西安市、曲江新区、</w:t>
      </w:r>
      <w:r>
        <w:rPr>
          <w:rFonts w:ascii="宋体" w:hAnsi="宋体" w:eastAsia="宋体"/>
          <w:color w:val="auto"/>
          <w:sz w:val="24"/>
          <w:szCs w:val="24"/>
          <w:highlight w:val="none"/>
        </w:rPr>
        <w:t>鄠邑区</w:t>
      </w:r>
      <w:r>
        <w:rPr>
          <w:rFonts w:hint="eastAsia" w:ascii="宋体" w:hAnsi="宋体" w:eastAsia="宋体"/>
          <w:color w:val="auto"/>
          <w:sz w:val="24"/>
          <w:szCs w:val="24"/>
          <w:highlight w:val="none"/>
        </w:rPr>
        <w:t>等建设相关规定，按照经批复的可行性研究报告、初步设计文件确定的建设规模和标准、施工图等执行。</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（4）本项目建设主体，依法全面负责项目建设组织、项目建设管理、项目建设工程验收等，建设工程需发包的，由建设主体依法合规进行。</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（5）项目建设应符合国家基本建设程序，符合建设项目法人制度、资本金制度、合同管理制度、建设监理制度、招投标制度等基本建设相关法律法规的要求。</w:t>
      </w:r>
    </w:p>
    <w:p>
      <w:pPr>
        <w:pStyle w:val="2"/>
        <w:spacing w:before="156" w:beforeLines="50" w:after="156" w:afterLines="50" w:line="360" w:lineRule="auto"/>
        <w:rPr>
          <w:color w:val="auto"/>
          <w:sz w:val="32"/>
          <w:szCs w:val="40"/>
          <w:highlight w:val="none"/>
        </w:rPr>
      </w:pPr>
      <w:bookmarkStart w:id="77" w:name="_Toc55981051"/>
      <w:bookmarkStart w:id="78" w:name="_Toc101463845"/>
      <w:r>
        <w:rPr>
          <w:rFonts w:hint="eastAsia"/>
          <w:color w:val="auto"/>
          <w:sz w:val="32"/>
          <w:szCs w:val="40"/>
          <w:highlight w:val="none"/>
        </w:rPr>
        <w:t>16.计划、</w:t>
      </w:r>
      <w:bookmarkEnd w:id="77"/>
      <w:r>
        <w:rPr>
          <w:rFonts w:hint="eastAsia"/>
          <w:color w:val="auto"/>
          <w:sz w:val="32"/>
          <w:szCs w:val="40"/>
          <w:highlight w:val="none"/>
        </w:rPr>
        <w:t>管理和延期</w:t>
      </w:r>
      <w:bookmarkEnd w:id="78"/>
    </w:p>
    <w:p>
      <w:pPr>
        <w:pStyle w:val="38"/>
        <w:spacing w:before="156" w:beforeLines="50" w:after="156" w:afterLines="50" w:line="360" w:lineRule="auto"/>
        <w:rPr>
          <w:color w:val="auto"/>
          <w:sz w:val="32"/>
          <w:szCs w:val="40"/>
          <w:highlight w:val="none"/>
        </w:rPr>
      </w:pPr>
      <w:bookmarkStart w:id="79" w:name="_Toc55981052"/>
      <w:r>
        <w:rPr>
          <w:rFonts w:hint="eastAsia"/>
          <w:color w:val="auto"/>
          <w:sz w:val="32"/>
          <w:szCs w:val="40"/>
          <w:highlight w:val="none"/>
        </w:rPr>
        <w:t>16.1建设进度计划</w:t>
      </w:r>
      <w:bookmarkEnd w:id="79"/>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建设进度计划的具体</w:t>
      </w:r>
      <w:r>
        <w:rPr>
          <w:rFonts w:hint="eastAsia" w:ascii="宋体" w:hAnsi="宋体" w:eastAsia="宋体"/>
          <w:color w:val="auto"/>
          <w:sz w:val="24"/>
          <w:szCs w:val="24"/>
          <w:highlight w:val="none"/>
        </w:rPr>
        <w:t>安排</w:t>
      </w:r>
      <w:r>
        <w:rPr>
          <w:rFonts w:ascii="宋体" w:hAnsi="宋体" w:eastAsia="宋体"/>
          <w:color w:val="auto"/>
          <w:sz w:val="24"/>
          <w:szCs w:val="24"/>
          <w:highlight w:val="none"/>
        </w:rPr>
        <w:t>在项目公司注册成立后</w:t>
      </w:r>
      <w:r>
        <w:rPr>
          <w:rFonts w:hint="eastAsia" w:ascii="宋体" w:hAnsi="宋体" w:eastAsia="宋体"/>
          <w:color w:val="auto"/>
          <w:sz w:val="24"/>
          <w:szCs w:val="24"/>
          <w:highlight w:val="none"/>
        </w:rPr>
        <w:t>，</w:t>
      </w:r>
      <w:r>
        <w:rPr>
          <w:rFonts w:ascii="宋体" w:hAnsi="宋体" w:eastAsia="宋体"/>
          <w:color w:val="auto"/>
          <w:sz w:val="24"/>
          <w:szCs w:val="24"/>
          <w:highlight w:val="none"/>
        </w:rPr>
        <w:t>由</w:t>
      </w:r>
      <w:r>
        <w:rPr>
          <w:rFonts w:hint="eastAsia" w:ascii="宋体" w:hAnsi="宋体" w:eastAsia="宋体"/>
          <w:color w:val="auto"/>
          <w:sz w:val="24"/>
          <w:szCs w:val="24"/>
          <w:highlight w:val="none"/>
        </w:rPr>
        <w:t>甲乙双方</w:t>
      </w:r>
      <w:r>
        <w:rPr>
          <w:rFonts w:ascii="宋体" w:hAnsi="宋体" w:eastAsia="宋体"/>
          <w:color w:val="auto"/>
          <w:sz w:val="24"/>
          <w:szCs w:val="24"/>
          <w:highlight w:val="none"/>
        </w:rPr>
        <w:t>共同协商确定</w:t>
      </w:r>
      <w:r>
        <w:rPr>
          <w:rFonts w:hint="eastAsia" w:ascii="宋体" w:hAnsi="宋体" w:eastAsia="宋体"/>
          <w:color w:val="auto"/>
          <w:sz w:val="24"/>
          <w:szCs w:val="24"/>
          <w:highlight w:val="none"/>
        </w:rPr>
        <w:t>。届时，双方</w:t>
      </w:r>
      <w:r>
        <w:rPr>
          <w:rFonts w:ascii="宋体" w:hAnsi="宋体" w:eastAsia="宋体"/>
          <w:color w:val="auto"/>
          <w:sz w:val="24"/>
          <w:szCs w:val="24"/>
          <w:highlight w:val="none"/>
        </w:rPr>
        <w:t>应</w:t>
      </w:r>
      <w:r>
        <w:rPr>
          <w:rFonts w:hint="eastAsia" w:ascii="宋体" w:hAnsi="宋体" w:eastAsia="宋体"/>
          <w:color w:val="auto"/>
          <w:sz w:val="24"/>
          <w:szCs w:val="24"/>
          <w:highlight w:val="none"/>
        </w:rPr>
        <w:t>结合项目</w:t>
      </w:r>
      <w:r>
        <w:rPr>
          <w:rFonts w:ascii="宋体" w:hAnsi="宋体" w:eastAsia="宋体"/>
          <w:color w:val="auto"/>
          <w:sz w:val="24"/>
          <w:szCs w:val="24"/>
          <w:highlight w:val="none"/>
        </w:rPr>
        <w:t>建设内容</w:t>
      </w:r>
      <w:r>
        <w:rPr>
          <w:rFonts w:hint="eastAsia" w:ascii="宋体" w:hAnsi="宋体" w:eastAsia="宋体"/>
          <w:color w:val="auto"/>
          <w:sz w:val="24"/>
          <w:szCs w:val="24"/>
          <w:highlight w:val="none"/>
        </w:rPr>
        <w:t>、建设期限、预期收益支付安排等</w:t>
      </w:r>
      <w:r>
        <w:rPr>
          <w:rFonts w:ascii="宋体" w:hAnsi="宋体" w:eastAsia="宋体"/>
          <w:color w:val="auto"/>
          <w:sz w:val="24"/>
          <w:szCs w:val="24"/>
          <w:highlight w:val="none"/>
        </w:rPr>
        <w:t>编制项目建设进度计划</w:t>
      </w:r>
      <w:r>
        <w:rPr>
          <w:rFonts w:hint="eastAsia" w:ascii="宋体" w:hAnsi="宋体" w:eastAsia="宋体"/>
          <w:color w:val="auto"/>
          <w:sz w:val="24"/>
          <w:szCs w:val="24"/>
          <w:highlight w:val="none"/>
        </w:rPr>
        <w:t>、资金安排计划。</w:t>
      </w:r>
      <w:r>
        <w:rPr>
          <w:rFonts w:ascii="宋体" w:hAnsi="宋体" w:eastAsia="宋体"/>
          <w:color w:val="auto"/>
          <w:sz w:val="24"/>
          <w:szCs w:val="24"/>
          <w:highlight w:val="none"/>
        </w:rPr>
        <w:t>建设进度计划应当包括重要节点进度计划以及进度保障等内容</w:t>
      </w:r>
      <w:r>
        <w:rPr>
          <w:rFonts w:hint="eastAsia" w:ascii="宋体" w:hAnsi="宋体" w:eastAsia="宋体"/>
          <w:color w:val="auto"/>
          <w:sz w:val="24"/>
          <w:szCs w:val="24"/>
          <w:highlight w:val="none"/>
        </w:rPr>
        <w:t>，</w:t>
      </w:r>
      <w:r>
        <w:rPr>
          <w:rFonts w:ascii="宋体" w:hAnsi="宋体" w:eastAsia="宋体"/>
          <w:color w:val="auto"/>
          <w:sz w:val="24"/>
          <w:szCs w:val="24"/>
          <w:highlight w:val="none"/>
        </w:rPr>
        <w:t>并满足本项目建设期限要求</w:t>
      </w:r>
      <w:r>
        <w:rPr>
          <w:rFonts w:hint="eastAsia" w:ascii="宋体" w:hAnsi="宋体" w:eastAsia="宋体"/>
          <w:color w:val="auto"/>
          <w:sz w:val="24"/>
          <w:szCs w:val="24"/>
          <w:highlight w:val="none"/>
        </w:rPr>
        <w:t>。资金安排计划应当包括重要支付节点及金额、筹措方式，投资路径等。</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（2）建设进度计划、资金安排计划需要调整的，经甲方和乙方协商一致后，原则上在30日内完成建设进度计划、资金安排计划的修改及批复手续。</w:t>
      </w:r>
    </w:p>
    <w:p>
      <w:pPr>
        <w:pStyle w:val="4"/>
        <w:spacing w:before="156" w:beforeLines="50" w:after="156" w:afterLines="50" w:line="360" w:lineRule="auto"/>
        <w:rPr>
          <w:color w:val="auto"/>
          <w:szCs w:val="40"/>
          <w:highlight w:val="none"/>
        </w:rPr>
      </w:pPr>
      <w:r>
        <w:rPr>
          <w:rFonts w:hint="eastAsia"/>
          <w:color w:val="auto"/>
          <w:szCs w:val="40"/>
          <w:highlight w:val="none"/>
        </w:rPr>
        <w:t>16.2建设管理</w:t>
      </w:r>
    </w:p>
    <w:p>
      <w:pPr>
        <w:spacing w:before="156" w:beforeLines="50" w:after="156" w:afterLines="50" w:line="360" w:lineRule="auto"/>
        <w:ind w:firstLine="360" w:firstLineChars="150"/>
        <w:jc w:val="lef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）建设主体负责项目的设计管理、工程管理、合同预算管理等等工作。</w:t>
      </w:r>
    </w:p>
    <w:p>
      <w:pPr>
        <w:spacing w:before="156" w:beforeLines="50" w:after="156" w:afterLines="50" w:line="360" w:lineRule="auto"/>
        <w:jc w:val="lef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w:t>
      </w:r>
      <w:r>
        <w:rPr>
          <w:rFonts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rPr>
        <w:t>）项目应在满足相关法律、法规和地方行政管理规定并办理相关手续的前提下方可开始实施。本项目工程总承包、工程分包、原材料采购应当按照法律、法规规定的程序进行。</w:t>
      </w:r>
    </w:p>
    <w:p>
      <w:pPr>
        <w:pStyle w:val="4"/>
        <w:spacing w:before="156" w:beforeLines="50" w:after="156" w:afterLines="50" w:line="360" w:lineRule="auto"/>
        <w:rPr>
          <w:color w:val="auto"/>
          <w:szCs w:val="40"/>
          <w:highlight w:val="none"/>
        </w:rPr>
      </w:pPr>
      <w:bookmarkStart w:id="80" w:name="_Toc55981053"/>
      <w:r>
        <w:rPr>
          <w:rFonts w:hint="eastAsia"/>
          <w:color w:val="auto"/>
          <w:szCs w:val="40"/>
          <w:highlight w:val="none"/>
        </w:rPr>
        <w:t>16.3项目建设进度计划</w:t>
      </w:r>
      <w:bookmarkEnd w:id="80"/>
    </w:p>
    <w:p>
      <w:pPr>
        <w:spacing w:before="156" w:beforeLines="50" w:after="156" w:afterLines="50" w:line="360" w:lineRule="auto"/>
        <w:ind w:firstLine="480" w:firstLineChars="20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甲方</w:t>
      </w:r>
      <w:r>
        <w:rPr>
          <w:rFonts w:hint="eastAsia" w:ascii="Times New Roman" w:hAnsi="Times New Roman" w:eastAsia="宋体" w:cs="Times New Roman"/>
          <w:color w:val="auto"/>
          <w:sz w:val="24"/>
          <w:szCs w:val="24"/>
          <w:highlight w:val="none"/>
        </w:rPr>
        <w:t>有权向项目公司下达建设进度计划及资金需求计划，一般包含重要节点进度安排以及进度保障、资金需求。项目公司应向甲方报送《项目资金安排方案》。</w:t>
      </w:r>
    </w:p>
    <w:p>
      <w:pPr>
        <w:pStyle w:val="4"/>
        <w:spacing w:before="156" w:beforeLines="50" w:after="156" w:afterLines="50" w:line="360" w:lineRule="auto"/>
        <w:rPr>
          <w:color w:val="auto"/>
          <w:szCs w:val="40"/>
          <w:highlight w:val="none"/>
        </w:rPr>
      </w:pPr>
      <w:r>
        <w:rPr>
          <w:rFonts w:hint="eastAsia"/>
          <w:color w:val="auto"/>
          <w:szCs w:val="40"/>
          <w:highlight w:val="none"/>
        </w:rPr>
        <w:t>16.</w:t>
      </w:r>
      <w:r>
        <w:rPr>
          <w:color w:val="auto"/>
          <w:szCs w:val="40"/>
          <w:highlight w:val="none"/>
        </w:rPr>
        <w:t>4</w:t>
      </w:r>
      <w:r>
        <w:rPr>
          <w:rFonts w:hint="eastAsia"/>
          <w:color w:val="auto"/>
          <w:szCs w:val="40"/>
          <w:highlight w:val="none"/>
        </w:rPr>
        <w:t>项目建设延期</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16.</w:t>
      </w:r>
      <w:r>
        <w:rPr>
          <w:rFonts w:ascii="Times New Roman" w:hAnsi="Times New Roman"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rPr>
        <w:t xml:space="preserve">.1 </w:t>
      </w:r>
      <w:r>
        <w:rPr>
          <w:rFonts w:hint="eastAsia" w:ascii="宋体" w:hAnsi="宋体" w:eastAsia="宋体"/>
          <w:color w:val="auto"/>
          <w:sz w:val="24"/>
          <w:szCs w:val="24"/>
          <w:highlight w:val="none"/>
        </w:rPr>
        <w:t>因不可归责于项目公司或乙方的下列事件，导致建设进度延误，且该事件为影响建设期的关键路径事件的，项目公司或乙方有权要求延长建设期和合作期。</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①合作内容或项目建设范围变化，政府部门要求暂停施工（因项目公司违法、违约被依法要求停工的除外）；</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②因甲方原因未能如期完成前期工作影响项目建设，对项目的建设安排产生实质性影响而导致的延误；</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③甲方提出或批准的项目变更；</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④为保护在建设用地范围内发现的文物或其他有保护价值的埋藏物；</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⑤发生不可抗力事件。</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16.</w:t>
      </w:r>
      <w:r>
        <w:rPr>
          <w:rFonts w:ascii="Times New Roman" w:hAnsi="Times New Roman"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rPr>
        <w:t>.2</w:t>
      </w:r>
      <w:r>
        <w:rPr>
          <w:rFonts w:hint="eastAsia" w:ascii="宋体" w:hAnsi="宋体" w:eastAsia="宋体"/>
          <w:color w:val="auto"/>
          <w:sz w:val="24"/>
          <w:szCs w:val="24"/>
          <w:highlight w:val="none"/>
        </w:rPr>
        <w:t xml:space="preserve"> 建设期延期的处理按以下约定执行：</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（1）在延误事件发生后的30日内，认为延误的一方可向甲方提交书面通知要求延期，并说明造成延误的原因及影响程度。经双方确认后作为项目后续进度控制的依据。</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）甲方应在收到通知后的30日内，决定是否同意延长建设期。甲方同意延期的，回复中应包括批准的延期期限。甲方不同意延期的，应说明理由。</w:t>
      </w:r>
    </w:p>
    <w:p>
      <w:pPr>
        <w:pStyle w:val="2"/>
        <w:spacing w:before="156" w:beforeLines="50" w:after="156" w:afterLines="50" w:line="360" w:lineRule="auto"/>
        <w:rPr>
          <w:color w:val="auto"/>
          <w:sz w:val="32"/>
          <w:szCs w:val="40"/>
          <w:highlight w:val="none"/>
        </w:rPr>
      </w:pPr>
      <w:bookmarkStart w:id="81" w:name="_Toc101463846"/>
      <w:r>
        <w:rPr>
          <w:rFonts w:hint="eastAsia"/>
          <w:color w:val="auto"/>
          <w:sz w:val="32"/>
          <w:szCs w:val="40"/>
          <w:highlight w:val="none"/>
        </w:rPr>
        <w:t>16.</w:t>
      </w:r>
      <w:r>
        <w:rPr>
          <w:color w:val="auto"/>
          <w:sz w:val="32"/>
          <w:szCs w:val="40"/>
          <w:highlight w:val="none"/>
        </w:rPr>
        <w:t>5</w:t>
      </w:r>
      <w:r>
        <w:rPr>
          <w:rFonts w:hint="eastAsia"/>
          <w:color w:val="auto"/>
          <w:sz w:val="32"/>
          <w:szCs w:val="40"/>
          <w:highlight w:val="none"/>
        </w:rPr>
        <w:t>项目</w:t>
      </w:r>
      <w:r>
        <w:rPr>
          <w:color w:val="auto"/>
          <w:sz w:val="32"/>
          <w:szCs w:val="40"/>
          <w:highlight w:val="none"/>
        </w:rPr>
        <w:t>管理要求</w:t>
      </w:r>
      <w:bookmarkEnd w:id="81"/>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（1）本项目在建设期各项建设环节，应遵守国家建设管理相关法律、法规、规章的规定，同时还应遵守陕西省及西安市关于工程建设管理的最新规定。</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（2）本项目的建设管理标准及要求，不应低于陕西省曲江新区、</w:t>
      </w:r>
      <w:r>
        <w:rPr>
          <w:rFonts w:ascii="宋体" w:hAnsi="宋体" w:eastAsia="宋体"/>
          <w:color w:val="auto"/>
          <w:sz w:val="24"/>
          <w:szCs w:val="24"/>
          <w:highlight w:val="none"/>
        </w:rPr>
        <w:t>鄠邑区</w:t>
      </w:r>
      <w:r>
        <w:rPr>
          <w:rFonts w:hint="eastAsia" w:ascii="宋体" w:hAnsi="宋体" w:eastAsia="宋体"/>
          <w:color w:val="auto"/>
          <w:sz w:val="24"/>
          <w:szCs w:val="24"/>
          <w:highlight w:val="none"/>
        </w:rPr>
        <w:t>同期同类型项目的建设标准、要求，并应符合该标准或要求的最新更新内容。</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（3）项目质量应符合本协议的约定及国家和地方技术规范和技术标准。</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（4）双方应确保规范项目管理流程，防范项目建设风险，做好整体管理、范围管理、时间管理、成本管理、质量管理、人力资源管理、沟通管理、项目干系人管理、风险管理、采购管理等工作。</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（5）双方应在签署与合作项目</w:t>
      </w:r>
      <w:r>
        <w:rPr>
          <w:rFonts w:ascii="宋体" w:hAnsi="宋体" w:eastAsia="宋体"/>
          <w:color w:val="auto"/>
          <w:sz w:val="24"/>
          <w:szCs w:val="24"/>
          <w:highlight w:val="none"/>
        </w:rPr>
        <w:t>相关的</w:t>
      </w:r>
      <w:r>
        <w:rPr>
          <w:rFonts w:hint="eastAsia" w:ascii="宋体" w:hAnsi="宋体" w:eastAsia="宋体"/>
          <w:color w:val="auto"/>
          <w:sz w:val="24"/>
          <w:szCs w:val="24"/>
          <w:highlight w:val="none"/>
        </w:rPr>
        <w:t>合同时，要求承包商、分包商、供应商也遵守法定及合同约定的义务</w:t>
      </w:r>
      <w:r>
        <w:rPr>
          <w:rFonts w:ascii="宋体" w:hAnsi="宋体" w:eastAsia="宋体"/>
          <w:color w:val="auto"/>
          <w:sz w:val="24"/>
          <w:szCs w:val="24"/>
          <w:highlight w:val="none"/>
        </w:rPr>
        <w:t>。</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（6）本项目建设建立健全质量保证体系、安全保证体系，并建立规范的档案管理制度；双方应要求下游的承包商、供应商等同样建立健全相关的档案管理体系。</w:t>
      </w:r>
    </w:p>
    <w:p>
      <w:pPr>
        <w:pStyle w:val="2"/>
        <w:spacing w:before="156" w:beforeLines="50" w:after="156" w:afterLines="50" w:line="360" w:lineRule="auto"/>
        <w:rPr>
          <w:color w:val="auto"/>
          <w:sz w:val="32"/>
          <w:szCs w:val="40"/>
          <w:highlight w:val="none"/>
        </w:rPr>
      </w:pPr>
      <w:bookmarkStart w:id="82" w:name="_Toc101463847"/>
      <w:bookmarkStart w:id="83" w:name="_Toc55981054"/>
      <w:r>
        <w:rPr>
          <w:rFonts w:hint="eastAsia"/>
          <w:color w:val="auto"/>
          <w:sz w:val="32"/>
          <w:szCs w:val="40"/>
          <w:highlight w:val="none"/>
        </w:rPr>
        <w:t>17.项目变更</w:t>
      </w:r>
      <w:bookmarkEnd w:id="82"/>
      <w:bookmarkEnd w:id="83"/>
    </w:p>
    <w:p>
      <w:pPr>
        <w:pStyle w:val="38"/>
        <w:spacing w:before="156" w:beforeLines="50" w:after="156" w:afterLines="50" w:line="360" w:lineRule="auto"/>
        <w:rPr>
          <w:color w:val="auto"/>
          <w:sz w:val="32"/>
          <w:szCs w:val="40"/>
          <w:highlight w:val="none"/>
        </w:rPr>
      </w:pPr>
      <w:bookmarkStart w:id="84" w:name="_Toc55981055"/>
      <w:r>
        <w:rPr>
          <w:rFonts w:hint="eastAsia"/>
          <w:color w:val="auto"/>
          <w:sz w:val="32"/>
          <w:szCs w:val="40"/>
          <w:highlight w:val="none"/>
        </w:rPr>
        <w:t>17.1甲方提出的项目变更</w:t>
      </w:r>
      <w:bookmarkEnd w:id="84"/>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17.1.1</w:t>
      </w:r>
      <w:r>
        <w:rPr>
          <w:rFonts w:ascii="宋体" w:hAnsi="宋体" w:eastAsia="宋体"/>
          <w:color w:val="auto"/>
          <w:sz w:val="24"/>
          <w:szCs w:val="24"/>
          <w:highlight w:val="none"/>
        </w:rPr>
        <w:t>甲方有权提出项目变更</w:t>
      </w:r>
      <w:r>
        <w:rPr>
          <w:rFonts w:hint="eastAsia" w:ascii="宋体" w:hAnsi="宋体" w:eastAsia="宋体"/>
          <w:color w:val="auto"/>
          <w:sz w:val="24"/>
          <w:szCs w:val="24"/>
          <w:highlight w:val="none"/>
        </w:rPr>
        <w:t>.</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 xml:space="preserve">17.1.2 </w:t>
      </w:r>
      <w:r>
        <w:rPr>
          <w:rFonts w:ascii="宋体" w:hAnsi="宋体" w:eastAsia="宋体"/>
          <w:color w:val="auto"/>
          <w:sz w:val="24"/>
          <w:szCs w:val="24"/>
          <w:highlight w:val="none"/>
        </w:rPr>
        <w:t>甲方提出项目变更的</w:t>
      </w:r>
      <w:r>
        <w:rPr>
          <w:rFonts w:hint="eastAsia" w:ascii="宋体" w:hAnsi="宋体" w:eastAsia="宋体"/>
          <w:color w:val="auto"/>
          <w:sz w:val="24"/>
          <w:szCs w:val="24"/>
          <w:highlight w:val="none"/>
        </w:rPr>
        <w:t>，应当按照以下约定执行：</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（1）甲方应以书面形式通知项目公司项目变更，项目公司在收到甲方的通知后28天内作出书面回复，说明实施该变更对建设投资和建设期、资金筹措的影响并可提出合理化建议。</w:t>
      </w:r>
    </w:p>
    <w:p>
      <w:pPr>
        <w:spacing w:before="156" w:beforeLines="50" w:after="156" w:afterLines="50" w:line="360" w:lineRule="auto"/>
        <w:ind w:firstLine="480" w:firstLineChars="200"/>
        <w:jc w:val="lef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（2）甲方应在收到项目公司回复后28天内书面回复项目公司，不同意项目公司意见的，应说明理由。</w:t>
      </w:r>
    </w:p>
    <w:p>
      <w:pPr>
        <w:pStyle w:val="38"/>
        <w:spacing w:before="156" w:beforeLines="50" w:after="156" w:afterLines="50" w:line="360" w:lineRule="auto"/>
        <w:rPr>
          <w:color w:val="auto"/>
          <w:sz w:val="32"/>
          <w:szCs w:val="40"/>
          <w:highlight w:val="none"/>
        </w:rPr>
      </w:pPr>
      <w:bookmarkStart w:id="85" w:name="_Toc55981056"/>
      <w:r>
        <w:rPr>
          <w:rFonts w:hint="eastAsia"/>
          <w:color w:val="auto"/>
          <w:sz w:val="32"/>
          <w:szCs w:val="40"/>
          <w:highlight w:val="none"/>
        </w:rPr>
        <w:t>17.2合理化建议</w:t>
      </w:r>
      <w:bookmarkEnd w:id="85"/>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 xml:space="preserve">17.2.1 </w:t>
      </w:r>
      <w:r>
        <w:rPr>
          <w:rFonts w:hint="eastAsia" w:ascii="宋体" w:hAnsi="宋体" w:eastAsia="宋体"/>
          <w:color w:val="auto"/>
          <w:sz w:val="24"/>
          <w:szCs w:val="24"/>
          <w:highlight w:val="none"/>
        </w:rPr>
        <w:t>未经甲方书面批准，双方不得改变已经批复的设计文件确定的建设标准和规模、投资计划。</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17.2.2</w:t>
      </w:r>
      <w:r>
        <w:rPr>
          <w:rFonts w:hint="eastAsia" w:ascii="宋体" w:hAnsi="宋体" w:eastAsia="宋体"/>
          <w:color w:val="auto"/>
          <w:sz w:val="24"/>
          <w:szCs w:val="24"/>
          <w:highlight w:val="none"/>
        </w:rPr>
        <w:t>在确保不降低本项目安全质量和建设标准和</w:t>
      </w:r>
      <w:r>
        <w:rPr>
          <w:rFonts w:ascii="宋体" w:hAnsi="宋体" w:eastAsia="宋体"/>
          <w:color w:val="auto"/>
          <w:sz w:val="24"/>
          <w:szCs w:val="24"/>
          <w:highlight w:val="none"/>
        </w:rPr>
        <w:t>确定的竣工日期</w:t>
      </w:r>
      <w:r>
        <w:rPr>
          <w:rFonts w:hint="eastAsia" w:ascii="宋体" w:hAnsi="宋体" w:eastAsia="宋体"/>
          <w:color w:val="auto"/>
          <w:sz w:val="24"/>
          <w:szCs w:val="24"/>
          <w:highlight w:val="none"/>
        </w:rPr>
        <w:t>不延后的前提下，项目公司可向甲方提交书面申请，对已批复的设计文件提出合理化建议，经甲方书面同意后方可实施，由此导致建设投资变化的，增加投资部分计入项目投资成本。</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 xml:space="preserve">17.2.3 </w:t>
      </w:r>
      <w:r>
        <w:rPr>
          <w:rFonts w:hint="eastAsia" w:ascii="宋体" w:hAnsi="宋体" w:eastAsia="宋体"/>
          <w:color w:val="auto"/>
          <w:sz w:val="24"/>
          <w:szCs w:val="24"/>
          <w:highlight w:val="none"/>
        </w:rPr>
        <w:t>关于合理化建议的执行约定如下：</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（1）项目公司以书面形式提出合理化建议，并说明实施该合理化建议对建设费用和建设期、投资额的影响。</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（2）甲方应在收到申请后</w:t>
      </w:r>
      <w:r>
        <w:rPr>
          <w:rFonts w:ascii="宋体" w:hAnsi="宋体" w:eastAsia="宋体"/>
          <w:color w:val="auto"/>
          <w:sz w:val="24"/>
          <w:szCs w:val="24"/>
          <w:highlight w:val="none"/>
        </w:rPr>
        <w:t>28</w:t>
      </w:r>
      <w:r>
        <w:rPr>
          <w:rFonts w:hint="eastAsia" w:ascii="宋体" w:hAnsi="宋体" w:eastAsia="宋体"/>
          <w:color w:val="auto"/>
          <w:sz w:val="24"/>
          <w:szCs w:val="24"/>
          <w:highlight w:val="none"/>
        </w:rPr>
        <w:t>日内书面回复项目公司。</w:t>
      </w:r>
    </w:p>
    <w:p>
      <w:pPr>
        <w:pStyle w:val="38"/>
        <w:spacing w:before="156" w:beforeLines="50" w:after="156" w:afterLines="50" w:line="360" w:lineRule="auto"/>
        <w:rPr>
          <w:color w:val="auto"/>
          <w:sz w:val="32"/>
          <w:szCs w:val="40"/>
          <w:highlight w:val="none"/>
        </w:rPr>
      </w:pPr>
      <w:bookmarkStart w:id="86" w:name="_Toc55981057"/>
      <w:r>
        <w:rPr>
          <w:rFonts w:hint="eastAsia"/>
          <w:color w:val="auto"/>
          <w:sz w:val="32"/>
          <w:szCs w:val="40"/>
          <w:highlight w:val="none"/>
        </w:rPr>
        <w:t>17.3法律变化或客观条件变化引起的</w:t>
      </w:r>
      <w:bookmarkEnd w:id="86"/>
      <w:r>
        <w:rPr>
          <w:rFonts w:hint="eastAsia"/>
          <w:color w:val="auto"/>
          <w:sz w:val="32"/>
          <w:szCs w:val="40"/>
          <w:highlight w:val="none"/>
        </w:rPr>
        <w:t>项目变更</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17.3.1</w:t>
      </w:r>
      <w:r>
        <w:rPr>
          <w:rFonts w:ascii="宋体" w:hAnsi="宋体" w:eastAsia="宋体"/>
          <w:color w:val="auto"/>
          <w:sz w:val="24"/>
          <w:szCs w:val="24"/>
          <w:highlight w:val="none"/>
        </w:rPr>
        <w:t>因法律变化</w:t>
      </w:r>
      <w:r>
        <w:rPr>
          <w:rFonts w:hint="eastAsia" w:ascii="宋体" w:hAnsi="宋体" w:eastAsia="宋体"/>
          <w:color w:val="auto"/>
          <w:sz w:val="24"/>
          <w:szCs w:val="24"/>
          <w:highlight w:val="none"/>
        </w:rPr>
        <w:t>或</w:t>
      </w:r>
      <w:r>
        <w:rPr>
          <w:rFonts w:ascii="宋体" w:hAnsi="宋体" w:eastAsia="宋体"/>
          <w:color w:val="auto"/>
          <w:sz w:val="24"/>
          <w:szCs w:val="24"/>
          <w:highlight w:val="none"/>
        </w:rPr>
        <w:t>客观条件发生重大变化</w:t>
      </w:r>
      <w:r>
        <w:rPr>
          <w:rFonts w:hint="eastAsia" w:ascii="宋体" w:hAnsi="宋体" w:eastAsia="宋体"/>
          <w:color w:val="auto"/>
          <w:sz w:val="24"/>
          <w:szCs w:val="24"/>
          <w:highlight w:val="none"/>
        </w:rPr>
        <w:t>，</w:t>
      </w:r>
      <w:r>
        <w:rPr>
          <w:rFonts w:ascii="宋体" w:hAnsi="宋体" w:eastAsia="宋体"/>
          <w:color w:val="auto"/>
          <w:sz w:val="24"/>
          <w:szCs w:val="24"/>
          <w:highlight w:val="none"/>
        </w:rPr>
        <w:t>需要变更建设标准和要求的</w:t>
      </w:r>
      <w:r>
        <w:rPr>
          <w:rFonts w:hint="eastAsia" w:ascii="宋体" w:hAnsi="宋体" w:eastAsia="宋体"/>
          <w:color w:val="auto"/>
          <w:sz w:val="24"/>
          <w:szCs w:val="24"/>
          <w:highlight w:val="none"/>
        </w:rPr>
        <w:t>，项目公司可向甲方提出变更方案，变更方案应包括变更的原因、范围、价款以及对本项目实施的影响等内容。</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 xml:space="preserve">17.3.2 </w:t>
      </w:r>
      <w:r>
        <w:rPr>
          <w:rFonts w:hint="eastAsia" w:ascii="宋体" w:hAnsi="宋体" w:eastAsia="宋体"/>
          <w:color w:val="auto"/>
          <w:sz w:val="24"/>
          <w:szCs w:val="24"/>
          <w:highlight w:val="none"/>
        </w:rPr>
        <w:t>客观条件发生重大变化包括：</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（1）提高工程安全、质量、使用功能等建设标准的；</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（2）工程地质情况与施工图发生重大变化，必须进行变更的；</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（3）施工图设计与实际情况不符的；</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（4）施工现场情况发生重大变化的；</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（5）工程质量和安全存在隐患的；</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（6）发生不可抗力的。</w:t>
      </w:r>
    </w:p>
    <w:p>
      <w:pPr>
        <w:pStyle w:val="38"/>
        <w:spacing w:before="156" w:beforeLines="50" w:after="156" w:afterLines="50" w:line="360" w:lineRule="auto"/>
        <w:rPr>
          <w:color w:val="auto"/>
          <w:sz w:val="32"/>
          <w:szCs w:val="40"/>
          <w:highlight w:val="none"/>
        </w:rPr>
      </w:pPr>
      <w:r>
        <w:rPr>
          <w:rFonts w:hint="eastAsia"/>
          <w:color w:val="auto"/>
          <w:sz w:val="32"/>
          <w:szCs w:val="40"/>
          <w:highlight w:val="none"/>
        </w:rPr>
        <w:t>17.</w:t>
      </w:r>
      <w:r>
        <w:rPr>
          <w:color w:val="auto"/>
          <w:sz w:val="32"/>
          <w:szCs w:val="40"/>
          <w:highlight w:val="none"/>
        </w:rPr>
        <w:t>4</w:t>
      </w:r>
      <w:r>
        <w:rPr>
          <w:rFonts w:hint="eastAsia"/>
          <w:color w:val="auto"/>
          <w:sz w:val="32"/>
          <w:szCs w:val="40"/>
          <w:highlight w:val="none"/>
        </w:rPr>
        <w:t>变更</w:t>
      </w:r>
      <w:r>
        <w:rPr>
          <w:color w:val="auto"/>
          <w:sz w:val="32"/>
          <w:szCs w:val="40"/>
          <w:highlight w:val="none"/>
        </w:rPr>
        <w:t>争议处理</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对于双方有不同意见的工程变更事项，经任一方提议可召开专家论证会，听取专家对工程变更可能造成对工程工期、投资额影响的意见。</w:t>
      </w:r>
    </w:p>
    <w:p>
      <w:pPr>
        <w:pStyle w:val="2"/>
        <w:spacing w:before="156" w:beforeLines="50" w:after="156" w:afterLines="50" w:line="360" w:lineRule="auto"/>
        <w:rPr>
          <w:color w:val="auto"/>
          <w:sz w:val="32"/>
          <w:szCs w:val="40"/>
          <w:highlight w:val="none"/>
        </w:rPr>
      </w:pPr>
      <w:bookmarkStart w:id="87" w:name="_Toc101463848"/>
      <w:r>
        <w:rPr>
          <w:color w:val="auto"/>
          <w:sz w:val="32"/>
          <w:szCs w:val="40"/>
          <w:highlight w:val="none"/>
        </w:rPr>
        <w:t>18</w:t>
      </w:r>
      <w:r>
        <w:rPr>
          <w:rFonts w:hint="eastAsia"/>
          <w:color w:val="auto"/>
          <w:sz w:val="32"/>
          <w:szCs w:val="40"/>
          <w:highlight w:val="none"/>
        </w:rPr>
        <w:t>.竣工验收</w:t>
      </w:r>
      <w:bookmarkEnd w:id="87"/>
    </w:p>
    <w:p>
      <w:pPr>
        <w:pStyle w:val="4"/>
        <w:spacing w:before="156" w:beforeLines="50" w:after="156" w:afterLines="50" w:line="360" w:lineRule="auto"/>
        <w:rPr>
          <w:color w:val="auto"/>
          <w:sz w:val="24"/>
          <w:szCs w:val="28"/>
          <w:highlight w:val="none"/>
        </w:rPr>
      </w:pPr>
      <w:r>
        <w:rPr>
          <w:color w:val="auto"/>
          <w:sz w:val="24"/>
          <w:szCs w:val="28"/>
          <w:highlight w:val="none"/>
        </w:rPr>
        <w:t>18</w:t>
      </w:r>
      <w:r>
        <w:rPr>
          <w:rFonts w:hint="eastAsia"/>
          <w:color w:val="auto"/>
          <w:sz w:val="24"/>
          <w:szCs w:val="28"/>
          <w:highlight w:val="none"/>
        </w:rPr>
        <w:t>.1</w:t>
      </w:r>
      <w:r>
        <w:rPr>
          <w:rFonts w:hint="eastAsia"/>
          <w:color w:val="auto"/>
          <w:sz w:val="24"/>
          <w:szCs w:val="28"/>
          <w:highlight w:val="none"/>
        </w:rPr>
        <w:tab/>
      </w:r>
      <w:r>
        <w:rPr>
          <w:rFonts w:hint="eastAsia"/>
          <w:color w:val="auto"/>
          <w:sz w:val="24"/>
          <w:szCs w:val="28"/>
          <w:highlight w:val="none"/>
        </w:rPr>
        <w:t>结算申请</w:t>
      </w:r>
    </w:p>
    <w:p>
      <w:pPr>
        <w:spacing w:before="156" w:beforeLines="50" w:after="156" w:afterLines="50" w:line="360" w:lineRule="auto"/>
        <w:ind w:firstLine="480" w:firstLineChars="200"/>
        <w:jc w:val="left"/>
        <w:rPr>
          <w:color w:val="auto"/>
          <w:sz w:val="24"/>
          <w:szCs w:val="28"/>
          <w:highlight w:val="none"/>
        </w:rPr>
      </w:pPr>
      <w:r>
        <w:rPr>
          <w:color w:val="auto"/>
          <w:sz w:val="24"/>
          <w:szCs w:val="28"/>
          <w:highlight w:val="none"/>
        </w:rPr>
        <w:t>18.1.1</w:t>
      </w:r>
      <w:r>
        <w:rPr>
          <w:rFonts w:hint="eastAsia"/>
          <w:color w:val="auto"/>
          <w:sz w:val="24"/>
          <w:szCs w:val="28"/>
          <w:highlight w:val="none"/>
        </w:rPr>
        <w:t>项目公司按年度投资建设计划完成投资后，可向甲方申请投资成本及收益确认，待甲方取得平衡资金后，项目公司可向甲方申请投资成本及收益结算。</w:t>
      </w:r>
    </w:p>
    <w:p>
      <w:pPr>
        <w:pStyle w:val="4"/>
        <w:spacing w:before="156" w:beforeLines="50" w:after="156" w:afterLines="50" w:line="360" w:lineRule="auto"/>
        <w:rPr>
          <w:color w:val="auto"/>
          <w:sz w:val="24"/>
          <w:szCs w:val="28"/>
          <w:highlight w:val="none"/>
        </w:rPr>
      </w:pPr>
      <w:r>
        <w:rPr>
          <w:color w:val="auto"/>
          <w:sz w:val="24"/>
          <w:szCs w:val="28"/>
          <w:highlight w:val="none"/>
        </w:rPr>
        <w:t>18</w:t>
      </w:r>
      <w:r>
        <w:rPr>
          <w:rFonts w:hint="eastAsia"/>
          <w:color w:val="auto"/>
          <w:sz w:val="24"/>
          <w:szCs w:val="28"/>
          <w:highlight w:val="none"/>
        </w:rPr>
        <w:t>.2</w:t>
      </w:r>
      <w:r>
        <w:rPr>
          <w:rFonts w:hint="eastAsia"/>
          <w:color w:val="auto"/>
          <w:sz w:val="24"/>
          <w:szCs w:val="28"/>
          <w:highlight w:val="none"/>
        </w:rPr>
        <w:tab/>
      </w:r>
      <w:r>
        <w:rPr>
          <w:rFonts w:hint="eastAsia"/>
          <w:color w:val="auto"/>
          <w:sz w:val="24"/>
          <w:szCs w:val="28"/>
          <w:highlight w:val="none"/>
        </w:rPr>
        <w:t>竣工验收及备案</w:t>
      </w:r>
    </w:p>
    <w:p>
      <w:pPr>
        <w:spacing w:before="156" w:beforeLines="50" w:after="156" w:afterLines="50" w:line="360" w:lineRule="auto"/>
        <w:ind w:firstLine="480" w:firstLineChars="200"/>
        <w:jc w:val="left"/>
        <w:rPr>
          <w:color w:val="auto"/>
          <w:sz w:val="24"/>
          <w:szCs w:val="28"/>
          <w:highlight w:val="none"/>
        </w:rPr>
      </w:pPr>
      <w:r>
        <w:rPr>
          <w:color w:val="auto"/>
          <w:sz w:val="24"/>
          <w:szCs w:val="28"/>
          <w:highlight w:val="none"/>
        </w:rPr>
        <w:t>18</w:t>
      </w:r>
      <w:r>
        <w:rPr>
          <w:rFonts w:hint="eastAsia"/>
          <w:color w:val="auto"/>
          <w:sz w:val="24"/>
          <w:szCs w:val="28"/>
          <w:highlight w:val="none"/>
        </w:rPr>
        <w:t>.</w:t>
      </w:r>
      <w:r>
        <w:rPr>
          <w:color w:val="auto"/>
          <w:sz w:val="24"/>
          <w:szCs w:val="28"/>
          <w:highlight w:val="none"/>
        </w:rPr>
        <w:t>2</w:t>
      </w:r>
      <w:r>
        <w:rPr>
          <w:rFonts w:hint="eastAsia"/>
          <w:color w:val="auto"/>
          <w:sz w:val="24"/>
          <w:szCs w:val="28"/>
          <w:highlight w:val="none"/>
        </w:rPr>
        <w:t>.1建设主体应按照相关法律政策的规定组织竣工验收。本项目工程质量要求竣工质量评定在“合格”。</w:t>
      </w:r>
    </w:p>
    <w:p>
      <w:pPr>
        <w:spacing w:before="156" w:beforeLines="50" w:after="156" w:afterLines="50" w:line="360" w:lineRule="auto"/>
        <w:ind w:firstLine="480" w:firstLineChars="200"/>
        <w:jc w:val="left"/>
        <w:rPr>
          <w:bCs/>
          <w:color w:val="auto"/>
          <w:sz w:val="24"/>
          <w:szCs w:val="28"/>
          <w:highlight w:val="none"/>
        </w:rPr>
      </w:pPr>
      <w:r>
        <w:rPr>
          <w:color w:val="auto"/>
          <w:sz w:val="24"/>
          <w:szCs w:val="28"/>
          <w:highlight w:val="none"/>
        </w:rPr>
        <w:t>18</w:t>
      </w:r>
      <w:r>
        <w:rPr>
          <w:rFonts w:hint="eastAsia"/>
          <w:color w:val="auto"/>
          <w:sz w:val="24"/>
          <w:szCs w:val="28"/>
          <w:highlight w:val="none"/>
        </w:rPr>
        <w:t>.</w:t>
      </w:r>
      <w:r>
        <w:rPr>
          <w:color w:val="auto"/>
          <w:sz w:val="24"/>
          <w:szCs w:val="28"/>
          <w:highlight w:val="none"/>
        </w:rPr>
        <w:t>2</w:t>
      </w:r>
      <w:r>
        <w:rPr>
          <w:rFonts w:hint="eastAsia"/>
          <w:color w:val="auto"/>
          <w:sz w:val="24"/>
          <w:szCs w:val="28"/>
          <w:highlight w:val="none"/>
        </w:rPr>
        <w:t>.</w:t>
      </w:r>
      <w:r>
        <w:rPr>
          <w:color w:val="auto"/>
          <w:sz w:val="24"/>
          <w:szCs w:val="28"/>
          <w:highlight w:val="none"/>
        </w:rPr>
        <w:t>2</w:t>
      </w:r>
      <w:r>
        <w:rPr>
          <w:rFonts w:hint="eastAsia"/>
          <w:bCs/>
          <w:color w:val="auto"/>
          <w:sz w:val="24"/>
          <w:szCs w:val="28"/>
          <w:highlight w:val="none"/>
        </w:rPr>
        <w:t>竣工验收由</w:t>
      </w:r>
      <w:r>
        <w:rPr>
          <w:rFonts w:hint="eastAsia"/>
          <w:color w:val="auto"/>
          <w:sz w:val="24"/>
          <w:szCs w:val="28"/>
          <w:highlight w:val="none"/>
        </w:rPr>
        <w:t>建设主体</w:t>
      </w:r>
      <w:r>
        <w:rPr>
          <w:rFonts w:hint="eastAsia"/>
          <w:bCs/>
          <w:color w:val="auto"/>
          <w:sz w:val="24"/>
          <w:szCs w:val="28"/>
          <w:highlight w:val="none"/>
        </w:rPr>
        <w:t>主持，综合评价项目建设成果，对工程质量、参建单位和建设项目进行综合评价。</w:t>
      </w:r>
    </w:p>
    <w:p>
      <w:pPr>
        <w:spacing w:before="156" w:beforeLines="50" w:after="156" w:afterLines="50" w:line="360" w:lineRule="auto"/>
        <w:ind w:firstLine="480" w:firstLineChars="200"/>
        <w:jc w:val="left"/>
        <w:rPr>
          <w:bCs/>
          <w:color w:val="auto"/>
          <w:sz w:val="24"/>
          <w:szCs w:val="28"/>
          <w:highlight w:val="none"/>
        </w:rPr>
      </w:pPr>
      <w:r>
        <w:rPr>
          <w:color w:val="auto"/>
          <w:sz w:val="24"/>
          <w:szCs w:val="28"/>
          <w:highlight w:val="none"/>
        </w:rPr>
        <w:t>18</w:t>
      </w:r>
      <w:r>
        <w:rPr>
          <w:rFonts w:hint="eastAsia"/>
          <w:color w:val="auto"/>
          <w:sz w:val="24"/>
          <w:szCs w:val="28"/>
          <w:highlight w:val="none"/>
        </w:rPr>
        <w:t>.</w:t>
      </w:r>
      <w:r>
        <w:rPr>
          <w:color w:val="auto"/>
          <w:sz w:val="24"/>
          <w:szCs w:val="28"/>
          <w:highlight w:val="none"/>
        </w:rPr>
        <w:t>2</w:t>
      </w:r>
      <w:r>
        <w:rPr>
          <w:rFonts w:hint="eastAsia"/>
          <w:color w:val="auto"/>
          <w:sz w:val="24"/>
          <w:szCs w:val="28"/>
          <w:highlight w:val="none"/>
        </w:rPr>
        <w:t>.</w:t>
      </w:r>
      <w:r>
        <w:rPr>
          <w:color w:val="auto"/>
          <w:sz w:val="24"/>
          <w:szCs w:val="28"/>
          <w:highlight w:val="none"/>
        </w:rPr>
        <w:t>3</w:t>
      </w:r>
      <w:r>
        <w:rPr>
          <w:rFonts w:hint="eastAsia"/>
          <w:bCs/>
          <w:color w:val="auto"/>
          <w:sz w:val="24"/>
          <w:szCs w:val="28"/>
          <w:highlight w:val="none"/>
        </w:rPr>
        <w:t>竣工验收合格后需将竣工验收报告备案。同时，应按规定向档案管理部门办理有关档案资料移交或备案手续。</w:t>
      </w:r>
    </w:p>
    <w:p>
      <w:pPr>
        <w:pStyle w:val="2"/>
        <w:spacing w:before="156" w:beforeLines="50" w:after="156" w:afterLines="50" w:line="360" w:lineRule="auto"/>
        <w:rPr>
          <w:color w:val="auto"/>
          <w:sz w:val="32"/>
          <w:szCs w:val="40"/>
          <w:highlight w:val="none"/>
        </w:rPr>
      </w:pPr>
      <w:bookmarkStart w:id="88" w:name="_Toc101463849"/>
      <w:r>
        <w:rPr>
          <w:color w:val="auto"/>
          <w:sz w:val="32"/>
          <w:szCs w:val="40"/>
          <w:highlight w:val="none"/>
        </w:rPr>
        <w:t>19</w:t>
      </w:r>
      <w:r>
        <w:rPr>
          <w:rFonts w:hint="eastAsia"/>
          <w:color w:val="auto"/>
          <w:sz w:val="32"/>
          <w:szCs w:val="40"/>
          <w:highlight w:val="none"/>
        </w:rPr>
        <w:tab/>
      </w:r>
      <w:r>
        <w:rPr>
          <w:rFonts w:hint="eastAsia"/>
          <w:color w:val="auto"/>
          <w:sz w:val="32"/>
          <w:szCs w:val="40"/>
          <w:highlight w:val="none"/>
        </w:rPr>
        <w:t>移交</w:t>
      </w:r>
      <w:bookmarkEnd w:id="88"/>
    </w:p>
    <w:p>
      <w:pPr>
        <w:spacing w:before="156" w:beforeLines="50" w:after="156" w:afterLines="50" w:line="360" w:lineRule="auto"/>
        <w:ind w:firstLine="480" w:firstLineChars="200"/>
        <w:jc w:val="left"/>
        <w:rPr>
          <w:color w:val="auto"/>
          <w:sz w:val="24"/>
          <w:szCs w:val="28"/>
          <w:highlight w:val="none"/>
        </w:rPr>
      </w:pPr>
      <w:r>
        <w:rPr>
          <w:color w:val="auto"/>
          <w:sz w:val="24"/>
          <w:szCs w:val="28"/>
          <w:highlight w:val="none"/>
        </w:rPr>
        <w:t>19</w:t>
      </w:r>
      <w:r>
        <w:rPr>
          <w:rFonts w:hint="eastAsia"/>
          <w:color w:val="auto"/>
          <w:sz w:val="24"/>
          <w:szCs w:val="28"/>
          <w:highlight w:val="none"/>
        </w:rPr>
        <w:t>.</w:t>
      </w:r>
      <w:r>
        <w:rPr>
          <w:color w:val="auto"/>
          <w:sz w:val="24"/>
          <w:szCs w:val="28"/>
          <w:highlight w:val="none"/>
        </w:rPr>
        <w:t>1</w:t>
      </w:r>
      <w:r>
        <w:rPr>
          <w:rFonts w:hint="eastAsia"/>
          <w:color w:val="auto"/>
          <w:sz w:val="24"/>
          <w:szCs w:val="28"/>
          <w:highlight w:val="none"/>
        </w:rPr>
        <w:t>各子项目建设完成后并通过</w:t>
      </w:r>
      <w:r>
        <w:rPr>
          <w:color w:val="auto"/>
          <w:sz w:val="24"/>
          <w:szCs w:val="28"/>
          <w:highlight w:val="none"/>
        </w:rPr>
        <w:t>甲方评审后正式启动移交程序</w:t>
      </w:r>
      <w:r>
        <w:rPr>
          <w:rFonts w:hint="eastAsia"/>
          <w:color w:val="auto"/>
          <w:sz w:val="24"/>
          <w:szCs w:val="28"/>
          <w:highlight w:val="none"/>
        </w:rPr>
        <w:t>。</w:t>
      </w:r>
    </w:p>
    <w:p>
      <w:pPr>
        <w:spacing w:before="156" w:beforeLines="50" w:after="156" w:afterLines="50" w:line="360" w:lineRule="auto"/>
        <w:ind w:firstLine="480" w:firstLineChars="200"/>
        <w:jc w:val="left"/>
        <w:rPr>
          <w:color w:val="auto"/>
          <w:sz w:val="24"/>
          <w:szCs w:val="28"/>
          <w:highlight w:val="none"/>
        </w:rPr>
      </w:pPr>
      <w:r>
        <w:rPr>
          <w:rFonts w:hint="eastAsia"/>
          <w:color w:val="auto"/>
          <w:sz w:val="24"/>
          <w:szCs w:val="28"/>
          <w:highlight w:val="none"/>
        </w:rPr>
        <w:t>19.2移交</w:t>
      </w:r>
      <w:r>
        <w:rPr>
          <w:color w:val="auto"/>
          <w:sz w:val="24"/>
          <w:szCs w:val="28"/>
          <w:highlight w:val="none"/>
        </w:rPr>
        <w:t>的范围包括但不限于：</w:t>
      </w:r>
    </w:p>
    <w:p>
      <w:pPr>
        <w:spacing w:before="156" w:beforeLines="50" w:after="156" w:afterLines="50" w:line="360" w:lineRule="auto"/>
        <w:ind w:firstLine="480" w:firstLineChars="200"/>
        <w:jc w:val="left"/>
        <w:rPr>
          <w:color w:val="auto"/>
          <w:sz w:val="24"/>
          <w:szCs w:val="28"/>
          <w:highlight w:val="none"/>
        </w:rPr>
      </w:pPr>
      <w:r>
        <w:rPr>
          <w:rFonts w:hint="eastAsia"/>
          <w:color w:val="auto"/>
          <w:sz w:val="24"/>
          <w:szCs w:val="28"/>
          <w:highlight w:val="none"/>
        </w:rPr>
        <w:t>（1）项目的所有资产、设备设施及特许经营权。</w:t>
      </w:r>
    </w:p>
    <w:p>
      <w:pPr>
        <w:spacing w:before="156" w:beforeLines="50" w:after="156" w:afterLines="50" w:line="360" w:lineRule="auto"/>
        <w:ind w:firstLine="480" w:firstLineChars="200"/>
        <w:jc w:val="left"/>
        <w:rPr>
          <w:color w:val="auto"/>
          <w:sz w:val="24"/>
          <w:szCs w:val="28"/>
          <w:highlight w:val="none"/>
        </w:rPr>
      </w:pPr>
      <w:r>
        <w:rPr>
          <w:rFonts w:hint="eastAsia"/>
          <w:color w:val="auto"/>
          <w:sz w:val="24"/>
          <w:szCs w:val="28"/>
          <w:highlight w:val="none"/>
        </w:rPr>
        <w:t>（2）管理和维护本项目所需的所有知识产权。</w:t>
      </w:r>
    </w:p>
    <w:p>
      <w:pPr>
        <w:spacing w:before="156" w:beforeLines="50" w:after="156" w:afterLines="50" w:line="360" w:lineRule="auto"/>
        <w:ind w:firstLine="480" w:firstLineChars="200"/>
        <w:jc w:val="left"/>
        <w:rPr>
          <w:color w:val="auto"/>
          <w:sz w:val="24"/>
          <w:szCs w:val="28"/>
          <w:highlight w:val="none"/>
        </w:rPr>
      </w:pPr>
      <w:r>
        <w:rPr>
          <w:rFonts w:hint="eastAsia"/>
          <w:color w:val="auto"/>
          <w:sz w:val="24"/>
          <w:szCs w:val="28"/>
          <w:highlight w:val="none"/>
        </w:rPr>
        <w:t>（3）所有尚未到期的保证、保险和其他合同的利益。</w:t>
      </w:r>
    </w:p>
    <w:p>
      <w:pPr>
        <w:spacing w:before="156" w:beforeLines="50" w:after="156" w:afterLines="50" w:line="360" w:lineRule="auto"/>
        <w:ind w:firstLine="480" w:firstLineChars="200"/>
        <w:jc w:val="left"/>
        <w:rPr>
          <w:color w:val="auto"/>
          <w:sz w:val="24"/>
          <w:szCs w:val="28"/>
          <w:highlight w:val="none"/>
        </w:rPr>
      </w:pPr>
      <w:r>
        <w:rPr>
          <w:rFonts w:hint="eastAsia"/>
          <w:color w:val="auto"/>
          <w:sz w:val="24"/>
          <w:szCs w:val="28"/>
          <w:highlight w:val="none"/>
        </w:rPr>
        <w:t>（4）项目建设、管理相关的所有的手册、图纸、文件和其它与本项目管理管理有关的文件资料以及与移交资产相关的所有财务资料。</w:t>
      </w:r>
    </w:p>
    <w:p>
      <w:pPr>
        <w:spacing w:before="156" w:beforeLines="50" w:after="156" w:afterLines="50" w:line="360" w:lineRule="auto"/>
        <w:ind w:firstLine="480" w:firstLineChars="200"/>
        <w:jc w:val="left"/>
        <w:rPr>
          <w:color w:val="auto"/>
          <w:sz w:val="24"/>
          <w:szCs w:val="28"/>
          <w:highlight w:val="none"/>
        </w:rPr>
      </w:pPr>
      <w:r>
        <w:rPr>
          <w:rFonts w:hint="eastAsia"/>
          <w:color w:val="auto"/>
          <w:sz w:val="24"/>
          <w:szCs w:val="28"/>
          <w:highlight w:val="none"/>
        </w:rPr>
        <w:t>（5）设备购买时自带的软件及其它相关数据，以及有关技术。</w:t>
      </w:r>
    </w:p>
    <w:p>
      <w:pPr>
        <w:spacing w:before="156" w:beforeLines="50" w:after="156" w:afterLines="50" w:line="360" w:lineRule="auto"/>
        <w:ind w:firstLine="480" w:firstLineChars="200"/>
        <w:jc w:val="left"/>
        <w:rPr>
          <w:color w:val="auto"/>
          <w:sz w:val="24"/>
          <w:szCs w:val="28"/>
          <w:highlight w:val="none"/>
        </w:rPr>
      </w:pPr>
      <w:r>
        <w:rPr>
          <w:rFonts w:hint="eastAsia"/>
          <w:color w:val="auto"/>
          <w:sz w:val="24"/>
          <w:szCs w:val="28"/>
          <w:highlight w:val="none"/>
        </w:rPr>
        <w:t>（6）转移项目资产所有权所需的文件。</w:t>
      </w:r>
    </w:p>
    <w:p>
      <w:pPr>
        <w:spacing w:before="156" w:beforeLines="50" w:after="156" w:afterLines="50" w:line="360" w:lineRule="auto"/>
        <w:ind w:firstLine="480" w:firstLineChars="200"/>
        <w:jc w:val="left"/>
        <w:rPr>
          <w:color w:val="auto"/>
          <w:sz w:val="24"/>
          <w:szCs w:val="28"/>
          <w:highlight w:val="none"/>
        </w:rPr>
      </w:pPr>
      <w:r>
        <w:rPr>
          <w:rFonts w:hint="eastAsia"/>
          <w:color w:val="auto"/>
          <w:sz w:val="24"/>
          <w:szCs w:val="28"/>
          <w:highlight w:val="none"/>
        </w:rPr>
        <w:t>（7）与管理服务业务相关的所有资产，与移交后继续管理有关的其他资产、权益及相关文件。</w:t>
      </w:r>
    </w:p>
    <w:p>
      <w:pPr>
        <w:spacing w:before="156" w:beforeLines="50" w:after="156" w:afterLines="50" w:line="360" w:lineRule="auto"/>
        <w:ind w:firstLine="480" w:firstLineChars="200"/>
        <w:jc w:val="left"/>
        <w:rPr>
          <w:color w:val="auto"/>
          <w:sz w:val="24"/>
          <w:szCs w:val="28"/>
          <w:highlight w:val="none"/>
        </w:rPr>
      </w:pPr>
      <w:r>
        <w:rPr>
          <w:rFonts w:hint="eastAsia"/>
          <w:color w:val="auto"/>
          <w:sz w:val="24"/>
          <w:szCs w:val="28"/>
          <w:highlight w:val="none"/>
        </w:rPr>
        <w:t>（8）具有保修期的工程项目，施工单位签署的工程保修书。</w:t>
      </w:r>
    </w:p>
    <w:p>
      <w:pPr>
        <w:spacing w:before="156" w:beforeLines="50" w:after="156" w:afterLines="50" w:line="360" w:lineRule="auto"/>
        <w:ind w:firstLine="480" w:firstLineChars="200"/>
        <w:jc w:val="left"/>
        <w:rPr>
          <w:color w:val="auto"/>
          <w:sz w:val="24"/>
          <w:szCs w:val="28"/>
          <w:highlight w:val="none"/>
        </w:rPr>
      </w:pPr>
      <w:r>
        <w:rPr>
          <w:rFonts w:hint="eastAsia"/>
          <w:color w:val="auto"/>
          <w:sz w:val="24"/>
          <w:szCs w:val="28"/>
          <w:highlight w:val="none"/>
        </w:rPr>
        <w:t>（9）移交后仍生效的管理、维护、商务或物料供应之合约及内容。</w:t>
      </w:r>
    </w:p>
    <w:p>
      <w:pPr>
        <w:spacing w:before="156" w:beforeLines="50" w:after="156" w:afterLines="50" w:line="360" w:lineRule="auto"/>
        <w:ind w:firstLine="480" w:firstLineChars="200"/>
        <w:jc w:val="left"/>
        <w:rPr>
          <w:color w:val="auto"/>
          <w:sz w:val="24"/>
          <w:szCs w:val="28"/>
          <w:highlight w:val="none"/>
        </w:rPr>
      </w:pPr>
      <w:r>
        <w:rPr>
          <w:rFonts w:hint="eastAsia"/>
          <w:color w:val="auto"/>
          <w:sz w:val="24"/>
          <w:szCs w:val="28"/>
          <w:highlight w:val="none"/>
        </w:rPr>
        <w:t>（10）任何对管理和维护的技术或专家报告。</w:t>
      </w:r>
    </w:p>
    <w:p>
      <w:pPr>
        <w:spacing w:before="156" w:beforeLines="50" w:after="156" w:afterLines="50" w:line="360" w:lineRule="auto"/>
        <w:ind w:firstLine="480" w:firstLineChars="200"/>
        <w:jc w:val="left"/>
        <w:rPr>
          <w:color w:val="auto"/>
          <w:sz w:val="24"/>
          <w:szCs w:val="28"/>
          <w:highlight w:val="none"/>
        </w:rPr>
      </w:pPr>
      <w:r>
        <w:rPr>
          <w:rFonts w:hint="eastAsia"/>
          <w:color w:val="auto"/>
          <w:sz w:val="24"/>
          <w:szCs w:val="28"/>
          <w:highlight w:val="none"/>
        </w:rPr>
        <w:t>（11）管理指标表现报告。</w:t>
      </w:r>
    </w:p>
    <w:p>
      <w:pPr>
        <w:spacing w:before="156" w:beforeLines="50" w:after="156" w:afterLines="50" w:line="360" w:lineRule="auto"/>
        <w:ind w:firstLine="480" w:firstLineChars="200"/>
        <w:jc w:val="left"/>
        <w:rPr>
          <w:color w:val="auto"/>
          <w:sz w:val="24"/>
          <w:szCs w:val="28"/>
          <w:highlight w:val="none"/>
        </w:rPr>
      </w:pPr>
      <w:r>
        <w:rPr>
          <w:rFonts w:hint="eastAsia"/>
          <w:color w:val="auto"/>
          <w:sz w:val="24"/>
          <w:szCs w:val="28"/>
          <w:highlight w:val="none"/>
        </w:rPr>
        <w:t>19.</w:t>
      </w:r>
      <w:r>
        <w:rPr>
          <w:color w:val="auto"/>
          <w:sz w:val="24"/>
          <w:szCs w:val="28"/>
          <w:highlight w:val="none"/>
        </w:rPr>
        <w:t>3</w:t>
      </w:r>
      <w:r>
        <w:rPr>
          <w:rFonts w:hint="eastAsia"/>
          <w:color w:val="auto"/>
          <w:sz w:val="24"/>
          <w:szCs w:val="28"/>
          <w:highlight w:val="none"/>
        </w:rPr>
        <w:t>项目</w:t>
      </w:r>
      <w:r>
        <w:rPr>
          <w:color w:val="auto"/>
          <w:sz w:val="24"/>
          <w:szCs w:val="28"/>
          <w:highlight w:val="none"/>
        </w:rPr>
        <w:t>公司</w:t>
      </w:r>
      <w:r>
        <w:rPr>
          <w:rFonts w:hint="eastAsia"/>
          <w:color w:val="auto"/>
          <w:sz w:val="24"/>
          <w:szCs w:val="28"/>
          <w:highlight w:val="none"/>
        </w:rPr>
        <w:t>确保资产和权益在移交时未设有任何抵押、质押等权利限制或产权约束，亦不得存在任何种类和性质的索赔。</w:t>
      </w:r>
    </w:p>
    <w:p>
      <w:pPr>
        <w:spacing w:before="156" w:beforeLines="50" w:after="156" w:afterLines="50" w:line="360" w:lineRule="auto"/>
        <w:ind w:firstLine="480" w:firstLineChars="200"/>
        <w:jc w:val="left"/>
        <w:rPr>
          <w:color w:val="auto"/>
          <w:sz w:val="24"/>
          <w:szCs w:val="28"/>
          <w:highlight w:val="none"/>
        </w:rPr>
      </w:pPr>
      <w:r>
        <w:rPr>
          <w:rFonts w:hint="eastAsia"/>
          <w:color w:val="auto"/>
          <w:sz w:val="24"/>
          <w:szCs w:val="28"/>
          <w:highlight w:val="none"/>
        </w:rPr>
        <w:t>19.</w:t>
      </w:r>
      <w:r>
        <w:rPr>
          <w:color w:val="auto"/>
          <w:sz w:val="24"/>
          <w:szCs w:val="28"/>
          <w:highlight w:val="none"/>
        </w:rPr>
        <w:t>4</w:t>
      </w:r>
      <w:r>
        <w:rPr>
          <w:rFonts w:hint="eastAsia"/>
          <w:color w:val="auto"/>
          <w:sz w:val="24"/>
          <w:szCs w:val="28"/>
          <w:highlight w:val="none"/>
        </w:rPr>
        <w:t>项目资产包括存量资产和新增资产，资产类型包括但不限于与项目有关的土地使用权、不动产权益、设施设备、知识产权、广告经营权及其他相关经营权等与本项目相关的一切资产。实施</w:t>
      </w:r>
      <w:r>
        <w:rPr>
          <w:color w:val="auto"/>
          <w:sz w:val="24"/>
          <w:szCs w:val="28"/>
          <w:highlight w:val="none"/>
        </w:rPr>
        <w:t>本项目所</w:t>
      </w:r>
      <w:r>
        <w:rPr>
          <w:rFonts w:hint="eastAsia"/>
          <w:color w:val="auto"/>
          <w:sz w:val="24"/>
          <w:szCs w:val="28"/>
          <w:highlight w:val="none"/>
        </w:rPr>
        <w:t>形成</w:t>
      </w:r>
      <w:r>
        <w:rPr>
          <w:color w:val="auto"/>
          <w:sz w:val="24"/>
          <w:szCs w:val="28"/>
          <w:highlight w:val="none"/>
        </w:rPr>
        <w:t>的全部资产</w:t>
      </w:r>
      <w:r>
        <w:rPr>
          <w:rFonts w:hint="eastAsia"/>
          <w:color w:val="auto"/>
          <w:sz w:val="24"/>
          <w:szCs w:val="28"/>
          <w:highlight w:val="none"/>
        </w:rPr>
        <w:t>归</w:t>
      </w:r>
      <w:r>
        <w:rPr>
          <w:color w:val="auto"/>
          <w:sz w:val="24"/>
          <w:szCs w:val="28"/>
          <w:highlight w:val="none"/>
        </w:rPr>
        <w:t>甲方或甲方指定主体所有。</w:t>
      </w:r>
      <w:r>
        <w:rPr>
          <w:color w:val="auto"/>
          <w:sz w:val="24"/>
          <w:szCs w:val="28"/>
          <w:highlight w:val="none"/>
        </w:rPr>
        <w:br w:type="page"/>
      </w:r>
    </w:p>
    <w:p>
      <w:pPr>
        <w:pStyle w:val="3"/>
        <w:spacing w:before="156" w:beforeLines="50" w:after="156" w:afterLines="50" w:line="360" w:lineRule="auto"/>
        <w:jc w:val="center"/>
        <w:rPr>
          <w:b/>
          <w:color w:val="auto"/>
          <w:sz w:val="36"/>
          <w:szCs w:val="52"/>
          <w:highlight w:val="none"/>
        </w:rPr>
      </w:pPr>
      <w:bookmarkStart w:id="89" w:name="_Toc55981059"/>
      <w:bookmarkStart w:id="90" w:name="_Toc101463850"/>
      <w:r>
        <w:rPr>
          <w:rFonts w:hint="eastAsia"/>
          <w:b/>
          <w:color w:val="auto"/>
          <w:sz w:val="36"/>
          <w:szCs w:val="52"/>
          <w:highlight w:val="none"/>
        </w:rPr>
        <w:t>七、项目</w:t>
      </w:r>
      <w:bookmarkEnd w:id="89"/>
      <w:r>
        <w:rPr>
          <w:rFonts w:hint="eastAsia"/>
          <w:b/>
          <w:color w:val="auto"/>
          <w:sz w:val="36"/>
          <w:szCs w:val="52"/>
          <w:highlight w:val="none"/>
        </w:rPr>
        <w:t>投资费用支付</w:t>
      </w:r>
      <w:bookmarkEnd w:id="90"/>
    </w:p>
    <w:p>
      <w:pPr>
        <w:spacing w:before="156" w:beforeLines="50" w:after="156" w:afterLines="50" w:line="360" w:lineRule="auto"/>
        <w:jc w:val="left"/>
        <w:rPr>
          <w:rFonts w:ascii="黑体" w:hAnsi="黑体" w:eastAsia="黑体"/>
          <w:color w:val="auto"/>
          <w:sz w:val="32"/>
          <w:szCs w:val="32"/>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项目投资成本由前期工作费用、土地整理费、工程费用、管理费用、税费和其他费用等组成。项目投资成本由甲方和项目公司共同确认，并以第三方审计单位或政府财审部门审定的金额计入投资成本。</w:t>
      </w:r>
    </w:p>
    <w:p>
      <w:pPr>
        <w:pStyle w:val="2"/>
        <w:spacing w:before="156" w:beforeLines="50" w:after="156" w:afterLines="50" w:line="360" w:lineRule="auto"/>
        <w:rPr>
          <w:color w:val="auto"/>
          <w:sz w:val="32"/>
          <w:szCs w:val="40"/>
          <w:highlight w:val="none"/>
        </w:rPr>
      </w:pPr>
      <w:bookmarkStart w:id="91" w:name="_Toc55981060"/>
      <w:bookmarkStart w:id="92" w:name="_Toc101463851"/>
      <w:r>
        <w:rPr>
          <w:color w:val="auto"/>
          <w:sz w:val="32"/>
          <w:szCs w:val="40"/>
          <w:highlight w:val="none"/>
        </w:rPr>
        <w:t>20.</w:t>
      </w:r>
      <w:r>
        <w:rPr>
          <w:rFonts w:hint="eastAsia"/>
          <w:color w:val="auto"/>
          <w:sz w:val="32"/>
          <w:szCs w:val="40"/>
          <w:highlight w:val="none"/>
        </w:rPr>
        <w:t>前期工作费用</w:t>
      </w:r>
      <w:bookmarkEnd w:id="91"/>
      <w:bookmarkEnd w:id="92"/>
    </w:p>
    <w:p>
      <w:pPr>
        <w:spacing w:before="156" w:beforeLines="50" w:after="156" w:afterLines="50" w:line="360" w:lineRule="auto"/>
        <w:ind w:firstLine="480" w:firstLineChars="200"/>
        <w:jc w:val="left"/>
        <w:rPr>
          <w:rFonts w:ascii="宋体" w:hAnsi="宋体" w:eastAsia="宋体"/>
          <w:color w:val="auto"/>
          <w:sz w:val="24"/>
          <w:szCs w:val="24"/>
          <w:highlight w:val="none"/>
        </w:rPr>
      </w:pPr>
      <w:bookmarkStart w:id="93" w:name="_Toc55981061"/>
      <w:r>
        <w:rPr>
          <w:rFonts w:hint="eastAsia" w:ascii="宋体" w:hAnsi="宋体" w:eastAsia="宋体"/>
          <w:color w:val="auto"/>
          <w:sz w:val="24"/>
          <w:szCs w:val="24"/>
          <w:highlight w:val="none"/>
        </w:rPr>
        <w:t>前期</w:t>
      </w:r>
      <w:r>
        <w:rPr>
          <w:rFonts w:ascii="宋体" w:hAnsi="宋体" w:eastAsia="宋体"/>
          <w:color w:val="auto"/>
          <w:sz w:val="24"/>
          <w:szCs w:val="24"/>
          <w:highlight w:val="none"/>
        </w:rPr>
        <w:t>工作以双方书面签署并认可的</w:t>
      </w:r>
      <w:r>
        <w:rPr>
          <w:rFonts w:hint="eastAsia" w:ascii="宋体" w:hAnsi="宋体" w:eastAsia="宋体"/>
          <w:color w:val="auto"/>
          <w:sz w:val="24"/>
          <w:szCs w:val="24"/>
          <w:highlight w:val="none"/>
        </w:rPr>
        <w:t>项目为准</w:t>
      </w:r>
      <w:r>
        <w:rPr>
          <w:rFonts w:ascii="宋体" w:hAnsi="宋体" w:eastAsia="宋体"/>
          <w:color w:val="auto"/>
          <w:sz w:val="24"/>
          <w:szCs w:val="24"/>
          <w:highlight w:val="none"/>
        </w:rPr>
        <w:t>，</w:t>
      </w:r>
      <w:r>
        <w:rPr>
          <w:rFonts w:hint="eastAsia" w:ascii="宋体" w:hAnsi="宋体" w:eastAsia="宋体"/>
          <w:color w:val="auto"/>
          <w:sz w:val="24"/>
          <w:szCs w:val="24"/>
          <w:highlight w:val="none"/>
        </w:rPr>
        <w:t>前期工作费用</w:t>
      </w:r>
      <w:r>
        <w:rPr>
          <w:rFonts w:ascii="宋体" w:hAnsi="宋体" w:eastAsia="宋体"/>
          <w:color w:val="auto"/>
          <w:sz w:val="24"/>
          <w:szCs w:val="24"/>
          <w:highlight w:val="none"/>
        </w:rPr>
        <w:t>最终金额以</w:t>
      </w:r>
      <w:r>
        <w:rPr>
          <w:rFonts w:hint="eastAsia" w:ascii="宋体" w:hAnsi="宋体" w:eastAsia="宋体"/>
          <w:color w:val="auto"/>
          <w:sz w:val="24"/>
          <w:szCs w:val="24"/>
          <w:highlight w:val="none"/>
        </w:rPr>
        <w:t>双方</w:t>
      </w:r>
      <w:r>
        <w:rPr>
          <w:rFonts w:ascii="宋体" w:hAnsi="宋体" w:eastAsia="宋体"/>
          <w:color w:val="auto"/>
          <w:sz w:val="24"/>
          <w:szCs w:val="24"/>
          <w:highlight w:val="none"/>
        </w:rPr>
        <w:t>认可的</w:t>
      </w:r>
      <w:r>
        <w:rPr>
          <w:rFonts w:hint="eastAsia" w:ascii="宋体" w:hAnsi="宋体" w:eastAsia="宋体"/>
          <w:color w:val="auto"/>
          <w:sz w:val="24"/>
          <w:szCs w:val="24"/>
          <w:highlight w:val="none"/>
        </w:rPr>
        <w:t>第三方</w:t>
      </w:r>
      <w:r>
        <w:rPr>
          <w:rFonts w:ascii="宋体" w:hAnsi="宋体" w:eastAsia="宋体"/>
          <w:color w:val="auto"/>
          <w:sz w:val="24"/>
          <w:szCs w:val="24"/>
          <w:highlight w:val="none"/>
        </w:rPr>
        <w:t>审计</w:t>
      </w:r>
      <w:r>
        <w:rPr>
          <w:rFonts w:hint="eastAsia" w:ascii="宋体" w:hAnsi="宋体" w:eastAsia="宋体"/>
          <w:color w:val="auto"/>
          <w:sz w:val="24"/>
          <w:szCs w:val="24"/>
          <w:highlight w:val="none"/>
        </w:rPr>
        <w:t>机构</w:t>
      </w:r>
      <w:r>
        <w:rPr>
          <w:rFonts w:ascii="宋体" w:hAnsi="宋体" w:eastAsia="宋体"/>
          <w:color w:val="auto"/>
          <w:sz w:val="24"/>
          <w:szCs w:val="24"/>
          <w:highlight w:val="none"/>
        </w:rPr>
        <w:t>审核</w:t>
      </w:r>
      <w:r>
        <w:rPr>
          <w:rFonts w:hint="eastAsia" w:ascii="宋体" w:hAnsi="宋体" w:eastAsia="宋体"/>
          <w:color w:val="auto"/>
          <w:sz w:val="24"/>
          <w:szCs w:val="24"/>
          <w:highlight w:val="none"/>
        </w:rPr>
        <w:t>的</w:t>
      </w:r>
      <w:r>
        <w:rPr>
          <w:rFonts w:ascii="宋体" w:hAnsi="宋体" w:eastAsia="宋体"/>
          <w:color w:val="auto"/>
          <w:sz w:val="24"/>
          <w:szCs w:val="24"/>
          <w:highlight w:val="none"/>
        </w:rPr>
        <w:t>为准。</w:t>
      </w:r>
      <w:r>
        <w:rPr>
          <w:rFonts w:hint="eastAsia" w:ascii="宋体" w:hAnsi="宋体" w:eastAsia="宋体"/>
          <w:color w:val="auto"/>
          <w:sz w:val="24"/>
          <w:szCs w:val="24"/>
          <w:highlight w:val="none"/>
        </w:rPr>
        <w:t>暂定包含但不限于项目建议书编制费，可行性研究报告编制及评估费用，规划编制费，环境、交通、地震、节能等影响评价报告编制费用，测量、评估、勘察、设计费（因甲方高质量发展需要，与项目形象相关的景观、绿化、特殊专业等设计工作，可由甲方或委托项目公司通过依法合规的招采程序选择相关的专业设计单位单独设计，设计费用占比不超过项目总设计费的40%）。临时用水、电、路、房屋费等与本项目相关的费用。</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其中勘察费、设计费参照国家计委、建设部颁布的《工程勘察设计收费标准》（计价格</w:t>
      </w:r>
      <w:r>
        <w:rPr>
          <w:rFonts w:ascii="宋体" w:hAnsi="宋体" w:eastAsia="宋体"/>
          <w:color w:val="auto"/>
          <w:sz w:val="24"/>
          <w:szCs w:val="24"/>
          <w:highlight w:val="none"/>
        </w:rPr>
        <w:t xml:space="preserve">(2002)10 </w:t>
      </w:r>
      <w:r>
        <w:rPr>
          <w:rFonts w:hint="eastAsia" w:ascii="宋体" w:hAnsi="宋体" w:eastAsia="宋体"/>
          <w:color w:val="auto"/>
          <w:sz w:val="24"/>
          <w:szCs w:val="24"/>
          <w:highlight w:val="none"/>
        </w:rPr>
        <w:t>号）收费标准，费用</w:t>
      </w:r>
      <w:r>
        <w:rPr>
          <w:rFonts w:ascii="宋体" w:hAnsi="宋体" w:eastAsia="宋体"/>
          <w:color w:val="auto"/>
          <w:sz w:val="24"/>
          <w:szCs w:val="24"/>
          <w:highlight w:val="none"/>
        </w:rPr>
        <w:t>下浮</w:t>
      </w:r>
      <w:r>
        <w:rPr>
          <w:rFonts w:ascii="宋体" w:hAnsi="宋体" w:eastAsia="宋体"/>
          <w:color w:val="auto"/>
          <w:sz w:val="24"/>
          <w:szCs w:val="24"/>
          <w:highlight w:val="none"/>
          <w:u w:val="single"/>
        </w:rPr>
        <w:t xml:space="preserve"> 40%</w:t>
      </w:r>
      <w:r>
        <w:rPr>
          <w:rFonts w:hint="eastAsia" w:ascii="宋体" w:hAnsi="宋体" w:eastAsia="宋体"/>
          <w:color w:val="auto"/>
          <w:sz w:val="24"/>
          <w:szCs w:val="24"/>
          <w:highlight w:val="none"/>
        </w:rPr>
        <w:t>。在项目合作期限内，一切国家政策性文件的取费标准、收费原则、定额计价、税率等的调整文件，双方均按照最新政策协商执行。前期</w:t>
      </w:r>
      <w:r>
        <w:rPr>
          <w:rFonts w:ascii="宋体" w:hAnsi="宋体" w:eastAsia="宋体"/>
          <w:color w:val="auto"/>
          <w:sz w:val="24"/>
          <w:szCs w:val="24"/>
          <w:highlight w:val="none"/>
        </w:rPr>
        <w:t>工作费用的投资路径</w:t>
      </w:r>
      <w:r>
        <w:rPr>
          <w:rFonts w:hint="eastAsia" w:ascii="宋体" w:hAnsi="宋体" w:eastAsia="宋体"/>
          <w:color w:val="auto"/>
          <w:sz w:val="24"/>
          <w:szCs w:val="24"/>
          <w:highlight w:val="none"/>
        </w:rPr>
        <w:t>以具体的项目实施相关法律性文件约定为准。</w:t>
      </w:r>
    </w:p>
    <w:p>
      <w:pPr>
        <w:pStyle w:val="2"/>
        <w:spacing w:before="156" w:beforeLines="50" w:after="156" w:afterLines="50" w:line="360" w:lineRule="auto"/>
        <w:rPr>
          <w:rFonts w:ascii="宋体" w:hAnsi="宋体"/>
          <w:color w:val="auto"/>
          <w:sz w:val="32"/>
          <w:szCs w:val="24"/>
          <w:highlight w:val="none"/>
        </w:rPr>
      </w:pPr>
      <w:bookmarkStart w:id="94" w:name="_Toc101463852"/>
      <w:r>
        <w:rPr>
          <w:rFonts w:ascii="黑体" w:hAnsi="黑体"/>
          <w:color w:val="auto"/>
          <w:sz w:val="32"/>
          <w:highlight w:val="none"/>
        </w:rPr>
        <w:t>21</w:t>
      </w:r>
      <w:r>
        <w:rPr>
          <w:color w:val="auto"/>
          <w:sz w:val="32"/>
          <w:szCs w:val="40"/>
          <w:highlight w:val="none"/>
        </w:rPr>
        <w:t>.</w:t>
      </w:r>
      <w:r>
        <w:rPr>
          <w:rFonts w:hint="eastAsia"/>
          <w:color w:val="auto"/>
          <w:sz w:val="32"/>
          <w:szCs w:val="40"/>
          <w:highlight w:val="none"/>
        </w:rPr>
        <w:t>土地整理费</w:t>
      </w:r>
      <w:bookmarkEnd w:id="93"/>
      <w:bookmarkEnd w:id="94"/>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区域内的土地整理具体工作原则上由甲方指定主体负责组织实施，乙方予以</w:t>
      </w:r>
      <w:r>
        <w:rPr>
          <w:rFonts w:ascii="宋体" w:hAnsi="宋体" w:eastAsia="宋体"/>
          <w:color w:val="auto"/>
          <w:sz w:val="24"/>
          <w:szCs w:val="24"/>
          <w:highlight w:val="none"/>
        </w:rPr>
        <w:t>投资，</w:t>
      </w:r>
      <w:r>
        <w:rPr>
          <w:rFonts w:hint="eastAsia" w:ascii="宋体" w:hAnsi="宋体" w:eastAsia="宋体"/>
          <w:color w:val="auto"/>
          <w:sz w:val="24"/>
          <w:szCs w:val="24"/>
          <w:highlight w:val="none"/>
        </w:rPr>
        <w:t>投资额约</w:t>
      </w:r>
      <w:r>
        <w:rPr>
          <w:rFonts w:ascii="宋体" w:hAnsi="宋体" w:eastAsia="宋体"/>
          <w:color w:val="auto"/>
          <w:sz w:val="24"/>
          <w:szCs w:val="24"/>
          <w:highlight w:val="none"/>
        </w:rPr>
        <w:t>为44.05</w:t>
      </w:r>
      <w:r>
        <w:rPr>
          <w:rFonts w:hint="eastAsia" w:ascii="宋体" w:hAnsi="宋体" w:eastAsia="宋体"/>
          <w:color w:val="auto"/>
          <w:sz w:val="24"/>
          <w:szCs w:val="24"/>
          <w:highlight w:val="none"/>
        </w:rPr>
        <w:t>亿元，甲方在限额内使用，未经</w:t>
      </w:r>
      <w:r>
        <w:rPr>
          <w:rFonts w:ascii="宋体" w:hAnsi="宋体" w:eastAsia="宋体"/>
          <w:color w:val="auto"/>
          <w:sz w:val="24"/>
          <w:szCs w:val="24"/>
          <w:highlight w:val="none"/>
        </w:rPr>
        <w:t>双方同意</w:t>
      </w:r>
      <w:r>
        <w:rPr>
          <w:rFonts w:hint="eastAsia" w:ascii="宋体" w:hAnsi="宋体" w:eastAsia="宋体"/>
          <w:color w:val="auto"/>
          <w:sz w:val="24"/>
          <w:szCs w:val="24"/>
          <w:highlight w:val="none"/>
        </w:rPr>
        <w:t>投资额</w:t>
      </w:r>
      <w:r>
        <w:rPr>
          <w:rFonts w:ascii="宋体" w:hAnsi="宋体" w:eastAsia="宋体"/>
          <w:color w:val="auto"/>
          <w:sz w:val="24"/>
          <w:szCs w:val="24"/>
          <w:highlight w:val="none"/>
        </w:rPr>
        <w:t>不做调整</w:t>
      </w:r>
      <w:r>
        <w:rPr>
          <w:rFonts w:hint="eastAsia" w:ascii="宋体" w:hAnsi="宋体" w:eastAsia="宋体"/>
          <w:color w:val="auto"/>
          <w:sz w:val="24"/>
          <w:szCs w:val="24"/>
          <w:highlight w:val="none"/>
        </w:rPr>
        <w:t>。乙方</w:t>
      </w:r>
      <w:r>
        <w:rPr>
          <w:rFonts w:ascii="宋体" w:hAnsi="宋体" w:eastAsia="宋体"/>
          <w:color w:val="auto"/>
          <w:sz w:val="24"/>
          <w:szCs w:val="24"/>
          <w:highlight w:val="none"/>
        </w:rPr>
        <w:t>的该项投资由甲方指定主体</w:t>
      </w:r>
      <w:r>
        <w:rPr>
          <w:rFonts w:hint="eastAsia" w:ascii="宋体" w:hAnsi="宋体" w:eastAsia="宋体"/>
          <w:color w:val="auto"/>
          <w:sz w:val="24"/>
          <w:szCs w:val="24"/>
          <w:highlight w:val="none"/>
        </w:rPr>
        <w:t>专项</w:t>
      </w:r>
      <w:r>
        <w:rPr>
          <w:rFonts w:ascii="宋体" w:hAnsi="宋体" w:eastAsia="宋体"/>
          <w:color w:val="auto"/>
          <w:sz w:val="24"/>
          <w:szCs w:val="24"/>
          <w:highlight w:val="none"/>
        </w:rPr>
        <w:t>用于</w:t>
      </w:r>
      <w:r>
        <w:rPr>
          <w:rFonts w:hint="eastAsia" w:ascii="宋体" w:hAnsi="宋体" w:eastAsia="宋体"/>
          <w:color w:val="auto"/>
          <w:sz w:val="24"/>
          <w:szCs w:val="24"/>
          <w:highlight w:val="none"/>
        </w:rPr>
        <w:t>项目实施范围内的土地整理。</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根据合作期投资计划安排落实投资额的具体要求，乙方须确保项目公司在投资合作协议签订后三个月内，按照土地整理费用的投资路径向甲方提供</w:t>
      </w:r>
      <w:r>
        <w:rPr>
          <w:rFonts w:ascii="宋体" w:hAnsi="宋体" w:eastAsia="宋体"/>
          <w:color w:val="auto"/>
          <w:sz w:val="24"/>
          <w:szCs w:val="24"/>
          <w:highlight w:val="none"/>
        </w:rPr>
        <w:t>7.3</w:t>
      </w:r>
      <w:r>
        <w:rPr>
          <w:rFonts w:hint="eastAsia" w:ascii="宋体" w:hAnsi="宋体" w:eastAsia="宋体"/>
          <w:color w:val="auto"/>
          <w:sz w:val="24"/>
          <w:szCs w:val="24"/>
          <w:highlight w:val="none"/>
        </w:rPr>
        <w:t>亿元的前期启动资金，</w:t>
      </w:r>
      <w:r>
        <w:rPr>
          <w:rFonts w:ascii="宋体" w:hAnsi="宋体" w:eastAsia="宋体"/>
          <w:color w:val="auto"/>
          <w:sz w:val="24"/>
          <w:szCs w:val="24"/>
          <w:highlight w:val="none"/>
        </w:rPr>
        <w:t>2023</w:t>
      </w:r>
      <w:r>
        <w:rPr>
          <w:rFonts w:hint="eastAsia" w:ascii="宋体" w:hAnsi="宋体" w:eastAsia="宋体"/>
          <w:color w:val="auto"/>
          <w:sz w:val="24"/>
          <w:szCs w:val="24"/>
          <w:highlight w:val="none"/>
        </w:rPr>
        <w:t>年、</w:t>
      </w:r>
      <w:r>
        <w:rPr>
          <w:rFonts w:ascii="宋体" w:hAnsi="宋体" w:eastAsia="宋体"/>
          <w:color w:val="auto"/>
          <w:sz w:val="24"/>
          <w:szCs w:val="24"/>
          <w:highlight w:val="none"/>
        </w:rPr>
        <w:t>2024</w:t>
      </w:r>
      <w:r>
        <w:rPr>
          <w:rFonts w:hint="eastAsia" w:ascii="宋体" w:hAnsi="宋体" w:eastAsia="宋体"/>
          <w:color w:val="auto"/>
          <w:sz w:val="24"/>
          <w:szCs w:val="24"/>
          <w:highlight w:val="none"/>
        </w:rPr>
        <w:t>年和</w:t>
      </w:r>
      <w:r>
        <w:rPr>
          <w:rFonts w:ascii="宋体" w:hAnsi="宋体" w:eastAsia="宋体"/>
          <w:color w:val="auto"/>
          <w:sz w:val="24"/>
          <w:szCs w:val="24"/>
          <w:highlight w:val="none"/>
        </w:rPr>
        <w:t>2025</w:t>
      </w:r>
      <w:r>
        <w:rPr>
          <w:rFonts w:hint="eastAsia" w:ascii="宋体" w:hAnsi="宋体" w:eastAsia="宋体"/>
          <w:color w:val="auto"/>
          <w:sz w:val="24"/>
          <w:szCs w:val="24"/>
          <w:highlight w:val="none"/>
        </w:rPr>
        <w:t>年分别提供当年启动资金</w:t>
      </w:r>
      <w:r>
        <w:rPr>
          <w:rFonts w:ascii="宋体" w:hAnsi="宋体" w:eastAsia="宋体"/>
          <w:color w:val="auto"/>
          <w:sz w:val="24"/>
          <w:szCs w:val="24"/>
          <w:highlight w:val="none"/>
        </w:rPr>
        <w:t>1</w:t>
      </w:r>
      <w:r>
        <w:rPr>
          <w:rFonts w:hint="eastAsia" w:ascii="宋体" w:hAnsi="宋体" w:eastAsia="宋体"/>
          <w:color w:val="auto"/>
          <w:sz w:val="24"/>
          <w:szCs w:val="24"/>
          <w:highlight w:val="none"/>
        </w:rPr>
        <w:t>亿元；未达到投资峰值前，项目公司依据年度土地整理、建设计划落实资金。</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土地整理</w:t>
      </w:r>
      <w:r>
        <w:rPr>
          <w:rFonts w:ascii="宋体" w:hAnsi="宋体" w:eastAsia="宋体"/>
          <w:color w:val="auto"/>
          <w:sz w:val="24"/>
          <w:szCs w:val="24"/>
          <w:highlight w:val="none"/>
        </w:rPr>
        <w:t>费用的投资路径</w:t>
      </w:r>
      <w:r>
        <w:rPr>
          <w:rFonts w:hint="eastAsia" w:ascii="宋体" w:hAnsi="宋体" w:eastAsia="宋体"/>
          <w:color w:val="auto"/>
          <w:sz w:val="24"/>
          <w:szCs w:val="24"/>
          <w:highlight w:val="none"/>
        </w:rPr>
        <w:t>以甲方书面要求的金额为准，具体时限以甲方与项目公司协商一致确认的为准。</w:t>
      </w:r>
    </w:p>
    <w:p>
      <w:pPr>
        <w:pStyle w:val="2"/>
        <w:spacing w:before="156" w:beforeLines="50" w:after="156" w:afterLines="50" w:line="360" w:lineRule="auto"/>
        <w:rPr>
          <w:rFonts w:ascii="黑体" w:hAnsi="黑体"/>
          <w:color w:val="auto"/>
          <w:sz w:val="32"/>
          <w:highlight w:val="none"/>
        </w:rPr>
      </w:pPr>
      <w:bookmarkStart w:id="95" w:name="_Toc55981064"/>
      <w:bookmarkStart w:id="96" w:name="_Toc101463853"/>
      <w:r>
        <w:rPr>
          <w:rFonts w:hint="eastAsia" w:ascii="黑体" w:hAnsi="黑体"/>
          <w:color w:val="auto"/>
          <w:sz w:val="32"/>
          <w:highlight w:val="none"/>
        </w:rPr>
        <w:t>2</w:t>
      </w:r>
      <w:r>
        <w:rPr>
          <w:rFonts w:ascii="黑体" w:hAnsi="黑体"/>
          <w:color w:val="auto"/>
          <w:sz w:val="32"/>
          <w:highlight w:val="none"/>
        </w:rPr>
        <w:t>2.</w:t>
      </w:r>
      <w:r>
        <w:rPr>
          <w:rFonts w:hint="eastAsia" w:ascii="黑体" w:hAnsi="黑体"/>
          <w:color w:val="auto"/>
          <w:sz w:val="32"/>
          <w:highlight w:val="none"/>
        </w:rPr>
        <w:t>工程</w:t>
      </w:r>
      <w:r>
        <w:rPr>
          <w:rFonts w:ascii="黑体" w:hAnsi="黑体"/>
          <w:color w:val="auto"/>
          <w:sz w:val="32"/>
          <w:highlight w:val="none"/>
        </w:rPr>
        <w:t>费用</w:t>
      </w:r>
      <w:bookmarkEnd w:id="95"/>
      <w:bookmarkEnd w:id="96"/>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包括</w:t>
      </w:r>
      <w:r>
        <w:rPr>
          <w:rFonts w:ascii="宋体" w:hAnsi="宋体" w:eastAsia="宋体"/>
          <w:color w:val="auto"/>
          <w:sz w:val="24"/>
          <w:szCs w:val="24"/>
          <w:highlight w:val="none"/>
        </w:rPr>
        <w:t>市政基础配套设施</w:t>
      </w:r>
      <w:r>
        <w:rPr>
          <w:rFonts w:hint="eastAsia" w:ascii="宋体" w:hAnsi="宋体" w:eastAsia="宋体"/>
          <w:color w:val="auto"/>
          <w:sz w:val="24"/>
          <w:szCs w:val="24"/>
          <w:highlight w:val="none"/>
        </w:rPr>
        <w:t>、</w:t>
      </w:r>
      <w:r>
        <w:rPr>
          <w:rFonts w:ascii="宋体" w:hAnsi="宋体" w:eastAsia="宋体"/>
          <w:color w:val="auto"/>
          <w:sz w:val="24"/>
          <w:szCs w:val="24"/>
          <w:highlight w:val="none"/>
        </w:rPr>
        <w:t>公共设施建设</w:t>
      </w:r>
      <w:r>
        <w:rPr>
          <w:rFonts w:hint="eastAsia" w:ascii="宋体" w:hAnsi="宋体" w:eastAsia="宋体"/>
          <w:color w:val="auto"/>
          <w:sz w:val="24"/>
          <w:szCs w:val="24"/>
          <w:highlight w:val="none"/>
        </w:rPr>
        <w:t>费用和安置房等与项目开发有关的费用。最终按照建安费用下浮</w:t>
      </w:r>
      <w:r>
        <w:rPr>
          <w:rFonts w:ascii="宋体" w:hAnsi="宋体" w:eastAsia="宋体"/>
          <w:color w:val="auto"/>
          <w:sz w:val="24"/>
          <w:szCs w:val="24"/>
          <w:highlight w:val="none"/>
          <w:u w:val="single"/>
        </w:rPr>
        <w:t xml:space="preserve">  1%  </w:t>
      </w:r>
      <w:r>
        <w:rPr>
          <w:rFonts w:hint="eastAsia" w:ascii="宋体" w:hAnsi="宋体" w:eastAsia="宋体"/>
          <w:color w:val="auto"/>
          <w:sz w:val="24"/>
          <w:szCs w:val="24"/>
          <w:highlight w:val="none"/>
        </w:rPr>
        <w:t>，安全文明施工费、规费、税金等不可竞争性费用不下浮。</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工程建安费计价的依据包括但不限于：</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rPr>
        <w:t xml:space="preserve">1.根据 2009 </w:t>
      </w:r>
      <w:r>
        <w:rPr>
          <w:rFonts w:hint="eastAsia" w:ascii="宋体" w:hAnsi="宋体" w:eastAsia="宋体"/>
          <w:color w:val="auto"/>
          <w:sz w:val="24"/>
          <w:szCs w:val="24"/>
          <w:highlight w:val="none"/>
        </w:rPr>
        <w:t>年清单计价规范、《陕西省建设工程工程量清单计价费率》（</w:t>
      </w:r>
      <w:r>
        <w:rPr>
          <w:rFonts w:ascii="宋体" w:hAnsi="宋体" w:eastAsia="宋体"/>
          <w:color w:val="auto"/>
          <w:sz w:val="24"/>
          <w:szCs w:val="24"/>
          <w:highlight w:val="none"/>
        </w:rPr>
        <w:t>2009）；《陕西省市政、园林、绿化工程消耗量定额》（2004）、《陕西省建设工程消耗量定额（2004）补充定额）》；《陕西省建筑装饰市政园林绿化工程价目表》（2009）；《陕西省建设工程施工机械台班价目表》（2009）及其他相关的计价依据和办法。</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rPr>
        <w:t>2.人工</w:t>
      </w:r>
      <w:r>
        <w:rPr>
          <w:rFonts w:hint="eastAsia" w:ascii="宋体" w:hAnsi="宋体" w:eastAsia="宋体"/>
          <w:color w:val="auto"/>
          <w:sz w:val="24"/>
          <w:szCs w:val="24"/>
          <w:highlight w:val="none"/>
        </w:rPr>
        <w:t>费执行《关于调整房屋建筑和市政基础设施工程工程量清单计价综合人工单价的通知》陕建发</w:t>
      </w:r>
      <w:r>
        <w:rPr>
          <w:rFonts w:ascii="宋体" w:hAnsi="宋体" w:eastAsia="宋体"/>
          <w:color w:val="auto"/>
          <w:sz w:val="24"/>
          <w:szCs w:val="24"/>
          <w:highlight w:val="none"/>
        </w:rPr>
        <w:t>[2021]1097号文。</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rPr>
        <w:t>3.安全文明施工措施</w:t>
      </w:r>
      <w:r>
        <w:rPr>
          <w:rFonts w:hint="eastAsia" w:ascii="宋体" w:hAnsi="宋体" w:eastAsia="宋体"/>
          <w:color w:val="auto"/>
          <w:sz w:val="24"/>
          <w:szCs w:val="24"/>
          <w:highlight w:val="none"/>
        </w:rPr>
        <w:t>费执行《关于发布我省落实建筑工人实名制管理计价依据的通知》陕建发</w:t>
      </w:r>
      <w:r>
        <w:rPr>
          <w:rFonts w:ascii="宋体" w:hAnsi="宋体" w:eastAsia="宋体"/>
          <w:color w:val="auto"/>
          <w:sz w:val="24"/>
          <w:szCs w:val="24"/>
          <w:highlight w:val="none"/>
        </w:rPr>
        <w:t>[2019]1246号文。</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rPr>
        <w:t>4.扬尘治理专项措施</w:t>
      </w:r>
      <w:r>
        <w:rPr>
          <w:rFonts w:hint="eastAsia" w:ascii="宋体" w:hAnsi="宋体" w:eastAsia="宋体"/>
          <w:color w:val="auto"/>
          <w:sz w:val="24"/>
          <w:szCs w:val="24"/>
          <w:highlight w:val="none"/>
        </w:rPr>
        <w:t>费依据《关于增加建设工程扬尘治理专项措施费及综合人工单价调整的通知》</w:t>
      </w:r>
      <w:r>
        <w:rPr>
          <w:rFonts w:ascii="宋体" w:hAnsi="宋体" w:eastAsia="宋体"/>
          <w:color w:val="auto"/>
          <w:sz w:val="24"/>
          <w:szCs w:val="24"/>
          <w:highlight w:val="none"/>
        </w:rPr>
        <w:t>(</w:t>
      </w:r>
      <w:r>
        <w:rPr>
          <w:rFonts w:hint="eastAsia" w:ascii="宋体" w:hAnsi="宋体" w:eastAsia="宋体"/>
          <w:color w:val="auto"/>
          <w:sz w:val="24"/>
          <w:szCs w:val="24"/>
          <w:highlight w:val="none"/>
        </w:rPr>
        <w:t>陕建发</w:t>
      </w:r>
      <w:r>
        <w:rPr>
          <w:rFonts w:ascii="宋体" w:hAnsi="宋体" w:eastAsia="宋体"/>
          <w:color w:val="auto"/>
          <w:sz w:val="24"/>
          <w:szCs w:val="24"/>
          <w:highlight w:val="none"/>
        </w:rPr>
        <w:t>[2017]270号文件)。</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rPr>
        <w:t>5.建筑安全生产责任保险费</w:t>
      </w:r>
      <w:r>
        <w:rPr>
          <w:rFonts w:hint="eastAsia" w:ascii="宋体" w:hAnsi="宋体" w:eastAsia="宋体"/>
          <w:color w:val="auto"/>
          <w:sz w:val="24"/>
          <w:szCs w:val="24"/>
          <w:highlight w:val="none"/>
        </w:rPr>
        <w:t>执行陕建发</w:t>
      </w:r>
      <w:r>
        <w:rPr>
          <w:rFonts w:ascii="宋体" w:hAnsi="宋体" w:eastAsia="宋体"/>
          <w:color w:val="auto"/>
          <w:sz w:val="24"/>
          <w:szCs w:val="24"/>
          <w:highlight w:val="none"/>
        </w:rPr>
        <w:t>[2020]1097号文。</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rPr>
        <w:t>6.税金执行</w:t>
      </w:r>
      <w:r>
        <w:rPr>
          <w:rFonts w:hint="eastAsia" w:ascii="宋体" w:hAnsi="宋体" w:eastAsia="宋体"/>
          <w:color w:val="auto"/>
          <w:sz w:val="24"/>
          <w:szCs w:val="24"/>
          <w:highlight w:val="none"/>
        </w:rPr>
        <w:t>《关于调整我省建设工程计价依据的通知》陕建发</w:t>
      </w:r>
      <w:r>
        <w:rPr>
          <w:rFonts w:ascii="宋体" w:hAnsi="宋体" w:eastAsia="宋体"/>
          <w:color w:val="auto"/>
          <w:sz w:val="24"/>
          <w:szCs w:val="24"/>
          <w:highlight w:val="none"/>
        </w:rPr>
        <w:t>[2019]45号文。</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rPr>
        <w:t>7.材料价格参照当期《陕西工程造价信息》并结合市场价,</w:t>
      </w:r>
      <w:r>
        <w:rPr>
          <w:rFonts w:hint="eastAsia" w:ascii="宋体" w:hAnsi="宋体" w:eastAsia="宋体"/>
          <w:color w:val="auto"/>
          <w:sz w:val="24"/>
          <w:szCs w:val="24"/>
          <w:highlight w:val="none"/>
        </w:rPr>
        <w:t>信息价没有的材料价格，采用市场价格计入或以甲方认质认价为准。</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rPr>
        <w:t>8.措施费中，费率计价的项目，参照《陕西省建设工程工程量清单计价费率》（2009）执行。</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在项目合作期限内，一切国家政策性文件的取费标准、收费原则、定额计价、税率等的调整文件，双方均按照最新政策执行。</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工程</w:t>
      </w:r>
      <w:r>
        <w:rPr>
          <w:rFonts w:ascii="宋体" w:hAnsi="宋体" w:eastAsia="宋体"/>
          <w:color w:val="auto"/>
          <w:sz w:val="24"/>
          <w:szCs w:val="24"/>
          <w:highlight w:val="none"/>
        </w:rPr>
        <w:t>费用</w:t>
      </w:r>
      <w:r>
        <w:rPr>
          <w:rFonts w:hint="eastAsia" w:ascii="宋体" w:hAnsi="宋体" w:eastAsia="宋体"/>
          <w:color w:val="auto"/>
          <w:sz w:val="24"/>
          <w:szCs w:val="24"/>
          <w:highlight w:val="none"/>
        </w:rPr>
        <w:t>的支出以双方确认的投资计划、与第三方签署的相关法律性文件约定的支付时限为准，未达到付款节点及不再投资计划范围内的费用，项目公司不得支付。</w:t>
      </w:r>
    </w:p>
    <w:p>
      <w:pPr>
        <w:pStyle w:val="2"/>
        <w:spacing w:before="156" w:beforeLines="50" w:after="156" w:afterLines="50" w:line="360" w:lineRule="auto"/>
        <w:rPr>
          <w:rFonts w:ascii="黑体" w:hAnsi="黑体"/>
          <w:color w:val="auto"/>
          <w:sz w:val="32"/>
          <w:highlight w:val="none"/>
        </w:rPr>
      </w:pPr>
      <w:bookmarkStart w:id="97" w:name="_Toc55981065"/>
      <w:bookmarkStart w:id="98" w:name="_Toc101463854"/>
      <w:r>
        <w:rPr>
          <w:rFonts w:hint="eastAsia" w:ascii="黑体" w:hAnsi="黑体"/>
          <w:color w:val="auto"/>
          <w:sz w:val="32"/>
          <w:highlight w:val="none"/>
        </w:rPr>
        <w:t>2</w:t>
      </w:r>
      <w:r>
        <w:rPr>
          <w:rFonts w:ascii="黑体" w:hAnsi="黑体"/>
          <w:color w:val="auto"/>
          <w:sz w:val="32"/>
          <w:highlight w:val="none"/>
        </w:rPr>
        <w:t>3.管理</w:t>
      </w:r>
      <w:r>
        <w:rPr>
          <w:rFonts w:hint="eastAsia" w:ascii="黑体" w:hAnsi="黑体"/>
          <w:color w:val="auto"/>
          <w:sz w:val="32"/>
          <w:highlight w:val="none"/>
        </w:rPr>
        <w:t>费用</w:t>
      </w:r>
      <w:bookmarkEnd w:id="97"/>
      <w:bookmarkEnd w:id="98"/>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管理费用由</w:t>
      </w:r>
      <w:r>
        <w:rPr>
          <w:rFonts w:ascii="宋体" w:hAnsi="宋体" w:eastAsia="宋体"/>
          <w:color w:val="auto"/>
          <w:sz w:val="24"/>
          <w:szCs w:val="24"/>
          <w:highlight w:val="none"/>
        </w:rPr>
        <w:t>项目公司自行承担</w:t>
      </w:r>
      <w:r>
        <w:rPr>
          <w:rFonts w:hint="eastAsia" w:ascii="宋体" w:hAnsi="宋体" w:eastAsia="宋体"/>
          <w:color w:val="auto"/>
          <w:sz w:val="24"/>
          <w:szCs w:val="24"/>
          <w:highlight w:val="none"/>
        </w:rPr>
        <w:t>，包括但</w:t>
      </w:r>
      <w:r>
        <w:rPr>
          <w:rFonts w:ascii="宋体" w:hAnsi="宋体" w:eastAsia="宋体"/>
          <w:color w:val="auto"/>
          <w:sz w:val="24"/>
          <w:szCs w:val="24"/>
          <w:highlight w:val="none"/>
        </w:rPr>
        <w:t>不限于</w:t>
      </w:r>
      <w:r>
        <w:rPr>
          <w:rFonts w:hint="eastAsia" w:ascii="宋体" w:hAnsi="宋体" w:eastAsia="宋体"/>
          <w:color w:val="auto"/>
          <w:sz w:val="24"/>
          <w:szCs w:val="24"/>
          <w:highlight w:val="none"/>
        </w:rPr>
        <w:t>与项目</w:t>
      </w:r>
      <w:r>
        <w:rPr>
          <w:rFonts w:ascii="宋体" w:hAnsi="宋体" w:eastAsia="宋体"/>
          <w:color w:val="auto"/>
          <w:sz w:val="24"/>
          <w:szCs w:val="24"/>
          <w:highlight w:val="none"/>
        </w:rPr>
        <w:t>公司</w:t>
      </w:r>
      <w:r>
        <w:rPr>
          <w:rFonts w:hint="eastAsia" w:ascii="宋体" w:hAnsi="宋体" w:eastAsia="宋体"/>
          <w:color w:val="auto"/>
          <w:sz w:val="24"/>
          <w:szCs w:val="24"/>
          <w:highlight w:val="none"/>
        </w:rPr>
        <w:t>建立</w:t>
      </w:r>
      <w:r>
        <w:rPr>
          <w:rFonts w:ascii="宋体" w:hAnsi="宋体" w:eastAsia="宋体"/>
          <w:color w:val="auto"/>
          <w:sz w:val="24"/>
          <w:szCs w:val="24"/>
          <w:highlight w:val="none"/>
        </w:rPr>
        <w:t>劳动关系</w:t>
      </w:r>
      <w:r>
        <w:rPr>
          <w:rFonts w:hint="eastAsia" w:ascii="宋体" w:hAnsi="宋体" w:eastAsia="宋体"/>
          <w:color w:val="auto"/>
          <w:sz w:val="24"/>
          <w:szCs w:val="24"/>
          <w:highlight w:val="none"/>
        </w:rPr>
        <w:t>人员的工资、工资性补贴、施工现场津贴、社会保障费用、住房公积金、职工福利费、工会经费，劳动保护费；办公费、会议费、差旅交通费、固定资产使用费、零星固定资产购置费、咨询费、建设单位的临时设施费、各种税费等。</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管理费用由项目公司自行承担并支出，最终金额以项目公司聘请的甲乙双方认可的第三方审计机构审核确认的为准。</w:t>
      </w:r>
    </w:p>
    <w:p>
      <w:pPr>
        <w:pStyle w:val="2"/>
        <w:spacing w:before="156" w:beforeLines="50" w:after="156" w:afterLines="50" w:line="360" w:lineRule="auto"/>
        <w:rPr>
          <w:rFonts w:ascii="黑体" w:hAnsi="黑体"/>
          <w:color w:val="auto"/>
          <w:sz w:val="32"/>
          <w:highlight w:val="none"/>
        </w:rPr>
      </w:pPr>
      <w:bookmarkStart w:id="99" w:name="_Toc55981066"/>
      <w:bookmarkStart w:id="100" w:name="_Toc101463855"/>
      <w:r>
        <w:rPr>
          <w:rFonts w:hint="eastAsia" w:ascii="黑体" w:hAnsi="黑体"/>
          <w:color w:val="auto"/>
          <w:sz w:val="32"/>
          <w:highlight w:val="none"/>
        </w:rPr>
        <w:t>2</w:t>
      </w:r>
      <w:r>
        <w:rPr>
          <w:rFonts w:ascii="黑体" w:hAnsi="黑体"/>
          <w:color w:val="auto"/>
          <w:sz w:val="32"/>
          <w:highlight w:val="none"/>
        </w:rPr>
        <w:t>4.财务费用</w:t>
      </w:r>
      <w:bookmarkEnd w:id="99"/>
      <w:bookmarkEnd w:id="100"/>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rPr>
        <w:t>24.1</w:t>
      </w:r>
      <w:r>
        <w:rPr>
          <w:rFonts w:hint="eastAsia" w:ascii="宋体" w:hAnsi="宋体" w:eastAsia="宋体"/>
          <w:color w:val="auto"/>
          <w:sz w:val="24"/>
          <w:szCs w:val="24"/>
          <w:highlight w:val="none"/>
        </w:rPr>
        <w:t>财务费用系</w:t>
      </w:r>
      <w:r>
        <w:rPr>
          <w:rFonts w:ascii="宋体" w:hAnsi="宋体" w:eastAsia="宋体"/>
          <w:color w:val="auto"/>
          <w:sz w:val="24"/>
          <w:szCs w:val="24"/>
          <w:highlight w:val="none"/>
        </w:rPr>
        <w:t>项目公司从银行</w:t>
      </w:r>
      <w:r>
        <w:rPr>
          <w:rFonts w:hint="eastAsia" w:ascii="宋体" w:hAnsi="宋体" w:eastAsia="宋体"/>
          <w:color w:val="auto"/>
          <w:sz w:val="24"/>
          <w:szCs w:val="24"/>
          <w:highlight w:val="none"/>
        </w:rPr>
        <w:t>、保险机构、基金等金融机构融资发生的费用以及股东借款利息、担保费用、财务顾问费用等，由项目公司根据融资性法律文件约定自行支付并承担</w:t>
      </w:r>
      <w:r>
        <w:rPr>
          <w:rFonts w:ascii="宋体" w:hAnsi="宋体" w:eastAsia="宋体"/>
          <w:color w:val="auto"/>
          <w:sz w:val="24"/>
          <w:szCs w:val="24"/>
          <w:highlight w:val="none"/>
        </w:rPr>
        <w:t>(结算时甲方不承担该</w:t>
      </w:r>
      <w:r>
        <w:rPr>
          <w:rFonts w:hint="eastAsia" w:ascii="宋体" w:hAnsi="宋体" w:eastAsia="宋体"/>
          <w:color w:val="auto"/>
          <w:sz w:val="24"/>
          <w:szCs w:val="24"/>
          <w:highlight w:val="none"/>
        </w:rPr>
        <w:t>费用</w:t>
      </w:r>
      <w:r>
        <w:rPr>
          <w:rFonts w:ascii="宋体" w:hAnsi="宋体" w:eastAsia="宋体"/>
          <w:color w:val="auto"/>
          <w:sz w:val="24"/>
          <w:szCs w:val="24"/>
          <w:highlight w:val="none"/>
        </w:rPr>
        <w:t>)。</w:t>
      </w:r>
    </w:p>
    <w:p>
      <w:pPr>
        <w:pStyle w:val="2"/>
        <w:spacing w:before="156" w:beforeLines="50" w:after="156" w:afterLines="50" w:line="360" w:lineRule="auto"/>
        <w:rPr>
          <w:rFonts w:ascii="黑体" w:hAnsi="黑体"/>
          <w:color w:val="auto"/>
          <w:sz w:val="32"/>
          <w:highlight w:val="none"/>
        </w:rPr>
      </w:pPr>
      <w:bookmarkStart w:id="101" w:name="_Toc55981067"/>
      <w:bookmarkStart w:id="102" w:name="_Toc101463856"/>
      <w:r>
        <w:rPr>
          <w:rFonts w:hint="eastAsia" w:ascii="黑体" w:hAnsi="黑体"/>
          <w:color w:val="auto"/>
          <w:sz w:val="32"/>
          <w:highlight w:val="none"/>
        </w:rPr>
        <w:t>2</w:t>
      </w:r>
      <w:r>
        <w:rPr>
          <w:rFonts w:ascii="黑体" w:hAnsi="黑体"/>
          <w:color w:val="auto"/>
          <w:sz w:val="32"/>
          <w:highlight w:val="none"/>
        </w:rPr>
        <w:t>5.税费</w:t>
      </w:r>
      <w:bookmarkEnd w:id="101"/>
      <w:bookmarkEnd w:id="102"/>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指项目开发过程中发生的各种税费，按国家法律法规执行。</w:t>
      </w:r>
    </w:p>
    <w:p>
      <w:pPr>
        <w:pStyle w:val="2"/>
        <w:spacing w:before="156" w:beforeLines="50" w:after="156" w:afterLines="50" w:line="360" w:lineRule="auto"/>
        <w:rPr>
          <w:rFonts w:ascii="黑体" w:hAnsi="黑体"/>
          <w:color w:val="auto"/>
          <w:sz w:val="32"/>
          <w:highlight w:val="none"/>
        </w:rPr>
      </w:pPr>
      <w:bookmarkStart w:id="103" w:name="_Toc55981068"/>
      <w:bookmarkStart w:id="104" w:name="_Toc101463857"/>
      <w:r>
        <w:rPr>
          <w:rFonts w:hint="eastAsia" w:ascii="黑体" w:hAnsi="黑体"/>
          <w:color w:val="auto"/>
          <w:sz w:val="32"/>
          <w:highlight w:val="none"/>
        </w:rPr>
        <w:t>2</w:t>
      </w:r>
      <w:r>
        <w:rPr>
          <w:rFonts w:ascii="黑体" w:hAnsi="黑体"/>
          <w:color w:val="auto"/>
          <w:sz w:val="32"/>
          <w:highlight w:val="none"/>
        </w:rPr>
        <w:t>6.</w:t>
      </w:r>
      <w:r>
        <w:rPr>
          <w:rFonts w:hint="eastAsia" w:ascii="黑体" w:hAnsi="黑体"/>
          <w:color w:val="auto"/>
          <w:sz w:val="32"/>
          <w:highlight w:val="none"/>
        </w:rPr>
        <w:t>其它费用</w:t>
      </w:r>
      <w:bookmarkEnd w:id="103"/>
      <w:bookmarkEnd w:id="104"/>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主要包含临时用地费、临时建设费、招标代理服务费、标底标准费、工程监理费、工程质量监督费、施工图预算编制费、施工图审查费、公证费、竣工图编制费、竣（交）工验收费、专家审查费、审计费、律师费、工程保险费等与项目建设有关的费用。</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项目公司发生或甲方需要项目公司提供的与合作本项目有关</w:t>
      </w:r>
      <w:r>
        <w:rPr>
          <w:rFonts w:ascii="宋体" w:hAnsi="宋体" w:eastAsia="宋体"/>
          <w:color w:val="auto"/>
          <w:sz w:val="24"/>
          <w:szCs w:val="24"/>
          <w:highlight w:val="none"/>
        </w:rPr>
        <w:t>的</w:t>
      </w:r>
      <w:r>
        <w:rPr>
          <w:rFonts w:hint="eastAsia" w:ascii="宋体" w:hAnsi="宋体" w:eastAsia="宋体"/>
          <w:color w:val="auto"/>
          <w:sz w:val="24"/>
          <w:szCs w:val="24"/>
          <w:highlight w:val="none"/>
        </w:rPr>
        <w:t>其他费用以实际发生的为准，并按照相关费用支付路径据实承担。</w:t>
      </w:r>
      <w:r>
        <w:rPr>
          <w:color w:val="auto"/>
          <w:sz w:val="24"/>
          <w:szCs w:val="28"/>
          <w:highlight w:val="none"/>
        </w:rPr>
        <w:br w:type="page"/>
      </w:r>
    </w:p>
    <w:p>
      <w:pPr>
        <w:pStyle w:val="3"/>
        <w:spacing w:before="156" w:beforeLines="50" w:after="156" w:afterLines="50" w:line="360" w:lineRule="auto"/>
        <w:jc w:val="center"/>
        <w:rPr>
          <w:b/>
          <w:color w:val="auto"/>
          <w:sz w:val="36"/>
          <w:szCs w:val="52"/>
          <w:highlight w:val="none"/>
        </w:rPr>
      </w:pPr>
      <w:bookmarkStart w:id="105" w:name="_Toc26456303"/>
      <w:bookmarkStart w:id="106" w:name="_Toc101463858"/>
      <w:bookmarkStart w:id="107" w:name="_Toc55981069"/>
      <w:r>
        <w:rPr>
          <w:rFonts w:hint="eastAsia"/>
          <w:b/>
          <w:color w:val="auto"/>
          <w:sz w:val="36"/>
          <w:szCs w:val="52"/>
          <w:highlight w:val="none"/>
        </w:rPr>
        <w:t>八、投资</w:t>
      </w:r>
      <w:bookmarkEnd w:id="105"/>
      <w:r>
        <w:rPr>
          <w:rFonts w:hint="eastAsia"/>
          <w:b/>
          <w:color w:val="auto"/>
          <w:sz w:val="36"/>
          <w:szCs w:val="52"/>
          <w:highlight w:val="none"/>
        </w:rPr>
        <w:t>回报</w:t>
      </w:r>
      <w:bookmarkEnd w:id="106"/>
      <w:bookmarkEnd w:id="107"/>
    </w:p>
    <w:p>
      <w:pPr>
        <w:pStyle w:val="2"/>
        <w:spacing w:before="156" w:beforeLines="50" w:after="156" w:afterLines="50" w:line="360" w:lineRule="auto"/>
        <w:rPr>
          <w:color w:val="auto"/>
          <w:sz w:val="32"/>
          <w:szCs w:val="40"/>
          <w:highlight w:val="none"/>
        </w:rPr>
      </w:pPr>
      <w:bookmarkStart w:id="108" w:name="_Toc55981070"/>
      <w:bookmarkStart w:id="109" w:name="_Toc101463859"/>
      <w:r>
        <w:rPr>
          <w:rFonts w:hint="eastAsia"/>
          <w:color w:val="auto"/>
          <w:sz w:val="32"/>
          <w:szCs w:val="40"/>
          <w:highlight w:val="none"/>
        </w:rPr>
        <w:t>2</w:t>
      </w:r>
      <w:r>
        <w:rPr>
          <w:color w:val="auto"/>
          <w:sz w:val="32"/>
          <w:szCs w:val="40"/>
          <w:highlight w:val="none"/>
        </w:rPr>
        <w:t>7</w:t>
      </w:r>
      <w:r>
        <w:rPr>
          <w:rFonts w:hint="eastAsia"/>
          <w:color w:val="auto"/>
          <w:sz w:val="32"/>
          <w:szCs w:val="40"/>
          <w:highlight w:val="none"/>
        </w:rPr>
        <w:t>.项目投资回收总额</w:t>
      </w:r>
      <w:bookmarkEnd w:id="108"/>
      <w:bookmarkEnd w:id="109"/>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本项目投资回收总额包括投资成本</w:t>
      </w:r>
      <w:r>
        <w:rPr>
          <w:rFonts w:ascii="宋体" w:hAnsi="宋体" w:eastAsia="宋体"/>
          <w:color w:val="auto"/>
          <w:sz w:val="24"/>
          <w:szCs w:val="24"/>
          <w:highlight w:val="none"/>
        </w:rPr>
        <w:t>+投资回报+管理费+延期利息（如有）</w:t>
      </w:r>
      <w:r>
        <w:rPr>
          <w:rFonts w:hint="eastAsia" w:ascii="宋体" w:hAnsi="宋体" w:eastAsia="宋体"/>
          <w:color w:val="auto"/>
          <w:sz w:val="24"/>
          <w:szCs w:val="24"/>
          <w:highlight w:val="none"/>
        </w:rPr>
        <w:t>等</w:t>
      </w:r>
      <w:r>
        <w:rPr>
          <w:rFonts w:ascii="宋体" w:hAnsi="宋体" w:eastAsia="宋体"/>
          <w:color w:val="auto"/>
          <w:sz w:val="24"/>
          <w:szCs w:val="24"/>
          <w:highlight w:val="none"/>
        </w:rPr>
        <w:t>。</w:t>
      </w:r>
    </w:p>
    <w:p>
      <w:pPr>
        <w:pStyle w:val="2"/>
        <w:spacing w:before="156" w:beforeLines="50" w:after="156" w:afterLines="50" w:line="360" w:lineRule="auto"/>
        <w:rPr>
          <w:color w:val="auto"/>
          <w:sz w:val="32"/>
          <w:szCs w:val="40"/>
          <w:highlight w:val="none"/>
        </w:rPr>
      </w:pPr>
      <w:bookmarkStart w:id="110" w:name="_Toc101463860"/>
      <w:bookmarkStart w:id="111" w:name="_Toc55981071"/>
      <w:r>
        <w:rPr>
          <w:rFonts w:hint="eastAsia"/>
          <w:color w:val="auto"/>
          <w:sz w:val="32"/>
          <w:szCs w:val="40"/>
          <w:highlight w:val="none"/>
        </w:rPr>
        <w:t>2</w:t>
      </w:r>
      <w:r>
        <w:rPr>
          <w:color w:val="auto"/>
          <w:sz w:val="32"/>
          <w:szCs w:val="40"/>
          <w:highlight w:val="none"/>
        </w:rPr>
        <w:t>8</w:t>
      </w:r>
      <w:r>
        <w:rPr>
          <w:rFonts w:hint="eastAsia"/>
          <w:color w:val="auto"/>
          <w:sz w:val="32"/>
          <w:szCs w:val="40"/>
          <w:highlight w:val="none"/>
        </w:rPr>
        <w:t>.投资收益</w:t>
      </w:r>
      <w:bookmarkEnd w:id="110"/>
      <w:bookmarkEnd w:id="111"/>
    </w:p>
    <w:p>
      <w:pPr>
        <w:pStyle w:val="38"/>
        <w:spacing w:before="156" w:beforeLines="50" w:after="156" w:afterLines="50" w:line="360" w:lineRule="auto"/>
        <w:rPr>
          <w:color w:val="auto"/>
          <w:sz w:val="32"/>
          <w:szCs w:val="40"/>
          <w:highlight w:val="none"/>
        </w:rPr>
      </w:pPr>
      <w:bookmarkStart w:id="112" w:name="_Toc55981072"/>
      <w:r>
        <w:rPr>
          <w:rFonts w:hint="eastAsia"/>
          <w:color w:val="auto"/>
          <w:sz w:val="32"/>
          <w:szCs w:val="40"/>
          <w:highlight w:val="none"/>
        </w:rPr>
        <w:t>2</w:t>
      </w:r>
      <w:r>
        <w:rPr>
          <w:color w:val="auto"/>
          <w:sz w:val="32"/>
          <w:szCs w:val="40"/>
          <w:highlight w:val="none"/>
        </w:rPr>
        <w:t>8</w:t>
      </w:r>
      <w:r>
        <w:rPr>
          <w:rFonts w:hint="eastAsia"/>
          <w:color w:val="auto"/>
          <w:sz w:val="32"/>
          <w:szCs w:val="40"/>
          <w:highlight w:val="none"/>
        </w:rPr>
        <w:t>.1</w:t>
      </w:r>
      <w:bookmarkEnd w:id="112"/>
      <w:r>
        <w:rPr>
          <w:rFonts w:hint="eastAsia"/>
          <w:color w:val="auto"/>
          <w:sz w:val="32"/>
          <w:szCs w:val="40"/>
          <w:highlight w:val="none"/>
        </w:rPr>
        <w:t>项目公司</w:t>
      </w:r>
      <w:r>
        <w:rPr>
          <w:color w:val="auto"/>
          <w:sz w:val="32"/>
          <w:szCs w:val="40"/>
          <w:highlight w:val="none"/>
        </w:rPr>
        <w:t>注册资本金收益</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甲乙</w:t>
      </w:r>
      <w:r>
        <w:rPr>
          <w:rFonts w:ascii="宋体" w:hAnsi="宋体" w:eastAsia="宋体"/>
          <w:color w:val="auto"/>
          <w:sz w:val="24"/>
          <w:szCs w:val="24"/>
          <w:highlight w:val="none"/>
        </w:rPr>
        <w:t>双方投入项目公司的注册资本金</w:t>
      </w:r>
      <w:r>
        <w:rPr>
          <w:rFonts w:hint="eastAsia" w:ascii="宋体" w:hAnsi="宋体" w:eastAsia="宋体"/>
          <w:color w:val="auto"/>
          <w:sz w:val="24"/>
          <w:szCs w:val="24"/>
          <w:highlight w:val="none"/>
        </w:rPr>
        <w:t>不</w:t>
      </w:r>
      <w:r>
        <w:rPr>
          <w:rFonts w:ascii="宋体" w:hAnsi="宋体" w:eastAsia="宋体"/>
          <w:color w:val="auto"/>
          <w:sz w:val="24"/>
          <w:szCs w:val="24"/>
          <w:highlight w:val="none"/>
        </w:rPr>
        <w:t>约定收益率，具体以项目公司的实际分红</w:t>
      </w:r>
      <w:r>
        <w:rPr>
          <w:rFonts w:hint="eastAsia" w:ascii="宋体" w:hAnsi="宋体" w:eastAsia="宋体"/>
          <w:color w:val="auto"/>
          <w:sz w:val="24"/>
          <w:szCs w:val="24"/>
          <w:highlight w:val="none"/>
        </w:rPr>
        <w:t>及</w:t>
      </w:r>
      <w:r>
        <w:rPr>
          <w:rFonts w:ascii="宋体" w:hAnsi="宋体" w:eastAsia="宋体"/>
          <w:color w:val="auto"/>
          <w:sz w:val="24"/>
          <w:szCs w:val="24"/>
          <w:highlight w:val="none"/>
        </w:rPr>
        <w:t>公司清算时分配的财产为准。</w:t>
      </w:r>
    </w:p>
    <w:p>
      <w:pPr>
        <w:pStyle w:val="38"/>
        <w:spacing w:before="156" w:beforeLines="50" w:after="156" w:afterLines="50" w:line="360" w:lineRule="auto"/>
        <w:rPr>
          <w:color w:val="auto"/>
          <w:sz w:val="32"/>
          <w:szCs w:val="40"/>
          <w:highlight w:val="none"/>
        </w:rPr>
      </w:pPr>
      <w:bookmarkStart w:id="113" w:name="_Toc55981073"/>
      <w:r>
        <w:rPr>
          <w:color w:val="auto"/>
          <w:sz w:val="32"/>
          <w:szCs w:val="40"/>
          <w:highlight w:val="none"/>
        </w:rPr>
        <w:t>28.2</w:t>
      </w:r>
      <w:r>
        <w:rPr>
          <w:rFonts w:hint="eastAsia"/>
          <w:color w:val="auto"/>
          <w:sz w:val="32"/>
          <w:szCs w:val="40"/>
          <w:highlight w:val="none"/>
        </w:rPr>
        <w:t>项目资本金</w:t>
      </w:r>
    </w:p>
    <w:p>
      <w:pPr>
        <w:adjustRightInd w:val="0"/>
        <w:snapToGrid w:val="0"/>
        <w:spacing w:before="156" w:beforeLines="50" w:after="156" w:afterLines="50" w:line="360" w:lineRule="auto"/>
        <w:ind w:firstLine="480" w:firstLineChars="200"/>
        <w:rPr>
          <w:rFonts w:ascii="宋体" w:hAnsi="宋体" w:eastAsia="宋体"/>
          <w:color w:val="auto"/>
          <w:sz w:val="24"/>
          <w:szCs w:val="24"/>
          <w:highlight w:val="none"/>
        </w:rPr>
      </w:pPr>
      <w:r>
        <w:rPr>
          <w:rFonts w:hint="eastAsia"/>
          <w:color w:val="auto"/>
          <w:sz w:val="24"/>
          <w:szCs w:val="28"/>
          <w:highlight w:val="none"/>
        </w:rPr>
        <w:t>项目资本金全额以乙方自有资金投资，该部分</w:t>
      </w:r>
      <w:bookmarkEnd w:id="113"/>
      <w:r>
        <w:rPr>
          <w:rFonts w:hint="eastAsia" w:ascii="宋体" w:hAnsi="宋体" w:eastAsia="宋体"/>
          <w:color w:val="auto"/>
          <w:sz w:val="24"/>
          <w:szCs w:val="24"/>
          <w:highlight w:val="none"/>
        </w:rPr>
        <w:t>投资收益以项目</w:t>
      </w:r>
      <w:r>
        <w:rPr>
          <w:rFonts w:ascii="宋体" w:hAnsi="宋体" w:eastAsia="宋体"/>
          <w:color w:val="auto"/>
          <w:sz w:val="24"/>
          <w:szCs w:val="24"/>
          <w:highlight w:val="none"/>
        </w:rPr>
        <w:t>公司</w:t>
      </w:r>
      <w:r>
        <w:rPr>
          <w:rFonts w:hint="eastAsia" w:ascii="宋体" w:hAnsi="宋体" w:eastAsia="宋体"/>
          <w:color w:val="auto"/>
          <w:sz w:val="24"/>
          <w:szCs w:val="24"/>
          <w:highlight w:val="none"/>
        </w:rPr>
        <w:t>按用款计划使用并经甲方书面同意进入项目公司银行账户并后续</w:t>
      </w:r>
      <w:r>
        <w:rPr>
          <w:rFonts w:ascii="宋体" w:hAnsi="宋体" w:eastAsia="宋体"/>
          <w:color w:val="auto"/>
          <w:sz w:val="24"/>
          <w:szCs w:val="24"/>
          <w:highlight w:val="none"/>
        </w:rPr>
        <w:t>用作项目资本金</w:t>
      </w:r>
      <w:r>
        <w:rPr>
          <w:rFonts w:hint="eastAsia" w:ascii="宋体" w:hAnsi="宋体" w:eastAsia="宋体"/>
          <w:color w:val="auto"/>
          <w:sz w:val="24"/>
          <w:szCs w:val="24"/>
          <w:highlight w:val="none"/>
        </w:rPr>
        <w:t>的资金，按照年化收益</w:t>
      </w:r>
      <w:r>
        <w:rPr>
          <w:rFonts w:ascii="宋体" w:hAnsi="宋体" w:eastAsia="宋体"/>
          <w:color w:val="auto"/>
          <w:sz w:val="24"/>
          <w:szCs w:val="24"/>
          <w:highlight w:val="none"/>
        </w:rPr>
        <w:t>8%</w:t>
      </w:r>
      <w:r>
        <w:rPr>
          <w:rFonts w:hint="eastAsia" w:ascii="宋体" w:hAnsi="宋体" w:eastAsia="宋体"/>
          <w:color w:val="auto"/>
          <w:sz w:val="24"/>
          <w:szCs w:val="24"/>
          <w:highlight w:val="none"/>
        </w:rPr>
        <w:t>和资金实际占用天数据实计算，计算</w:t>
      </w:r>
      <w:r>
        <w:rPr>
          <w:rFonts w:ascii="宋体" w:hAnsi="宋体" w:eastAsia="宋体"/>
          <w:color w:val="auto"/>
          <w:sz w:val="24"/>
          <w:szCs w:val="24"/>
          <w:highlight w:val="none"/>
        </w:rPr>
        <w:t>期间</w:t>
      </w:r>
      <w:r>
        <w:rPr>
          <w:rFonts w:hint="eastAsia" w:ascii="宋体" w:hAnsi="宋体" w:eastAsia="宋体"/>
          <w:color w:val="auto"/>
          <w:sz w:val="24"/>
          <w:szCs w:val="24"/>
          <w:highlight w:val="none"/>
        </w:rPr>
        <w:t>以资金进入</w:t>
      </w:r>
      <w:r>
        <w:rPr>
          <w:rFonts w:ascii="宋体" w:hAnsi="宋体" w:eastAsia="宋体"/>
          <w:color w:val="auto"/>
          <w:sz w:val="24"/>
          <w:szCs w:val="24"/>
          <w:highlight w:val="none"/>
        </w:rPr>
        <w:t>项目公司</w:t>
      </w:r>
      <w:r>
        <w:rPr>
          <w:rFonts w:hint="eastAsia" w:ascii="宋体" w:hAnsi="宋体" w:eastAsia="宋体"/>
          <w:color w:val="auto"/>
          <w:sz w:val="24"/>
          <w:szCs w:val="24"/>
          <w:highlight w:val="none"/>
        </w:rPr>
        <w:t>账户</w:t>
      </w:r>
      <w:r>
        <w:rPr>
          <w:rFonts w:ascii="宋体" w:hAnsi="宋体" w:eastAsia="宋体"/>
          <w:color w:val="auto"/>
          <w:sz w:val="24"/>
          <w:szCs w:val="24"/>
          <w:highlight w:val="none"/>
        </w:rPr>
        <w:t>之日</w:t>
      </w:r>
      <w:r>
        <w:rPr>
          <w:rFonts w:hint="eastAsia" w:ascii="宋体" w:hAnsi="宋体" w:eastAsia="宋体"/>
          <w:color w:val="auto"/>
          <w:sz w:val="24"/>
          <w:szCs w:val="24"/>
          <w:highlight w:val="none"/>
        </w:rPr>
        <w:t>起至结算清偿</w:t>
      </w:r>
      <w:r>
        <w:rPr>
          <w:rFonts w:ascii="宋体" w:hAnsi="宋体" w:eastAsia="宋体"/>
          <w:color w:val="auto"/>
          <w:sz w:val="24"/>
          <w:szCs w:val="24"/>
          <w:highlight w:val="none"/>
        </w:rPr>
        <w:t>之日止，</w:t>
      </w:r>
      <w:r>
        <w:rPr>
          <w:rFonts w:hint="eastAsia" w:ascii="宋体" w:hAnsi="宋体" w:eastAsia="宋体"/>
          <w:color w:val="auto"/>
          <w:sz w:val="24"/>
          <w:szCs w:val="24"/>
          <w:highlight w:val="none"/>
        </w:rPr>
        <w:t>分别结算</w:t>
      </w:r>
      <w:r>
        <w:rPr>
          <w:rFonts w:ascii="宋体" w:hAnsi="宋体" w:eastAsia="宋体"/>
          <w:color w:val="auto"/>
          <w:sz w:val="24"/>
          <w:szCs w:val="24"/>
          <w:highlight w:val="none"/>
        </w:rPr>
        <w:t>清偿的，分别计算</w:t>
      </w:r>
      <w:r>
        <w:rPr>
          <w:rFonts w:hint="eastAsia" w:ascii="宋体" w:hAnsi="宋体" w:eastAsia="宋体"/>
          <w:color w:val="auto"/>
          <w:sz w:val="24"/>
          <w:szCs w:val="24"/>
          <w:highlight w:val="none"/>
        </w:rPr>
        <w:t>。</w:t>
      </w:r>
    </w:p>
    <w:p>
      <w:pPr>
        <w:pStyle w:val="38"/>
        <w:spacing w:before="156" w:beforeLines="50" w:after="156" w:afterLines="50" w:line="360" w:lineRule="auto"/>
        <w:rPr>
          <w:color w:val="auto"/>
          <w:sz w:val="32"/>
          <w:szCs w:val="40"/>
          <w:highlight w:val="none"/>
        </w:rPr>
      </w:pPr>
      <w:r>
        <w:rPr>
          <w:color w:val="auto"/>
          <w:sz w:val="32"/>
          <w:szCs w:val="40"/>
          <w:highlight w:val="none"/>
        </w:rPr>
        <w:t xml:space="preserve">28.3 </w:t>
      </w:r>
      <w:r>
        <w:rPr>
          <w:rFonts w:hint="eastAsia"/>
          <w:color w:val="auto"/>
          <w:sz w:val="32"/>
          <w:szCs w:val="40"/>
          <w:highlight w:val="none"/>
        </w:rPr>
        <w:t>项目公司的债务性融资</w:t>
      </w:r>
    </w:p>
    <w:p>
      <w:pPr>
        <w:adjustRightInd w:val="0"/>
        <w:snapToGrid w:val="0"/>
        <w:spacing w:before="156" w:beforeLines="50" w:after="156" w:afterLines="5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项目</w:t>
      </w:r>
      <w:r>
        <w:rPr>
          <w:rFonts w:ascii="宋体" w:hAnsi="宋体" w:eastAsia="宋体"/>
          <w:color w:val="auto"/>
          <w:sz w:val="24"/>
          <w:szCs w:val="24"/>
          <w:highlight w:val="none"/>
        </w:rPr>
        <w:t>公司债务性融资</w:t>
      </w:r>
      <w:r>
        <w:rPr>
          <w:rFonts w:hint="eastAsia" w:ascii="宋体" w:hAnsi="宋体" w:eastAsia="宋体"/>
          <w:color w:val="auto"/>
          <w:sz w:val="24"/>
          <w:szCs w:val="24"/>
          <w:highlight w:val="none"/>
        </w:rPr>
        <w:t>的</w:t>
      </w:r>
      <w:r>
        <w:rPr>
          <w:rFonts w:ascii="宋体" w:hAnsi="宋体" w:eastAsia="宋体"/>
          <w:color w:val="auto"/>
          <w:sz w:val="24"/>
          <w:szCs w:val="24"/>
          <w:highlight w:val="none"/>
        </w:rPr>
        <w:t>综合成本为</w:t>
      </w:r>
      <w:r>
        <w:rPr>
          <w:rFonts w:hint="eastAsia" w:ascii="宋体" w:hAnsi="宋体" w:eastAsia="宋体"/>
          <w:color w:val="auto"/>
          <w:sz w:val="24"/>
          <w:szCs w:val="24"/>
          <w:highlight w:val="none"/>
        </w:rPr>
        <w:t>年化</w:t>
      </w:r>
      <w:r>
        <w:rPr>
          <w:rFonts w:ascii="宋体" w:hAnsi="宋体" w:eastAsia="宋体"/>
          <w:color w:val="auto"/>
          <w:sz w:val="24"/>
          <w:szCs w:val="24"/>
          <w:highlight w:val="none"/>
        </w:rPr>
        <w:t>8%</w:t>
      </w:r>
      <w:r>
        <w:rPr>
          <w:rFonts w:hint="eastAsia" w:ascii="宋体" w:hAnsi="宋体" w:eastAsia="宋体"/>
          <w:color w:val="auto"/>
          <w:sz w:val="24"/>
          <w:szCs w:val="24"/>
          <w:highlight w:val="none"/>
        </w:rPr>
        <w:t>（含融资</w:t>
      </w:r>
      <w:r>
        <w:rPr>
          <w:rFonts w:ascii="宋体" w:hAnsi="宋体" w:eastAsia="宋体"/>
          <w:color w:val="auto"/>
          <w:sz w:val="24"/>
          <w:szCs w:val="24"/>
          <w:highlight w:val="none"/>
        </w:rPr>
        <w:t>利息、财务费用及</w:t>
      </w:r>
      <w:r>
        <w:rPr>
          <w:rFonts w:hint="eastAsia" w:ascii="宋体" w:hAnsi="宋体" w:eastAsia="宋体"/>
          <w:color w:val="auto"/>
          <w:sz w:val="24"/>
          <w:szCs w:val="24"/>
          <w:highlight w:val="none"/>
        </w:rPr>
        <w:t>其他</w:t>
      </w:r>
      <w:r>
        <w:rPr>
          <w:rFonts w:ascii="宋体" w:hAnsi="宋体" w:eastAsia="宋体"/>
          <w:color w:val="auto"/>
          <w:sz w:val="24"/>
          <w:szCs w:val="24"/>
          <w:highlight w:val="none"/>
        </w:rPr>
        <w:t>各项费用</w:t>
      </w:r>
      <w:r>
        <w:rPr>
          <w:rFonts w:hint="eastAsia" w:ascii="宋体" w:hAnsi="宋体" w:eastAsia="宋体"/>
          <w:color w:val="auto"/>
          <w:sz w:val="24"/>
          <w:szCs w:val="24"/>
          <w:highlight w:val="none"/>
        </w:rPr>
        <w:t>）。该部分投资收益以项目公司按用款计划使用并经甲方书面同意进入项目公司银行账户，按照年化收益</w:t>
      </w:r>
      <w:r>
        <w:rPr>
          <w:rFonts w:ascii="宋体" w:hAnsi="宋体" w:eastAsia="宋体"/>
          <w:color w:val="auto"/>
          <w:sz w:val="24"/>
          <w:szCs w:val="24"/>
          <w:highlight w:val="none"/>
        </w:rPr>
        <w:t>8%和资金实际占用天数据实计算，计算期间以资金进入项目公司账户之日起至结算清偿之日止，分别结算清偿的，分别计算。</w:t>
      </w:r>
    </w:p>
    <w:p>
      <w:pPr>
        <w:pStyle w:val="2"/>
        <w:spacing w:before="156" w:beforeLines="50" w:after="156" w:afterLines="50" w:line="360" w:lineRule="auto"/>
        <w:rPr>
          <w:color w:val="auto"/>
          <w:sz w:val="32"/>
          <w:szCs w:val="40"/>
          <w:highlight w:val="none"/>
        </w:rPr>
      </w:pPr>
      <w:bookmarkStart w:id="114" w:name="_Toc101463861"/>
      <w:bookmarkStart w:id="115" w:name="_Toc55981074"/>
      <w:r>
        <w:rPr>
          <w:rFonts w:hint="eastAsia"/>
          <w:color w:val="auto"/>
          <w:sz w:val="32"/>
          <w:szCs w:val="40"/>
          <w:highlight w:val="none"/>
        </w:rPr>
        <w:t>2</w:t>
      </w:r>
      <w:r>
        <w:rPr>
          <w:color w:val="auto"/>
          <w:sz w:val="32"/>
          <w:szCs w:val="40"/>
          <w:highlight w:val="none"/>
        </w:rPr>
        <w:t>9</w:t>
      </w:r>
      <w:r>
        <w:rPr>
          <w:rFonts w:hint="eastAsia"/>
          <w:color w:val="auto"/>
          <w:sz w:val="32"/>
          <w:szCs w:val="40"/>
          <w:highlight w:val="none"/>
        </w:rPr>
        <w:t>项目投资收益的结算</w:t>
      </w:r>
      <w:bookmarkEnd w:id="114"/>
      <w:bookmarkEnd w:id="115"/>
    </w:p>
    <w:p>
      <w:pPr>
        <w:adjustRightInd w:val="0"/>
        <w:snapToGrid w:val="0"/>
        <w:spacing w:before="156" w:beforeLines="50" w:after="156" w:afterLines="50"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29.1</w:t>
      </w:r>
      <w:r>
        <w:rPr>
          <w:rFonts w:hint="eastAsia" w:ascii="宋体" w:hAnsi="宋体" w:cs="宋体"/>
          <w:color w:val="auto"/>
          <w:sz w:val="24"/>
          <w:szCs w:val="24"/>
          <w:highlight w:val="none"/>
        </w:rPr>
        <w:t>乙方收回投资成本及收益的资金来源为甲方获得的平衡资金。</w:t>
      </w:r>
    </w:p>
    <w:p>
      <w:pPr>
        <w:snapToGrid w:val="0"/>
        <w:spacing w:before="156" w:beforeLines="50" w:after="156" w:afterLines="50"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29.2甲乙双方指定专员或建立联合办事机构，负责按季度统计在合作区域内新增平衡资金的计核额度，负责每季度统计在合作区域内的项目投资额、涉及到甲方应付项目公司的投资回报、已付项目公司投资回报金额，并于次季度30</w:t>
      </w:r>
      <w:r>
        <w:rPr>
          <w:rFonts w:hint="eastAsia" w:ascii="宋体" w:hAnsi="宋体" w:cs="宋体"/>
          <w:color w:val="auto"/>
          <w:sz w:val="24"/>
          <w:szCs w:val="24"/>
          <w:highlight w:val="none"/>
        </w:rPr>
        <w:t>日前将上季度的统计报表、台帐和财务凭证汇总后提交双方确认，并书面签署相关确认文件。</w:t>
      </w:r>
    </w:p>
    <w:p>
      <w:pPr>
        <w:snapToGrid w:val="0"/>
        <w:spacing w:before="156" w:beforeLines="50" w:after="156" w:after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项目竣工决算审计报告出具前以跟踪审计单位确定的金额为准，在项目竣工决算审计报告出具后以竣工决算审计报告为准。</w:t>
      </w:r>
    </w:p>
    <w:p>
      <w:pPr>
        <w:snapToGrid w:val="0"/>
        <w:spacing w:before="156" w:beforeLines="50" w:after="156" w:afterLines="50" w:line="360" w:lineRule="auto"/>
        <w:ind w:firstLine="480" w:firstLineChars="200"/>
        <w:rPr>
          <w:rFonts w:ascii="宋体" w:hAnsi="宋体" w:cs="宋体"/>
          <w:color w:val="auto"/>
          <w:sz w:val="24"/>
          <w:szCs w:val="24"/>
          <w:highlight w:val="none"/>
        </w:rPr>
      </w:pPr>
      <w:r>
        <w:rPr>
          <w:rFonts w:hint="eastAsia" w:ascii="Times New Roman" w:hAnsi="Times New Roman" w:eastAsia="宋体" w:cs="Times New Roman"/>
          <w:color w:val="auto"/>
          <w:sz w:val="24"/>
          <w:szCs w:val="24"/>
          <w:highlight w:val="none"/>
        </w:rPr>
        <w:t>2</w:t>
      </w:r>
      <w:r>
        <w:rPr>
          <w:rFonts w:ascii="Times New Roman" w:hAnsi="Times New Roman" w:eastAsia="宋体" w:cs="Times New Roman"/>
          <w:color w:val="auto"/>
          <w:sz w:val="24"/>
          <w:szCs w:val="24"/>
          <w:highlight w:val="none"/>
        </w:rPr>
        <w:t>9</w:t>
      </w:r>
      <w:r>
        <w:rPr>
          <w:rFonts w:hint="eastAsia" w:ascii="Times New Roman" w:hAnsi="Times New Roman" w:eastAsia="宋体" w:cs="Times New Roman"/>
          <w:color w:val="auto"/>
          <w:sz w:val="24"/>
          <w:szCs w:val="24"/>
          <w:highlight w:val="none"/>
        </w:rPr>
        <w:t>.3</w:t>
      </w:r>
      <w:r>
        <w:rPr>
          <w:rFonts w:hint="eastAsia" w:ascii="宋体" w:hAnsi="宋体" w:cs="宋体"/>
          <w:color w:val="auto"/>
          <w:sz w:val="24"/>
          <w:szCs w:val="24"/>
          <w:highlight w:val="none"/>
        </w:rPr>
        <w:t>项目公司负责分类统计合作区域内项目公司形成的各类</w:t>
      </w:r>
      <w:bookmarkStart w:id="116" w:name="_Hlk101601571"/>
      <w:r>
        <w:rPr>
          <w:rFonts w:hint="eastAsia" w:ascii="宋体" w:hAnsi="宋体" w:cs="宋体"/>
          <w:color w:val="auto"/>
          <w:sz w:val="24"/>
          <w:szCs w:val="24"/>
          <w:highlight w:val="none"/>
        </w:rPr>
        <w:t>投资成本</w:t>
      </w:r>
      <w:bookmarkEnd w:id="116"/>
      <w:r>
        <w:rPr>
          <w:rFonts w:hint="eastAsia" w:ascii="宋体" w:hAnsi="宋体" w:cs="宋体"/>
          <w:color w:val="auto"/>
          <w:sz w:val="24"/>
          <w:szCs w:val="24"/>
          <w:highlight w:val="none"/>
        </w:rPr>
        <w:t>及对应的</w:t>
      </w:r>
      <w:r>
        <w:rPr>
          <w:rFonts w:ascii="宋体" w:hAnsi="宋体" w:cs="宋体"/>
          <w:color w:val="auto"/>
          <w:sz w:val="24"/>
          <w:szCs w:val="24"/>
          <w:highlight w:val="none"/>
        </w:rPr>
        <w:t>乙方投资</w:t>
      </w:r>
      <w:r>
        <w:rPr>
          <w:rFonts w:hint="eastAsia" w:ascii="宋体" w:hAnsi="宋体" w:cs="宋体"/>
          <w:color w:val="auto"/>
          <w:sz w:val="24"/>
          <w:szCs w:val="24"/>
          <w:highlight w:val="none"/>
        </w:rPr>
        <w:t>额度。当季度相应的统计报表、台账及相应的凭证文件应当在下个季度开始后</w:t>
      </w:r>
      <w:r>
        <w:rPr>
          <w:rFonts w:ascii="宋体" w:hAnsi="宋体" w:cs="宋体"/>
          <w:color w:val="auto"/>
          <w:sz w:val="24"/>
          <w:szCs w:val="24"/>
          <w:highlight w:val="none"/>
        </w:rPr>
        <w:t>15</w:t>
      </w:r>
      <w:r>
        <w:rPr>
          <w:rFonts w:hint="eastAsia" w:ascii="宋体" w:hAnsi="宋体" w:cs="宋体"/>
          <w:color w:val="auto"/>
          <w:sz w:val="24"/>
          <w:szCs w:val="24"/>
          <w:highlight w:val="none"/>
        </w:rPr>
        <w:t>日内送甲方审查，甲方应当在收到项目公司报送的资料后15日内完成审核，但需要项目公司补充资料的除外。</w:t>
      </w:r>
    </w:p>
    <w:p>
      <w:pPr>
        <w:pStyle w:val="2"/>
        <w:spacing w:before="156" w:beforeLines="50" w:after="156" w:afterLines="50" w:line="360" w:lineRule="auto"/>
        <w:rPr>
          <w:color w:val="auto"/>
          <w:szCs w:val="28"/>
          <w:highlight w:val="none"/>
        </w:rPr>
      </w:pPr>
      <w:bookmarkStart w:id="117" w:name="_Toc55981075"/>
      <w:r>
        <w:rPr>
          <w:color w:val="auto"/>
          <w:szCs w:val="28"/>
          <w:highlight w:val="none"/>
        </w:rPr>
        <w:t>30</w:t>
      </w:r>
      <w:r>
        <w:rPr>
          <w:rFonts w:hint="eastAsia"/>
          <w:color w:val="auto"/>
          <w:szCs w:val="28"/>
          <w:highlight w:val="none"/>
        </w:rPr>
        <w:t>投资结算</w:t>
      </w:r>
      <w:bookmarkEnd w:id="117"/>
      <w:r>
        <w:rPr>
          <w:rFonts w:hint="eastAsia"/>
          <w:color w:val="auto"/>
          <w:szCs w:val="28"/>
          <w:highlight w:val="none"/>
        </w:rPr>
        <w:t>款的支付</w:t>
      </w:r>
    </w:p>
    <w:p>
      <w:pPr>
        <w:snapToGrid w:val="0"/>
        <w:spacing w:before="156" w:beforeLines="50" w:after="156" w:afterLines="50"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30.1</w:t>
      </w:r>
      <w:r>
        <w:rPr>
          <w:rFonts w:hint="eastAsia" w:ascii="宋体" w:hAnsi="宋体" w:cs="宋体"/>
          <w:color w:val="auto"/>
          <w:sz w:val="24"/>
          <w:szCs w:val="24"/>
          <w:highlight w:val="none"/>
        </w:rPr>
        <w:t>曲江新区财政金融局收到平衡资金后，原则上从曲江新区财政金融局收到平衡资金至甲方支付项目公司的时间合计不超过</w:t>
      </w:r>
      <w:r>
        <w:rPr>
          <w:rFonts w:ascii="宋体" w:hAnsi="宋体" w:cs="宋体"/>
          <w:color w:val="auto"/>
          <w:sz w:val="24"/>
          <w:szCs w:val="24"/>
          <w:highlight w:val="none"/>
        </w:rPr>
        <w:t>90</w:t>
      </w:r>
      <w:r>
        <w:rPr>
          <w:rFonts w:hint="eastAsia" w:ascii="宋体" w:hAnsi="宋体" w:cs="宋体"/>
          <w:color w:val="auto"/>
          <w:sz w:val="24"/>
          <w:szCs w:val="24"/>
          <w:highlight w:val="none"/>
        </w:rPr>
        <w:t>日。逾期未支付的，自逾期之日起，甲方按</w:t>
      </w:r>
      <w:r>
        <w:rPr>
          <w:rFonts w:ascii="宋体" w:hAnsi="宋体" w:cs="宋体"/>
          <w:color w:val="auto"/>
          <w:sz w:val="24"/>
          <w:szCs w:val="24"/>
          <w:highlight w:val="none"/>
        </w:rPr>
        <w:t>(</w:t>
      </w:r>
      <w:r>
        <w:rPr>
          <w:rFonts w:hint="eastAsia" w:ascii="宋体" w:hAnsi="宋体" w:cs="宋体"/>
          <w:color w:val="auto"/>
          <w:sz w:val="24"/>
          <w:szCs w:val="24"/>
          <w:highlight w:val="none"/>
        </w:rPr>
        <w:t>年化利率</w:t>
      </w:r>
      <w:r>
        <w:rPr>
          <w:rFonts w:ascii="宋体" w:hAnsi="宋体" w:cs="宋体"/>
          <w:color w:val="auto"/>
          <w:sz w:val="24"/>
          <w:szCs w:val="24"/>
          <w:highlight w:val="none"/>
        </w:rPr>
        <w:t>8%+</w:t>
      </w:r>
      <w:r>
        <w:rPr>
          <w:rFonts w:hint="eastAsia" w:ascii="宋体" w:hAnsi="宋体" w:cs="宋体"/>
          <w:color w:val="auto"/>
          <w:sz w:val="24"/>
          <w:szCs w:val="24"/>
          <w:highlight w:val="none"/>
        </w:rPr>
        <w:t>五年期以上</w:t>
      </w:r>
      <w:r>
        <w:rPr>
          <w:rFonts w:ascii="宋体" w:hAnsi="宋体" w:cs="宋体"/>
          <w:color w:val="auto"/>
          <w:sz w:val="24"/>
          <w:szCs w:val="24"/>
          <w:highlight w:val="none"/>
        </w:rPr>
        <w:t>LPR)</w:t>
      </w:r>
      <w:r>
        <w:rPr>
          <w:rFonts w:hint="eastAsia" w:ascii="宋体" w:hAnsi="宋体" w:cs="宋体"/>
          <w:color w:val="auto"/>
          <w:sz w:val="24"/>
          <w:szCs w:val="24"/>
          <w:highlight w:val="none"/>
        </w:rPr>
        <w:t>向项目公司支付投资收益及逾期利息。</w:t>
      </w:r>
    </w:p>
    <w:p>
      <w:pPr>
        <w:snapToGrid w:val="0"/>
        <w:spacing w:before="156" w:beforeLines="50" w:after="156" w:after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30.2按照本项目前期由西安市政府、西安市自规局、曲江管委会出具（下发）的相关文件及会议纪要落实，推进项目实施，项目平衡资金优先偿还乙方投资成本及收益；若出现执行困难的情况，由甲方负责协调解决。支付顺序按照逾期利息（如有）、投资收益、投资成本进行支付。</w:t>
      </w:r>
    </w:p>
    <w:p>
      <w:pPr>
        <w:snapToGrid w:val="0"/>
        <w:spacing w:before="156" w:beforeLines="50" w:after="156" w:afterLines="50" w:line="360" w:lineRule="auto"/>
        <w:ind w:firstLine="480" w:firstLineChars="200"/>
        <w:rPr>
          <w:rFonts w:ascii="宋体" w:hAnsi="宋体" w:eastAsia="宋体"/>
          <w:color w:val="auto"/>
          <w:sz w:val="24"/>
          <w:szCs w:val="24"/>
          <w:highlight w:val="none"/>
        </w:rPr>
      </w:pPr>
      <w:r>
        <w:rPr>
          <w:rFonts w:ascii="宋体" w:hAnsi="宋体" w:cs="宋体"/>
          <w:color w:val="auto"/>
          <w:sz w:val="24"/>
          <w:szCs w:val="24"/>
          <w:highlight w:val="none"/>
        </w:rPr>
        <w:br w:type="page"/>
      </w:r>
    </w:p>
    <w:p>
      <w:pPr>
        <w:pStyle w:val="3"/>
        <w:spacing w:before="156" w:beforeLines="50" w:after="156" w:afterLines="50" w:line="360" w:lineRule="auto"/>
        <w:jc w:val="center"/>
        <w:rPr>
          <w:b/>
          <w:color w:val="auto"/>
          <w:sz w:val="36"/>
          <w:szCs w:val="52"/>
          <w:highlight w:val="none"/>
        </w:rPr>
      </w:pPr>
      <w:bookmarkStart w:id="118" w:name="_Toc55981076"/>
      <w:bookmarkStart w:id="119" w:name="_Toc101463862"/>
      <w:r>
        <w:rPr>
          <w:rFonts w:hint="eastAsia"/>
          <w:b/>
          <w:color w:val="auto"/>
          <w:sz w:val="36"/>
          <w:szCs w:val="52"/>
          <w:highlight w:val="none"/>
        </w:rPr>
        <w:t>九、各方的权利义务</w:t>
      </w:r>
      <w:bookmarkEnd w:id="118"/>
      <w:bookmarkEnd w:id="119"/>
    </w:p>
    <w:p>
      <w:pPr>
        <w:pStyle w:val="2"/>
        <w:spacing w:before="156" w:beforeLines="50" w:after="156" w:afterLines="50" w:line="360" w:lineRule="auto"/>
        <w:rPr>
          <w:color w:val="auto"/>
          <w:sz w:val="32"/>
          <w:szCs w:val="40"/>
          <w:highlight w:val="none"/>
        </w:rPr>
      </w:pPr>
      <w:bookmarkStart w:id="120" w:name="_Toc55981077"/>
      <w:bookmarkStart w:id="121" w:name="_Toc101463863"/>
      <w:r>
        <w:rPr>
          <w:color w:val="auto"/>
          <w:sz w:val="32"/>
          <w:szCs w:val="40"/>
          <w:highlight w:val="none"/>
        </w:rPr>
        <w:t>31</w:t>
      </w:r>
      <w:r>
        <w:rPr>
          <w:rFonts w:hint="eastAsia"/>
          <w:color w:val="auto"/>
          <w:sz w:val="32"/>
          <w:szCs w:val="40"/>
          <w:highlight w:val="none"/>
        </w:rPr>
        <w:t>.甲方的权利</w:t>
      </w:r>
      <w:bookmarkEnd w:id="120"/>
      <w:bookmarkEnd w:id="121"/>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（1）享有对本项目实施的监督权，但监督权的行使不能影响项目公司的正常经营。</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（2）有权委托有资质的审计机构对本项目进行审计，对在审计中发现的问题应及时通知项目公司，并有权要求项目公司进行解释和整改。</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（3）对项目公司在合作过程中签署的项目有关合同文件有参与、了解（包括但不限于复制合同文本）、监督合同履行的权利。</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（4）有权按照项目公司章程规定享有项目公司股东权利。</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（5）本协议项下约定甲方享有的其他权利。</w:t>
      </w:r>
    </w:p>
    <w:p>
      <w:pPr>
        <w:pStyle w:val="2"/>
        <w:spacing w:before="156" w:beforeLines="50" w:after="156" w:afterLines="50" w:line="360" w:lineRule="auto"/>
        <w:rPr>
          <w:color w:val="auto"/>
          <w:sz w:val="32"/>
          <w:szCs w:val="40"/>
          <w:highlight w:val="none"/>
        </w:rPr>
      </w:pPr>
      <w:bookmarkStart w:id="122" w:name="_Toc55981078"/>
      <w:bookmarkStart w:id="123" w:name="_Toc101463864"/>
      <w:r>
        <w:rPr>
          <w:rFonts w:hint="eastAsia"/>
          <w:color w:val="auto"/>
          <w:sz w:val="32"/>
          <w:szCs w:val="40"/>
          <w:highlight w:val="none"/>
        </w:rPr>
        <w:t>3</w:t>
      </w:r>
      <w:r>
        <w:rPr>
          <w:color w:val="auto"/>
          <w:sz w:val="32"/>
          <w:szCs w:val="40"/>
          <w:highlight w:val="none"/>
        </w:rPr>
        <w:t>2</w:t>
      </w:r>
      <w:r>
        <w:rPr>
          <w:rFonts w:hint="eastAsia"/>
          <w:color w:val="auto"/>
          <w:sz w:val="32"/>
          <w:szCs w:val="40"/>
          <w:highlight w:val="none"/>
        </w:rPr>
        <w:t>.甲方的义务</w:t>
      </w:r>
      <w:bookmarkEnd w:id="122"/>
      <w:bookmarkEnd w:id="123"/>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1）按照本协议约定对项目公司履行</w:t>
      </w:r>
      <w:r>
        <w:rPr>
          <w:rFonts w:hint="eastAsia" w:asciiTheme="minorEastAsia" w:hAnsiTheme="minorEastAsia"/>
          <w:color w:val="auto"/>
          <w:sz w:val="24"/>
          <w:szCs w:val="24"/>
          <w:highlight w:val="none"/>
        </w:rPr>
        <w:t>出资义务，按照项目公司章程规定承担相应义务。</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2）</w:t>
      </w:r>
      <w:r>
        <w:rPr>
          <w:rFonts w:hint="eastAsia" w:asciiTheme="minorEastAsia" w:hAnsiTheme="minorEastAsia"/>
          <w:color w:val="auto"/>
          <w:sz w:val="24"/>
          <w:szCs w:val="24"/>
          <w:highlight w:val="none"/>
        </w:rPr>
        <w:t>按期足额支付项目公司投资成本、收益和其他款项（如有）。积极协助项目公司申请税收减免等相关税收优惠政策。</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3</w:t>
      </w:r>
      <w:r>
        <w:rPr>
          <w:rFonts w:hint="eastAsia" w:asciiTheme="minorEastAsia" w:hAnsiTheme="minorEastAsia"/>
          <w:color w:val="auto"/>
          <w:sz w:val="24"/>
          <w:szCs w:val="24"/>
          <w:highlight w:val="none"/>
        </w:rPr>
        <w:t>）负责</w:t>
      </w:r>
      <w:r>
        <w:rPr>
          <w:rFonts w:asciiTheme="minorEastAsia" w:hAnsiTheme="minorEastAsia"/>
          <w:color w:val="auto"/>
          <w:sz w:val="24"/>
          <w:szCs w:val="24"/>
          <w:highlight w:val="none"/>
        </w:rPr>
        <w:t>协调项目建设过程中所有相关的行政性审批工作</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包括但不限于</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本项目整体</w:t>
      </w:r>
      <w:r>
        <w:rPr>
          <w:rFonts w:hint="eastAsia" w:asciiTheme="minorEastAsia" w:hAnsiTheme="minorEastAsia"/>
          <w:color w:val="auto"/>
          <w:sz w:val="24"/>
          <w:szCs w:val="24"/>
          <w:highlight w:val="none"/>
        </w:rPr>
        <w:t>立项</w:t>
      </w:r>
      <w:r>
        <w:rPr>
          <w:rFonts w:asciiTheme="minorEastAsia" w:hAnsiTheme="minorEastAsia"/>
          <w:color w:val="auto"/>
          <w:sz w:val="24"/>
          <w:szCs w:val="24"/>
          <w:highlight w:val="none"/>
        </w:rPr>
        <w:t>和控制性详细规划</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落实项目用地手续及项目建设过程中相关的审批工作等</w:t>
      </w:r>
      <w:r>
        <w:rPr>
          <w:rFonts w:hint="eastAsia" w:asciiTheme="minorEastAsia" w:hAnsiTheme="minorEastAsia"/>
          <w:color w:val="auto"/>
          <w:sz w:val="24"/>
          <w:szCs w:val="24"/>
          <w:highlight w:val="none"/>
        </w:rPr>
        <w:t>。</w:t>
      </w:r>
    </w:p>
    <w:p>
      <w:pPr>
        <w:widowControl/>
        <w:spacing w:before="156" w:beforeLines="50" w:after="156" w:afterLines="50"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4</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协调</w:t>
      </w:r>
      <w:r>
        <w:rPr>
          <w:rFonts w:hint="eastAsia" w:asciiTheme="minorEastAsia" w:hAnsiTheme="minorEastAsia"/>
          <w:color w:val="auto"/>
          <w:sz w:val="24"/>
          <w:szCs w:val="24"/>
          <w:highlight w:val="none"/>
        </w:rPr>
        <w:t>相关</w:t>
      </w:r>
      <w:r>
        <w:rPr>
          <w:rFonts w:asciiTheme="minorEastAsia" w:hAnsiTheme="minorEastAsia"/>
          <w:color w:val="auto"/>
          <w:sz w:val="24"/>
          <w:szCs w:val="24"/>
          <w:highlight w:val="none"/>
        </w:rPr>
        <w:t>部门按照开发计划完成</w:t>
      </w:r>
      <w:r>
        <w:rPr>
          <w:rFonts w:hint="eastAsia" w:asciiTheme="minorEastAsia" w:hAnsiTheme="minorEastAsia"/>
          <w:color w:val="auto"/>
          <w:sz w:val="24"/>
          <w:szCs w:val="24"/>
          <w:highlight w:val="none"/>
        </w:rPr>
        <w:t>项目用地的征收、拆迁和补偿等工作协调有关部门按照合同约定的土地出让计划及出让工作，力争满足工程建设和土地出让计划需要。</w:t>
      </w:r>
    </w:p>
    <w:p>
      <w:pPr>
        <w:widowControl/>
        <w:spacing w:before="156" w:beforeLines="50" w:after="156" w:afterLines="50"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5</w:t>
      </w:r>
      <w:r>
        <w:rPr>
          <w:rFonts w:hint="eastAsia" w:asciiTheme="minorEastAsia" w:hAnsiTheme="minorEastAsia"/>
          <w:color w:val="auto"/>
          <w:sz w:val="24"/>
          <w:szCs w:val="24"/>
          <w:highlight w:val="none"/>
        </w:rPr>
        <w:t>）协调公共</w:t>
      </w:r>
      <w:r>
        <w:rPr>
          <w:rFonts w:asciiTheme="minorEastAsia" w:hAnsiTheme="minorEastAsia"/>
          <w:color w:val="auto"/>
          <w:sz w:val="24"/>
          <w:szCs w:val="24"/>
          <w:highlight w:val="none"/>
        </w:rPr>
        <w:t>能源部门</w:t>
      </w:r>
      <w:r>
        <w:rPr>
          <w:rFonts w:hint="eastAsia" w:asciiTheme="minorEastAsia" w:hAnsiTheme="minorEastAsia"/>
          <w:color w:val="auto"/>
          <w:sz w:val="24"/>
          <w:szCs w:val="24"/>
          <w:highlight w:val="none"/>
        </w:rPr>
        <w:t>关于供水、排水、燃气、热力、供电、通信、消防等依附于本项目的各种管线、杆线等设施的建设计划，匹配本项目建设进度及年度计划安排等。</w:t>
      </w:r>
    </w:p>
    <w:p>
      <w:pPr>
        <w:widowControl/>
        <w:spacing w:before="156" w:beforeLines="50" w:after="156" w:afterLines="50"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6</w:t>
      </w:r>
      <w:r>
        <w:rPr>
          <w:rFonts w:hint="eastAsia" w:asciiTheme="minorEastAsia" w:hAnsiTheme="minorEastAsia"/>
          <w:color w:val="auto"/>
          <w:sz w:val="24"/>
          <w:szCs w:val="24"/>
          <w:highlight w:val="none"/>
        </w:rPr>
        <w:t>）项目公司注册成立后，甲方与项目公司签订《</w:t>
      </w:r>
      <w:r>
        <w:rPr>
          <w:rFonts w:hint="eastAsia"/>
          <w:color w:val="auto"/>
          <w:sz w:val="24"/>
          <w:szCs w:val="28"/>
          <w:highlight w:val="none"/>
        </w:rPr>
        <w:t>资金共管账户协议</w:t>
      </w:r>
      <w:r>
        <w:rPr>
          <w:rFonts w:hint="eastAsia" w:asciiTheme="minorEastAsia" w:hAnsiTheme="minorEastAsia"/>
          <w:color w:val="auto"/>
          <w:sz w:val="24"/>
          <w:szCs w:val="24"/>
          <w:highlight w:val="none"/>
        </w:rPr>
        <w:t>》，并保证按照《资金共管协议》的约定履行相关权利和义务，</w:t>
      </w:r>
      <w:r>
        <w:rPr>
          <w:rFonts w:hint="eastAsia" w:ascii="宋体" w:hAnsi="宋体"/>
          <w:color w:val="auto"/>
          <w:sz w:val="24"/>
          <w:szCs w:val="24"/>
          <w:highlight w:val="none"/>
        </w:rPr>
        <w:t>专款专用，严禁侵占、挪用，严格防范各种违法、违纪、违规行为的发生。</w:t>
      </w:r>
      <w:r>
        <w:rPr>
          <w:rFonts w:hint="eastAsia" w:asciiTheme="minorEastAsia" w:hAnsiTheme="minorEastAsia"/>
          <w:color w:val="auto"/>
          <w:sz w:val="24"/>
          <w:szCs w:val="24"/>
          <w:highlight w:val="none"/>
        </w:rPr>
        <w:t>《</w:t>
      </w:r>
      <w:r>
        <w:rPr>
          <w:rFonts w:hint="eastAsia"/>
          <w:color w:val="auto"/>
          <w:sz w:val="24"/>
          <w:szCs w:val="28"/>
          <w:highlight w:val="none"/>
        </w:rPr>
        <w:t>资金共管账户协议</w:t>
      </w:r>
      <w:r>
        <w:rPr>
          <w:rFonts w:hint="eastAsia" w:asciiTheme="minorEastAsia" w:hAnsiTheme="minorEastAsia"/>
          <w:color w:val="auto"/>
          <w:sz w:val="24"/>
          <w:szCs w:val="24"/>
          <w:highlight w:val="none"/>
        </w:rPr>
        <w:t>》的具体内容在项目公司注册成立后，另行协商确定。</w:t>
      </w:r>
    </w:p>
    <w:p>
      <w:pPr>
        <w:widowControl/>
        <w:spacing w:before="156" w:beforeLines="50" w:after="156" w:afterLines="50"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7</w:t>
      </w:r>
      <w:r>
        <w:rPr>
          <w:rFonts w:hint="eastAsia" w:asciiTheme="minorEastAsia" w:hAnsiTheme="minorEastAsia"/>
          <w:color w:val="auto"/>
          <w:sz w:val="24"/>
          <w:szCs w:val="24"/>
          <w:highlight w:val="none"/>
        </w:rPr>
        <w:t>）本协议项下约定甲方负有的其他责任和义务。</w:t>
      </w:r>
    </w:p>
    <w:p>
      <w:pPr>
        <w:pStyle w:val="2"/>
        <w:spacing w:before="156" w:beforeLines="50" w:after="156" w:afterLines="50" w:line="360" w:lineRule="auto"/>
        <w:rPr>
          <w:color w:val="auto"/>
          <w:sz w:val="32"/>
          <w:szCs w:val="40"/>
          <w:highlight w:val="none"/>
        </w:rPr>
      </w:pPr>
      <w:bookmarkStart w:id="124" w:name="_Toc101463865"/>
      <w:bookmarkStart w:id="125" w:name="_Toc55981079"/>
      <w:r>
        <w:rPr>
          <w:rFonts w:hint="eastAsia"/>
          <w:color w:val="auto"/>
          <w:sz w:val="32"/>
          <w:szCs w:val="40"/>
          <w:highlight w:val="none"/>
        </w:rPr>
        <w:t>3</w:t>
      </w:r>
      <w:r>
        <w:rPr>
          <w:color w:val="auto"/>
          <w:sz w:val="32"/>
          <w:szCs w:val="40"/>
          <w:highlight w:val="none"/>
        </w:rPr>
        <w:t>3</w:t>
      </w:r>
      <w:r>
        <w:rPr>
          <w:rFonts w:hint="eastAsia"/>
          <w:color w:val="auto"/>
          <w:sz w:val="32"/>
          <w:szCs w:val="40"/>
          <w:highlight w:val="none"/>
        </w:rPr>
        <w:t>.乙方的权利</w:t>
      </w:r>
      <w:bookmarkEnd w:id="124"/>
      <w:bookmarkEnd w:id="125"/>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（1）享有甲方授予的本项目的合作权利。</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（2）有权按照项目公司章程规定享有项目公司股东权利。</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（3）有权在其资质许可范围内依法接受项目公司委托，承担本项目的投资、规划、勘察、设计、施工等任务。</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（4）以股东身份参与项目公司的日常经营管理。</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（5）经甲方同意，乙方可以引入产业基金进行投资。</w:t>
      </w:r>
    </w:p>
    <w:p>
      <w:pPr>
        <w:spacing w:before="156" w:beforeLines="50" w:after="156" w:afterLines="50" w:line="360" w:lineRule="auto"/>
        <w:ind w:firstLine="480"/>
        <w:rPr>
          <w:rFonts w:ascii="宋体" w:hAnsi="宋体" w:cs="宋体"/>
          <w:color w:val="auto"/>
          <w:sz w:val="24"/>
          <w:szCs w:val="32"/>
          <w:highlight w:val="none"/>
        </w:rPr>
      </w:pPr>
      <w:r>
        <w:rPr>
          <w:rFonts w:hint="eastAsia" w:ascii="宋体" w:hAnsi="宋体" w:cs="宋体"/>
          <w:color w:val="auto"/>
          <w:sz w:val="24"/>
          <w:szCs w:val="32"/>
          <w:highlight w:val="none"/>
        </w:rPr>
        <w:t>（6）依法获得协议约定的相关收益。</w:t>
      </w:r>
    </w:p>
    <w:p>
      <w:pPr>
        <w:spacing w:before="156" w:beforeLines="50" w:after="156" w:afterLines="50" w:line="360" w:lineRule="auto"/>
        <w:ind w:firstLine="48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7</w:t>
      </w:r>
      <w:r>
        <w:rPr>
          <w:rFonts w:hint="eastAsia" w:ascii="宋体" w:hAnsi="宋体" w:cs="宋体"/>
          <w:color w:val="auto"/>
          <w:sz w:val="24"/>
          <w:szCs w:val="32"/>
          <w:highlight w:val="none"/>
        </w:rPr>
        <w:t>）建设期结束后，双方协商一致，乙方可提前退出，</w:t>
      </w:r>
      <w:r>
        <w:rPr>
          <w:rFonts w:ascii="宋体" w:hAnsi="宋体" w:cs="宋体"/>
          <w:color w:val="auto"/>
          <w:sz w:val="24"/>
          <w:szCs w:val="32"/>
          <w:highlight w:val="none"/>
        </w:rPr>
        <w:t>届时项目清算事项</w:t>
      </w:r>
      <w:r>
        <w:rPr>
          <w:rFonts w:hint="eastAsia" w:ascii="宋体" w:hAnsi="宋体" w:cs="宋体"/>
          <w:color w:val="auto"/>
          <w:sz w:val="24"/>
          <w:szCs w:val="32"/>
          <w:highlight w:val="none"/>
        </w:rPr>
        <w:t>双方</w:t>
      </w:r>
      <w:r>
        <w:rPr>
          <w:rFonts w:ascii="宋体" w:hAnsi="宋体" w:cs="宋体"/>
          <w:color w:val="auto"/>
          <w:sz w:val="24"/>
          <w:szCs w:val="32"/>
          <w:highlight w:val="none"/>
        </w:rPr>
        <w:t>协商解决</w:t>
      </w:r>
      <w:r>
        <w:rPr>
          <w:rFonts w:hint="eastAsia" w:ascii="宋体" w:hAnsi="宋体" w:cs="宋体"/>
          <w:color w:val="auto"/>
          <w:sz w:val="24"/>
          <w:szCs w:val="32"/>
          <w:highlight w:val="none"/>
        </w:rPr>
        <w:t>。</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8</w:t>
      </w:r>
      <w:r>
        <w:rPr>
          <w:rFonts w:hint="eastAsia" w:asciiTheme="minorEastAsia" w:hAnsiTheme="minorEastAsia"/>
          <w:color w:val="auto"/>
          <w:sz w:val="24"/>
          <w:szCs w:val="24"/>
          <w:highlight w:val="none"/>
        </w:rPr>
        <w:t>）本协议项下约定乙方享有的其他权利。</w:t>
      </w:r>
    </w:p>
    <w:p>
      <w:pPr>
        <w:pStyle w:val="2"/>
        <w:spacing w:before="156" w:beforeLines="50" w:after="156" w:afterLines="50" w:line="360" w:lineRule="auto"/>
        <w:rPr>
          <w:color w:val="auto"/>
          <w:sz w:val="32"/>
          <w:szCs w:val="40"/>
          <w:highlight w:val="none"/>
        </w:rPr>
      </w:pPr>
      <w:bookmarkStart w:id="126" w:name="_Toc101463866"/>
      <w:bookmarkStart w:id="127" w:name="_Toc55981080"/>
      <w:r>
        <w:rPr>
          <w:rFonts w:hint="eastAsia"/>
          <w:color w:val="auto"/>
          <w:sz w:val="32"/>
          <w:szCs w:val="40"/>
          <w:highlight w:val="none"/>
        </w:rPr>
        <w:t>3</w:t>
      </w:r>
      <w:r>
        <w:rPr>
          <w:color w:val="auto"/>
          <w:sz w:val="32"/>
          <w:szCs w:val="40"/>
          <w:highlight w:val="none"/>
        </w:rPr>
        <w:t>4</w:t>
      </w:r>
      <w:r>
        <w:rPr>
          <w:rFonts w:hint="eastAsia"/>
          <w:color w:val="auto"/>
          <w:sz w:val="32"/>
          <w:szCs w:val="40"/>
          <w:highlight w:val="none"/>
        </w:rPr>
        <w:t>.乙方的义务</w:t>
      </w:r>
      <w:bookmarkEnd w:id="126"/>
      <w:bookmarkEnd w:id="127"/>
    </w:p>
    <w:p>
      <w:pPr>
        <w:spacing w:before="156" w:beforeLines="50" w:after="156" w:afterLines="50" w:line="360" w:lineRule="auto"/>
        <w:ind w:firstLine="480"/>
        <w:rPr>
          <w:rFonts w:ascii="宋体" w:hAnsi="宋体"/>
          <w:color w:val="auto"/>
          <w:sz w:val="24"/>
          <w:szCs w:val="28"/>
          <w:highlight w:val="none"/>
        </w:rPr>
      </w:pPr>
      <w:r>
        <w:rPr>
          <w:rFonts w:hint="eastAsia" w:ascii="宋体" w:hAnsi="宋体"/>
          <w:color w:val="auto"/>
          <w:sz w:val="24"/>
          <w:szCs w:val="28"/>
          <w:highlight w:val="none"/>
        </w:rPr>
        <w:t>（1）按照本协议约定对项目公司履行出资义务，按照项目公司章程规定承担相应义务。</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2</w:t>
      </w:r>
      <w:r>
        <w:rPr>
          <w:rFonts w:hint="eastAsia" w:asciiTheme="minorEastAsia" w:hAnsiTheme="minorEastAsia"/>
          <w:color w:val="auto"/>
          <w:sz w:val="24"/>
          <w:szCs w:val="24"/>
          <w:highlight w:val="none"/>
        </w:rPr>
        <w:t>）采取有效措施，保证合作区域规划的按时有效执行，协助项目公司完成项目融资工作。</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3</w:t>
      </w:r>
      <w:r>
        <w:rPr>
          <w:rFonts w:hint="eastAsia" w:asciiTheme="minorEastAsia" w:hAnsiTheme="minorEastAsia"/>
          <w:color w:val="auto"/>
          <w:sz w:val="24"/>
          <w:szCs w:val="24"/>
          <w:highlight w:val="none"/>
        </w:rPr>
        <w:t>）在项目建设期内不得抽回项目资本金、侵占和挪用项目其余建设资金。</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4</w:t>
      </w:r>
      <w:r>
        <w:rPr>
          <w:rFonts w:hint="eastAsia" w:asciiTheme="minorEastAsia" w:hAnsiTheme="minorEastAsia"/>
          <w:color w:val="auto"/>
          <w:sz w:val="24"/>
          <w:szCs w:val="24"/>
          <w:highlight w:val="none"/>
        </w:rPr>
        <w:t>）进行各项投资工作均需符合国家法律政策规定，依法履行必要审批程序。</w:t>
      </w:r>
    </w:p>
    <w:p>
      <w:pPr>
        <w:spacing w:before="156" w:beforeLines="50" w:after="156" w:afterLines="50" w:line="360" w:lineRule="auto"/>
        <w:ind w:firstLine="480"/>
        <w:rPr>
          <w:rFonts w:ascii="宋体" w:hAnsi="宋体"/>
          <w:color w:val="auto"/>
          <w:sz w:val="24"/>
          <w:szCs w:val="28"/>
          <w:highlight w:val="none"/>
        </w:rPr>
      </w:pPr>
      <w:r>
        <w:rPr>
          <w:rFonts w:hint="eastAsia" w:ascii="宋体" w:hAnsi="宋体"/>
          <w:color w:val="auto"/>
          <w:sz w:val="24"/>
          <w:szCs w:val="28"/>
          <w:highlight w:val="none"/>
        </w:rPr>
        <w:t>（</w:t>
      </w:r>
      <w:r>
        <w:rPr>
          <w:rFonts w:ascii="宋体" w:hAnsi="宋体"/>
          <w:color w:val="auto"/>
          <w:sz w:val="24"/>
          <w:szCs w:val="28"/>
          <w:highlight w:val="none"/>
        </w:rPr>
        <w:t>5</w:t>
      </w:r>
      <w:r>
        <w:rPr>
          <w:rFonts w:hint="eastAsia" w:ascii="宋体" w:hAnsi="宋体"/>
          <w:color w:val="auto"/>
          <w:sz w:val="24"/>
          <w:szCs w:val="28"/>
          <w:highlight w:val="none"/>
        </w:rPr>
        <w:t xml:space="preserve">）本协议项下约定乙方负有的其他责任和义务。 </w:t>
      </w:r>
    </w:p>
    <w:p>
      <w:pPr>
        <w:pStyle w:val="2"/>
        <w:spacing w:before="156" w:beforeLines="50" w:after="156" w:afterLines="50" w:line="360" w:lineRule="auto"/>
        <w:rPr>
          <w:color w:val="auto"/>
          <w:sz w:val="32"/>
          <w:szCs w:val="40"/>
          <w:highlight w:val="none"/>
        </w:rPr>
      </w:pPr>
      <w:bookmarkStart w:id="128" w:name="_Toc55981081"/>
      <w:bookmarkStart w:id="129" w:name="_Toc101463867"/>
      <w:r>
        <w:rPr>
          <w:rFonts w:hint="eastAsia"/>
          <w:color w:val="auto"/>
          <w:sz w:val="32"/>
          <w:szCs w:val="40"/>
          <w:highlight w:val="none"/>
        </w:rPr>
        <w:t>3</w:t>
      </w:r>
      <w:r>
        <w:rPr>
          <w:color w:val="auto"/>
          <w:sz w:val="32"/>
          <w:szCs w:val="40"/>
          <w:highlight w:val="none"/>
        </w:rPr>
        <w:t>5</w:t>
      </w:r>
      <w:r>
        <w:rPr>
          <w:rFonts w:hint="eastAsia"/>
          <w:color w:val="auto"/>
          <w:sz w:val="32"/>
          <w:szCs w:val="40"/>
          <w:highlight w:val="none"/>
        </w:rPr>
        <w:t>.项目公司权利</w:t>
      </w:r>
      <w:bookmarkEnd w:id="128"/>
      <w:bookmarkEnd w:id="129"/>
    </w:p>
    <w:p>
      <w:pPr>
        <w:widowControl/>
        <w:spacing w:before="156" w:beforeLines="50" w:after="156" w:afterLines="50" w:line="360" w:lineRule="auto"/>
        <w:ind w:firstLine="480"/>
        <w:jc w:val="left"/>
        <w:rPr>
          <w:rFonts w:ascii="宋体" w:hAnsi="宋体"/>
          <w:color w:val="auto"/>
          <w:sz w:val="24"/>
          <w:szCs w:val="28"/>
          <w:highlight w:val="none"/>
        </w:rPr>
      </w:pPr>
      <w:r>
        <w:rPr>
          <w:rFonts w:hint="eastAsia" w:ascii="宋体" w:hAnsi="宋体"/>
          <w:color w:val="auto"/>
          <w:sz w:val="24"/>
          <w:szCs w:val="28"/>
          <w:highlight w:val="none"/>
        </w:rPr>
        <w:t>（1）项目</w:t>
      </w:r>
      <w:r>
        <w:rPr>
          <w:rFonts w:ascii="宋体" w:hAnsi="宋体"/>
          <w:color w:val="auto"/>
          <w:sz w:val="24"/>
          <w:szCs w:val="28"/>
          <w:highlight w:val="none"/>
        </w:rPr>
        <w:t>公司</w:t>
      </w:r>
      <w:r>
        <w:rPr>
          <w:rFonts w:hint="eastAsia" w:ascii="宋体" w:hAnsi="宋体"/>
          <w:color w:val="auto"/>
          <w:sz w:val="24"/>
          <w:szCs w:val="28"/>
          <w:highlight w:val="none"/>
        </w:rPr>
        <w:t>在其</w:t>
      </w:r>
      <w:r>
        <w:rPr>
          <w:rFonts w:ascii="宋体" w:hAnsi="宋体"/>
          <w:color w:val="auto"/>
          <w:sz w:val="24"/>
          <w:szCs w:val="28"/>
          <w:highlight w:val="none"/>
        </w:rPr>
        <w:t>授权</w:t>
      </w:r>
      <w:r>
        <w:rPr>
          <w:rFonts w:hint="eastAsia" w:ascii="宋体" w:hAnsi="宋体"/>
          <w:color w:val="auto"/>
          <w:sz w:val="24"/>
          <w:szCs w:val="28"/>
          <w:highlight w:val="none"/>
          <w:lang w:eastAsia="zh-Hans"/>
        </w:rPr>
        <w:t>范</w:t>
      </w:r>
      <w:r>
        <w:rPr>
          <w:rFonts w:ascii="宋体" w:hAnsi="宋体"/>
          <w:color w:val="auto"/>
          <w:sz w:val="24"/>
          <w:szCs w:val="28"/>
          <w:highlight w:val="none"/>
        </w:rPr>
        <w:t>围内依法经营，</w:t>
      </w:r>
      <w:r>
        <w:rPr>
          <w:rFonts w:hint="eastAsia" w:ascii="宋体" w:hAnsi="宋体"/>
          <w:color w:val="auto"/>
          <w:sz w:val="24"/>
          <w:szCs w:val="28"/>
          <w:highlight w:val="none"/>
        </w:rPr>
        <w:t>并负责本项目的投融资、建设管理等，不得从事与本项目无关的业务，确保其经营活动和对项目设施、项目资产的相应权利仅限于实施本协议要求的建设、管理维护等目的。</w:t>
      </w:r>
    </w:p>
    <w:p>
      <w:pPr>
        <w:widowControl/>
        <w:spacing w:before="156" w:beforeLines="50" w:after="156" w:afterLines="50" w:line="360" w:lineRule="auto"/>
        <w:ind w:firstLine="480"/>
        <w:jc w:val="left"/>
        <w:rPr>
          <w:rFonts w:ascii="宋体" w:hAnsi="宋体"/>
          <w:color w:val="auto"/>
          <w:sz w:val="24"/>
          <w:szCs w:val="28"/>
          <w:highlight w:val="none"/>
        </w:rPr>
      </w:pPr>
      <w:r>
        <w:rPr>
          <w:rFonts w:hint="eastAsia" w:ascii="宋体" w:hAnsi="宋体"/>
          <w:color w:val="auto"/>
          <w:sz w:val="24"/>
          <w:szCs w:val="28"/>
          <w:highlight w:val="none"/>
        </w:rPr>
        <w:t>（2）</w:t>
      </w:r>
      <w:r>
        <w:rPr>
          <w:rFonts w:hint="eastAsia" w:asciiTheme="minorEastAsia" w:hAnsiTheme="minorEastAsia"/>
          <w:color w:val="auto"/>
          <w:sz w:val="24"/>
          <w:szCs w:val="24"/>
          <w:highlight w:val="none"/>
        </w:rPr>
        <w:t>有权向甲方建议调整和优化项目国土空间规划和控制性详细规划等。</w:t>
      </w:r>
    </w:p>
    <w:p>
      <w:pPr>
        <w:widowControl/>
        <w:spacing w:before="156" w:beforeLines="50" w:after="156" w:afterLines="50" w:line="360" w:lineRule="auto"/>
        <w:ind w:firstLine="480"/>
        <w:jc w:val="left"/>
        <w:rPr>
          <w:rFonts w:ascii="宋体" w:hAnsi="宋体"/>
          <w:color w:val="auto"/>
          <w:sz w:val="24"/>
          <w:szCs w:val="28"/>
          <w:highlight w:val="none"/>
        </w:rPr>
      </w:pPr>
      <w:r>
        <w:rPr>
          <w:rFonts w:hint="eastAsia" w:ascii="宋体" w:hAnsi="宋体"/>
          <w:color w:val="auto"/>
          <w:sz w:val="24"/>
          <w:szCs w:val="28"/>
          <w:highlight w:val="none"/>
        </w:rPr>
        <w:t>（3）有</w:t>
      </w:r>
      <w:r>
        <w:rPr>
          <w:rFonts w:hint="eastAsia" w:asciiTheme="minorEastAsia" w:hAnsiTheme="minorEastAsia"/>
          <w:color w:val="auto"/>
          <w:sz w:val="24"/>
          <w:szCs w:val="24"/>
          <w:highlight w:val="none"/>
        </w:rPr>
        <w:t>权依据本协议约定，收回投资开发成本并获得投资收益，</w:t>
      </w:r>
      <w:r>
        <w:rPr>
          <w:rFonts w:hint="eastAsia" w:ascii="宋体" w:hAnsi="宋体"/>
          <w:color w:val="auto"/>
          <w:sz w:val="24"/>
          <w:szCs w:val="28"/>
          <w:highlight w:val="none"/>
        </w:rPr>
        <w:t>获得各项收益应遵守国家价格法、预算法、公司法、财税法等法律、法规的要求和程序，包括但不限于听证程序、审批程序等。</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（4）有权享有政府有关扶持政策。</w:t>
      </w:r>
    </w:p>
    <w:p>
      <w:pPr>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5</w:t>
      </w:r>
      <w:r>
        <w:rPr>
          <w:rFonts w:hint="eastAsia" w:asciiTheme="minorEastAsia" w:hAnsiTheme="minorEastAsia"/>
          <w:color w:val="auto"/>
          <w:sz w:val="24"/>
          <w:szCs w:val="24"/>
          <w:highlight w:val="none"/>
        </w:rPr>
        <w:t>）在平衡资金未落实前，合理编制投资计划并控制项目投资强度。</w:t>
      </w:r>
    </w:p>
    <w:p>
      <w:pPr>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6</w:t>
      </w:r>
      <w:r>
        <w:rPr>
          <w:rFonts w:hint="eastAsia" w:asciiTheme="minorEastAsia" w:hAnsiTheme="minorEastAsia"/>
          <w:color w:val="auto"/>
          <w:sz w:val="24"/>
          <w:szCs w:val="24"/>
          <w:highlight w:val="none"/>
        </w:rPr>
        <w:t>）项目公司有权获按照实施方案取得安置房停车位销售收入。</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7</w:t>
      </w:r>
      <w:r>
        <w:rPr>
          <w:rFonts w:hint="eastAsia" w:asciiTheme="minorEastAsia" w:hAnsiTheme="minorEastAsia"/>
          <w:color w:val="auto"/>
          <w:sz w:val="24"/>
          <w:szCs w:val="24"/>
          <w:highlight w:val="none"/>
        </w:rPr>
        <w:t>）本协议项下约定项目公司享有的其他权利。</w:t>
      </w:r>
    </w:p>
    <w:p>
      <w:pPr>
        <w:pStyle w:val="2"/>
        <w:spacing w:before="156" w:beforeLines="50" w:after="156" w:afterLines="50" w:line="360" w:lineRule="auto"/>
        <w:rPr>
          <w:color w:val="auto"/>
          <w:sz w:val="32"/>
          <w:szCs w:val="40"/>
          <w:highlight w:val="none"/>
        </w:rPr>
      </w:pPr>
      <w:bookmarkStart w:id="130" w:name="_Toc101463868"/>
      <w:bookmarkStart w:id="131" w:name="_Toc55981082"/>
      <w:r>
        <w:rPr>
          <w:rFonts w:hint="eastAsia"/>
          <w:color w:val="auto"/>
          <w:sz w:val="32"/>
          <w:szCs w:val="40"/>
          <w:highlight w:val="none"/>
        </w:rPr>
        <w:t>3</w:t>
      </w:r>
      <w:r>
        <w:rPr>
          <w:color w:val="auto"/>
          <w:sz w:val="32"/>
          <w:szCs w:val="40"/>
          <w:highlight w:val="none"/>
        </w:rPr>
        <w:t>6</w:t>
      </w:r>
      <w:r>
        <w:rPr>
          <w:rFonts w:hint="eastAsia"/>
          <w:color w:val="auto"/>
          <w:sz w:val="32"/>
          <w:szCs w:val="40"/>
          <w:highlight w:val="none"/>
        </w:rPr>
        <w:t>.项目公司义务</w:t>
      </w:r>
      <w:bookmarkEnd w:id="130"/>
      <w:bookmarkEnd w:id="131"/>
    </w:p>
    <w:p>
      <w:pPr>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）负责本项目的投资、融资、建设、管理和移交等工作，未经甲方同意，不得从事其他经营活动。</w:t>
      </w:r>
    </w:p>
    <w:p>
      <w:pPr>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w:t>
      </w:r>
      <w:r>
        <w:rPr>
          <w:rFonts w:hint="eastAsia" w:ascii="宋体" w:hAnsi="宋体"/>
          <w:color w:val="auto"/>
          <w:sz w:val="24"/>
          <w:szCs w:val="28"/>
          <w:highlight w:val="none"/>
        </w:rPr>
        <w:t>与甲方协商确定本项目分区分期开发建设时序、投资计划、土地开发及土地出让计划，制定开发实施方案。</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（3）组织完成项目方案设计、初步设计、施工图的编制工作，并经甲方审核后实施。</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4</w:t>
      </w:r>
      <w:r>
        <w:rPr>
          <w:rFonts w:hint="eastAsia" w:asciiTheme="minorEastAsia" w:hAnsiTheme="minorEastAsia"/>
          <w:color w:val="auto"/>
          <w:sz w:val="24"/>
          <w:szCs w:val="24"/>
          <w:highlight w:val="none"/>
        </w:rPr>
        <w:t>）保证按项目整体、中长期和年度投资计划、开发进度完成合作区域开发与建设投资，定期向甲方通报项目进展并接受其监督审核。</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5</w:t>
      </w:r>
      <w:r>
        <w:rPr>
          <w:rFonts w:hint="eastAsia" w:asciiTheme="minorEastAsia" w:hAnsiTheme="minorEastAsia"/>
          <w:color w:val="auto"/>
          <w:sz w:val="24"/>
          <w:szCs w:val="24"/>
          <w:highlight w:val="none"/>
        </w:rPr>
        <w:t>）遵守与项目建设相关的法律法规，接受地方政府、行业主管部门对本项目监督检查，落实建设过程中的安全管理责任。</w:t>
      </w:r>
    </w:p>
    <w:p>
      <w:pPr>
        <w:widowControl/>
        <w:spacing w:before="156" w:beforeLines="50" w:after="156" w:afterLines="50" w:line="360" w:lineRule="auto"/>
        <w:ind w:firstLine="480"/>
        <w:rPr>
          <w:rFonts w:asciiTheme="minorEastAsia" w:hAnsiTheme="minorEastAsia"/>
          <w:color w:val="auto"/>
          <w:sz w:val="24"/>
          <w:szCs w:val="24"/>
          <w:highlight w:val="none"/>
        </w:rPr>
      </w:pPr>
      <w:bookmarkStart w:id="132" w:name="_Toc55981083"/>
      <w:bookmarkStart w:id="133" w:name="_Toc101463869"/>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6</w:t>
      </w:r>
      <w:r>
        <w:rPr>
          <w:rFonts w:hint="eastAsia" w:asciiTheme="minorEastAsia" w:hAnsiTheme="minorEastAsia"/>
          <w:color w:val="auto"/>
          <w:sz w:val="24"/>
          <w:szCs w:val="24"/>
          <w:highlight w:val="none"/>
        </w:rPr>
        <w:t>）本协议项下约定项目公司享有的其他权利。</w:t>
      </w:r>
    </w:p>
    <w:p>
      <w:pPr>
        <w:pStyle w:val="2"/>
        <w:spacing w:before="156" w:beforeLines="50" w:after="156" w:afterLines="50" w:line="360" w:lineRule="auto"/>
        <w:rPr>
          <w:color w:val="auto"/>
          <w:sz w:val="32"/>
          <w:szCs w:val="40"/>
          <w:highlight w:val="none"/>
        </w:rPr>
      </w:pPr>
      <w:r>
        <w:rPr>
          <w:rFonts w:hint="eastAsia"/>
          <w:color w:val="auto"/>
          <w:sz w:val="32"/>
          <w:szCs w:val="40"/>
          <w:highlight w:val="none"/>
        </w:rPr>
        <w:t>3</w:t>
      </w:r>
      <w:r>
        <w:rPr>
          <w:color w:val="auto"/>
          <w:sz w:val="32"/>
          <w:szCs w:val="40"/>
          <w:highlight w:val="none"/>
        </w:rPr>
        <w:t>7</w:t>
      </w:r>
      <w:r>
        <w:rPr>
          <w:rFonts w:hint="eastAsia"/>
          <w:color w:val="auto"/>
          <w:sz w:val="32"/>
          <w:szCs w:val="40"/>
          <w:highlight w:val="none"/>
        </w:rPr>
        <w:t>.各方保密义务</w:t>
      </w:r>
      <w:bookmarkEnd w:id="132"/>
      <w:bookmarkEnd w:id="133"/>
    </w:p>
    <w:p>
      <w:pPr>
        <w:autoSpaceDE w:val="0"/>
        <w:autoSpaceDN w:val="0"/>
        <w:adjustRightInd w:val="0"/>
        <w:spacing w:before="156" w:beforeLines="50" w:after="156" w:afterLines="50" w:line="360" w:lineRule="auto"/>
        <w:ind w:firstLine="480"/>
        <w:rPr>
          <w:rFonts w:asciiTheme="minorEastAsia" w:hAnsiTheme="minorEastAsia"/>
          <w:color w:val="auto"/>
          <w:sz w:val="24"/>
          <w:szCs w:val="24"/>
          <w:highlight w:val="none"/>
        </w:rPr>
      </w:pPr>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7</w:t>
      </w:r>
      <w:r>
        <w:rPr>
          <w:rFonts w:hint="eastAsia" w:ascii="Times New Roman" w:hAnsi="Times New Roman" w:eastAsia="宋体" w:cs="Times New Roman"/>
          <w:color w:val="auto"/>
          <w:sz w:val="24"/>
          <w:szCs w:val="24"/>
          <w:highlight w:val="none"/>
        </w:rPr>
        <w:t>.1</w:t>
      </w:r>
      <w:r>
        <w:rPr>
          <w:rFonts w:hint="eastAsia" w:asciiTheme="minorEastAsia" w:hAnsiTheme="minorEastAsia"/>
          <w:color w:val="auto"/>
          <w:sz w:val="24"/>
          <w:szCs w:val="24"/>
          <w:highlight w:val="none"/>
        </w:rPr>
        <w:t>保密信息包括本项目涉及国家安全、商业秘密或合同双方约定的其他信息。保密期限为合作期内及合作期结束后五年内，且保密义务不因本协议被宣告无效、被撤销、失效等而终止。</w:t>
      </w:r>
    </w:p>
    <w:p>
      <w:pPr>
        <w:autoSpaceDE w:val="0"/>
        <w:autoSpaceDN w:val="0"/>
        <w:adjustRightInd w:val="0"/>
        <w:spacing w:before="156" w:beforeLines="50" w:after="156" w:afterLines="50" w:line="360" w:lineRule="auto"/>
        <w:ind w:firstLine="480"/>
        <w:rPr>
          <w:rFonts w:asciiTheme="minorEastAsia" w:hAnsiTheme="minorEastAsia"/>
          <w:color w:val="auto"/>
          <w:sz w:val="24"/>
          <w:szCs w:val="24"/>
          <w:highlight w:val="none"/>
        </w:rPr>
      </w:pPr>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7</w:t>
      </w:r>
      <w:r>
        <w:rPr>
          <w:rFonts w:hint="eastAsia" w:ascii="Times New Roman" w:hAnsi="Times New Roman" w:eastAsia="宋体" w:cs="Times New Roman"/>
          <w:color w:val="auto"/>
          <w:sz w:val="24"/>
          <w:szCs w:val="24"/>
          <w:highlight w:val="none"/>
        </w:rPr>
        <w:t>.2</w:t>
      </w:r>
      <w:r>
        <w:rPr>
          <w:rFonts w:hint="eastAsia" w:asciiTheme="minorEastAsia" w:hAnsiTheme="minorEastAsia"/>
          <w:color w:val="auto"/>
          <w:sz w:val="24"/>
          <w:szCs w:val="24"/>
          <w:highlight w:val="none"/>
        </w:rPr>
        <w:t>合同双方应对本协议的内容和项目的所有信息及文件保密。未经对方书面同意，另一方不得向任何人或单位披露或者泄露本协议和本项目所包含或涉及的任何内容，但以下情形除外：</w:t>
      </w:r>
    </w:p>
    <w:p>
      <w:pPr>
        <w:autoSpaceDE w:val="0"/>
        <w:autoSpaceDN w:val="0"/>
        <w:adjustRightInd w:val="0"/>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（1）对合同双方负有保密义务的确有必要知悉本协议及本项目信息的职员、法律顾问、财务顾问、咨询服务人员等的披露；</w:t>
      </w:r>
    </w:p>
    <w:p>
      <w:pPr>
        <w:autoSpaceDE w:val="0"/>
        <w:autoSpaceDN w:val="0"/>
        <w:adjustRightInd w:val="0"/>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（2）根据法律规定向有权了解本协议内容的司法、行政机关的披露；</w:t>
      </w:r>
    </w:p>
    <w:p>
      <w:pPr>
        <w:autoSpaceDE w:val="0"/>
        <w:autoSpaceDN w:val="0"/>
        <w:adjustRightInd w:val="0"/>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（3）为满足本协议的生效条件而向有关部门或人员所作的披露；</w:t>
      </w:r>
    </w:p>
    <w:p>
      <w:pPr>
        <w:autoSpaceDE w:val="0"/>
        <w:autoSpaceDN w:val="0"/>
        <w:adjustRightInd w:val="0"/>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（4）其他法律法规规定必须披露的情形。</w:t>
      </w:r>
      <w:r>
        <w:rPr>
          <w:color w:val="auto"/>
          <w:sz w:val="24"/>
          <w:szCs w:val="28"/>
          <w:highlight w:val="none"/>
        </w:rPr>
        <w:br w:type="page"/>
      </w:r>
    </w:p>
    <w:p>
      <w:pPr>
        <w:pStyle w:val="3"/>
        <w:spacing w:before="156" w:beforeLines="50" w:after="156" w:afterLines="50" w:line="360" w:lineRule="auto"/>
        <w:jc w:val="center"/>
        <w:rPr>
          <w:b/>
          <w:color w:val="auto"/>
          <w:sz w:val="36"/>
          <w:szCs w:val="52"/>
          <w:highlight w:val="none"/>
        </w:rPr>
      </w:pPr>
      <w:bookmarkStart w:id="134" w:name="_Toc55981084"/>
      <w:bookmarkStart w:id="135" w:name="_Toc101463870"/>
      <w:r>
        <w:rPr>
          <w:rFonts w:hint="eastAsia"/>
          <w:b/>
          <w:color w:val="auto"/>
          <w:sz w:val="36"/>
          <w:szCs w:val="52"/>
          <w:highlight w:val="none"/>
        </w:rPr>
        <w:t>十、违约责任</w:t>
      </w:r>
      <w:bookmarkEnd w:id="134"/>
      <w:bookmarkEnd w:id="135"/>
    </w:p>
    <w:p>
      <w:pPr>
        <w:pStyle w:val="2"/>
        <w:spacing w:before="156" w:beforeLines="50" w:after="156" w:afterLines="50" w:line="360" w:lineRule="auto"/>
        <w:rPr>
          <w:rFonts w:ascii="黑体" w:hAnsi="黑体"/>
          <w:color w:val="auto"/>
          <w:sz w:val="32"/>
          <w:highlight w:val="none"/>
        </w:rPr>
      </w:pPr>
      <w:bookmarkStart w:id="136" w:name="_Toc55981085"/>
      <w:bookmarkStart w:id="137" w:name="_Toc101463871"/>
      <w:r>
        <w:rPr>
          <w:rFonts w:hint="eastAsia"/>
          <w:color w:val="auto"/>
          <w:sz w:val="32"/>
          <w:szCs w:val="40"/>
          <w:highlight w:val="none"/>
        </w:rPr>
        <w:t>3</w:t>
      </w:r>
      <w:r>
        <w:rPr>
          <w:color w:val="auto"/>
          <w:sz w:val="32"/>
          <w:szCs w:val="40"/>
          <w:highlight w:val="none"/>
        </w:rPr>
        <w:t>8</w:t>
      </w:r>
      <w:r>
        <w:rPr>
          <w:rFonts w:hint="eastAsia"/>
          <w:color w:val="auto"/>
          <w:sz w:val="32"/>
          <w:szCs w:val="40"/>
          <w:highlight w:val="none"/>
        </w:rPr>
        <w:t>.甲方违约责任</w:t>
      </w:r>
      <w:bookmarkEnd w:id="136"/>
      <w:bookmarkEnd w:id="137"/>
    </w:p>
    <w:p>
      <w:pPr>
        <w:spacing w:before="156" w:beforeLines="50" w:after="156" w:afterLines="50" w:line="360" w:lineRule="auto"/>
        <w:ind w:firstLine="480"/>
        <w:rPr>
          <w:rFonts w:asciiTheme="minorEastAsia" w:hAnsiTheme="minorEastAsia"/>
          <w:color w:val="auto"/>
          <w:sz w:val="24"/>
          <w:szCs w:val="24"/>
          <w:highlight w:val="none"/>
        </w:rPr>
      </w:pPr>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8.1</w:t>
      </w:r>
      <w:r>
        <w:rPr>
          <w:rFonts w:hint="eastAsia" w:asciiTheme="minorEastAsia" w:hAnsiTheme="minorEastAsia"/>
          <w:color w:val="auto"/>
          <w:sz w:val="24"/>
          <w:szCs w:val="24"/>
          <w:highlight w:val="none"/>
        </w:rPr>
        <w:t>甲方如不按本协议约定履行相关义务或不按本协议推进落实各项工作，甲方有义务采取一切必要措施避免由此导致的乙方的损失。如违约行为已造成乙方损失的，甲方应承担赔偿责任，但违约行为未造成乙方损失的除外。</w:t>
      </w:r>
    </w:p>
    <w:p>
      <w:pPr>
        <w:snapToGrid w:val="0"/>
        <w:spacing w:before="156" w:beforeLines="50" w:after="156" w:afterLines="50" w:line="360" w:lineRule="auto"/>
        <w:ind w:firstLine="480" w:firstLineChars="200"/>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8</w:t>
      </w:r>
      <w:r>
        <w:rPr>
          <w:rFonts w:hint="eastAsia" w:ascii="Times New Roman" w:hAnsi="Times New Roman" w:eastAsia="宋体" w:cs="Times New Roman"/>
          <w:color w:val="auto"/>
          <w:sz w:val="24"/>
          <w:szCs w:val="24"/>
          <w:highlight w:val="none"/>
        </w:rPr>
        <w:t>.2</w:t>
      </w:r>
      <w:r>
        <w:rPr>
          <w:rFonts w:hint="eastAsia" w:ascii="宋体" w:hAnsi="宋体" w:eastAsia="宋体"/>
          <w:color w:val="auto"/>
          <w:sz w:val="24"/>
          <w:szCs w:val="24"/>
          <w:highlight w:val="none"/>
        </w:rPr>
        <w:t>因甲方原因造成项目提前终止，协议解除清算的，甲方按照项目违约终止时未投入部分的投资额度的万分之一向乙方支付违约金。</w:t>
      </w:r>
    </w:p>
    <w:p>
      <w:pPr>
        <w:snapToGrid w:val="0"/>
        <w:spacing w:before="156" w:beforeLines="50" w:after="156" w:afterLines="50" w:line="360" w:lineRule="auto"/>
        <w:ind w:firstLine="480" w:firstLineChars="200"/>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8</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3</w:t>
      </w:r>
      <w:r>
        <w:rPr>
          <w:rFonts w:hint="eastAsia" w:ascii="宋体" w:hAnsi="宋体" w:eastAsia="宋体"/>
          <w:color w:val="auto"/>
          <w:sz w:val="24"/>
          <w:szCs w:val="24"/>
          <w:highlight w:val="none"/>
        </w:rPr>
        <w:t>甲方在此所作的声明和保证被证实是不真实、不准确或具有误导性的，均应被视为构成本协议项下的违约行为，乙方有权要求其赔偿损失、采取补救措施、继续履行合同，与其协商变更本协议相关条款的内容，并有权提前终止本协议。</w:t>
      </w:r>
    </w:p>
    <w:p>
      <w:pPr>
        <w:pStyle w:val="2"/>
        <w:spacing w:before="156" w:beforeLines="50" w:after="156" w:afterLines="50" w:line="360" w:lineRule="auto"/>
        <w:rPr>
          <w:color w:val="auto"/>
          <w:sz w:val="32"/>
          <w:szCs w:val="40"/>
          <w:highlight w:val="none"/>
        </w:rPr>
      </w:pPr>
      <w:bookmarkStart w:id="138" w:name="_Toc55981086"/>
      <w:bookmarkStart w:id="139" w:name="_Toc101463872"/>
      <w:r>
        <w:rPr>
          <w:rFonts w:hint="eastAsia"/>
          <w:color w:val="auto"/>
          <w:sz w:val="32"/>
          <w:szCs w:val="40"/>
          <w:highlight w:val="none"/>
        </w:rPr>
        <w:t>3</w:t>
      </w:r>
      <w:r>
        <w:rPr>
          <w:color w:val="auto"/>
          <w:sz w:val="32"/>
          <w:szCs w:val="40"/>
          <w:highlight w:val="none"/>
        </w:rPr>
        <w:t>9</w:t>
      </w:r>
      <w:r>
        <w:rPr>
          <w:rFonts w:hint="eastAsia"/>
          <w:color w:val="auto"/>
          <w:sz w:val="32"/>
          <w:szCs w:val="40"/>
          <w:highlight w:val="none"/>
        </w:rPr>
        <w:t>.乙方违约责任</w:t>
      </w:r>
      <w:bookmarkEnd w:id="138"/>
      <w:bookmarkEnd w:id="139"/>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9.</w:t>
      </w:r>
      <w:r>
        <w:rPr>
          <w:rFonts w:hint="eastAsia" w:ascii="Times New Roman" w:hAnsi="Times New Roman" w:eastAsia="宋体" w:cs="Times New Roman"/>
          <w:color w:val="auto"/>
          <w:sz w:val="24"/>
          <w:szCs w:val="24"/>
          <w:highlight w:val="none"/>
        </w:rPr>
        <w:t>1</w:t>
      </w:r>
      <w:r>
        <w:rPr>
          <w:rFonts w:hint="eastAsia" w:asciiTheme="minorEastAsia" w:hAnsiTheme="minorEastAsia"/>
          <w:color w:val="auto"/>
          <w:sz w:val="24"/>
          <w:szCs w:val="24"/>
          <w:highlight w:val="none"/>
        </w:rPr>
        <w:t>乙方如不按本协议约定履行相关义务或不按本协议推进落实各项工作，乙方应承担违约责任（非乙方原因造成的除外），并有义务采取一切必要措施避免由此导致的甲方的损失。如违约行为已造成甲方损失的，乙方应承担赔偿责任，但违约行为未造成甲方损失的除外。</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9.</w:t>
      </w:r>
      <w:r>
        <w:rPr>
          <w:rFonts w:hint="eastAsia" w:ascii="Times New Roman" w:hAnsi="Times New Roman" w:eastAsia="宋体" w:cs="Times New Roman"/>
          <w:color w:val="auto"/>
          <w:sz w:val="24"/>
          <w:szCs w:val="24"/>
          <w:highlight w:val="none"/>
        </w:rPr>
        <w:t>2</w:t>
      </w:r>
      <w:r>
        <w:rPr>
          <w:rFonts w:hint="eastAsia" w:asciiTheme="minorEastAsia" w:hAnsiTheme="minorEastAsia"/>
          <w:color w:val="auto"/>
          <w:sz w:val="24"/>
          <w:szCs w:val="24"/>
          <w:highlight w:val="none"/>
        </w:rPr>
        <w:t>如发生如下违约行为，甲方有权以书面形式通知乙方纠正（非乙方原因造成除外），乙方应在书面通知明确的期限内予以纠正，期满未纠正的，乙方及项目公司应承担相关损失 ，同时甲方有权单方解除本协议：</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1）项目工程组织管理不力、出现</w:t>
      </w:r>
      <w:r>
        <w:rPr>
          <w:rFonts w:hint="eastAsia" w:asciiTheme="minorEastAsia" w:hAnsiTheme="minorEastAsia"/>
          <w:color w:val="auto"/>
          <w:sz w:val="24"/>
          <w:szCs w:val="24"/>
          <w:highlight w:val="none"/>
        </w:rPr>
        <w:t>工程进度严重滞后或质量达不到验收标准的；</w:t>
      </w:r>
    </w:p>
    <w:p>
      <w:pPr>
        <w:widowControl/>
        <w:spacing w:before="156" w:beforeLines="50" w:after="156" w:afterLines="50" w:line="360" w:lineRule="auto"/>
        <w:ind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（2）本协议约定的其他情形。</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9</w:t>
      </w:r>
      <w:r>
        <w:rPr>
          <w:rFonts w:hint="eastAsia" w:ascii="Times New Roman" w:hAnsi="Times New Roman" w:eastAsia="宋体" w:cs="Times New Roman"/>
          <w:color w:val="auto"/>
          <w:sz w:val="24"/>
          <w:szCs w:val="24"/>
          <w:highlight w:val="none"/>
        </w:rPr>
        <w:t>.3</w:t>
      </w:r>
      <w:r>
        <w:rPr>
          <w:rFonts w:hint="eastAsia" w:ascii="宋体" w:hAnsi="宋体" w:eastAsia="宋体"/>
          <w:color w:val="auto"/>
          <w:sz w:val="24"/>
          <w:szCs w:val="24"/>
          <w:highlight w:val="none"/>
        </w:rPr>
        <w:t>因乙方或项目公司原因造成项目提前终止，协议解除清算的，乙方按照项目违约终止时未投入部分的投资额度的万分之一向甲方支付违约金。</w:t>
      </w:r>
    </w:p>
    <w:p>
      <w:pPr>
        <w:spacing w:before="156" w:beforeLines="50" w:after="156" w:afterLines="50" w:line="360" w:lineRule="auto"/>
        <w:ind w:firstLine="480" w:firstLineChars="200"/>
        <w:jc w:val="lef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9.4</w:t>
      </w:r>
      <w:r>
        <w:rPr>
          <w:rFonts w:hint="eastAsia" w:ascii="Times New Roman" w:hAnsi="Times New Roman" w:eastAsia="宋体" w:cs="Times New Roman"/>
          <w:color w:val="auto"/>
          <w:sz w:val="24"/>
          <w:szCs w:val="24"/>
          <w:highlight w:val="none"/>
        </w:rPr>
        <w:t>乙方在此所作的声明和保证被证实是不真实、不准确或具有误导性的，均应被视为构成本协议项下的违约行为，甲方有权要求其赔偿损失、采取补救措施、继续履行合同，与其协商变更本协议相关条款的内容，并有权提前终止本协议。</w:t>
      </w:r>
    </w:p>
    <w:p>
      <w:pPr>
        <w:spacing w:before="156" w:beforeLines="50" w:after="156" w:afterLines="50" w:line="360" w:lineRule="auto"/>
        <w:ind w:firstLine="480" w:firstLineChars="20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39.5</w:t>
      </w:r>
      <w:r>
        <w:rPr>
          <w:rFonts w:hint="eastAsia" w:ascii="Times New Roman" w:hAnsi="Times New Roman" w:eastAsia="宋体" w:cs="Times New Roman"/>
          <w:color w:val="auto"/>
          <w:sz w:val="24"/>
          <w:szCs w:val="24"/>
          <w:highlight w:val="none"/>
        </w:rPr>
        <w:t>除本协议另有约定外，当乙方发生违反本协议的行为而使甲方遭受任何损害、损失、增加支出或承担额外责任，甲方有权获得赔偿，该项赔偿由乙方支付。</w:t>
      </w:r>
    </w:p>
    <w:p>
      <w:pPr>
        <w:spacing w:before="156" w:beforeLines="50" w:after="156" w:afterLines="50" w:line="360" w:lineRule="auto"/>
        <w:ind w:firstLine="480" w:firstLineChars="20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39.6</w:t>
      </w:r>
      <w:r>
        <w:rPr>
          <w:rFonts w:hint="eastAsia" w:ascii="Times New Roman" w:hAnsi="Times New Roman" w:eastAsia="宋体" w:cs="Times New Roman"/>
          <w:color w:val="auto"/>
          <w:sz w:val="24"/>
          <w:szCs w:val="24"/>
          <w:highlight w:val="none"/>
        </w:rPr>
        <w:t>乙方必须采取合理措施减轻或最大程度地减少违反本协议引起的损失，甲方</w:t>
      </w:r>
      <w:r>
        <w:rPr>
          <w:rFonts w:ascii="Times New Roman" w:hAnsi="Times New Roman" w:eastAsia="宋体" w:cs="Times New Roman"/>
          <w:color w:val="auto"/>
          <w:sz w:val="24"/>
          <w:szCs w:val="24"/>
          <w:highlight w:val="none"/>
        </w:rPr>
        <w:t>或项目公司</w:t>
      </w:r>
      <w:r>
        <w:rPr>
          <w:rFonts w:hint="eastAsia" w:ascii="Times New Roman" w:hAnsi="Times New Roman" w:eastAsia="宋体" w:cs="Times New Roman"/>
          <w:color w:val="auto"/>
          <w:sz w:val="24"/>
          <w:szCs w:val="24"/>
          <w:highlight w:val="none"/>
        </w:rPr>
        <w:t>有权从乙方获得为谋求减轻和减少损失而发生的任何合理费用。</w:t>
      </w:r>
    </w:p>
    <w:p>
      <w:pPr>
        <w:widowControl/>
        <w:jc w:val="left"/>
        <w:rPr>
          <w:rFonts w:asciiTheme="minorEastAsia" w:hAnsiTheme="minorEastAsia"/>
          <w:color w:val="auto"/>
          <w:sz w:val="24"/>
          <w:szCs w:val="24"/>
          <w:highlight w:val="none"/>
        </w:rPr>
      </w:pPr>
      <w:r>
        <w:rPr>
          <w:rFonts w:asciiTheme="minorEastAsia" w:hAnsiTheme="minorEastAsia"/>
          <w:color w:val="auto"/>
          <w:sz w:val="24"/>
          <w:szCs w:val="24"/>
          <w:highlight w:val="none"/>
        </w:rPr>
        <w:br w:type="page"/>
      </w:r>
    </w:p>
    <w:p>
      <w:pPr>
        <w:spacing w:before="156" w:beforeLines="50" w:after="156" w:afterLines="50" w:line="360" w:lineRule="auto"/>
        <w:ind w:firstLine="480" w:firstLineChars="200"/>
        <w:jc w:val="left"/>
        <w:rPr>
          <w:rFonts w:asciiTheme="minorEastAsia" w:hAnsiTheme="minorEastAsia"/>
          <w:color w:val="auto"/>
          <w:sz w:val="24"/>
          <w:szCs w:val="24"/>
          <w:highlight w:val="none"/>
        </w:rPr>
      </w:pPr>
    </w:p>
    <w:p>
      <w:pPr>
        <w:pStyle w:val="3"/>
        <w:spacing w:before="156" w:beforeLines="50" w:after="156" w:afterLines="50" w:line="360" w:lineRule="auto"/>
        <w:jc w:val="center"/>
        <w:rPr>
          <w:b/>
          <w:color w:val="auto"/>
          <w:sz w:val="36"/>
          <w:szCs w:val="52"/>
          <w:highlight w:val="none"/>
        </w:rPr>
      </w:pPr>
      <w:bookmarkStart w:id="140" w:name="_Toc55981087"/>
      <w:bookmarkStart w:id="141" w:name="_Toc101463873"/>
      <w:r>
        <w:rPr>
          <w:b/>
          <w:color w:val="auto"/>
          <w:sz w:val="36"/>
          <w:szCs w:val="52"/>
          <w:highlight w:val="none"/>
        </w:rPr>
        <w:t>十</w:t>
      </w:r>
      <w:r>
        <w:rPr>
          <w:rFonts w:hint="eastAsia"/>
          <w:b/>
          <w:color w:val="auto"/>
          <w:sz w:val="36"/>
          <w:szCs w:val="52"/>
          <w:highlight w:val="none"/>
        </w:rPr>
        <w:t>一、不可抗力</w:t>
      </w:r>
      <w:bookmarkEnd w:id="140"/>
      <w:bookmarkEnd w:id="141"/>
    </w:p>
    <w:p>
      <w:pPr>
        <w:pStyle w:val="2"/>
        <w:spacing w:before="156" w:beforeLines="50" w:after="156" w:afterLines="50" w:line="360" w:lineRule="auto"/>
        <w:rPr>
          <w:color w:val="auto"/>
          <w:sz w:val="32"/>
          <w:szCs w:val="40"/>
          <w:highlight w:val="none"/>
        </w:rPr>
      </w:pPr>
      <w:bookmarkStart w:id="142" w:name="_Toc101463874"/>
      <w:bookmarkStart w:id="143" w:name="_Toc55981088"/>
      <w:r>
        <w:rPr>
          <w:color w:val="auto"/>
          <w:sz w:val="32"/>
          <w:szCs w:val="40"/>
          <w:highlight w:val="none"/>
        </w:rPr>
        <w:t>40</w:t>
      </w:r>
      <w:r>
        <w:rPr>
          <w:rFonts w:hint="eastAsia"/>
          <w:color w:val="auto"/>
          <w:sz w:val="32"/>
          <w:szCs w:val="40"/>
          <w:highlight w:val="none"/>
        </w:rPr>
        <w:t>.不可抗力的定义和情形</w:t>
      </w:r>
      <w:bookmarkEnd w:id="142"/>
      <w:bookmarkEnd w:id="143"/>
    </w:p>
    <w:p>
      <w:pPr>
        <w:spacing w:before="156" w:beforeLines="50" w:after="156" w:afterLines="50" w:line="360" w:lineRule="auto"/>
        <w:ind w:firstLine="46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不可抗力是指协议各方不能预见、不能避免且不能克服的客观情况，包括但不限于：</w:t>
      </w:r>
    </w:p>
    <w:p>
      <w:pPr>
        <w:spacing w:before="156" w:beforeLines="50" w:after="156" w:afterLines="50" w:line="360" w:lineRule="auto"/>
        <w:ind w:firstLine="46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（1）雷电、地震、火山爆发、滑坡、水灾、海啸、台风、龙卷风或旱灾等自然灾害。</w:t>
      </w:r>
    </w:p>
    <w:p>
      <w:pPr>
        <w:spacing w:before="156" w:beforeLines="50" w:after="156" w:afterLines="50" w:line="360" w:lineRule="auto"/>
        <w:ind w:firstLine="46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（2）流行病、瘟疫、化学或放射性污染、核辐射污染。</w:t>
      </w:r>
    </w:p>
    <w:p>
      <w:pPr>
        <w:spacing w:before="156" w:beforeLines="50" w:after="156" w:afterLines="50" w:line="360" w:lineRule="auto"/>
        <w:ind w:firstLine="46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（3）战争行为、武装冲突、外敌入侵、封锁、戒严或军事力量的动用、暴乱或恐怖行为。</w:t>
      </w:r>
    </w:p>
    <w:p>
      <w:pPr>
        <w:spacing w:before="156" w:beforeLines="50" w:after="156" w:afterLines="50" w:line="360" w:lineRule="auto"/>
        <w:ind w:firstLine="460"/>
        <w:jc w:val="left"/>
        <w:rPr>
          <w:rFonts w:ascii="宋体" w:hAnsi="宋体" w:eastAsia="宋体"/>
          <w:color w:val="auto"/>
          <w:sz w:val="24"/>
          <w:szCs w:val="24"/>
          <w:highlight w:val="none"/>
        </w:rPr>
      </w:pPr>
      <w:r>
        <w:rPr>
          <w:rFonts w:hint="eastAsia" w:ascii="宋体" w:hAnsi="宋体" w:eastAsia="宋体"/>
          <w:color w:val="auto"/>
          <w:sz w:val="24"/>
          <w:szCs w:val="24"/>
          <w:highlight w:val="none"/>
        </w:rPr>
        <w:t>（4）全国性、地区性、城市性或行业性罢工。</w:t>
      </w:r>
    </w:p>
    <w:p>
      <w:pPr>
        <w:spacing w:before="156" w:beforeLines="50" w:after="156" w:afterLines="50" w:line="360" w:lineRule="auto"/>
        <w:ind w:firstLine="460"/>
        <w:jc w:val="left"/>
        <w:rPr>
          <w:rFonts w:ascii="宋体" w:hAnsi="宋体" w:eastAsia="宋体"/>
          <w:color w:val="auto"/>
          <w:sz w:val="24"/>
          <w:szCs w:val="24"/>
          <w:highlight w:val="none"/>
        </w:rPr>
      </w:pPr>
      <w:r>
        <w:rPr>
          <w:rFonts w:hint="eastAsia" w:ascii="宋体" w:hAnsi="宋体" w:eastAsia="宋体"/>
          <w:color w:val="auto"/>
          <w:sz w:val="24"/>
          <w:szCs w:val="24"/>
          <w:highlight w:val="none"/>
        </w:rPr>
        <w:t>（5）考古或文物保护等。</w:t>
      </w:r>
    </w:p>
    <w:p>
      <w:pPr>
        <w:pStyle w:val="2"/>
        <w:spacing w:before="156" w:beforeLines="50" w:after="156" w:afterLines="50" w:line="360" w:lineRule="auto"/>
        <w:rPr>
          <w:color w:val="auto"/>
          <w:sz w:val="32"/>
          <w:szCs w:val="40"/>
          <w:highlight w:val="none"/>
        </w:rPr>
      </w:pPr>
      <w:bookmarkStart w:id="144" w:name="_Toc55981089"/>
      <w:bookmarkStart w:id="145" w:name="_Toc101463875"/>
      <w:r>
        <w:rPr>
          <w:color w:val="auto"/>
          <w:sz w:val="32"/>
          <w:szCs w:val="40"/>
          <w:highlight w:val="none"/>
        </w:rPr>
        <w:t>41</w:t>
      </w:r>
      <w:r>
        <w:rPr>
          <w:rFonts w:hint="eastAsia"/>
          <w:color w:val="auto"/>
          <w:sz w:val="32"/>
          <w:szCs w:val="40"/>
          <w:highlight w:val="none"/>
        </w:rPr>
        <w:t>.不可抗力事件的认定和评估</w:t>
      </w:r>
      <w:bookmarkEnd w:id="144"/>
      <w:bookmarkEnd w:id="145"/>
    </w:p>
    <w:p>
      <w:pPr>
        <w:spacing w:before="156" w:beforeLines="50" w:after="156" w:afterLines="50" w:line="360" w:lineRule="auto"/>
        <w:ind w:firstLine="460"/>
        <w:jc w:val="left"/>
        <w:rPr>
          <w:rFonts w:ascii="宋体" w:hAnsi="宋体" w:eastAsia="宋体"/>
          <w:color w:val="auto"/>
          <w:sz w:val="24"/>
          <w:szCs w:val="24"/>
          <w:highlight w:val="none"/>
        </w:rPr>
      </w:pPr>
      <w:r>
        <w:rPr>
          <w:rFonts w:ascii="Times New Roman" w:hAnsi="Times New Roman" w:eastAsia="宋体" w:cs="Times New Roman"/>
          <w:color w:val="auto"/>
          <w:sz w:val="24"/>
          <w:szCs w:val="24"/>
          <w:highlight w:val="none"/>
        </w:rPr>
        <w:t>41</w:t>
      </w:r>
      <w:r>
        <w:rPr>
          <w:rFonts w:hint="eastAsia" w:ascii="Times New Roman" w:hAnsi="Times New Roman" w:eastAsia="宋体" w:cs="Times New Roman"/>
          <w:color w:val="auto"/>
          <w:sz w:val="24"/>
          <w:szCs w:val="24"/>
          <w:highlight w:val="none"/>
        </w:rPr>
        <w:t xml:space="preserve">.1 </w:t>
      </w:r>
      <w:r>
        <w:rPr>
          <w:rFonts w:hint="eastAsia" w:ascii="宋体" w:hAnsi="宋体" w:eastAsia="宋体"/>
          <w:color w:val="auto"/>
          <w:sz w:val="24"/>
          <w:szCs w:val="24"/>
          <w:highlight w:val="none"/>
        </w:rPr>
        <w:t>不可抗力事件由声明受到影响的一方提供与不可抗力事件及索赔有关的证明文件。</w:t>
      </w:r>
    </w:p>
    <w:p>
      <w:pPr>
        <w:spacing w:before="156" w:beforeLines="50" w:after="156" w:afterLines="50" w:line="360" w:lineRule="auto"/>
        <w:ind w:firstLine="460"/>
        <w:jc w:val="left"/>
        <w:rPr>
          <w:rFonts w:ascii="宋体" w:hAnsi="宋体" w:eastAsia="宋体"/>
          <w:color w:val="auto"/>
          <w:sz w:val="24"/>
          <w:szCs w:val="24"/>
          <w:highlight w:val="none"/>
        </w:rPr>
      </w:pPr>
      <w:r>
        <w:rPr>
          <w:rFonts w:ascii="Times New Roman" w:hAnsi="Times New Roman" w:eastAsia="宋体" w:cs="Times New Roman"/>
          <w:color w:val="auto"/>
          <w:sz w:val="24"/>
          <w:szCs w:val="24"/>
          <w:highlight w:val="none"/>
        </w:rPr>
        <w:t>41</w:t>
      </w:r>
      <w:r>
        <w:rPr>
          <w:rFonts w:hint="eastAsia" w:ascii="Times New Roman" w:hAnsi="Times New Roman" w:eastAsia="宋体" w:cs="Times New Roman"/>
          <w:color w:val="auto"/>
          <w:sz w:val="24"/>
          <w:szCs w:val="24"/>
          <w:highlight w:val="none"/>
        </w:rPr>
        <w:t>.2</w:t>
      </w:r>
      <w:r>
        <w:rPr>
          <w:rFonts w:hint="eastAsia" w:ascii="宋体" w:hAnsi="宋体" w:eastAsia="宋体"/>
          <w:color w:val="auto"/>
          <w:sz w:val="24"/>
          <w:szCs w:val="24"/>
          <w:highlight w:val="none"/>
        </w:rPr>
        <w:t xml:space="preserve"> 不可抗力事件发生的，协议各方可共同委托具有相应资格和能力的评估机构，评估机构，评估不可抗力事件对协议的订立和履行产生的影响。</w:t>
      </w:r>
    </w:p>
    <w:p>
      <w:pPr>
        <w:pStyle w:val="2"/>
        <w:spacing w:before="156" w:beforeLines="50" w:after="156" w:afterLines="50" w:line="360" w:lineRule="auto"/>
        <w:rPr>
          <w:color w:val="auto"/>
          <w:sz w:val="32"/>
          <w:szCs w:val="40"/>
          <w:highlight w:val="none"/>
        </w:rPr>
      </w:pPr>
      <w:bookmarkStart w:id="146" w:name="_Toc55981090"/>
      <w:bookmarkStart w:id="147" w:name="_Toc101463876"/>
      <w:r>
        <w:rPr>
          <w:rFonts w:hint="eastAsia"/>
          <w:color w:val="auto"/>
          <w:sz w:val="32"/>
          <w:szCs w:val="40"/>
          <w:highlight w:val="none"/>
        </w:rPr>
        <w:t>4</w:t>
      </w:r>
      <w:r>
        <w:rPr>
          <w:color w:val="auto"/>
          <w:sz w:val="32"/>
          <w:szCs w:val="40"/>
          <w:highlight w:val="none"/>
        </w:rPr>
        <w:t>2</w:t>
      </w:r>
      <w:r>
        <w:rPr>
          <w:rFonts w:hint="eastAsia"/>
          <w:color w:val="auto"/>
          <w:sz w:val="32"/>
          <w:szCs w:val="40"/>
          <w:highlight w:val="none"/>
        </w:rPr>
        <w:t>.不可抗力的通知</w:t>
      </w:r>
      <w:bookmarkEnd w:id="146"/>
      <w:bookmarkEnd w:id="147"/>
    </w:p>
    <w:p>
      <w:pPr>
        <w:spacing w:before="156" w:beforeLines="50" w:after="156" w:afterLines="50" w:line="360" w:lineRule="auto"/>
        <w:ind w:firstLine="460"/>
        <w:jc w:val="left"/>
        <w:rPr>
          <w:rFonts w:ascii="宋体" w:hAnsi="宋体" w:eastAsia="宋体"/>
          <w:color w:val="auto"/>
          <w:sz w:val="24"/>
          <w:szCs w:val="24"/>
          <w:highlight w:val="none"/>
        </w:rPr>
      </w:pPr>
      <w:r>
        <w:rPr>
          <w:rFonts w:ascii="宋体" w:hAnsi="宋体" w:eastAsia="宋体"/>
          <w:color w:val="auto"/>
          <w:sz w:val="24"/>
          <w:szCs w:val="24"/>
          <w:highlight w:val="none"/>
        </w:rPr>
        <w:t>除专用条款另有约定外</w:t>
      </w:r>
      <w:r>
        <w:rPr>
          <w:rFonts w:hint="eastAsia" w:ascii="宋体" w:hAnsi="宋体" w:eastAsia="宋体"/>
          <w:color w:val="auto"/>
          <w:sz w:val="24"/>
          <w:szCs w:val="24"/>
          <w:highlight w:val="none"/>
        </w:rPr>
        <w:t>，</w:t>
      </w:r>
      <w:r>
        <w:rPr>
          <w:rFonts w:ascii="宋体" w:hAnsi="宋体" w:eastAsia="宋体"/>
          <w:color w:val="auto"/>
          <w:sz w:val="24"/>
          <w:szCs w:val="24"/>
          <w:highlight w:val="none"/>
        </w:rPr>
        <w:t>声明受到不可抗力影响的一方应在不可抗力发生后</w:t>
      </w:r>
      <w:r>
        <w:rPr>
          <w:rFonts w:hint="eastAsia" w:ascii="宋体" w:hAnsi="宋体" w:eastAsia="宋体"/>
          <w:color w:val="auto"/>
          <w:sz w:val="24"/>
          <w:szCs w:val="24"/>
          <w:highlight w:val="none"/>
        </w:rPr>
        <w:t>24小时内，以书面形式通知协议其他方。该通知应详细说明不可抗力的性质、开始的日期、预计持续时间以及对履行本协议下的义务所造成的影响，并在其他方要求时提供相关证明。</w:t>
      </w:r>
    </w:p>
    <w:p>
      <w:pPr>
        <w:pStyle w:val="2"/>
        <w:spacing w:before="156" w:beforeLines="50" w:after="156" w:afterLines="50" w:line="360" w:lineRule="auto"/>
        <w:rPr>
          <w:color w:val="auto"/>
          <w:sz w:val="32"/>
          <w:szCs w:val="40"/>
          <w:highlight w:val="none"/>
        </w:rPr>
      </w:pPr>
      <w:bookmarkStart w:id="148" w:name="_Toc101463877"/>
      <w:bookmarkStart w:id="149" w:name="_Toc55981091"/>
      <w:r>
        <w:rPr>
          <w:rFonts w:hint="eastAsia"/>
          <w:color w:val="auto"/>
          <w:sz w:val="32"/>
          <w:szCs w:val="40"/>
          <w:highlight w:val="none"/>
        </w:rPr>
        <w:t>4</w:t>
      </w:r>
      <w:r>
        <w:rPr>
          <w:color w:val="auto"/>
          <w:sz w:val="32"/>
          <w:szCs w:val="40"/>
          <w:highlight w:val="none"/>
        </w:rPr>
        <w:t>3</w:t>
      </w:r>
      <w:r>
        <w:rPr>
          <w:rFonts w:hint="eastAsia"/>
          <w:color w:val="auto"/>
          <w:sz w:val="32"/>
          <w:szCs w:val="40"/>
          <w:highlight w:val="none"/>
        </w:rPr>
        <w:t>.不可抗力事件的处理</w:t>
      </w:r>
      <w:bookmarkEnd w:id="148"/>
      <w:bookmarkEnd w:id="149"/>
    </w:p>
    <w:p>
      <w:pPr>
        <w:spacing w:before="156" w:beforeLines="50" w:after="156" w:afterLines="50" w:line="360" w:lineRule="auto"/>
        <w:ind w:firstLine="43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4</w:t>
      </w:r>
      <w:r>
        <w:rPr>
          <w:rFonts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rPr>
        <w:t xml:space="preserve">.1 </w:t>
      </w:r>
      <w:r>
        <w:rPr>
          <w:rFonts w:hint="eastAsia" w:ascii="宋体" w:hAnsi="宋体" w:eastAsia="宋体"/>
          <w:color w:val="auto"/>
          <w:sz w:val="24"/>
          <w:szCs w:val="24"/>
          <w:highlight w:val="none"/>
        </w:rPr>
        <w:t>协议一方因不可抗力事件影响无法履行本协议项下义务的，有权中止或终止履行相关义务，不视为违约。</w:t>
      </w:r>
    </w:p>
    <w:p>
      <w:pPr>
        <w:spacing w:before="156" w:beforeLines="50" w:after="156" w:afterLines="50" w:line="360" w:lineRule="auto"/>
        <w:ind w:firstLine="43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4</w:t>
      </w:r>
      <w:r>
        <w:rPr>
          <w:rFonts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rPr>
        <w:t>.2</w:t>
      </w:r>
      <w:r>
        <w:rPr>
          <w:rFonts w:hint="eastAsia" w:ascii="宋体" w:hAnsi="宋体" w:eastAsia="宋体"/>
          <w:color w:val="auto"/>
          <w:sz w:val="24"/>
          <w:szCs w:val="24"/>
          <w:highlight w:val="none"/>
        </w:rPr>
        <w:t xml:space="preserve"> 受不可抗力事件影响的一方应采取合理的措施以缓解不可抗力的影响，并承担采取这种措施时可能发生的费用。除协议另有约定外，协议各方应各自承担应对不可抗力产生的费用。</w:t>
      </w:r>
    </w:p>
    <w:p>
      <w:pPr>
        <w:spacing w:before="156" w:beforeLines="50" w:after="156" w:afterLines="50" w:line="360" w:lineRule="auto"/>
        <w:ind w:firstLine="43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4</w:t>
      </w:r>
      <w:r>
        <w:rPr>
          <w:rFonts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rPr>
        <w:t xml:space="preserve">.3 </w:t>
      </w:r>
      <w:r>
        <w:rPr>
          <w:rFonts w:hint="eastAsia" w:ascii="宋体" w:hAnsi="宋体" w:eastAsia="宋体"/>
          <w:color w:val="auto"/>
          <w:sz w:val="24"/>
          <w:szCs w:val="24"/>
          <w:highlight w:val="none"/>
        </w:rPr>
        <w:t>因发生不可抗力事件发生的维修、检修、更新、更换等恢复工作的，项目公司应及时向甲方提交工作方案，方案中应包括措施、进度、费用及计算依据等内容。</w:t>
      </w:r>
    </w:p>
    <w:p>
      <w:pPr>
        <w:spacing w:before="156" w:beforeLines="50" w:after="156" w:afterLines="50" w:line="360" w:lineRule="auto"/>
        <w:ind w:firstLine="43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4</w:t>
      </w:r>
      <w:r>
        <w:rPr>
          <w:rFonts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rPr>
        <w:t>.4</w:t>
      </w:r>
      <w:r>
        <w:rPr>
          <w:rFonts w:hint="eastAsia" w:ascii="宋体" w:hAnsi="宋体" w:eastAsia="宋体"/>
          <w:color w:val="auto"/>
          <w:sz w:val="24"/>
          <w:szCs w:val="24"/>
          <w:highlight w:val="none"/>
        </w:rPr>
        <w:t xml:space="preserve"> 除协议另有约定外，不可抗力事件妨碍或阻止本协议履行的，自此种不可抗力事件发生之日起超过180日的，协议各方应协商决定继续履行本协议或解除本协议。</w:t>
      </w:r>
    </w:p>
    <w:p>
      <w:pPr>
        <w:spacing w:before="156" w:beforeLines="50" w:after="156" w:afterLines="50" w:line="360" w:lineRule="auto"/>
        <w:ind w:firstLine="430"/>
        <w:jc w:val="left"/>
        <w:rPr>
          <w:color w:val="auto"/>
          <w:sz w:val="24"/>
          <w:szCs w:val="28"/>
          <w:highlight w:val="none"/>
        </w:rPr>
      </w:pPr>
      <w:r>
        <w:rPr>
          <w:rFonts w:hint="eastAsia" w:ascii="Times New Roman" w:hAnsi="Times New Roman" w:eastAsia="宋体" w:cs="Times New Roman"/>
          <w:color w:val="auto"/>
          <w:sz w:val="24"/>
          <w:szCs w:val="24"/>
          <w:highlight w:val="none"/>
        </w:rPr>
        <w:t>4</w:t>
      </w:r>
      <w:r>
        <w:rPr>
          <w:rFonts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rPr>
        <w:t>.5</w:t>
      </w:r>
      <w:r>
        <w:rPr>
          <w:rFonts w:hint="eastAsia" w:ascii="宋体" w:hAnsi="宋体" w:eastAsia="宋体"/>
          <w:color w:val="auto"/>
          <w:sz w:val="24"/>
          <w:szCs w:val="24"/>
          <w:highlight w:val="none"/>
        </w:rPr>
        <w:t xml:space="preserve"> 协议一方延迟履行，在延迟履行期间发生不可抗力的，不免除其责任。</w:t>
      </w:r>
      <w:r>
        <w:rPr>
          <w:color w:val="auto"/>
          <w:sz w:val="24"/>
          <w:szCs w:val="28"/>
          <w:highlight w:val="none"/>
        </w:rPr>
        <w:br w:type="page"/>
      </w:r>
    </w:p>
    <w:p>
      <w:pPr>
        <w:spacing w:before="156" w:beforeLines="50" w:after="156" w:afterLines="50" w:line="360" w:lineRule="auto"/>
        <w:ind w:firstLine="430"/>
        <w:jc w:val="left"/>
        <w:rPr>
          <w:rFonts w:ascii="宋体" w:hAnsi="宋体" w:eastAsia="宋体"/>
          <w:color w:val="auto"/>
          <w:sz w:val="24"/>
          <w:szCs w:val="24"/>
          <w:highlight w:val="none"/>
        </w:rPr>
      </w:pPr>
    </w:p>
    <w:p>
      <w:pPr>
        <w:pStyle w:val="3"/>
        <w:spacing w:before="156" w:beforeLines="50" w:after="156" w:afterLines="50" w:line="360" w:lineRule="auto"/>
        <w:jc w:val="center"/>
        <w:rPr>
          <w:b/>
          <w:color w:val="auto"/>
          <w:sz w:val="36"/>
          <w:szCs w:val="52"/>
          <w:highlight w:val="none"/>
        </w:rPr>
      </w:pPr>
      <w:bookmarkStart w:id="150" w:name="_Toc55981092"/>
      <w:bookmarkStart w:id="151" w:name="_Toc101463878"/>
      <w:r>
        <w:rPr>
          <w:rFonts w:hint="eastAsia"/>
          <w:color w:val="auto"/>
          <w:sz w:val="36"/>
          <w:szCs w:val="52"/>
          <w:highlight w:val="none"/>
        </w:rPr>
        <w:t>十二、</w:t>
      </w:r>
      <w:r>
        <w:rPr>
          <w:rFonts w:hint="eastAsia"/>
          <w:b/>
          <w:color w:val="auto"/>
          <w:sz w:val="36"/>
          <w:szCs w:val="52"/>
          <w:highlight w:val="none"/>
        </w:rPr>
        <w:t>协议的解除和终止</w:t>
      </w:r>
      <w:bookmarkEnd w:id="150"/>
      <w:bookmarkEnd w:id="151"/>
    </w:p>
    <w:p>
      <w:pPr>
        <w:pStyle w:val="2"/>
        <w:spacing w:before="156" w:beforeLines="50" w:after="156" w:afterLines="50" w:line="360" w:lineRule="auto"/>
        <w:rPr>
          <w:color w:val="auto"/>
          <w:sz w:val="32"/>
          <w:szCs w:val="40"/>
          <w:highlight w:val="none"/>
        </w:rPr>
      </w:pPr>
      <w:bookmarkStart w:id="152" w:name="_Toc101463879"/>
      <w:bookmarkStart w:id="153" w:name="_Toc55981093"/>
      <w:r>
        <w:rPr>
          <w:rFonts w:hint="eastAsia"/>
          <w:color w:val="auto"/>
          <w:sz w:val="32"/>
          <w:szCs w:val="40"/>
          <w:highlight w:val="none"/>
        </w:rPr>
        <w:t>4</w:t>
      </w:r>
      <w:r>
        <w:rPr>
          <w:color w:val="auto"/>
          <w:sz w:val="32"/>
          <w:szCs w:val="40"/>
          <w:highlight w:val="none"/>
        </w:rPr>
        <w:t>4</w:t>
      </w:r>
      <w:r>
        <w:rPr>
          <w:rFonts w:hint="eastAsia"/>
          <w:color w:val="auto"/>
          <w:sz w:val="32"/>
          <w:szCs w:val="40"/>
          <w:highlight w:val="none"/>
        </w:rPr>
        <w:t>.协议终止</w:t>
      </w:r>
      <w:bookmarkEnd w:id="152"/>
      <w:bookmarkEnd w:id="153"/>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合作期内出现下列情形之一的，本协议终止：</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（1）合作期届满；</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（2）协议各方协商解除本协议；</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（3）项目提前终止导致本协议解除；</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（4）一方违约另一方行使解除权；</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（5）法律规定或本协议约定的其他情形。</w:t>
      </w:r>
    </w:p>
    <w:p>
      <w:pPr>
        <w:pStyle w:val="2"/>
        <w:spacing w:before="156" w:beforeLines="50" w:after="156" w:afterLines="50" w:line="360" w:lineRule="auto"/>
        <w:rPr>
          <w:rFonts w:ascii="黑体" w:hAnsi="黑体"/>
          <w:color w:val="auto"/>
          <w:sz w:val="32"/>
          <w:highlight w:val="none"/>
        </w:rPr>
      </w:pPr>
      <w:bookmarkStart w:id="154" w:name="_Toc101463880"/>
      <w:bookmarkStart w:id="155" w:name="_Toc55981094"/>
      <w:r>
        <w:rPr>
          <w:rFonts w:hint="eastAsia"/>
          <w:color w:val="auto"/>
          <w:sz w:val="32"/>
          <w:szCs w:val="40"/>
          <w:highlight w:val="none"/>
        </w:rPr>
        <w:t>4</w:t>
      </w:r>
      <w:r>
        <w:rPr>
          <w:color w:val="auto"/>
          <w:sz w:val="32"/>
          <w:szCs w:val="40"/>
          <w:highlight w:val="none"/>
        </w:rPr>
        <w:t>5</w:t>
      </w:r>
      <w:r>
        <w:rPr>
          <w:rFonts w:hint="eastAsia"/>
          <w:color w:val="auto"/>
          <w:sz w:val="32"/>
          <w:szCs w:val="40"/>
          <w:highlight w:val="none"/>
        </w:rPr>
        <w:t>.协议解除</w:t>
      </w:r>
      <w:bookmarkEnd w:id="154"/>
      <w:bookmarkEnd w:id="155"/>
    </w:p>
    <w:p>
      <w:pPr>
        <w:pStyle w:val="38"/>
        <w:spacing w:before="156" w:beforeLines="50" w:after="156" w:afterLines="50" w:line="360" w:lineRule="auto"/>
        <w:rPr>
          <w:color w:val="auto"/>
          <w:sz w:val="32"/>
          <w:szCs w:val="40"/>
          <w:highlight w:val="none"/>
        </w:rPr>
      </w:pPr>
      <w:bookmarkStart w:id="156" w:name="_Toc55981095"/>
      <w:r>
        <w:rPr>
          <w:rFonts w:hint="eastAsia"/>
          <w:color w:val="auto"/>
          <w:sz w:val="32"/>
          <w:szCs w:val="40"/>
          <w:highlight w:val="none"/>
        </w:rPr>
        <w:t>4</w:t>
      </w:r>
      <w:r>
        <w:rPr>
          <w:color w:val="auto"/>
          <w:sz w:val="32"/>
          <w:szCs w:val="40"/>
          <w:highlight w:val="none"/>
        </w:rPr>
        <w:t>5</w:t>
      </w:r>
      <w:r>
        <w:rPr>
          <w:rFonts w:hint="eastAsia"/>
          <w:color w:val="auto"/>
          <w:sz w:val="32"/>
          <w:szCs w:val="40"/>
          <w:highlight w:val="none"/>
        </w:rPr>
        <w:t>.1协议解除的条件</w:t>
      </w:r>
      <w:bookmarkEnd w:id="156"/>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4</w:t>
      </w:r>
      <w:r>
        <w:rPr>
          <w:rFonts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rPr>
        <w:t>.1.1</w:t>
      </w:r>
      <w:r>
        <w:rPr>
          <w:rFonts w:hint="eastAsia" w:ascii="宋体" w:hAnsi="宋体" w:eastAsia="宋体"/>
          <w:color w:val="auto"/>
          <w:sz w:val="24"/>
          <w:szCs w:val="24"/>
          <w:highlight w:val="none"/>
        </w:rPr>
        <w:t xml:space="preserve"> 除法律规定和本协议另有约定外，任何一方不得擅自解除本协议。</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4</w:t>
      </w:r>
      <w:r>
        <w:rPr>
          <w:rFonts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rPr>
        <w:t>.1.2</w:t>
      </w:r>
      <w:r>
        <w:rPr>
          <w:rFonts w:hint="eastAsia" w:ascii="宋体" w:hAnsi="宋体" w:eastAsia="宋体"/>
          <w:color w:val="auto"/>
          <w:sz w:val="24"/>
          <w:szCs w:val="24"/>
          <w:highlight w:val="none"/>
        </w:rPr>
        <w:t xml:space="preserve"> 本协议任何一方违反协议约定，不履行或不完全履行本协议义务的，在守约方发出协议解除意向通知后的宽限期内仍未整改或达到本协议约定的标准和要求，导致本协议目的不能实现，守约方有权解除本协议。</w:t>
      </w:r>
    </w:p>
    <w:p>
      <w:pPr>
        <w:pStyle w:val="38"/>
        <w:spacing w:before="156" w:beforeLines="50" w:after="156" w:afterLines="50" w:line="360" w:lineRule="auto"/>
        <w:rPr>
          <w:color w:val="auto"/>
          <w:sz w:val="32"/>
          <w:szCs w:val="40"/>
          <w:highlight w:val="none"/>
        </w:rPr>
      </w:pPr>
      <w:bookmarkStart w:id="157" w:name="_Toc55981096"/>
      <w:r>
        <w:rPr>
          <w:rFonts w:hint="eastAsia"/>
          <w:color w:val="auto"/>
          <w:sz w:val="32"/>
          <w:szCs w:val="40"/>
          <w:highlight w:val="none"/>
        </w:rPr>
        <w:t>4</w:t>
      </w:r>
      <w:r>
        <w:rPr>
          <w:color w:val="auto"/>
          <w:sz w:val="32"/>
          <w:szCs w:val="40"/>
          <w:highlight w:val="none"/>
        </w:rPr>
        <w:t>5</w:t>
      </w:r>
      <w:r>
        <w:rPr>
          <w:rFonts w:hint="eastAsia"/>
          <w:color w:val="auto"/>
          <w:sz w:val="32"/>
          <w:szCs w:val="40"/>
          <w:highlight w:val="none"/>
        </w:rPr>
        <w:t>.2双方有权解除合同的情形</w:t>
      </w:r>
      <w:bookmarkEnd w:id="157"/>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rPr>
        <w:t>出现下列情况之一的</w:t>
      </w:r>
      <w:r>
        <w:rPr>
          <w:rFonts w:hint="eastAsia" w:ascii="宋体" w:hAnsi="宋体" w:eastAsia="宋体"/>
          <w:color w:val="auto"/>
          <w:sz w:val="24"/>
          <w:szCs w:val="24"/>
          <w:highlight w:val="none"/>
        </w:rPr>
        <w:t>，</w:t>
      </w:r>
      <w:r>
        <w:rPr>
          <w:rFonts w:ascii="宋体" w:hAnsi="宋体" w:eastAsia="宋体"/>
          <w:color w:val="auto"/>
          <w:sz w:val="24"/>
          <w:szCs w:val="24"/>
          <w:highlight w:val="none"/>
        </w:rPr>
        <w:t>双方协商一致解除本协议</w:t>
      </w:r>
      <w:r>
        <w:rPr>
          <w:rFonts w:hint="eastAsia" w:ascii="宋体" w:hAnsi="宋体" w:eastAsia="宋体"/>
          <w:color w:val="auto"/>
          <w:sz w:val="24"/>
          <w:szCs w:val="24"/>
          <w:highlight w:val="none"/>
        </w:rPr>
        <w:t>，</w:t>
      </w:r>
      <w:r>
        <w:rPr>
          <w:rFonts w:ascii="宋体" w:hAnsi="宋体" w:eastAsia="宋体"/>
          <w:color w:val="auto"/>
          <w:sz w:val="24"/>
          <w:szCs w:val="24"/>
          <w:highlight w:val="none"/>
        </w:rPr>
        <w:t>在</w:t>
      </w:r>
      <w:r>
        <w:rPr>
          <w:rFonts w:hint="eastAsia" w:ascii="宋体" w:hAnsi="宋体" w:eastAsia="宋体"/>
          <w:color w:val="auto"/>
          <w:sz w:val="24"/>
          <w:szCs w:val="24"/>
          <w:highlight w:val="none"/>
        </w:rPr>
        <w:t>180日内协商不成，任何一方均有权向对方发出书面通知解除本协议，本协议自书面通知所列解除日解除并终止。</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（1）发生不可抗力，且不可抗力直接使得一方或双方履行其在本协议项下的权利义务不可行，并且此种情况持续时间超过90日。</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（2）国家和地方的法律、法规、规章发生变化或出台新的政策导致本协议的履行不可能或履行存在法律和政策的障碍。</w:t>
      </w:r>
    </w:p>
    <w:p>
      <w:pPr>
        <w:pStyle w:val="38"/>
        <w:spacing w:before="156" w:beforeLines="50" w:after="156" w:afterLines="50" w:line="360" w:lineRule="auto"/>
        <w:rPr>
          <w:color w:val="auto"/>
          <w:sz w:val="32"/>
          <w:szCs w:val="40"/>
          <w:highlight w:val="none"/>
        </w:rPr>
      </w:pPr>
      <w:bookmarkStart w:id="158" w:name="_Toc55981097"/>
      <w:r>
        <w:rPr>
          <w:rFonts w:hint="eastAsia"/>
          <w:color w:val="auto"/>
          <w:sz w:val="32"/>
          <w:szCs w:val="40"/>
          <w:highlight w:val="none"/>
        </w:rPr>
        <w:t>4</w:t>
      </w:r>
      <w:r>
        <w:rPr>
          <w:color w:val="auto"/>
          <w:sz w:val="32"/>
          <w:szCs w:val="40"/>
          <w:highlight w:val="none"/>
        </w:rPr>
        <w:t>5.</w:t>
      </w:r>
      <w:r>
        <w:rPr>
          <w:rFonts w:hint="eastAsia"/>
          <w:color w:val="auto"/>
          <w:sz w:val="32"/>
          <w:szCs w:val="40"/>
          <w:highlight w:val="none"/>
        </w:rPr>
        <w:t>3甲方有权解除合同的情形</w:t>
      </w:r>
      <w:bookmarkEnd w:id="158"/>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rPr>
        <w:t>乙方或项目公司有下列情形之一</w:t>
      </w:r>
      <w:r>
        <w:rPr>
          <w:rFonts w:hint="eastAsia" w:ascii="宋体" w:hAnsi="宋体" w:eastAsia="宋体"/>
          <w:color w:val="auto"/>
          <w:sz w:val="24"/>
          <w:szCs w:val="24"/>
          <w:highlight w:val="none"/>
        </w:rPr>
        <w:t>，</w:t>
      </w:r>
      <w:r>
        <w:rPr>
          <w:rFonts w:ascii="宋体" w:hAnsi="宋体" w:eastAsia="宋体"/>
          <w:color w:val="auto"/>
          <w:sz w:val="24"/>
          <w:szCs w:val="24"/>
          <w:highlight w:val="none"/>
        </w:rPr>
        <w:t>在被允许的时间内未得到改正的</w:t>
      </w:r>
      <w:r>
        <w:rPr>
          <w:rFonts w:hint="eastAsia" w:ascii="宋体" w:hAnsi="宋体" w:eastAsia="宋体"/>
          <w:color w:val="auto"/>
          <w:sz w:val="24"/>
          <w:szCs w:val="24"/>
          <w:highlight w:val="none"/>
        </w:rPr>
        <w:t>，</w:t>
      </w:r>
      <w:r>
        <w:rPr>
          <w:rFonts w:ascii="宋体" w:hAnsi="宋体" w:eastAsia="宋体"/>
          <w:color w:val="auto"/>
          <w:sz w:val="24"/>
          <w:szCs w:val="24"/>
          <w:highlight w:val="none"/>
        </w:rPr>
        <w:t>甲方有权书面通知乙方解除本协议</w:t>
      </w:r>
      <w:r>
        <w:rPr>
          <w:rFonts w:hint="eastAsia" w:ascii="宋体" w:hAnsi="宋体" w:eastAsia="宋体"/>
          <w:color w:val="auto"/>
          <w:sz w:val="24"/>
          <w:szCs w:val="24"/>
          <w:highlight w:val="none"/>
        </w:rPr>
        <w:t>，</w:t>
      </w:r>
      <w:r>
        <w:rPr>
          <w:rFonts w:ascii="宋体" w:hAnsi="宋体" w:eastAsia="宋体"/>
          <w:color w:val="auto"/>
          <w:sz w:val="24"/>
          <w:szCs w:val="24"/>
          <w:highlight w:val="none"/>
        </w:rPr>
        <w:t>本合</w:t>
      </w:r>
      <w:r>
        <w:rPr>
          <w:rFonts w:hint="eastAsia" w:ascii="宋体" w:hAnsi="宋体" w:eastAsia="宋体"/>
          <w:color w:val="auto"/>
          <w:sz w:val="24"/>
          <w:szCs w:val="24"/>
          <w:highlight w:val="none"/>
        </w:rPr>
        <w:t>协议</w:t>
      </w:r>
      <w:r>
        <w:rPr>
          <w:rFonts w:ascii="宋体" w:hAnsi="宋体" w:eastAsia="宋体"/>
          <w:color w:val="auto"/>
          <w:sz w:val="24"/>
          <w:szCs w:val="24"/>
          <w:highlight w:val="none"/>
        </w:rPr>
        <w:t>自书面通知所列解除日解除并终止</w:t>
      </w:r>
      <w:r>
        <w:rPr>
          <w:rFonts w:hint="eastAsia" w:ascii="宋体" w:hAnsi="宋体" w:eastAsia="宋体"/>
          <w:color w:val="auto"/>
          <w:sz w:val="24"/>
          <w:szCs w:val="24"/>
          <w:highlight w:val="none"/>
        </w:rPr>
        <w:t>：</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（1）乙方未在规定时间内完成对项目</w:t>
      </w:r>
      <w:r>
        <w:rPr>
          <w:rFonts w:ascii="宋体" w:hAnsi="宋体" w:eastAsia="宋体"/>
          <w:color w:val="auto"/>
          <w:sz w:val="24"/>
          <w:szCs w:val="24"/>
          <w:highlight w:val="none"/>
        </w:rPr>
        <w:t>公司</w:t>
      </w:r>
      <w:r>
        <w:rPr>
          <w:rFonts w:hint="eastAsia" w:ascii="宋体" w:hAnsi="宋体" w:eastAsia="宋体"/>
          <w:color w:val="auto"/>
          <w:sz w:val="24"/>
          <w:szCs w:val="24"/>
          <w:highlight w:val="none"/>
        </w:rPr>
        <w:t>注册资本的出资；</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（2）因乙方或项目公司原因，导致项目工程进度出现严重滞后，或项目工程质量出现重大缺陷；</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（3）乙方出现资不抵债、破产、停产或被清算的情形；</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（4）乙方已向甲方明确不履行本协议约定的开发义务或项目公司无故停止本项目的投资建设超过30日；</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（5）除上述情形外，乙方未履行本协议项下的义务构成对本协议的实质性违约，且对项目履约产生重大影响的。</w:t>
      </w:r>
    </w:p>
    <w:p>
      <w:pPr>
        <w:pStyle w:val="38"/>
        <w:spacing w:before="156" w:beforeLines="50" w:after="156" w:afterLines="50" w:line="360" w:lineRule="auto"/>
        <w:rPr>
          <w:color w:val="auto"/>
          <w:sz w:val="32"/>
          <w:szCs w:val="40"/>
          <w:highlight w:val="none"/>
        </w:rPr>
      </w:pPr>
      <w:bookmarkStart w:id="159" w:name="_Toc55981098"/>
      <w:r>
        <w:rPr>
          <w:rFonts w:hint="eastAsia"/>
          <w:color w:val="auto"/>
          <w:sz w:val="32"/>
          <w:szCs w:val="40"/>
          <w:highlight w:val="none"/>
        </w:rPr>
        <w:t>4</w:t>
      </w:r>
      <w:r>
        <w:rPr>
          <w:color w:val="auto"/>
          <w:sz w:val="32"/>
          <w:szCs w:val="40"/>
          <w:highlight w:val="none"/>
        </w:rPr>
        <w:t>5</w:t>
      </w:r>
      <w:r>
        <w:rPr>
          <w:rFonts w:hint="eastAsia"/>
          <w:color w:val="auto"/>
          <w:sz w:val="32"/>
          <w:szCs w:val="40"/>
          <w:highlight w:val="none"/>
        </w:rPr>
        <w:t>.4乙方有权解除合同的情形</w:t>
      </w:r>
      <w:bookmarkEnd w:id="159"/>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rPr>
        <w:t>甲方有下列情形之一</w:t>
      </w:r>
      <w:r>
        <w:rPr>
          <w:rFonts w:hint="eastAsia" w:ascii="宋体" w:hAnsi="宋体" w:eastAsia="宋体"/>
          <w:color w:val="auto"/>
          <w:sz w:val="24"/>
          <w:szCs w:val="24"/>
          <w:highlight w:val="none"/>
        </w:rPr>
        <w:t>，</w:t>
      </w:r>
      <w:r>
        <w:rPr>
          <w:rFonts w:ascii="宋体" w:hAnsi="宋体" w:eastAsia="宋体"/>
          <w:color w:val="auto"/>
          <w:sz w:val="24"/>
          <w:szCs w:val="24"/>
          <w:highlight w:val="none"/>
        </w:rPr>
        <w:t>在被允许的时间内未得到改正的</w:t>
      </w:r>
      <w:r>
        <w:rPr>
          <w:rFonts w:hint="eastAsia" w:ascii="宋体" w:hAnsi="宋体" w:eastAsia="宋体"/>
          <w:color w:val="auto"/>
          <w:sz w:val="24"/>
          <w:szCs w:val="24"/>
          <w:highlight w:val="none"/>
        </w:rPr>
        <w:t>，</w:t>
      </w:r>
      <w:r>
        <w:rPr>
          <w:rFonts w:ascii="宋体" w:hAnsi="宋体" w:eastAsia="宋体"/>
          <w:color w:val="auto"/>
          <w:sz w:val="24"/>
          <w:szCs w:val="24"/>
          <w:highlight w:val="none"/>
        </w:rPr>
        <w:t>乙方有权书面通知甲方解除本协议</w:t>
      </w:r>
      <w:r>
        <w:rPr>
          <w:rFonts w:hint="eastAsia" w:ascii="宋体" w:hAnsi="宋体" w:eastAsia="宋体"/>
          <w:color w:val="auto"/>
          <w:sz w:val="24"/>
          <w:szCs w:val="24"/>
          <w:highlight w:val="none"/>
        </w:rPr>
        <w:t>，</w:t>
      </w:r>
      <w:r>
        <w:rPr>
          <w:rFonts w:ascii="宋体" w:hAnsi="宋体" w:eastAsia="宋体"/>
          <w:color w:val="auto"/>
          <w:sz w:val="24"/>
          <w:szCs w:val="24"/>
          <w:highlight w:val="none"/>
        </w:rPr>
        <w:t>本协议自书面通知所列解除日解除并终止</w:t>
      </w:r>
      <w:r>
        <w:rPr>
          <w:rFonts w:hint="eastAsia" w:ascii="宋体" w:hAnsi="宋体" w:eastAsia="宋体"/>
          <w:color w:val="auto"/>
          <w:sz w:val="24"/>
          <w:szCs w:val="24"/>
          <w:highlight w:val="none"/>
        </w:rPr>
        <w:t>：</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（1）甲方未在规定时间内完成对项目</w:t>
      </w:r>
      <w:r>
        <w:rPr>
          <w:rFonts w:ascii="宋体" w:hAnsi="宋体" w:eastAsia="宋体"/>
          <w:color w:val="auto"/>
          <w:sz w:val="24"/>
          <w:szCs w:val="24"/>
          <w:highlight w:val="none"/>
        </w:rPr>
        <w:t>公司</w:t>
      </w:r>
      <w:r>
        <w:rPr>
          <w:rFonts w:hint="eastAsia" w:ascii="宋体" w:hAnsi="宋体" w:eastAsia="宋体"/>
          <w:color w:val="auto"/>
          <w:sz w:val="24"/>
          <w:szCs w:val="24"/>
          <w:highlight w:val="none"/>
        </w:rPr>
        <w:t>注册资本的出资；</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）甲方被依法撤销，且无继受主体的；</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3）在支付时间节点应付未付逾期超过12</w:t>
      </w:r>
      <w:r>
        <w:rPr>
          <w:rFonts w:hint="eastAsia" w:ascii="宋体" w:hAnsi="宋体" w:eastAsia="宋体"/>
          <w:color w:val="auto"/>
          <w:sz w:val="24"/>
          <w:szCs w:val="24"/>
          <w:highlight w:val="none"/>
        </w:rPr>
        <w:t>个月的，乙方有权解除合同；</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4）除上述情形外，甲方未履行本协议项下的义务构成对本协议的实质性违约，并且在收到乙方要求其说明违约并纠正的书面通知后30日内仍未能纠正该实质性违约的。</w:t>
      </w:r>
    </w:p>
    <w:p>
      <w:pPr>
        <w:pStyle w:val="38"/>
        <w:spacing w:before="156" w:beforeLines="50" w:after="156" w:afterLines="50" w:line="360" w:lineRule="auto"/>
        <w:rPr>
          <w:rFonts w:ascii="黑体" w:hAnsi="黑体"/>
          <w:color w:val="auto"/>
          <w:sz w:val="32"/>
          <w:highlight w:val="none"/>
        </w:rPr>
      </w:pPr>
      <w:bookmarkStart w:id="160" w:name="_Toc55981099"/>
      <w:r>
        <w:rPr>
          <w:rFonts w:hint="eastAsia"/>
          <w:color w:val="auto"/>
          <w:sz w:val="32"/>
          <w:szCs w:val="40"/>
          <w:highlight w:val="none"/>
        </w:rPr>
        <w:t>4</w:t>
      </w:r>
      <w:r>
        <w:rPr>
          <w:color w:val="auto"/>
          <w:sz w:val="32"/>
          <w:szCs w:val="40"/>
          <w:highlight w:val="none"/>
        </w:rPr>
        <w:t>5</w:t>
      </w:r>
      <w:r>
        <w:rPr>
          <w:rFonts w:hint="eastAsia"/>
          <w:color w:val="auto"/>
          <w:sz w:val="32"/>
          <w:szCs w:val="40"/>
          <w:highlight w:val="none"/>
        </w:rPr>
        <w:t>.</w:t>
      </w:r>
      <w:r>
        <w:rPr>
          <w:color w:val="auto"/>
          <w:sz w:val="32"/>
          <w:szCs w:val="40"/>
          <w:highlight w:val="none"/>
        </w:rPr>
        <w:t>5</w:t>
      </w:r>
      <w:r>
        <w:rPr>
          <w:rFonts w:hint="eastAsia"/>
          <w:color w:val="auto"/>
          <w:sz w:val="32"/>
          <w:szCs w:val="40"/>
          <w:highlight w:val="none"/>
        </w:rPr>
        <w:t>协议解除的一般程序</w:t>
      </w:r>
      <w:bookmarkEnd w:id="160"/>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本协议的解除按以下约定执行：</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4</w:t>
      </w:r>
      <w:r>
        <w:rPr>
          <w:rFonts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rPr>
        <w:t>.1</w:t>
      </w:r>
      <w:r>
        <w:rPr>
          <w:rFonts w:hint="eastAsia" w:ascii="宋体" w:hAnsi="宋体" w:eastAsia="宋体"/>
          <w:color w:val="auto"/>
          <w:sz w:val="24"/>
          <w:szCs w:val="24"/>
          <w:highlight w:val="none"/>
        </w:rPr>
        <w:t xml:space="preserve"> 协议解除意向通知</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出现本协议约定的协议解除情形，且守约方拟解除本协议的，守约方应向本协议其他方发出书面解除意向通知，并载明解除的理由及相关事项。</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4</w:t>
      </w:r>
      <w:r>
        <w:rPr>
          <w:rFonts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rPr>
        <w:t>.2</w:t>
      </w:r>
      <w:r>
        <w:rPr>
          <w:rFonts w:hint="eastAsia" w:ascii="宋体" w:hAnsi="宋体" w:eastAsia="宋体"/>
          <w:color w:val="auto"/>
          <w:sz w:val="24"/>
          <w:szCs w:val="24"/>
          <w:highlight w:val="none"/>
        </w:rPr>
        <w:t>协商</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解除意向通知发出后，违约方应采取避免本协议解除的措施，就解除协议事项进行协商，经各方协议一致后继续履行本协议</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4</w:t>
      </w:r>
      <w:r>
        <w:rPr>
          <w:rFonts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rPr>
        <w:t>.3</w:t>
      </w:r>
      <w:r>
        <w:rPr>
          <w:rFonts w:hint="eastAsia" w:ascii="宋体" w:hAnsi="宋体" w:eastAsia="宋体"/>
          <w:color w:val="auto"/>
          <w:sz w:val="24"/>
          <w:szCs w:val="24"/>
          <w:highlight w:val="none"/>
        </w:rPr>
        <w:t>正式解除通知</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导致发出协议解除意向通知的违约事件未得到纠正，或协议各方未能就变更本协议相关事宜导致一致的，则守约方可以向协议其他方发出书面的正式解除通知，本协议自正式解除通知送达协议其他方之日起解除。</w:t>
      </w:r>
    </w:p>
    <w:p>
      <w:pPr>
        <w:pStyle w:val="2"/>
        <w:spacing w:before="156" w:beforeLines="50" w:after="156" w:afterLines="50" w:line="360" w:lineRule="auto"/>
        <w:rPr>
          <w:color w:val="auto"/>
          <w:sz w:val="32"/>
          <w:szCs w:val="40"/>
          <w:highlight w:val="none"/>
        </w:rPr>
      </w:pPr>
      <w:bookmarkStart w:id="161" w:name="_Toc101463881"/>
      <w:bookmarkStart w:id="162" w:name="_Toc55981100"/>
      <w:r>
        <w:rPr>
          <w:rFonts w:hint="eastAsia"/>
          <w:color w:val="auto"/>
          <w:sz w:val="32"/>
          <w:szCs w:val="40"/>
          <w:highlight w:val="none"/>
        </w:rPr>
        <w:t>4</w:t>
      </w:r>
      <w:r>
        <w:rPr>
          <w:color w:val="auto"/>
          <w:sz w:val="32"/>
          <w:szCs w:val="40"/>
          <w:highlight w:val="none"/>
        </w:rPr>
        <w:t>6</w:t>
      </w:r>
      <w:r>
        <w:rPr>
          <w:rFonts w:hint="eastAsia"/>
          <w:color w:val="auto"/>
          <w:sz w:val="32"/>
          <w:szCs w:val="40"/>
          <w:highlight w:val="none"/>
        </w:rPr>
        <w:t>.协议解除后的清算</w:t>
      </w:r>
      <w:bookmarkEnd w:id="161"/>
      <w:bookmarkEnd w:id="162"/>
    </w:p>
    <w:p>
      <w:pPr>
        <w:spacing w:before="156" w:beforeLines="50" w:after="156" w:afterLines="50"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46.1</w:t>
      </w:r>
      <w:r>
        <w:rPr>
          <w:rFonts w:hint="eastAsia" w:ascii="宋体" w:hAnsi="宋体" w:eastAsia="宋体"/>
          <w:color w:val="auto"/>
          <w:sz w:val="24"/>
          <w:szCs w:val="24"/>
          <w:highlight w:val="none"/>
        </w:rPr>
        <w:t>合作期内，本协议提前解除的，按照过错程度承担相应责任及公平、合理的原则由双方协商确定。</w:t>
      </w:r>
    </w:p>
    <w:p>
      <w:pPr>
        <w:spacing w:before="156" w:beforeLines="50" w:after="156" w:afterLines="5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6.2</w:t>
      </w:r>
      <w:r>
        <w:rPr>
          <w:rFonts w:hint="eastAsia" w:ascii="宋体" w:hAnsi="宋体" w:eastAsia="宋体"/>
          <w:color w:val="auto"/>
          <w:sz w:val="24"/>
          <w:szCs w:val="24"/>
          <w:highlight w:val="none"/>
        </w:rPr>
        <w:t>一方行使合同解除权导致本协议提前终止的，本协议解除后，合同各方按照本协议项目移交约定的移交程序完成移交。</w:t>
      </w:r>
    </w:p>
    <w:p>
      <w:pPr>
        <w:spacing w:before="156" w:beforeLines="50" w:after="156" w:afterLines="50" w:line="360" w:lineRule="auto"/>
        <w:ind w:firstLine="480" w:firstLineChars="200"/>
        <w:rPr>
          <w:rFonts w:ascii="宋体" w:hAnsi="宋体" w:eastAsia="宋体"/>
          <w:color w:val="auto"/>
          <w:sz w:val="24"/>
          <w:szCs w:val="24"/>
          <w:highlight w:val="none"/>
        </w:rPr>
      </w:pPr>
      <w:bookmarkStart w:id="163" w:name="_Hlk101620927"/>
      <w:r>
        <w:rPr>
          <w:rFonts w:hint="eastAsia" w:ascii="宋体" w:hAnsi="宋体" w:eastAsia="宋体"/>
          <w:color w:val="auto"/>
          <w:sz w:val="24"/>
          <w:szCs w:val="24"/>
          <w:highlight w:val="none"/>
        </w:rPr>
        <w:t>4</w:t>
      </w:r>
      <w:r>
        <w:rPr>
          <w:rFonts w:ascii="宋体" w:hAnsi="宋体" w:eastAsia="宋体"/>
          <w:color w:val="auto"/>
          <w:sz w:val="24"/>
          <w:szCs w:val="24"/>
          <w:highlight w:val="none"/>
        </w:rPr>
        <w:t>6.4</w:t>
      </w:r>
      <w:bookmarkEnd w:id="163"/>
      <w:r>
        <w:rPr>
          <w:rFonts w:hint="eastAsia" w:ascii="宋体" w:hAnsi="宋体" w:eastAsia="宋体"/>
          <w:color w:val="auto"/>
          <w:sz w:val="24"/>
          <w:szCs w:val="24"/>
          <w:highlight w:val="none"/>
        </w:rPr>
        <w:t>任何一方行使合同解除权并不排除该方行使本协议或法律、法规赋予的任何其他补救措施，包括但不限于索赔或追究违约责任。如果补救措施具有多样性和同时性，则一方行使一种权利，不应视为放弃其他权利，除非该方明确做出放弃表示。</w:t>
      </w:r>
    </w:p>
    <w:p>
      <w:pPr>
        <w:pStyle w:val="2"/>
        <w:spacing w:before="156" w:beforeLines="50" w:after="156" w:afterLines="50" w:line="360" w:lineRule="auto"/>
        <w:rPr>
          <w:color w:val="auto"/>
          <w:sz w:val="32"/>
          <w:szCs w:val="40"/>
          <w:highlight w:val="none"/>
        </w:rPr>
      </w:pPr>
      <w:bookmarkStart w:id="164" w:name="_Toc101463882"/>
      <w:bookmarkStart w:id="165" w:name="_Toc55981101"/>
      <w:r>
        <w:rPr>
          <w:rFonts w:hint="eastAsia"/>
          <w:color w:val="auto"/>
          <w:sz w:val="32"/>
          <w:szCs w:val="40"/>
          <w:highlight w:val="none"/>
        </w:rPr>
        <w:t>4</w:t>
      </w:r>
      <w:r>
        <w:rPr>
          <w:color w:val="auto"/>
          <w:sz w:val="32"/>
          <w:szCs w:val="40"/>
          <w:highlight w:val="none"/>
        </w:rPr>
        <w:t>7</w:t>
      </w:r>
      <w:r>
        <w:rPr>
          <w:rFonts w:hint="eastAsia"/>
          <w:color w:val="auto"/>
          <w:sz w:val="32"/>
          <w:szCs w:val="40"/>
          <w:highlight w:val="none"/>
        </w:rPr>
        <w:t>.协议解除后的其他约定</w:t>
      </w:r>
      <w:bookmarkEnd w:id="164"/>
      <w:bookmarkEnd w:id="165"/>
    </w:p>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（1）本协议解除后，各方在本协议项下权利和义务终止，但应付的款项除外。</w:t>
      </w:r>
    </w:p>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（2）协议各方未按本协议约定的协议解除程序行使解除权给其他方造成损失的，应当予以赔偿。</w:t>
      </w:r>
    </w:p>
    <w:p>
      <w:pPr>
        <w:spacing w:before="156" w:beforeLines="50" w:after="156" w:afterLines="50" w:line="360" w:lineRule="auto"/>
        <w:ind w:firstLine="420"/>
        <w:jc w:val="left"/>
        <w:rPr>
          <w:color w:val="auto"/>
          <w:sz w:val="24"/>
          <w:szCs w:val="28"/>
          <w:highlight w:val="none"/>
        </w:rPr>
      </w:pPr>
      <w:r>
        <w:rPr>
          <w:rFonts w:hint="eastAsia" w:ascii="宋体" w:hAnsi="宋体" w:eastAsia="宋体"/>
          <w:color w:val="auto"/>
          <w:sz w:val="24"/>
          <w:szCs w:val="24"/>
          <w:highlight w:val="none"/>
        </w:rPr>
        <w:t>（3）本协议解除不影响涉及本协议的争议解决条款效力。</w:t>
      </w:r>
      <w:r>
        <w:rPr>
          <w:color w:val="auto"/>
          <w:sz w:val="24"/>
          <w:szCs w:val="28"/>
          <w:highlight w:val="none"/>
        </w:rPr>
        <w:br w:type="page"/>
      </w:r>
    </w:p>
    <w:p>
      <w:pPr>
        <w:spacing w:before="156" w:beforeLines="50" w:after="156" w:afterLines="50" w:line="360" w:lineRule="auto"/>
        <w:ind w:firstLine="420"/>
        <w:jc w:val="left"/>
        <w:rPr>
          <w:rFonts w:ascii="宋体" w:hAnsi="宋体" w:eastAsia="宋体"/>
          <w:color w:val="auto"/>
          <w:sz w:val="24"/>
          <w:szCs w:val="24"/>
          <w:highlight w:val="none"/>
        </w:rPr>
      </w:pPr>
    </w:p>
    <w:p>
      <w:pPr>
        <w:pStyle w:val="3"/>
        <w:spacing w:before="156" w:beforeLines="50" w:after="156" w:afterLines="50" w:line="360" w:lineRule="auto"/>
        <w:jc w:val="center"/>
        <w:rPr>
          <w:b/>
          <w:color w:val="auto"/>
          <w:sz w:val="36"/>
          <w:szCs w:val="52"/>
          <w:highlight w:val="none"/>
        </w:rPr>
      </w:pPr>
      <w:bookmarkStart w:id="166" w:name="_Toc101463883"/>
      <w:bookmarkStart w:id="167" w:name="_Toc55981102"/>
      <w:r>
        <w:rPr>
          <w:rFonts w:hint="eastAsia"/>
          <w:b/>
          <w:color w:val="auto"/>
          <w:sz w:val="36"/>
          <w:szCs w:val="52"/>
          <w:highlight w:val="none"/>
        </w:rPr>
        <w:t>十三、争议解决</w:t>
      </w:r>
      <w:bookmarkEnd w:id="166"/>
      <w:bookmarkEnd w:id="167"/>
    </w:p>
    <w:p>
      <w:pPr>
        <w:pStyle w:val="2"/>
        <w:spacing w:before="156" w:beforeLines="50" w:after="156" w:afterLines="50" w:line="360" w:lineRule="auto"/>
        <w:rPr>
          <w:color w:val="auto"/>
          <w:sz w:val="32"/>
          <w:szCs w:val="40"/>
          <w:highlight w:val="none"/>
        </w:rPr>
      </w:pPr>
      <w:bookmarkStart w:id="168" w:name="_Toc55981103"/>
      <w:bookmarkStart w:id="169" w:name="_Toc101463884"/>
      <w:r>
        <w:rPr>
          <w:rFonts w:hint="eastAsia"/>
          <w:color w:val="auto"/>
          <w:sz w:val="32"/>
          <w:szCs w:val="40"/>
          <w:highlight w:val="none"/>
        </w:rPr>
        <w:t>4</w:t>
      </w:r>
      <w:r>
        <w:rPr>
          <w:color w:val="auto"/>
          <w:sz w:val="32"/>
          <w:szCs w:val="40"/>
          <w:highlight w:val="none"/>
        </w:rPr>
        <w:t>8</w:t>
      </w:r>
      <w:r>
        <w:rPr>
          <w:rFonts w:hint="eastAsia"/>
          <w:color w:val="auto"/>
          <w:sz w:val="32"/>
          <w:szCs w:val="40"/>
          <w:highlight w:val="none"/>
        </w:rPr>
        <w:t>.民事争议的解决方式</w:t>
      </w:r>
      <w:bookmarkEnd w:id="168"/>
      <w:bookmarkEnd w:id="169"/>
    </w:p>
    <w:p>
      <w:pPr>
        <w:pStyle w:val="38"/>
        <w:spacing w:before="156" w:beforeLines="50" w:after="156" w:afterLines="50" w:line="360" w:lineRule="auto"/>
        <w:rPr>
          <w:color w:val="auto"/>
          <w:sz w:val="32"/>
          <w:szCs w:val="40"/>
          <w:highlight w:val="none"/>
        </w:rPr>
      </w:pPr>
      <w:bookmarkStart w:id="170" w:name="_Toc55981104"/>
      <w:r>
        <w:rPr>
          <w:rFonts w:hint="eastAsia"/>
          <w:color w:val="auto"/>
          <w:sz w:val="32"/>
          <w:szCs w:val="40"/>
          <w:highlight w:val="none"/>
        </w:rPr>
        <w:t>4</w:t>
      </w:r>
      <w:r>
        <w:rPr>
          <w:color w:val="auto"/>
          <w:sz w:val="32"/>
          <w:szCs w:val="40"/>
          <w:highlight w:val="none"/>
        </w:rPr>
        <w:t>8</w:t>
      </w:r>
      <w:r>
        <w:rPr>
          <w:rFonts w:hint="eastAsia"/>
          <w:color w:val="auto"/>
          <w:sz w:val="32"/>
          <w:szCs w:val="40"/>
          <w:highlight w:val="none"/>
        </w:rPr>
        <w:t>.1友好协商</w:t>
      </w:r>
      <w:bookmarkEnd w:id="170"/>
    </w:p>
    <w:p>
      <w:pPr>
        <w:spacing w:before="156" w:beforeLines="50" w:after="156" w:afterLines="50" w:line="360" w:lineRule="auto"/>
        <w:ind w:firstLine="46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因协议引起的或与本协议有关争议，应尽力通过友好协商方式解决。协商达成一致的，协议各方应当签订补充协议并遵照执行。</w:t>
      </w:r>
    </w:p>
    <w:p>
      <w:pPr>
        <w:pStyle w:val="38"/>
        <w:spacing w:before="156" w:beforeLines="50" w:after="156" w:afterLines="50" w:line="360" w:lineRule="auto"/>
        <w:rPr>
          <w:color w:val="auto"/>
          <w:sz w:val="32"/>
          <w:szCs w:val="40"/>
          <w:highlight w:val="none"/>
        </w:rPr>
      </w:pPr>
      <w:bookmarkStart w:id="171" w:name="_Toc55981105"/>
      <w:r>
        <w:rPr>
          <w:rFonts w:hint="eastAsia"/>
          <w:color w:val="auto"/>
          <w:sz w:val="32"/>
          <w:szCs w:val="40"/>
          <w:highlight w:val="none"/>
        </w:rPr>
        <w:t>4</w:t>
      </w:r>
      <w:r>
        <w:rPr>
          <w:color w:val="auto"/>
          <w:sz w:val="32"/>
          <w:szCs w:val="40"/>
          <w:highlight w:val="none"/>
        </w:rPr>
        <w:t>8</w:t>
      </w:r>
      <w:r>
        <w:rPr>
          <w:rFonts w:hint="eastAsia"/>
          <w:color w:val="auto"/>
          <w:sz w:val="32"/>
          <w:szCs w:val="40"/>
          <w:highlight w:val="none"/>
        </w:rPr>
        <w:t>.2仲裁或诉讼</w:t>
      </w:r>
      <w:bookmarkEnd w:id="171"/>
    </w:p>
    <w:p>
      <w:pPr>
        <w:spacing w:before="156" w:beforeLines="50" w:after="156" w:afterLines="50" w:line="360" w:lineRule="auto"/>
        <w:ind w:firstLine="46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因协议引起的或与本协议有关争议，当事人友好协商解决不成的，同意选择向原告所在地有管辖权的法院提起诉讼。</w:t>
      </w:r>
    </w:p>
    <w:p>
      <w:pPr>
        <w:pStyle w:val="38"/>
        <w:spacing w:before="156" w:beforeLines="50" w:after="156" w:afterLines="50" w:line="360" w:lineRule="auto"/>
        <w:rPr>
          <w:rFonts w:ascii="黑体" w:hAnsi="黑体"/>
          <w:color w:val="auto"/>
          <w:sz w:val="32"/>
          <w:highlight w:val="none"/>
        </w:rPr>
      </w:pPr>
      <w:bookmarkStart w:id="172" w:name="_Toc55981106"/>
      <w:r>
        <w:rPr>
          <w:rFonts w:hint="eastAsia"/>
          <w:color w:val="auto"/>
          <w:sz w:val="32"/>
          <w:szCs w:val="40"/>
          <w:highlight w:val="none"/>
        </w:rPr>
        <w:t>4</w:t>
      </w:r>
      <w:r>
        <w:rPr>
          <w:color w:val="auto"/>
          <w:sz w:val="32"/>
          <w:szCs w:val="40"/>
          <w:highlight w:val="none"/>
        </w:rPr>
        <w:t>8</w:t>
      </w:r>
      <w:r>
        <w:rPr>
          <w:rFonts w:hint="eastAsia"/>
          <w:color w:val="auto"/>
          <w:sz w:val="32"/>
          <w:szCs w:val="40"/>
          <w:highlight w:val="none"/>
        </w:rPr>
        <w:t>.3争议期间协议的履行</w:t>
      </w:r>
      <w:bookmarkEnd w:id="172"/>
    </w:p>
    <w:p>
      <w:pPr>
        <w:spacing w:before="156" w:beforeLines="50" w:after="156" w:afterLines="50" w:line="360" w:lineRule="auto"/>
        <w:jc w:val="left"/>
        <w:rPr>
          <w:color w:val="auto"/>
          <w:sz w:val="24"/>
          <w:szCs w:val="28"/>
          <w:highlight w:val="none"/>
        </w:rPr>
      </w:pPr>
      <w:r>
        <w:rPr>
          <w:rFonts w:hint="eastAsia" w:ascii="宋体" w:hAnsi="宋体" w:eastAsia="宋体"/>
          <w:color w:val="auto"/>
          <w:sz w:val="24"/>
          <w:szCs w:val="24"/>
          <w:highlight w:val="none"/>
        </w:rPr>
        <w:t xml:space="preserve">    除协议另有约定外，本协议存续期间发生争议的，争议解决过程中，协议各方对无争议部分应继续履行。</w:t>
      </w:r>
      <w:r>
        <w:rPr>
          <w:color w:val="auto"/>
          <w:sz w:val="24"/>
          <w:szCs w:val="28"/>
          <w:highlight w:val="none"/>
        </w:rPr>
        <w:br w:type="page"/>
      </w:r>
    </w:p>
    <w:p>
      <w:pPr>
        <w:spacing w:before="156" w:beforeLines="50" w:after="156" w:afterLines="50" w:line="360" w:lineRule="auto"/>
        <w:jc w:val="left"/>
        <w:rPr>
          <w:rFonts w:ascii="宋体" w:hAnsi="宋体" w:eastAsia="宋体"/>
          <w:color w:val="auto"/>
          <w:sz w:val="24"/>
          <w:szCs w:val="24"/>
          <w:highlight w:val="none"/>
        </w:rPr>
      </w:pPr>
    </w:p>
    <w:p>
      <w:pPr>
        <w:pStyle w:val="3"/>
        <w:spacing w:before="156" w:beforeLines="50" w:after="156" w:afterLines="50" w:line="360" w:lineRule="auto"/>
        <w:jc w:val="center"/>
        <w:rPr>
          <w:b/>
          <w:color w:val="auto"/>
          <w:sz w:val="36"/>
          <w:szCs w:val="52"/>
          <w:highlight w:val="none"/>
        </w:rPr>
      </w:pPr>
      <w:bookmarkStart w:id="173" w:name="_Toc101463885"/>
      <w:bookmarkStart w:id="174" w:name="_Toc55981107"/>
      <w:r>
        <w:rPr>
          <w:rFonts w:hint="eastAsia"/>
          <w:b/>
          <w:color w:val="auto"/>
          <w:sz w:val="36"/>
          <w:szCs w:val="52"/>
          <w:highlight w:val="none"/>
        </w:rPr>
        <w:t>十四、其他约定</w:t>
      </w:r>
      <w:bookmarkEnd w:id="173"/>
      <w:bookmarkEnd w:id="174"/>
    </w:p>
    <w:p>
      <w:pPr>
        <w:pStyle w:val="2"/>
        <w:spacing w:before="156" w:beforeLines="50" w:after="156" w:afterLines="50" w:line="360" w:lineRule="auto"/>
        <w:rPr>
          <w:color w:val="auto"/>
          <w:sz w:val="32"/>
          <w:szCs w:val="40"/>
          <w:highlight w:val="none"/>
        </w:rPr>
      </w:pPr>
      <w:bookmarkStart w:id="175" w:name="_Toc101463886"/>
      <w:bookmarkStart w:id="176" w:name="_Toc55981108"/>
      <w:r>
        <w:rPr>
          <w:rFonts w:hint="eastAsia"/>
          <w:color w:val="auto"/>
          <w:sz w:val="32"/>
          <w:szCs w:val="40"/>
          <w:highlight w:val="none"/>
        </w:rPr>
        <w:t>4</w:t>
      </w:r>
      <w:r>
        <w:rPr>
          <w:color w:val="auto"/>
          <w:sz w:val="32"/>
          <w:szCs w:val="40"/>
          <w:highlight w:val="none"/>
        </w:rPr>
        <w:t>9</w:t>
      </w:r>
      <w:r>
        <w:rPr>
          <w:rFonts w:hint="eastAsia"/>
          <w:color w:val="auto"/>
          <w:sz w:val="32"/>
          <w:szCs w:val="40"/>
          <w:highlight w:val="none"/>
        </w:rPr>
        <w:t>.法律适用及法律变更</w:t>
      </w:r>
      <w:bookmarkEnd w:id="175"/>
      <w:bookmarkEnd w:id="176"/>
    </w:p>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4</w:t>
      </w:r>
      <w:r>
        <w:rPr>
          <w:rFonts w:ascii="Times New Roman" w:hAnsi="Times New Roman" w:eastAsia="宋体" w:cs="Times New Roman"/>
          <w:color w:val="auto"/>
          <w:sz w:val="24"/>
          <w:szCs w:val="24"/>
          <w:highlight w:val="none"/>
        </w:rPr>
        <w:t>9</w:t>
      </w:r>
      <w:r>
        <w:rPr>
          <w:rFonts w:hint="eastAsia" w:ascii="Times New Roman" w:hAnsi="Times New Roman" w:eastAsia="宋体" w:cs="Times New Roman"/>
          <w:color w:val="auto"/>
          <w:sz w:val="24"/>
          <w:szCs w:val="24"/>
          <w:highlight w:val="none"/>
        </w:rPr>
        <w:t>.1</w:t>
      </w:r>
      <w:r>
        <w:rPr>
          <w:rFonts w:hint="eastAsia" w:ascii="宋体" w:hAnsi="宋体" w:eastAsia="宋体"/>
          <w:color w:val="auto"/>
          <w:sz w:val="24"/>
          <w:szCs w:val="24"/>
          <w:highlight w:val="none"/>
        </w:rPr>
        <w:t xml:space="preserve"> 本协议的订立、生效、解释、履行、变更和争议的解决适用中华人民共和国发法律、行政法规、地方性法规、规章、自治条例、单行条例、规范性文件及政策等。</w:t>
      </w:r>
    </w:p>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4</w:t>
      </w:r>
      <w:r>
        <w:rPr>
          <w:rFonts w:ascii="Times New Roman" w:hAnsi="Times New Roman" w:eastAsia="宋体" w:cs="Times New Roman"/>
          <w:color w:val="auto"/>
          <w:sz w:val="24"/>
          <w:szCs w:val="24"/>
          <w:highlight w:val="none"/>
        </w:rPr>
        <w:t>9</w:t>
      </w:r>
      <w:r>
        <w:rPr>
          <w:rFonts w:hint="eastAsia" w:ascii="Times New Roman" w:hAnsi="Times New Roman" w:eastAsia="宋体" w:cs="Times New Roman"/>
          <w:color w:val="auto"/>
          <w:sz w:val="24"/>
          <w:szCs w:val="24"/>
          <w:highlight w:val="none"/>
        </w:rPr>
        <w:t>.2</w:t>
      </w:r>
      <w:r>
        <w:rPr>
          <w:rFonts w:hint="eastAsia" w:ascii="宋体" w:hAnsi="宋体" w:eastAsia="宋体"/>
          <w:color w:val="auto"/>
          <w:sz w:val="24"/>
          <w:szCs w:val="24"/>
          <w:highlight w:val="none"/>
        </w:rPr>
        <w:t>法律变更是指在本协议生效后，法律、行政法规、地方性法规、规章、自治条例、单行条例、规范性文件及政策等发生变化的情形。</w:t>
      </w:r>
    </w:p>
    <w:p>
      <w:pPr>
        <w:spacing w:before="156" w:beforeLines="50" w:after="156" w:afterLines="50" w:line="360" w:lineRule="auto"/>
        <w:ind w:firstLine="420"/>
        <w:jc w:val="left"/>
        <w:rPr>
          <w:rFonts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4</w:t>
      </w:r>
      <w:r>
        <w:rPr>
          <w:rFonts w:ascii="Times New Roman" w:hAnsi="Times New Roman" w:eastAsia="宋体" w:cs="Times New Roman"/>
          <w:color w:val="auto"/>
          <w:sz w:val="24"/>
          <w:szCs w:val="24"/>
          <w:highlight w:val="none"/>
        </w:rPr>
        <w:t>9</w:t>
      </w:r>
      <w:r>
        <w:rPr>
          <w:rFonts w:hint="eastAsia" w:ascii="Times New Roman" w:hAnsi="Times New Roman" w:eastAsia="宋体" w:cs="Times New Roman"/>
          <w:color w:val="auto"/>
          <w:sz w:val="24"/>
          <w:szCs w:val="24"/>
          <w:highlight w:val="none"/>
        </w:rPr>
        <w:t>.3</w:t>
      </w:r>
      <w:r>
        <w:rPr>
          <w:rFonts w:hint="eastAsia" w:ascii="宋体" w:hAnsi="宋体" w:eastAsia="宋体"/>
          <w:color w:val="auto"/>
          <w:sz w:val="24"/>
          <w:szCs w:val="24"/>
          <w:highlight w:val="none"/>
        </w:rPr>
        <w:t>发生法律变更后，受到法律变更影响的一方应采取合理措施努力减少法律变更对本协议履行造成的影响。</w:t>
      </w:r>
    </w:p>
    <w:p>
      <w:pPr>
        <w:pStyle w:val="2"/>
        <w:spacing w:before="156" w:beforeLines="50" w:after="156" w:afterLines="50" w:line="360" w:lineRule="auto"/>
        <w:rPr>
          <w:color w:val="auto"/>
          <w:sz w:val="32"/>
          <w:szCs w:val="40"/>
          <w:highlight w:val="none"/>
        </w:rPr>
      </w:pPr>
      <w:bookmarkStart w:id="177" w:name="_Toc101463887"/>
      <w:bookmarkStart w:id="178" w:name="_Toc55981109"/>
      <w:r>
        <w:rPr>
          <w:color w:val="auto"/>
          <w:sz w:val="32"/>
          <w:szCs w:val="40"/>
          <w:highlight w:val="none"/>
        </w:rPr>
        <w:t>50</w:t>
      </w:r>
      <w:r>
        <w:rPr>
          <w:rFonts w:hint="eastAsia"/>
          <w:color w:val="auto"/>
          <w:sz w:val="32"/>
          <w:szCs w:val="40"/>
          <w:highlight w:val="none"/>
        </w:rPr>
        <w:t>.通知与送达</w:t>
      </w:r>
      <w:bookmarkEnd w:id="177"/>
      <w:bookmarkEnd w:id="178"/>
    </w:p>
    <w:p>
      <w:pPr>
        <w:pStyle w:val="38"/>
        <w:spacing w:before="156" w:beforeLines="50" w:after="156" w:afterLines="50" w:line="360" w:lineRule="auto"/>
        <w:rPr>
          <w:color w:val="auto"/>
          <w:sz w:val="32"/>
          <w:szCs w:val="40"/>
          <w:highlight w:val="none"/>
        </w:rPr>
      </w:pPr>
      <w:bookmarkStart w:id="179" w:name="_Toc55981110"/>
      <w:r>
        <w:rPr>
          <w:color w:val="auto"/>
          <w:sz w:val="32"/>
          <w:szCs w:val="40"/>
          <w:highlight w:val="none"/>
        </w:rPr>
        <w:t>50</w:t>
      </w:r>
      <w:r>
        <w:rPr>
          <w:rFonts w:hint="eastAsia"/>
          <w:color w:val="auto"/>
          <w:sz w:val="32"/>
          <w:szCs w:val="40"/>
          <w:highlight w:val="none"/>
        </w:rPr>
        <w:t>.1通知方式</w:t>
      </w:r>
      <w:bookmarkEnd w:id="179"/>
    </w:p>
    <w:p>
      <w:pPr>
        <w:spacing w:before="156" w:beforeLines="50" w:after="156" w:afterLines="50" w:line="360" w:lineRule="auto"/>
        <w:ind w:firstLine="470"/>
        <w:jc w:val="left"/>
        <w:rPr>
          <w:rFonts w:ascii="宋体" w:hAnsi="宋体" w:eastAsia="宋体"/>
          <w:color w:val="auto"/>
          <w:sz w:val="24"/>
          <w:szCs w:val="24"/>
          <w:highlight w:val="none"/>
        </w:rPr>
      </w:pPr>
      <w:r>
        <w:rPr>
          <w:rFonts w:hint="eastAsia" w:ascii="宋体" w:hAnsi="宋体" w:eastAsia="宋体"/>
          <w:color w:val="auto"/>
          <w:sz w:val="24"/>
          <w:szCs w:val="24"/>
          <w:highlight w:val="none"/>
        </w:rPr>
        <w:t>除本协议另有约定外，本协议项下的任何通知、指示、同意、批准、证明或决定，均应采用书面形式，并通过当面交付、邮政特快专递服务或有记录交付的其他形式，或通过电子通讯形式发至双方指定的地址或联系人。</w:t>
      </w:r>
    </w:p>
    <w:p>
      <w:pPr>
        <w:pStyle w:val="38"/>
        <w:spacing w:before="156" w:beforeLines="50" w:after="156" w:afterLines="50" w:line="360" w:lineRule="auto"/>
        <w:rPr>
          <w:color w:val="auto"/>
          <w:sz w:val="32"/>
          <w:szCs w:val="40"/>
          <w:highlight w:val="none"/>
        </w:rPr>
      </w:pPr>
      <w:bookmarkStart w:id="180" w:name="_Toc55981111"/>
      <w:r>
        <w:rPr>
          <w:color w:val="auto"/>
          <w:sz w:val="32"/>
          <w:szCs w:val="40"/>
          <w:highlight w:val="none"/>
        </w:rPr>
        <w:t>50</w:t>
      </w:r>
      <w:r>
        <w:rPr>
          <w:rFonts w:hint="eastAsia"/>
          <w:color w:val="auto"/>
          <w:sz w:val="32"/>
          <w:szCs w:val="40"/>
          <w:highlight w:val="none"/>
        </w:rPr>
        <w:t>.2送达</w:t>
      </w:r>
      <w:bookmarkEnd w:id="180"/>
    </w:p>
    <w:p>
      <w:pPr>
        <w:spacing w:before="156" w:beforeLines="50" w:after="156" w:afterLines="50" w:line="360" w:lineRule="auto"/>
        <w:ind w:firstLine="470"/>
        <w:jc w:val="left"/>
        <w:rPr>
          <w:rFonts w:ascii="宋体" w:hAnsi="宋体" w:eastAsia="宋体"/>
          <w:color w:val="auto"/>
          <w:sz w:val="24"/>
          <w:szCs w:val="24"/>
          <w:highlight w:val="none"/>
        </w:rPr>
      </w:pPr>
      <w:r>
        <w:rPr>
          <w:rFonts w:ascii="宋体" w:hAnsi="宋体" w:eastAsia="宋体"/>
          <w:color w:val="auto"/>
          <w:sz w:val="24"/>
          <w:szCs w:val="24"/>
          <w:highlight w:val="none"/>
        </w:rPr>
        <w:t>本条所述通知等书面文件或其他通讯在下列情况下视为送达</w:t>
      </w:r>
      <w:r>
        <w:rPr>
          <w:rFonts w:hint="eastAsia" w:ascii="宋体" w:hAnsi="宋体" w:eastAsia="宋体"/>
          <w:color w:val="auto"/>
          <w:sz w:val="24"/>
          <w:szCs w:val="24"/>
          <w:highlight w:val="none"/>
        </w:rPr>
        <w:t>：</w:t>
      </w:r>
    </w:p>
    <w:p>
      <w:pPr>
        <w:spacing w:before="156" w:beforeLines="50" w:after="156" w:afterLines="50" w:line="360" w:lineRule="auto"/>
        <w:ind w:firstLine="47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（1）接获通知的一方书面签收时；</w:t>
      </w:r>
    </w:p>
    <w:p>
      <w:pPr>
        <w:spacing w:before="156" w:beforeLines="50" w:after="156" w:afterLines="50" w:line="360" w:lineRule="auto"/>
        <w:ind w:firstLine="47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以邮政特快专递服务发送的，以实际签收日期为送达日，如发生拒收或退件或其他无法成功投递的情况下，投邮后的72小时即视为送达；若以传真方式发出，送达日以发件方完整的传真报告为准；若以电子邮件通知的，</w:t>
      </w:r>
      <w:r>
        <w:rPr>
          <w:rFonts w:ascii="宋体" w:hAnsi="宋体" w:eastAsia="宋体"/>
          <w:color w:val="auto"/>
          <w:sz w:val="24"/>
          <w:szCs w:val="24"/>
          <w:highlight w:val="none"/>
        </w:rPr>
        <w:t>则邮件发送至接收人指定的邮箱即视为送达。</w:t>
      </w:r>
      <w:r>
        <w:rPr>
          <w:rFonts w:hint="eastAsia" w:ascii="宋体" w:hAnsi="宋体" w:eastAsia="宋体"/>
          <w:color w:val="auto"/>
          <w:sz w:val="24"/>
          <w:szCs w:val="24"/>
          <w:highlight w:val="none"/>
        </w:rPr>
        <w:t>前述通知、函件等均应加盖发送方的公章或授权人签名后发送。</w:t>
      </w:r>
    </w:p>
    <w:p>
      <w:pPr>
        <w:pStyle w:val="2"/>
        <w:spacing w:before="156" w:beforeLines="50" w:after="156" w:afterLines="50" w:line="360" w:lineRule="auto"/>
        <w:rPr>
          <w:color w:val="auto"/>
          <w:sz w:val="32"/>
          <w:szCs w:val="40"/>
          <w:highlight w:val="none"/>
        </w:rPr>
      </w:pPr>
      <w:bookmarkStart w:id="181" w:name="_Toc101463888"/>
      <w:bookmarkStart w:id="182" w:name="_Toc55981112"/>
      <w:r>
        <w:rPr>
          <w:color w:val="auto"/>
          <w:sz w:val="32"/>
          <w:szCs w:val="40"/>
          <w:highlight w:val="none"/>
        </w:rPr>
        <w:t>51</w:t>
      </w:r>
      <w:r>
        <w:rPr>
          <w:rFonts w:hint="eastAsia"/>
          <w:color w:val="auto"/>
          <w:sz w:val="32"/>
          <w:szCs w:val="40"/>
          <w:highlight w:val="none"/>
        </w:rPr>
        <w:t>.合同生效及份数</w:t>
      </w:r>
      <w:bookmarkEnd w:id="181"/>
      <w:bookmarkEnd w:id="182"/>
    </w:p>
    <w:p>
      <w:pPr>
        <w:spacing w:before="156" w:beforeLines="50" w:after="156" w:afterLines="50" w:line="360" w:lineRule="auto"/>
        <w:ind w:firstLine="420"/>
        <w:jc w:val="left"/>
        <w:rPr>
          <w:rFonts w:ascii="宋体" w:hAnsi="宋体" w:eastAsia="宋体"/>
          <w:color w:val="auto"/>
          <w:sz w:val="24"/>
          <w:szCs w:val="24"/>
          <w:highlight w:val="none"/>
        </w:rPr>
      </w:pPr>
      <w:r>
        <w:rPr>
          <w:rFonts w:ascii="Times New Roman" w:hAnsi="Times New Roman" w:eastAsia="宋体" w:cs="Times New Roman"/>
          <w:color w:val="auto"/>
          <w:sz w:val="24"/>
          <w:szCs w:val="24"/>
          <w:highlight w:val="none"/>
        </w:rPr>
        <w:t>51</w:t>
      </w:r>
      <w:r>
        <w:rPr>
          <w:rFonts w:hint="eastAsia" w:ascii="Times New Roman" w:hAnsi="Times New Roman" w:eastAsia="宋体" w:cs="Times New Roman"/>
          <w:color w:val="auto"/>
          <w:sz w:val="24"/>
          <w:szCs w:val="24"/>
          <w:highlight w:val="none"/>
        </w:rPr>
        <w:t xml:space="preserve">.1 </w:t>
      </w:r>
      <w:r>
        <w:rPr>
          <w:rFonts w:hint="eastAsia" w:ascii="宋体" w:hAnsi="宋体" w:eastAsia="宋体"/>
          <w:color w:val="auto"/>
          <w:sz w:val="24"/>
          <w:szCs w:val="24"/>
          <w:highlight w:val="none"/>
        </w:rPr>
        <w:t>本协议自双方法定代表人或</w:t>
      </w:r>
      <w:r>
        <w:rPr>
          <w:rFonts w:hint="eastAsia" w:ascii="宋体" w:hAnsi="宋体" w:eastAsia="宋体" w:cs="宋体"/>
          <w:color w:val="auto"/>
          <w:sz w:val="24"/>
          <w:szCs w:val="24"/>
          <w:highlight w:val="none"/>
        </w:rPr>
        <w:t>其委托代理人</w:t>
      </w:r>
      <w:r>
        <w:rPr>
          <w:rFonts w:hint="eastAsia" w:ascii="宋体" w:hAnsi="宋体" w:eastAsia="宋体"/>
          <w:color w:val="auto"/>
          <w:sz w:val="24"/>
          <w:szCs w:val="24"/>
          <w:highlight w:val="none"/>
        </w:rPr>
        <w:t>签字</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或盖章</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并加盖公章之日起生效，合同履行完毕之后自动失效。</w:t>
      </w:r>
    </w:p>
    <w:p>
      <w:pPr>
        <w:spacing w:before="156" w:beforeLines="50" w:after="156" w:afterLines="50" w:line="360" w:lineRule="auto"/>
        <w:ind w:firstLine="42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51.2 </w:t>
      </w:r>
      <w:r>
        <w:rPr>
          <w:rFonts w:hint="eastAsia" w:ascii="宋体" w:hAnsi="宋体" w:eastAsia="宋体"/>
          <w:color w:val="auto"/>
          <w:sz w:val="24"/>
          <w:szCs w:val="24"/>
          <w:highlight w:val="none"/>
        </w:rPr>
        <w:t>本协议</w:t>
      </w:r>
      <w:r>
        <w:rPr>
          <w:rFonts w:hint="eastAsia" w:ascii="宋体" w:hAnsi="宋体" w:eastAsia="宋体"/>
          <w:color w:val="auto"/>
          <w:sz w:val="24"/>
          <w:szCs w:val="24"/>
          <w:highlight w:val="none"/>
          <w:u w:val="single"/>
        </w:rPr>
        <w:t>一式</w:t>
      </w:r>
      <w:r>
        <w:rPr>
          <w:rFonts w:hint="eastAsia" w:ascii="宋体" w:hAnsi="宋体" w:eastAsia="宋体"/>
          <w:color w:val="auto"/>
          <w:sz w:val="24"/>
          <w:szCs w:val="24"/>
          <w:highlight w:val="none"/>
          <w:u w:val="single"/>
          <w:lang w:val="en-US" w:eastAsia="zh-CN"/>
        </w:rPr>
        <w:t>壹拾捌</w:t>
      </w:r>
      <w:r>
        <w:rPr>
          <w:rFonts w:hint="eastAsia" w:ascii="宋体" w:hAnsi="宋体" w:eastAsia="宋体"/>
          <w:color w:val="auto"/>
          <w:sz w:val="24"/>
          <w:szCs w:val="24"/>
          <w:highlight w:val="none"/>
          <w:u w:val="single"/>
        </w:rPr>
        <w:t>份</w:t>
      </w:r>
      <w:r>
        <w:rPr>
          <w:rFonts w:hint="eastAsia" w:ascii="宋体" w:hAnsi="宋体" w:eastAsia="宋体"/>
          <w:color w:val="auto"/>
          <w:sz w:val="24"/>
          <w:szCs w:val="24"/>
          <w:highlight w:val="none"/>
        </w:rPr>
        <w:t>，均具有同等法律效力，</w:t>
      </w:r>
      <w:r>
        <w:rPr>
          <w:rFonts w:hint="eastAsia" w:ascii="宋体" w:hAnsi="宋体" w:eastAsia="宋体"/>
          <w:color w:val="auto"/>
          <w:sz w:val="24"/>
          <w:szCs w:val="24"/>
          <w:highlight w:val="none"/>
          <w:u w:val="single"/>
        </w:rPr>
        <w:t>甲方执肆份，乙方执肆份，</w:t>
      </w:r>
      <w:r>
        <w:rPr>
          <w:rFonts w:hint="eastAsia" w:ascii="宋体" w:hAnsi="宋体" w:eastAsia="宋体"/>
          <w:color w:val="auto"/>
          <w:sz w:val="24"/>
          <w:szCs w:val="24"/>
          <w:highlight w:val="none"/>
          <w:u w:val="single"/>
          <w:lang w:val="en-US" w:eastAsia="zh-CN"/>
        </w:rPr>
        <w:t>其他联合体成员各一份</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项目公司留存</w:t>
      </w:r>
      <w:r>
        <w:rPr>
          <w:rFonts w:hint="eastAsia" w:ascii="宋体" w:hAnsi="宋体" w:eastAsia="宋体"/>
          <w:color w:val="auto"/>
          <w:sz w:val="24"/>
          <w:szCs w:val="24"/>
          <w:highlight w:val="none"/>
          <w:lang w:val="en-US" w:eastAsia="zh-CN"/>
        </w:rPr>
        <w:t>叁</w:t>
      </w:r>
      <w:r>
        <w:rPr>
          <w:rFonts w:hint="eastAsia" w:ascii="宋体" w:hAnsi="宋体" w:eastAsia="宋体"/>
          <w:color w:val="auto"/>
          <w:sz w:val="24"/>
          <w:szCs w:val="24"/>
          <w:highlight w:val="none"/>
        </w:rPr>
        <w:t>份。</w:t>
      </w:r>
    </w:p>
    <w:p>
      <w:pPr>
        <w:spacing w:before="156" w:beforeLines="50" w:after="156" w:afterLines="50" w:line="360" w:lineRule="auto"/>
        <w:ind w:firstLine="480" w:firstLineChars="200"/>
        <w:jc w:val="left"/>
        <w:rPr>
          <w:rFonts w:ascii="宋体" w:hAnsi="宋体" w:eastAsia="宋体"/>
          <w:color w:val="auto"/>
          <w:sz w:val="24"/>
          <w:szCs w:val="24"/>
          <w:highlight w:val="none"/>
        </w:rPr>
      </w:pPr>
      <w:r>
        <w:rPr>
          <w:rFonts w:ascii="Times New Roman" w:hAnsi="Times New Roman" w:eastAsia="宋体" w:cs="Times New Roman"/>
          <w:color w:val="auto"/>
          <w:sz w:val="24"/>
          <w:szCs w:val="24"/>
          <w:highlight w:val="none"/>
        </w:rPr>
        <w:t>51</w:t>
      </w:r>
      <w:r>
        <w:rPr>
          <w:rFonts w:hint="eastAsia" w:ascii="Times New Roman" w:hAnsi="Times New Roman" w:eastAsia="宋体" w:cs="Times New Roman"/>
          <w:color w:val="auto"/>
          <w:sz w:val="24"/>
          <w:szCs w:val="24"/>
          <w:highlight w:val="none"/>
        </w:rPr>
        <w:t>.3</w:t>
      </w:r>
      <w:r>
        <w:rPr>
          <w:rFonts w:hint="eastAsia" w:ascii="宋体" w:hAnsi="宋体" w:eastAsia="宋体"/>
          <w:color w:val="auto"/>
          <w:sz w:val="24"/>
          <w:szCs w:val="24"/>
          <w:highlight w:val="none"/>
        </w:rPr>
        <w:t xml:space="preserve"> 本协议双方当事人可以通过签订补充协议的方式对本协议的内容进行变更或修订，所签订的补充协议与本协议具有同等法律效力。</w:t>
      </w:r>
    </w:p>
    <w:p>
      <w:pPr>
        <w:spacing w:before="156" w:beforeLines="50" w:after="156" w:afterLines="50" w:line="360" w:lineRule="auto"/>
        <w:rPr>
          <w:rFonts w:ascii="宋体" w:hAnsi="宋体" w:eastAsia="宋体"/>
          <w:bCs/>
          <w:color w:val="auto"/>
          <w:sz w:val="24"/>
          <w:szCs w:val="24"/>
          <w:highlight w:val="none"/>
        </w:rPr>
      </w:pPr>
      <w:r>
        <w:rPr>
          <w:rFonts w:hint="eastAsia" w:ascii="宋体" w:hAnsi="宋体" w:eastAsia="宋体"/>
          <w:color w:val="auto"/>
          <w:sz w:val="24"/>
          <w:szCs w:val="24"/>
          <w:highlight w:val="none"/>
        </w:rPr>
        <w:t>附件一：合作区域四至示意图</w:t>
      </w:r>
    </w:p>
    <w:p>
      <w:pPr>
        <w:spacing w:before="156" w:beforeLines="50" w:after="156" w:afterLines="50" w:line="360" w:lineRule="auto"/>
        <w:rPr>
          <w:color w:val="auto"/>
          <w:sz w:val="24"/>
          <w:szCs w:val="28"/>
          <w:highlight w:val="none"/>
        </w:rPr>
      </w:pPr>
      <w:r>
        <w:rPr>
          <w:rFonts w:hint="eastAsia"/>
          <w:color w:val="auto"/>
          <w:sz w:val="24"/>
          <w:szCs w:val="28"/>
          <w:highlight w:val="none"/>
        </w:rPr>
        <w:t>附件二.  共管资金账户协议</w:t>
      </w:r>
    </w:p>
    <w:p>
      <w:pPr>
        <w:spacing w:before="156" w:beforeLines="50" w:after="156" w:afterLines="50"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（以下签署页,无正文）</w:t>
      </w:r>
    </w:p>
    <w:p>
      <w:pPr>
        <w:spacing w:before="156" w:beforeLines="50" w:after="156" w:afterLines="50" w:line="360" w:lineRule="auto"/>
        <w:ind w:firstLine="480" w:firstLineChars="200"/>
        <w:jc w:val="left"/>
        <w:rPr>
          <w:rFonts w:ascii="宋体" w:hAnsi="宋体" w:eastAsia="宋体"/>
          <w:color w:val="auto"/>
          <w:sz w:val="24"/>
          <w:szCs w:val="24"/>
          <w:highlight w:val="none"/>
        </w:rPr>
      </w:pPr>
    </w:p>
    <w:p>
      <w:pPr>
        <w:pStyle w:val="31"/>
        <w:keepNext w:val="0"/>
        <w:keepLines w:val="0"/>
        <w:pageBreakBefore w:val="0"/>
        <w:widowControl w:val="0"/>
        <w:kinsoku/>
        <w:wordWrap/>
        <w:overflowPunct/>
        <w:topLinePunct w:val="0"/>
        <w:autoSpaceDE w:val="0"/>
        <w:autoSpaceDN w:val="0"/>
        <w:bidi w:val="0"/>
        <w:adjustRightInd w:val="0"/>
        <w:snapToGrid/>
        <w:spacing w:before="156" w:beforeLines="50" w:after="156" w:afterLines="50" w:line="600" w:lineRule="auto"/>
        <w:textAlignment w:val="auto"/>
        <w:rPr>
          <w:rFonts w:hint="eastAsia" w:ascii="宋体" w:hAnsi="宋体" w:eastAsia="宋体" w:cs="宋体"/>
          <w:color w:val="auto"/>
          <w:sz w:val="28"/>
          <w:szCs w:val="28"/>
          <w:highlight w:val="none"/>
        </w:rPr>
      </w:pPr>
    </w:p>
    <w:p>
      <w:pPr>
        <w:pStyle w:val="31"/>
        <w:keepNext w:val="0"/>
        <w:keepLines w:val="0"/>
        <w:pageBreakBefore w:val="0"/>
        <w:widowControl w:val="0"/>
        <w:kinsoku/>
        <w:wordWrap/>
        <w:overflowPunct/>
        <w:topLinePunct w:val="0"/>
        <w:autoSpaceDE w:val="0"/>
        <w:autoSpaceDN w:val="0"/>
        <w:bidi w:val="0"/>
        <w:adjustRightInd w:val="0"/>
        <w:snapToGrid/>
        <w:spacing w:before="156" w:beforeLines="50" w:after="156" w:afterLines="50" w:line="600" w:lineRule="auto"/>
        <w:textAlignment w:val="auto"/>
        <w:rPr>
          <w:rFonts w:hint="eastAsia" w:ascii="宋体" w:hAnsi="宋体" w:eastAsia="宋体" w:cs="宋体"/>
          <w:color w:val="auto"/>
          <w:sz w:val="28"/>
          <w:szCs w:val="28"/>
          <w:highlight w:val="none"/>
        </w:rPr>
      </w:pPr>
    </w:p>
    <w:p>
      <w:pPr>
        <w:pStyle w:val="31"/>
        <w:keepNext w:val="0"/>
        <w:keepLines w:val="0"/>
        <w:pageBreakBefore w:val="0"/>
        <w:widowControl w:val="0"/>
        <w:kinsoku/>
        <w:wordWrap/>
        <w:overflowPunct/>
        <w:topLinePunct w:val="0"/>
        <w:autoSpaceDE w:val="0"/>
        <w:autoSpaceDN w:val="0"/>
        <w:bidi w:val="0"/>
        <w:adjustRightInd w:val="0"/>
        <w:snapToGrid/>
        <w:spacing w:before="156" w:beforeLines="50" w:after="156" w:afterLines="50" w:line="600" w:lineRule="auto"/>
        <w:textAlignment w:val="auto"/>
        <w:rPr>
          <w:rFonts w:hint="eastAsia" w:ascii="宋体" w:hAnsi="宋体" w:eastAsia="宋体" w:cs="宋体"/>
          <w:color w:val="auto"/>
          <w:sz w:val="28"/>
          <w:szCs w:val="28"/>
          <w:highlight w:val="none"/>
        </w:rPr>
      </w:pPr>
    </w:p>
    <w:p>
      <w:pPr>
        <w:pStyle w:val="31"/>
        <w:keepNext w:val="0"/>
        <w:keepLines w:val="0"/>
        <w:pageBreakBefore w:val="0"/>
        <w:widowControl w:val="0"/>
        <w:kinsoku/>
        <w:wordWrap/>
        <w:overflowPunct/>
        <w:topLinePunct w:val="0"/>
        <w:autoSpaceDE w:val="0"/>
        <w:autoSpaceDN w:val="0"/>
        <w:bidi w:val="0"/>
        <w:adjustRightInd w:val="0"/>
        <w:snapToGrid/>
        <w:spacing w:before="156" w:beforeLines="50" w:after="156" w:afterLines="50" w:line="600" w:lineRule="auto"/>
        <w:textAlignment w:val="auto"/>
        <w:rPr>
          <w:rFonts w:hint="eastAsia" w:ascii="宋体" w:hAnsi="宋体" w:eastAsia="宋体" w:cs="宋体"/>
          <w:color w:val="auto"/>
          <w:sz w:val="28"/>
          <w:szCs w:val="28"/>
          <w:highlight w:val="none"/>
        </w:rPr>
      </w:pPr>
    </w:p>
    <w:p>
      <w:pPr>
        <w:pStyle w:val="31"/>
        <w:keepNext w:val="0"/>
        <w:keepLines w:val="0"/>
        <w:pageBreakBefore w:val="0"/>
        <w:widowControl w:val="0"/>
        <w:kinsoku/>
        <w:wordWrap/>
        <w:overflowPunct/>
        <w:topLinePunct w:val="0"/>
        <w:autoSpaceDE w:val="0"/>
        <w:autoSpaceDN w:val="0"/>
        <w:bidi w:val="0"/>
        <w:adjustRightInd w:val="0"/>
        <w:snapToGrid/>
        <w:spacing w:before="156" w:beforeLines="50" w:after="156" w:afterLines="50" w:line="600" w:lineRule="auto"/>
        <w:textAlignment w:val="auto"/>
        <w:rPr>
          <w:rFonts w:hint="eastAsia" w:ascii="宋体" w:hAnsi="宋体" w:eastAsia="宋体" w:cs="宋体"/>
          <w:color w:val="auto"/>
          <w:sz w:val="28"/>
          <w:szCs w:val="28"/>
          <w:highlight w:val="none"/>
        </w:rPr>
      </w:pPr>
    </w:p>
    <w:p>
      <w:pPr>
        <w:pStyle w:val="31"/>
        <w:keepNext w:val="0"/>
        <w:keepLines w:val="0"/>
        <w:pageBreakBefore w:val="0"/>
        <w:widowControl w:val="0"/>
        <w:kinsoku/>
        <w:wordWrap/>
        <w:overflowPunct/>
        <w:topLinePunct w:val="0"/>
        <w:autoSpaceDE w:val="0"/>
        <w:autoSpaceDN w:val="0"/>
        <w:bidi w:val="0"/>
        <w:adjustRightInd w:val="0"/>
        <w:snapToGrid/>
        <w:spacing w:before="156" w:beforeLines="50" w:after="156" w:afterLines="50" w:line="600" w:lineRule="auto"/>
        <w:textAlignment w:val="auto"/>
        <w:rPr>
          <w:rFonts w:hint="eastAsia" w:ascii="宋体" w:hAnsi="宋体" w:eastAsia="宋体" w:cs="宋体"/>
          <w:color w:val="auto"/>
          <w:sz w:val="28"/>
          <w:szCs w:val="28"/>
          <w:highlight w:val="none"/>
        </w:rPr>
      </w:pPr>
    </w:p>
    <w:p>
      <w:pPr>
        <w:pStyle w:val="31"/>
        <w:keepNext w:val="0"/>
        <w:keepLines w:val="0"/>
        <w:pageBreakBefore w:val="0"/>
        <w:widowControl w:val="0"/>
        <w:kinsoku/>
        <w:wordWrap/>
        <w:overflowPunct/>
        <w:topLinePunct w:val="0"/>
        <w:autoSpaceDE w:val="0"/>
        <w:autoSpaceDN w:val="0"/>
        <w:bidi w:val="0"/>
        <w:adjustRightInd w:val="0"/>
        <w:snapToGrid/>
        <w:spacing w:before="156" w:beforeLines="50" w:after="156" w:afterLines="50" w:line="600" w:lineRule="auto"/>
        <w:textAlignment w:val="auto"/>
        <w:rPr>
          <w:rFonts w:hint="eastAsia" w:ascii="宋体" w:hAnsi="宋体" w:eastAsia="宋体" w:cs="宋体"/>
          <w:color w:val="auto"/>
          <w:sz w:val="28"/>
          <w:szCs w:val="28"/>
          <w:highlight w:val="none"/>
        </w:rPr>
      </w:pPr>
    </w:p>
    <w:p>
      <w:pPr>
        <w:pStyle w:val="31"/>
        <w:keepNext w:val="0"/>
        <w:keepLines w:val="0"/>
        <w:pageBreakBefore w:val="0"/>
        <w:widowControl w:val="0"/>
        <w:kinsoku/>
        <w:wordWrap/>
        <w:overflowPunct/>
        <w:topLinePunct w:val="0"/>
        <w:autoSpaceDE w:val="0"/>
        <w:autoSpaceDN w:val="0"/>
        <w:bidi w:val="0"/>
        <w:adjustRightInd w:val="0"/>
        <w:snapToGrid/>
        <w:spacing w:before="156" w:beforeLines="50" w:after="156" w:afterLines="50" w:line="132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甲方： </w:t>
      </w:r>
      <w:r>
        <w:rPr>
          <w:rFonts w:hint="default" w:ascii="宋体" w:hAnsi="宋体" w:eastAsia="宋体" w:cs="宋体"/>
          <w:color w:val="auto"/>
          <w:sz w:val="28"/>
          <w:szCs w:val="28"/>
          <w:highlight w:val="none"/>
        </w:rPr>
        <w:t>西安曲江渼陂湖投资建设有限公司</w:t>
      </w:r>
      <w:r>
        <w:rPr>
          <w:rFonts w:hint="eastAsia" w:ascii="宋体" w:hAnsi="宋体" w:eastAsia="宋体" w:cs="宋体"/>
          <w:color w:val="auto"/>
          <w:sz w:val="28"/>
          <w:szCs w:val="28"/>
          <w:highlight w:val="none"/>
        </w:rPr>
        <w:t xml:space="preserve">（公章） </w:t>
      </w:r>
    </w:p>
    <w:p>
      <w:pPr>
        <w:pStyle w:val="31"/>
        <w:keepNext w:val="0"/>
        <w:keepLines w:val="0"/>
        <w:pageBreakBefore w:val="0"/>
        <w:widowControl w:val="0"/>
        <w:kinsoku/>
        <w:wordWrap/>
        <w:overflowPunct/>
        <w:topLinePunct w:val="0"/>
        <w:autoSpaceDE w:val="0"/>
        <w:autoSpaceDN w:val="0"/>
        <w:bidi w:val="0"/>
        <w:adjustRightInd w:val="0"/>
        <w:snapToGrid/>
        <w:spacing w:before="156" w:beforeLines="50" w:after="156" w:afterLines="50" w:line="132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pPr>
        <w:pStyle w:val="31"/>
        <w:keepNext w:val="0"/>
        <w:keepLines w:val="0"/>
        <w:pageBreakBefore w:val="0"/>
        <w:widowControl w:val="0"/>
        <w:kinsoku/>
        <w:wordWrap/>
        <w:overflowPunct/>
        <w:topLinePunct w:val="0"/>
        <w:autoSpaceDE w:val="0"/>
        <w:autoSpaceDN w:val="0"/>
        <w:bidi w:val="0"/>
        <w:adjustRightInd w:val="0"/>
        <w:snapToGrid/>
        <w:spacing w:before="156" w:beforeLines="50" w:after="156" w:afterLines="50" w:line="132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日期：</w:t>
      </w:r>
    </w:p>
    <w:p>
      <w:pPr>
        <w:pStyle w:val="31"/>
        <w:keepNext w:val="0"/>
        <w:keepLines w:val="0"/>
        <w:pageBreakBefore w:val="0"/>
        <w:widowControl w:val="0"/>
        <w:kinsoku/>
        <w:wordWrap/>
        <w:overflowPunct/>
        <w:topLinePunct w:val="0"/>
        <w:autoSpaceDE w:val="0"/>
        <w:autoSpaceDN w:val="0"/>
        <w:bidi w:val="0"/>
        <w:adjustRightInd w:val="0"/>
        <w:snapToGrid/>
        <w:spacing w:before="156" w:beforeLines="50" w:after="156" w:afterLines="50" w:line="720" w:lineRule="auto"/>
        <w:textAlignment w:val="auto"/>
        <w:rPr>
          <w:rFonts w:hint="eastAsia" w:ascii="宋体" w:hAnsi="宋体" w:eastAsia="宋体" w:cs="宋体"/>
          <w:color w:val="auto"/>
          <w:sz w:val="28"/>
          <w:szCs w:val="28"/>
          <w:highlight w:val="none"/>
        </w:rPr>
      </w:pPr>
    </w:p>
    <w:p>
      <w:pPr>
        <w:pStyle w:val="31"/>
        <w:keepNext w:val="0"/>
        <w:keepLines w:val="0"/>
        <w:pageBreakBefore w:val="0"/>
        <w:widowControl w:val="0"/>
        <w:kinsoku/>
        <w:wordWrap/>
        <w:overflowPunct/>
        <w:topLinePunct w:val="0"/>
        <w:autoSpaceDE w:val="0"/>
        <w:autoSpaceDN w:val="0"/>
        <w:bidi w:val="0"/>
        <w:adjustRightInd w:val="0"/>
        <w:snapToGrid/>
        <w:spacing w:before="156" w:beforeLines="50" w:after="156" w:afterLines="50" w:line="132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乙方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联合体牵头人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中国铁建投资集团有限公司（公章）</w:t>
      </w:r>
    </w:p>
    <w:p>
      <w:pPr>
        <w:pStyle w:val="31"/>
        <w:keepNext w:val="0"/>
        <w:keepLines w:val="0"/>
        <w:pageBreakBefore w:val="0"/>
        <w:widowControl w:val="0"/>
        <w:kinsoku/>
        <w:wordWrap/>
        <w:overflowPunct/>
        <w:topLinePunct w:val="0"/>
        <w:autoSpaceDE w:val="0"/>
        <w:autoSpaceDN w:val="0"/>
        <w:bidi w:val="0"/>
        <w:adjustRightInd w:val="0"/>
        <w:snapToGrid/>
        <w:spacing w:before="156" w:beforeLines="50" w:after="156" w:afterLines="50" w:line="132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法定代表人或其委托代理人：（签字或盖章）</w:t>
      </w:r>
    </w:p>
    <w:p>
      <w:pPr>
        <w:pStyle w:val="31"/>
        <w:keepNext w:val="0"/>
        <w:keepLines w:val="0"/>
        <w:pageBreakBefore w:val="0"/>
        <w:widowControl w:val="0"/>
        <w:kinsoku/>
        <w:wordWrap/>
        <w:overflowPunct/>
        <w:topLinePunct w:val="0"/>
        <w:autoSpaceDE w:val="0"/>
        <w:autoSpaceDN w:val="0"/>
        <w:bidi w:val="0"/>
        <w:adjustRightInd w:val="0"/>
        <w:snapToGrid/>
        <w:spacing w:before="156" w:beforeLines="50" w:after="156" w:afterLines="50" w:line="132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日期：</w:t>
      </w:r>
    </w:p>
    <w:p>
      <w:pPr>
        <w:widowControl/>
        <w:jc w:val="left"/>
        <w:rPr>
          <w:rFonts w:hint="eastAsia" w:ascii="宋体" w:hAnsi="宋体"/>
          <w:color w:val="auto"/>
          <w:highlight w:val="none"/>
          <w:u w:val="none"/>
        </w:rPr>
      </w:pPr>
    </w:p>
    <w:p>
      <w:pPr>
        <w:widowControl/>
        <w:jc w:val="left"/>
        <w:rPr>
          <w:rFonts w:ascii="宋体" w:hAnsi="宋体"/>
          <w:color w:val="auto"/>
          <w:highlight w:val="none"/>
          <w:u w:val="none"/>
        </w:rPr>
      </w:pPr>
      <w:r>
        <w:rPr>
          <w:rFonts w:hint="eastAsia" w:ascii="宋体" w:hAnsi="宋体"/>
          <w:color w:val="auto"/>
          <w:highlight w:val="none"/>
          <w:u w:val="none"/>
        </w:rPr>
        <w:t>(</w:t>
      </w:r>
      <w:r>
        <w:rPr>
          <w:rFonts w:hint="eastAsia" w:ascii="宋体" w:hAnsi="宋体"/>
          <w:color w:val="auto"/>
          <w:highlight w:val="none"/>
          <w:u w:val="none"/>
          <w:lang w:val="en-US" w:eastAsia="zh-CN"/>
        </w:rPr>
        <w:t>乙方</w:t>
      </w:r>
      <w:r>
        <w:rPr>
          <w:rFonts w:hint="eastAsia" w:ascii="宋体" w:hAnsi="宋体"/>
          <w:color w:val="auto"/>
          <w:highlight w:val="none"/>
          <w:u w:val="none"/>
        </w:rPr>
        <w:t>联合体其他单位</w:t>
      </w:r>
      <w:r>
        <w:rPr>
          <w:rFonts w:ascii="宋体" w:hAnsi="宋体"/>
          <w:color w:val="auto"/>
          <w:highlight w:val="none"/>
          <w:u w:val="none"/>
        </w:rPr>
        <w:t>)</w:t>
      </w:r>
    </w:p>
    <w:p>
      <w:pPr>
        <w:spacing w:before="156" w:beforeLines="50" w:after="156" w:afterLines="50" w:line="360" w:lineRule="auto"/>
        <w:jc w:val="both"/>
        <w:rPr>
          <w:rFonts w:hint="eastAsia" w:ascii="宋体" w:hAnsi="宋体"/>
          <w:color w:val="auto"/>
          <w:highlight w:val="none"/>
          <w:u w:val="none"/>
        </w:rPr>
      </w:pPr>
      <w:r>
        <w:rPr>
          <w:rFonts w:hint="eastAsia" w:ascii="宋体" w:hAnsi="宋体"/>
          <w:color w:val="auto"/>
          <w:highlight w:val="none"/>
          <w:u w:val="none"/>
        </w:rPr>
        <w:t>（此页为《西安渼陂湖水系生态文化旅游区综合开发项目合作协议书》各方签字页）</w:t>
      </w:r>
    </w:p>
    <w:p>
      <w:pPr>
        <w:keepNext w:val="0"/>
        <w:keepLines w:val="0"/>
        <w:pageBreakBefore w:val="0"/>
        <w:widowControl w:val="0"/>
        <w:kinsoku/>
        <w:wordWrap/>
        <w:overflowPunct/>
        <w:topLinePunct w:val="0"/>
        <w:autoSpaceDE/>
        <w:autoSpaceDN/>
        <w:bidi w:val="0"/>
        <w:adjustRightInd w:val="0"/>
        <w:snapToGrid w:val="0"/>
        <w:spacing w:line="1100" w:lineRule="exact"/>
        <w:ind w:right="0" w:firstLine="560" w:firstLineChars="200"/>
        <w:textAlignment w:val="baseline"/>
        <w:rPr>
          <w:rFonts w:hint="eastAsia" w:ascii="宋体" w:hAnsi="宋体" w:eastAsia="宋体" w:cs="宋体"/>
          <w:color w:val="auto"/>
          <w:sz w:val="28"/>
          <w:szCs w:val="28"/>
          <w:highlight w:val="none"/>
          <w:u w:val="none"/>
          <w:lang w:val="en-US"/>
        </w:rPr>
      </w:pPr>
    </w:p>
    <w:p>
      <w:pPr>
        <w:pStyle w:val="2"/>
        <w:rPr>
          <w:rFonts w:hint="eastAsia"/>
          <w:color w:val="auto"/>
          <w:highlight w:val="none"/>
          <w:lang w:val="en-US"/>
        </w:rPr>
      </w:pPr>
    </w:p>
    <w:p>
      <w:pPr>
        <w:pStyle w:val="2"/>
        <w:rPr>
          <w:rFonts w:hint="eastAsia"/>
          <w:color w:val="auto"/>
          <w:highlight w:val="none"/>
          <w:u w:val="none"/>
          <w:lang w:val="en-US"/>
        </w:rPr>
      </w:pPr>
    </w:p>
    <w:p>
      <w:pPr>
        <w:keepNext w:val="0"/>
        <w:keepLines w:val="0"/>
        <w:pageBreakBefore w:val="0"/>
        <w:widowControl w:val="0"/>
        <w:kinsoku/>
        <w:wordWrap/>
        <w:overflowPunct/>
        <w:topLinePunct w:val="0"/>
        <w:autoSpaceDE/>
        <w:autoSpaceDN/>
        <w:bidi w:val="0"/>
        <w:adjustRightInd w:val="0"/>
        <w:snapToGrid w:val="0"/>
        <w:spacing w:line="1700" w:lineRule="exact"/>
        <w:ind w:right="0"/>
        <w:textAlignment w:val="baseline"/>
        <w:rPr>
          <w:rFonts w:hint="eastAsia"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eastAsia="zh-CN"/>
        </w:rPr>
        <w:t>乙方：</w:t>
      </w:r>
      <w:r>
        <w:rPr>
          <w:rFonts w:hint="eastAsia" w:ascii="宋体" w:hAnsi="宋体" w:eastAsia="宋体" w:cs="宋体"/>
          <w:color w:val="auto"/>
          <w:sz w:val="28"/>
          <w:szCs w:val="28"/>
          <w:highlight w:val="none"/>
          <w:u w:val="none"/>
          <w:lang w:val="en-US"/>
        </w:rPr>
        <w:t>中铁建投资基金管理有限公司（盖章）</w:t>
      </w:r>
    </w:p>
    <w:p>
      <w:pPr>
        <w:keepNext w:val="0"/>
        <w:keepLines w:val="0"/>
        <w:pageBreakBefore w:val="0"/>
        <w:widowControl w:val="0"/>
        <w:kinsoku/>
        <w:wordWrap/>
        <w:overflowPunct/>
        <w:topLinePunct w:val="0"/>
        <w:autoSpaceDE/>
        <w:autoSpaceDN/>
        <w:bidi w:val="0"/>
        <w:adjustRightInd w:val="0"/>
        <w:snapToGrid w:val="0"/>
        <w:spacing w:line="1700" w:lineRule="exact"/>
        <w:ind w:right="0"/>
        <w:textAlignment w:val="baseline"/>
        <w:rPr>
          <w:rFonts w:hint="eastAsia"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rPr>
        <w:t>负责人或授权代表（签字</w:t>
      </w:r>
      <w:r>
        <w:rPr>
          <w:rFonts w:hint="eastAsia" w:ascii="宋体" w:hAnsi="宋体" w:eastAsia="宋体" w:cs="宋体"/>
          <w:color w:val="auto"/>
          <w:sz w:val="28"/>
          <w:szCs w:val="28"/>
          <w:highlight w:val="none"/>
          <w:u w:val="none"/>
          <w:lang w:val="en-US" w:eastAsia="zh-CN"/>
        </w:rPr>
        <w:t>或盖章</w:t>
      </w:r>
      <w:r>
        <w:rPr>
          <w:rFonts w:hint="eastAsia" w:ascii="宋体" w:hAnsi="宋体" w:eastAsia="宋体" w:cs="宋体"/>
          <w:color w:val="auto"/>
          <w:sz w:val="28"/>
          <w:szCs w:val="28"/>
          <w:highlight w:val="none"/>
          <w:u w:val="none"/>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1700" w:lineRule="exact"/>
        <w:ind w:right="0"/>
        <w:textAlignment w:val="baseline"/>
        <w:rPr>
          <w:rFonts w:hint="eastAsia"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rPr>
        <w:t xml:space="preserve">日期：                            </w:t>
      </w:r>
    </w:p>
    <w:p>
      <w:pPr>
        <w:keepNext w:val="0"/>
        <w:keepLines w:val="0"/>
        <w:pageBreakBefore w:val="0"/>
        <w:widowControl w:val="0"/>
        <w:kinsoku/>
        <w:wordWrap/>
        <w:overflowPunct/>
        <w:topLinePunct w:val="0"/>
        <w:autoSpaceDE/>
        <w:autoSpaceDN/>
        <w:bidi w:val="0"/>
        <w:adjustRightInd w:val="0"/>
        <w:snapToGrid w:val="0"/>
        <w:spacing w:line="1100" w:lineRule="exact"/>
        <w:ind w:right="0" w:firstLine="560" w:firstLineChars="200"/>
        <w:textAlignment w:val="baseline"/>
        <w:rPr>
          <w:rFonts w:hint="eastAsia" w:ascii="宋体" w:hAnsi="宋体" w:eastAsia="宋体" w:cs="宋体"/>
          <w:color w:val="auto"/>
          <w:sz w:val="28"/>
          <w:szCs w:val="28"/>
          <w:highlight w:val="none"/>
          <w:u w:val="none"/>
          <w:lang w:val="en-US"/>
        </w:rPr>
      </w:pPr>
    </w:p>
    <w:p>
      <w:pPr>
        <w:widowControl/>
        <w:jc w:val="left"/>
        <w:rPr>
          <w:rFonts w:hint="eastAsia" w:ascii="宋体" w:hAnsi="宋体" w:eastAsia="宋体" w:cs="宋体"/>
          <w:color w:val="auto"/>
          <w:highlight w:val="none"/>
          <w:u w:val="none"/>
        </w:rPr>
      </w:pPr>
    </w:p>
    <w:p>
      <w:pPr>
        <w:widowControl/>
        <w:jc w:val="left"/>
        <w:rPr>
          <w:rFonts w:hint="eastAsia" w:ascii="宋体" w:hAnsi="宋体" w:eastAsia="宋体" w:cs="宋体"/>
          <w:color w:val="auto"/>
          <w:highlight w:val="none"/>
          <w:u w:val="none"/>
        </w:rPr>
      </w:pPr>
    </w:p>
    <w:p>
      <w:pPr>
        <w:widowControl/>
        <w:jc w:val="left"/>
        <w:rPr>
          <w:rFonts w:hint="eastAsia" w:ascii="宋体" w:hAnsi="宋体" w:eastAsia="宋体" w:cs="宋体"/>
          <w:color w:val="auto"/>
          <w:highlight w:val="none"/>
          <w:u w:val="none"/>
        </w:rPr>
      </w:pPr>
    </w:p>
    <w:p>
      <w:pPr>
        <w:widowControl/>
        <w:jc w:val="left"/>
        <w:rPr>
          <w:rFonts w:hint="eastAsia" w:ascii="宋体" w:hAnsi="宋体" w:eastAsia="宋体" w:cs="宋体"/>
          <w:color w:val="auto"/>
          <w:highlight w:val="none"/>
          <w:u w:val="none"/>
        </w:rPr>
      </w:pPr>
    </w:p>
    <w:p>
      <w:pPr>
        <w:widowControl/>
        <w:jc w:val="left"/>
        <w:rPr>
          <w:rFonts w:hint="eastAsia" w:ascii="宋体" w:hAnsi="宋体" w:eastAsia="宋体" w:cs="宋体"/>
          <w:color w:val="auto"/>
          <w:highlight w:val="none"/>
          <w:u w:val="none"/>
        </w:rPr>
      </w:pPr>
    </w:p>
    <w:p>
      <w:pPr>
        <w:pStyle w:val="2"/>
        <w:rPr>
          <w:rFonts w:hint="eastAsia" w:ascii="宋体" w:hAnsi="宋体" w:eastAsia="宋体" w:cs="宋体"/>
          <w:color w:val="auto"/>
          <w:highlight w:val="none"/>
          <w:u w:val="none"/>
        </w:rPr>
      </w:pPr>
    </w:p>
    <w:p>
      <w:pPr>
        <w:rPr>
          <w:rFonts w:hint="eastAsia" w:ascii="宋体" w:hAnsi="宋体" w:eastAsia="宋体" w:cs="宋体"/>
          <w:color w:val="auto"/>
          <w:highlight w:val="none"/>
          <w:u w:val="none"/>
        </w:rPr>
      </w:pPr>
    </w:p>
    <w:p>
      <w:pPr>
        <w:rPr>
          <w:rFonts w:hint="eastAsia"/>
          <w:color w:val="auto"/>
          <w:highlight w:val="none"/>
          <w:u w:val="none"/>
        </w:rPr>
      </w:pPr>
    </w:p>
    <w:p>
      <w:pPr>
        <w:widowControl/>
        <w:jc w:val="left"/>
        <w:rPr>
          <w:rFonts w:hint="eastAsia" w:ascii="宋体" w:hAnsi="宋体" w:eastAsia="宋体" w:cs="宋体"/>
          <w:color w:val="auto"/>
          <w:highlight w:val="none"/>
          <w:u w:val="none"/>
        </w:rPr>
      </w:pPr>
    </w:p>
    <w:p>
      <w:pPr>
        <w:widowControl/>
        <w:jc w:val="left"/>
        <w:rPr>
          <w:rFonts w:hint="eastAsia" w:ascii="宋体" w:hAnsi="宋体" w:eastAsia="宋体" w:cs="宋体"/>
          <w:color w:val="auto"/>
          <w:highlight w:val="none"/>
          <w:u w:val="none"/>
        </w:rPr>
      </w:pP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乙方</w:t>
      </w:r>
      <w:r>
        <w:rPr>
          <w:rFonts w:hint="eastAsia" w:ascii="宋体" w:hAnsi="宋体" w:eastAsia="宋体" w:cs="宋体"/>
          <w:color w:val="auto"/>
          <w:highlight w:val="none"/>
          <w:u w:val="none"/>
        </w:rPr>
        <w:t>联合体其他单位)</w:t>
      </w:r>
    </w:p>
    <w:p>
      <w:pPr>
        <w:spacing w:before="156" w:beforeLines="50" w:after="156" w:afterLines="50" w:line="360" w:lineRule="auto"/>
        <w:jc w:val="both"/>
        <w:rPr>
          <w:rFonts w:hint="eastAsia" w:ascii="宋体" w:hAnsi="宋体" w:eastAsia="宋体" w:cs="宋体"/>
          <w:color w:val="auto"/>
          <w:highlight w:val="none"/>
          <w:u w:val="none"/>
        </w:rPr>
      </w:pPr>
      <w:r>
        <w:rPr>
          <w:rFonts w:hint="eastAsia" w:ascii="宋体" w:hAnsi="宋体" w:eastAsia="宋体" w:cs="宋体"/>
          <w:color w:val="auto"/>
          <w:highlight w:val="none"/>
          <w:u w:val="none"/>
        </w:rPr>
        <w:t>（此页为《西安渼陂湖水系生态文化旅游区综合开发项目合作协议书》各方签字页）</w:t>
      </w:r>
    </w:p>
    <w:p>
      <w:pPr>
        <w:keepNext w:val="0"/>
        <w:keepLines w:val="0"/>
        <w:pageBreakBefore w:val="0"/>
        <w:widowControl w:val="0"/>
        <w:kinsoku/>
        <w:wordWrap/>
        <w:overflowPunct/>
        <w:topLinePunct w:val="0"/>
        <w:autoSpaceDE/>
        <w:autoSpaceDN/>
        <w:bidi w:val="0"/>
        <w:adjustRightInd w:val="0"/>
        <w:snapToGrid w:val="0"/>
        <w:spacing w:line="1100" w:lineRule="exact"/>
        <w:ind w:right="0" w:firstLine="560" w:firstLineChars="200"/>
        <w:textAlignment w:val="baseline"/>
        <w:rPr>
          <w:rFonts w:hint="eastAsia" w:ascii="宋体" w:hAnsi="宋体" w:eastAsia="宋体" w:cs="宋体"/>
          <w:color w:val="auto"/>
          <w:sz w:val="28"/>
          <w:szCs w:val="28"/>
          <w:highlight w:val="none"/>
          <w:u w:val="none"/>
          <w:lang w:val="en-US"/>
        </w:rPr>
      </w:pPr>
    </w:p>
    <w:p>
      <w:pPr>
        <w:pStyle w:val="2"/>
        <w:rPr>
          <w:rFonts w:hint="eastAsia"/>
          <w:color w:val="auto"/>
          <w:highlight w:val="none"/>
          <w:lang w:val="en-US"/>
        </w:rPr>
      </w:pPr>
    </w:p>
    <w:p>
      <w:pPr>
        <w:rPr>
          <w:rFonts w:hint="eastAsia"/>
          <w:color w:val="auto"/>
          <w:highlight w:val="none"/>
          <w:lang w:val="en-US"/>
        </w:rPr>
      </w:pPr>
    </w:p>
    <w:p>
      <w:pPr>
        <w:pStyle w:val="2"/>
        <w:rPr>
          <w:rFonts w:hint="eastAsia"/>
          <w:color w:val="auto"/>
          <w:highlight w:val="none"/>
          <w:lang w:val="en-US"/>
        </w:rPr>
      </w:pPr>
    </w:p>
    <w:p>
      <w:pPr>
        <w:keepNext w:val="0"/>
        <w:keepLines w:val="0"/>
        <w:pageBreakBefore w:val="0"/>
        <w:widowControl w:val="0"/>
        <w:kinsoku/>
        <w:wordWrap/>
        <w:overflowPunct/>
        <w:topLinePunct w:val="0"/>
        <w:autoSpaceDE/>
        <w:autoSpaceDN/>
        <w:bidi w:val="0"/>
        <w:adjustRightInd w:val="0"/>
        <w:snapToGrid w:val="0"/>
        <w:spacing w:line="1700" w:lineRule="exact"/>
        <w:ind w:right="0"/>
        <w:textAlignment w:val="baseline"/>
        <w:rPr>
          <w:rFonts w:hint="eastAsia"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eastAsia="zh-CN"/>
        </w:rPr>
        <w:t>乙方：</w:t>
      </w:r>
      <w:r>
        <w:rPr>
          <w:rFonts w:hint="eastAsia" w:ascii="宋体" w:hAnsi="宋体" w:eastAsia="宋体" w:cs="宋体"/>
          <w:color w:val="auto"/>
          <w:sz w:val="28"/>
          <w:szCs w:val="28"/>
          <w:highlight w:val="none"/>
          <w:u w:val="none"/>
          <w:lang w:val="en-US"/>
        </w:rPr>
        <w:t>中国铁建电气化局集团有限公司</w:t>
      </w:r>
      <w:r>
        <w:rPr>
          <w:rFonts w:hint="eastAsia" w:ascii="宋体" w:hAnsi="宋体" w:eastAsia="宋体" w:cs="宋体"/>
          <w:color w:val="auto"/>
          <w:sz w:val="28"/>
          <w:szCs w:val="28"/>
          <w:highlight w:val="none"/>
          <w:u w:val="none"/>
        </w:rPr>
        <w:t>（盖章）</w:t>
      </w:r>
    </w:p>
    <w:p>
      <w:pPr>
        <w:keepNext w:val="0"/>
        <w:keepLines w:val="0"/>
        <w:pageBreakBefore w:val="0"/>
        <w:widowControl w:val="0"/>
        <w:kinsoku/>
        <w:wordWrap/>
        <w:overflowPunct/>
        <w:topLinePunct w:val="0"/>
        <w:autoSpaceDE/>
        <w:autoSpaceDN/>
        <w:bidi w:val="0"/>
        <w:adjustRightInd w:val="0"/>
        <w:snapToGrid w:val="0"/>
        <w:spacing w:line="1700" w:lineRule="exact"/>
        <w:ind w:right="0"/>
        <w:textAlignment w:val="baseline"/>
        <w:rPr>
          <w:rFonts w:hint="eastAsia"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rPr>
        <w:t>负责人或授权代表（签字</w:t>
      </w:r>
      <w:r>
        <w:rPr>
          <w:rFonts w:hint="eastAsia" w:ascii="宋体" w:hAnsi="宋体" w:eastAsia="宋体" w:cs="宋体"/>
          <w:color w:val="auto"/>
          <w:sz w:val="28"/>
          <w:szCs w:val="28"/>
          <w:highlight w:val="none"/>
          <w:u w:val="none"/>
          <w:lang w:val="en-US" w:eastAsia="zh-CN"/>
        </w:rPr>
        <w:t>或盖章</w:t>
      </w:r>
      <w:r>
        <w:rPr>
          <w:rFonts w:hint="eastAsia" w:ascii="宋体" w:hAnsi="宋体" w:eastAsia="宋体" w:cs="宋体"/>
          <w:color w:val="auto"/>
          <w:sz w:val="28"/>
          <w:szCs w:val="28"/>
          <w:highlight w:val="none"/>
          <w:u w:val="none"/>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1700" w:lineRule="exact"/>
        <w:ind w:right="0"/>
        <w:textAlignment w:val="baseline"/>
        <w:rPr>
          <w:rFonts w:ascii="宋体" w:hAnsi="宋体"/>
          <w:color w:val="auto"/>
          <w:highlight w:val="none"/>
          <w:u w:val="single"/>
        </w:rPr>
      </w:pPr>
      <w:r>
        <w:rPr>
          <w:rFonts w:hint="eastAsia" w:ascii="宋体" w:hAnsi="宋体" w:eastAsia="宋体" w:cs="宋体"/>
          <w:color w:val="auto"/>
          <w:sz w:val="28"/>
          <w:szCs w:val="28"/>
          <w:highlight w:val="none"/>
          <w:u w:val="none"/>
          <w:lang w:val="en-US"/>
        </w:rPr>
        <w:t xml:space="preserve">日期：    </w:t>
      </w:r>
      <w:r>
        <w:rPr>
          <w:rFonts w:ascii="宋体" w:hAnsi="宋体"/>
          <w:color w:val="auto"/>
          <w:highlight w:val="none"/>
          <w:u w:val="single"/>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乙方</w:t>
      </w:r>
      <w:r>
        <w:rPr>
          <w:rFonts w:hint="eastAsia" w:ascii="宋体" w:hAnsi="宋体" w:eastAsia="宋体" w:cs="宋体"/>
          <w:color w:val="auto"/>
          <w:highlight w:val="none"/>
          <w:u w:val="none"/>
        </w:rPr>
        <w:t>联合体其他单位)</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（此页为《西安渼陂湖水系生态文化旅游区综合开发项目合作协议书》各方签字页）</w:t>
      </w:r>
    </w:p>
    <w:p>
      <w:pPr>
        <w:keepNext w:val="0"/>
        <w:keepLines w:val="0"/>
        <w:pageBreakBefore w:val="0"/>
        <w:widowControl w:val="0"/>
        <w:kinsoku/>
        <w:wordWrap/>
        <w:overflowPunct/>
        <w:topLinePunct w:val="0"/>
        <w:autoSpaceDE/>
        <w:autoSpaceDN/>
        <w:bidi w:val="0"/>
        <w:adjustRightInd w:val="0"/>
        <w:snapToGrid w:val="0"/>
        <w:spacing w:line="1100" w:lineRule="exact"/>
        <w:ind w:right="0" w:firstLine="560" w:firstLineChars="200"/>
        <w:textAlignment w:val="baseline"/>
        <w:rPr>
          <w:rFonts w:hint="eastAsia" w:ascii="宋体" w:hAnsi="宋体" w:eastAsia="宋体" w:cs="宋体"/>
          <w:color w:val="auto"/>
          <w:sz w:val="28"/>
          <w:szCs w:val="28"/>
          <w:highlight w:val="none"/>
          <w:u w:val="none"/>
          <w:lang w:val="en-US"/>
        </w:rPr>
      </w:pPr>
    </w:p>
    <w:p>
      <w:pPr>
        <w:keepNext w:val="0"/>
        <w:keepLines w:val="0"/>
        <w:pageBreakBefore w:val="0"/>
        <w:widowControl w:val="0"/>
        <w:kinsoku/>
        <w:wordWrap/>
        <w:overflowPunct/>
        <w:topLinePunct w:val="0"/>
        <w:autoSpaceDE/>
        <w:autoSpaceDN/>
        <w:bidi w:val="0"/>
        <w:adjustRightInd w:val="0"/>
        <w:snapToGrid w:val="0"/>
        <w:spacing w:line="1100" w:lineRule="exact"/>
        <w:ind w:right="0" w:firstLine="560" w:firstLineChars="200"/>
        <w:textAlignment w:val="baseline"/>
        <w:rPr>
          <w:rFonts w:hint="eastAsia" w:ascii="宋体" w:hAnsi="宋体" w:eastAsia="宋体" w:cs="宋体"/>
          <w:color w:val="auto"/>
          <w:sz w:val="28"/>
          <w:szCs w:val="28"/>
          <w:highlight w:val="none"/>
          <w:u w:val="none"/>
          <w:lang w:val="en-US"/>
        </w:rPr>
      </w:pPr>
    </w:p>
    <w:p>
      <w:pPr>
        <w:keepNext w:val="0"/>
        <w:keepLines w:val="0"/>
        <w:pageBreakBefore w:val="0"/>
        <w:widowControl w:val="0"/>
        <w:kinsoku/>
        <w:wordWrap/>
        <w:overflowPunct/>
        <w:topLinePunct w:val="0"/>
        <w:autoSpaceDE/>
        <w:autoSpaceDN/>
        <w:bidi w:val="0"/>
        <w:adjustRightInd w:val="0"/>
        <w:snapToGrid w:val="0"/>
        <w:spacing w:line="1700" w:lineRule="exact"/>
        <w:ind w:right="0"/>
        <w:textAlignment w:val="baseline"/>
        <w:rPr>
          <w:rFonts w:hint="eastAsia"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eastAsia="zh-CN"/>
        </w:rPr>
        <w:t>乙方：</w:t>
      </w:r>
      <w:r>
        <w:rPr>
          <w:rFonts w:hint="eastAsia" w:ascii="宋体" w:hAnsi="宋体" w:eastAsia="宋体" w:cs="宋体"/>
          <w:color w:val="auto"/>
          <w:sz w:val="28"/>
          <w:szCs w:val="28"/>
          <w:highlight w:val="none"/>
          <w:u w:val="none"/>
          <w:lang w:val="en-US"/>
        </w:rPr>
        <w:t>中铁建苏州设计研究院有限公司（盖章）</w:t>
      </w:r>
    </w:p>
    <w:p>
      <w:pPr>
        <w:keepNext w:val="0"/>
        <w:keepLines w:val="0"/>
        <w:pageBreakBefore w:val="0"/>
        <w:widowControl w:val="0"/>
        <w:kinsoku/>
        <w:wordWrap/>
        <w:overflowPunct/>
        <w:topLinePunct w:val="0"/>
        <w:autoSpaceDE/>
        <w:autoSpaceDN/>
        <w:bidi w:val="0"/>
        <w:adjustRightInd w:val="0"/>
        <w:snapToGrid w:val="0"/>
        <w:spacing w:line="1700" w:lineRule="exact"/>
        <w:ind w:right="0"/>
        <w:textAlignment w:val="baseline"/>
        <w:rPr>
          <w:rFonts w:hint="eastAsia"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rPr>
        <w:t>负责人或授权代表（签字</w:t>
      </w:r>
      <w:r>
        <w:rPr>
          <w:rFonts w:hint="eastAsia" w:ascii="宋体" w:hAnsi="宋体" w:eastAsia="宋体" w:cs="宋体"/>
          <w:color w:val="auto"/>
          <w:sz w:val="28"/>
          <w:szCs w:val="28"/>
          <w:highlight w:val="none"/>
          <w:u w:val="none"/>
          <w:lang w:val="en-US" w:eastAsia="zh-CN"/>
        </w:rPr>
        <w:t>或盖章</w:t>
      </w:r>
      <w:r>
        <w:rPr>
          <w:rFonts w:hint="eastAsia" w:ascii="宋体" w:hAnsi="宋体" w:eastAsia="宋体" w:cs="宋体"/>
          <w:color w:val="auto"/>
          <w:sz w:val="28"/>
          <w:szCs w:val="28"/>
          <w:highlight w:val="none"/>
          <w:u w:val="none"/>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1700" w:lineRule="exact"/>
        <w:ind w:right="0"/>
        <w:textAlignment w:val="baseline"/>
        <w:rPr>
          <w:rFonts w:hint="eastAsia"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rPr>
        <w:t xml:space="preserve">日期：                            </w:t>
      </w:r>
    </w:p>
    <w:p>
      <w:pPr>
        <w:keepNext w:val="0"/>
        <w:keepLines w:val="0"/>
        <w:pageBreakBefore w:val="0"/>
        <w:widowControl w:val="0"/>
        <w:kinsoku/>
        <w:wordWrap/>
        <w:overflowPunct/>
        <w:topLinePunct w:val="0"/>
        <w:autoSpaceDE/>
        <w:autoSpaceDN/>
        <w:bidi w:val="0"/>
        <w:adjustRightInd w:val="0"/>
        <w:snapToGrid w:val="0"/>
        <w:spacing w:line="1100" w:lineRule="exact"/>
        <w:ind w:right="0" w:firstLine="560" w:firstLineChars="200"/>
        <w:textAlignment w:val="baseline"/>
        <w:rPr>
          <w:rFonts w:hint="eastAsia" w:ascii="宋体" w:hAnsi="宋体" w:eastAsia="宋体" w:cs="宋体"/>
          <w:color w:val="auto"/>
          <w:sz w:val="28"/>
          <w:szCs w:val="28"/>
          <w:highlight w:val="none"/>
          <w:u w:val="none"/>
          <w:lang w:val="en-US"/>
        </w:rPr>
      </w:pPr>
    </w:p>
    <w:p>
      <w:pPr>
        <w:keepNext w:val="0"/>
        <w:keepLines w:val="0"/>
        <w:pageBreakBefore w:val="0"/>
        <w:widowControl w:val="0"/>
        <w:kinsoku/>
        <w:wordWrap/>
        <w:overflowPunct/>
        <w:topLinePunct w:val="0"/>
        <w:autoSpaceDE/>
        <w:autoSpaceDN/>
        <w:bidi w:val="0"/>
        <w:adjustRightInd w:val="0"/>
        <w:snapToGrid w:val="0"/>
        <w:spacing w:line="1100" w:lineRule="exact"/>
        <w:ind w:right="0" w:firstLine="560" w:firstLineChars="200"/>
        <w:textAlignment w:val="baseline"/>
        <w:rPr>
          <w:rFonts w:hint="eastAsia" w:ascii="宋体" w:hAnsi="宋体" w:eastAsia="宋体" w:cs="宋体"/>
          <w:color w:val="auto"/>
          <w:sz w:val="28"/>
          <w:szCs w:val="28"/>
          <w:highlight w:val="none"/>
          <w:u w:val="none"/>
          <w:lang w:val="en-US"/>
        </w:rPr>
      </w:pPr>
    </w:p>
    <w:p>
      <w:pPr>
        <w:pStyle w:val="2"/>
        <w:rPr>
          <w:rFonts w:hint="eastAsia" w:ascii="宋体" w:hAnsi="宋体" w:eastAsia="宋体" w:cs="宋体"/>
          <w:color w:val="auto"/>
          <w:sz w:val="28"/>
          <w:szCs w:val="28"/>
          <w:highlight w:val="none"/>
          <w:u w:val="none"/>
          <w:lang w:val="en-US"/>
        </w:rPr>
      </w:pPr>
    </w:p>
    <w:p>
      <w:pPr>
        <w:rPr>
          <w:rFonts w:hint="eastAsia" w:ascii="宋体" w:hAnsi="宋体" w:eastAsia="宋体" w:cs="宋体"/>
          <w:color w:val="auto"/>
          <w:sz w:val="28"/>
          <w:szCs w:val="28"/>
          <w:highlight w:val="none"/>
          <w:u w:val="none"/>
          <w:lang w:val="en-US"/>
        </w:rPr>
      </w:pPr>
    </w:p>
    <w:p>
      <w:pPr>
        <w:pStyle w:val="2"/>
        <w:rPr>
          <w:rFonts w:hint="eastAsia" w:ascii="宋体" w:hAnsi="宋体" w:eastAsia="宋体" w:cs="宋体"/>
          <w:color w:val="auto"/>
          <w:sz w:val="28"/>
          <w:szCs w:val="28"/>
          <w:highlight w:val="none"/>
          <w:u w:val="none"/>
          <w:lang w:val="en-US"/>
        </w:rPr>
      </w:pPr>
    </w:p>
    <w:p>
      <w:pPr>
        <w:widowControl/>
        <w:jc w:val="left"/>
        <w:rPr>
          <w:rFonts w:hint="eastAsia" w:ascii="宋体" w:hAnsi="宋体" w:eastAsia="宋体" w:cs="宋体"/>
          <w:color w:val="auto"/>
          <w:highlight w:val="none"/>
          <w:u w:val="none"/>
        </w:rPr>
      </w:pPr>
    </w:p>
    <w:p>
      <w:pPr>
        <w:widowControl/>
        <w:jc w:val="left"/>
        <w:rPr>
          <w:rFonts w:hint="eastAsia" w:ascii="宋体" w:hAnsi="宋体" w:eastAsia="宋体" w:cs="宋体"/>
          <w:color w:val="auto"/>
          <w:highlight w:val="none"/>
          <w:u w:val="none"/>
        </w:rPr>
      </w:pP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乙方</w:t>
      </w:r>
      <w:r>
        <w:rPr>
          <w:rFonts w:hint="eastAsia" w:ascii="宋体" w:hAnsi="宋体" w:eastAsia="宋体" w:cs="宋体"/>
          <w:color w:val="auto"/>
          <w:highlight w:val="none"/>
          <w:u w:val="none"/>
        </w:rPr>
        <w:t>联合体其他单位)</w:t>
      </w:r>
    </w:p>
    <w:p>
      <w:pPr>
        <w:spacing w:before="156" w:beforeLines="50" w:after="156" w:afterLines="50" w:line="360" w:lineRule="auto"/>
        <w:jc w:val="both"/>
        <w:rPr>
          <w:rFonts w:hint="eastAsia" w:ascii="宋体" w:hAnsi="宋体" w:eastAsia="宋体" w:cs="宋体"/>
          <w:color w:val="auto"/>
          <w:highlight w:val="none"/>
          <w:u w:val="none"/>
        </w:rPr>
      </w:pPr>
      <w:r>
        <w:rPr>
          <w:rFonts w:hint="eastAsia" w:ascii="宋体" w:hAnsi="宋体" w:eastAsia="宋体" w:cs="宋体"/>
          <w:color w:val="auto"/>
          <w:highlight w:val="none"/>
          <w:u w:val="none"/>
        </w:rPr>
        <w:t>（此页为《西安渼陂湖水系生态文化旅游区综合开发项目合作协议书》各方签字页）</w:t>
      </w:r>
    </w:p>
    <w:p>
      <w:pPr>
        <w:pStyle w:val="2"/>
        <w:rPr>
          <w:rFonts w:hint="eastAsia"/>
          <w:color w:val="auto"/>
          <w:highlight w:val="none"/>
          <w:u w:val="none"/>
          <w:lang w:val="en-US"/>
        </w:rPr>
      </w:pPr>
    </w:p>
    <w:p>
      <w:pPr>
        <w:keepNext w:val="0"/>
        <w:keepLines w:val="0"/>
        <w:pageBreakBefore w:val="0"/>
        <w:widowControl w:val="0"/>
        <w:kinsoku/>
        <w:wordWrap/>
        <w:overflowPunct/>
        <w:topLinePunct w:val="0"/>
        <w:autoSpaceDE/>
        <w:autoSpaceDN/>
        <w:bidi w:val="0"/>
        <w:adjustRightInd w:val="0"/>
        <w:snapToGrid w:val="0"/>
        <w:spacing w:line="1700" w:lineRule="exact"/>
        <w:ind w:right="0" w:firstLine="560" w:firstLineChars="200"/>
        <w:textAlignment w:val="baseline"/>
        <w:rPr>
          <w:rFonts w:hint="eastAsia" w:ascii="宋体" w:hAnsi="宋体" w:eastAsia="宋体" w:cs="宋体"/>
          <w:color w:val="auto"/>
          <w:sz w:val="28"/>
          <w:szCs w:val="28"/>
          <w:highlight w:val="none"/>
          <w:u w:val="none"/>
          <w:lang w:val="en-US"/>
        </w:rPr>
      </w:pPr>
    </w:p>
    <w:p>
      <w:pPr>
        <w:keepNext w:val="0"/>
        <w:keepLines w:val="0"/>
        <w:pageBreakBefore w:val="0"/>
        <w:widowControl w:val="0"/>
        <w:kinsoku/>
        <w:wordWrap/>
        <w:overflowPunct/>
        <w:topLinePunct w:val="0"/>
        <w:autoSpaceDE/>
        <w:autoSpaceDN/>
        <w:bidi w:val="0"/>
        <w:adjustRightInd w:val="0"/>
        <w:snapToGrid w:val="0"/>
        <w:spacing w:line="1700" w:lineRule="exact"/>
        <w:ind w:right="0"/>
        <w:textAlignment w:val="baseline"/>
        <w:rPr>
          <w:rFonts w:hint="eastAsia"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eastAsia="zh-CN"/>
        </w:rPr>
        <w:t>乙方：</w:t>
      </w:r>
      <w:r>
        <w:rPr>
          <w:rFonts w:hint="eastAsia" w:ascii="宋体" w:hAnsi="宋体" w:eastAsia="宋体" w:cs="宋体"/>
          <w:color w:val="auto"/>
          <w:sz w:val="28"/>
          <w:szCs w:val="28"/>
          <w:highlight w:val="none"/>
          <w:u w:val="none"/>
          <w:lang w:val="en-US"/>
        </w:rPr>
        <w:t>中铁二十四局集团有限公司（盖章）</w:t>
      </w:r>
    </w:p>
    <w:p>
      <w:pPr>
        <w:keepNext w:val="0"/>
        <w:keepLines w:val="0"/>
        <w:pageBreakBefore w:val="0"/>
        <w:widowControl w:val="0"/>
        <w:kinsoku/>
        <w:wordWrap/>
        <w:overflowPunct/>
        <w:topLinePunct w:val="0"/>
        <w:autoSpaceDE/>
        <w:autoSpaceDN/>
        <w:bidi w:val="0"/>
        <w:adjustRightInd w:val="0"/>
        <w:snapToGrid w:val="0"/>
        <w:spacing w:line="1700" w:lineRule="exact"/>
        <w:ind w:right="0"/>
        <w:textAlignment w:val="baseline"/>
        <w:rPr>
          <w:rFonts w:hint="eastAsia"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rPr>
        <w:t>负责人或授权代表（签字</w:t>
      </w:r>
      <w:r>
        <w:rPr>
          <w:rFonts w:hint="eastAsia" w:ascii="宋体" w:hAnsi="宋体" w:eastAsia="宋体" w:cs="宋体"/>
          <w:color w:val="auto"/>
          <w:sz w:val="28"/>
          <w:szCs w:val="28"/>
          <w:highlight w:val="none"/>
          <w:u w:val="none"/>
          <w:lang w:val="en-US" w:eastAsia="zh-CN"/>
        </w:rPr>
        <w:t>或盖章</w:t>
      </w:r>
      <w:r>
        <w:rPr>
          <w:rFonts w:hint="eastAsia" w:ascii="宋体" w:hAnsi="宋体" w:eastAsia="宋体" w:cs="宋体"/>
          <w:color w:val="auto"/>
          <w:sz w:val="28"/>
          <w:szCs w:val="28"/>
          <w:highlight w:val="none"/>
          <w:u w:val="none"/>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1700" w:lineRule="exact"/>
        <w:ind w:right="0"/>
        <w:textAlignment w:val="baseline"/>
        <w:rPr>
          <w:rFonts w:hint="eastAsia"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rPr>
        <w:t xml:space="preserve">日期：    </w:t>
      </w:r>
    </w:p>
    <w:p>
      <w:pPr>
        <w:pStyle w:val="2"/>
        <w:rPr>
          <w:rFonts w:hint="eastAsia" w:ascii="宋体" w:hAnsi="宋体" w:eastAsia="宋体" w:cs="宋体"/>
          <w:color w:val="auto"/>
          <w:sz w:val="28"/>
          <w:szCs w:val="28"/>
          <w:highlight w:val="none"/>
          <w:u w:val="none"/>
          <w:lang w:val="en-US"/>
        </w:rPr>
      </w:pPr>
    </w:p>
    <w:p>
      <w:pPr>
        <w:rPr>
          <w:rFonts w:hint="eastAsia" w:ascii="宋体" w:hAnsi="宋体" w:eastAsia="宋体" w:cs="宋体"/>
          <w:color w:val="auto"/>
          <w:sz w:val="28"/>
          <w:szCs w:val="28"/>
          <w:highlight w:val="none"/>
          <w:u w:val="none"/>
          <w:lang w:val="en-US"/>
        </w:rPr>
      </w:pPr>
    </w:p>
    <w:p>
      <w:pPr>
        <w:pStyle w:val="2"/>
        <w:rPr>
          <w:rFonts w:hint="eastAsia" w:ascii="宋体" w:hAnsi="宋体" w:eastAsia="宋体" w:cs="宋体"/>
          <w:color w:val="auto"/>
          <w:sz w:val="28"/>
          <w:szCs w:val="28"/>
          <w:highlight w:val="none"/>
          <w:u w:val="none"/>
          <w:lang w:val="en-US"/>
        </w:rPr>
      </w:pPr>
    </w:p>
    <w:p>
      <w:pPr>
        <w:rPr>
          <w:rFonts w:hint="eastAsia" w:ascii="宋体" w:hAnsi="宋体" w:eastAsia="宋体" w:cs="宋体"/>
          <w:color w:val="auto"/>
          <w:sz w:val="28"/>
          <w:szCs w:val="28"/>
          <w:highlight w:val="none"/>
          <w:u w:val="none"/>
          <w:lang w:val="en-US"/>
        </w:rPr>
      </w:pPr>
    </w:p>
    <w:p>
      <w:pPr>
        <w:pStyle w:val="2"/>
        <w:rPr>
          <w:rFonts w:hint="eastAsia" w:ascii="宋体" w:hAnsi="宋体" w:eastAsia="宋体" w:cs="宋体"/>
          <w:color w:val="auto"/>
          <w:sz w:val="28"/>
          <w:szCs w:val="28"/>
          <w:highlight w:val="none"/>
          <w:u w:val="none"/>
          <w:lang w:val="en-US"/>
        </w:rPr>
      </w:pPr>
    </w:p>
    <w:p>
      <w:pPr>
        <w:rPr>
          <w:rFonts w:hint="eastAsia" w:ascii="宋体" w:hAnsi="宋体" w:eastAsia="宋体" w:cs="宋体"/>
          <w:color w:val="auto"/>
          <w:sz w:val="28"/>
          <w:szCs w:val="28"/>
          <w:highlight w:val="none"/>
          <w:u w:val="none"/>
          <w:lang w:val="en-US"/>
        </w:rPr>
      </w:pPr>
    </w:p>
    <w:p>
      <w:pPr>
        <w:widowControl/>
        <w:jc w:val="left"/>
        <w:rPr>
          <w:rFonts w:hint="eastAsia" w:ascii="宋体" w:hAnsi="宋体" w:eastAsia="宋体" w:cs="宋体"/>
          <w:color w:val="auto"/>
          <w:highlight w:val="none"/>
          <w:u w:val="none"/>
        </w:rPr>
      </w:pPr>
    </w:p>
    <w:p>
      <w:pPr>
        <w:widowControl/>
        <w:jc w:val="left"/>
        <w:rPr>
          <w:rFonts w:hint="eastAsia" w:ascii="宋体" w:hAnsi="宋体" w:eastAsia="宋体" w:cs="宋体"/>
          <w:color w:val="auto"/>
          <w:highlight w:val="none"/>
          <w:u w:val="none"/>
        </w:rPr>
      </w:pPr>
    </w:p>
    <w:p>
      <w:pPr>
        <w:widowControl/>
        <w:jc w:val="left"/>
        <w:rPr>
          <w:rFonts w:hint="eastAsia" w:ascii="宋体" w:hAnsi="宋体" w:eastAsia="宋体" w:cs="宋体"/>
          <w:color w:val="auto"/>
          <w:highlight w:val="none"/>
          <w:u w:val="none"/>
        </w:rPr>
      </w:pP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乙方</w:t>
      </w:r>
      <w:r>
        <w:rPr>
          <w:rFonts w:hint="eastAsia" w:ascii="宋体" w:hAnsi="宋体" w:eastAsia="宋体" w:cs="宋体"/>
          <w:color w:val="auto"/>
          <w:highlight w:val="none"/>
          <w:u w:val="none"/>
        </w:rPr>
        <w:t>联合体其他单位)</w:t>
      </w:r>
    </w:p>
    <w:p>
      <w:pPr>
        <w:spacing w:before="156" w:beforeLines="50" w:after="156" w:afterLines="50" w:line="360" w:lineRule="auto"/>
        <w:jc w:val="both"/>
        <w:rPr>
          <w:rFonts w:hint="eastAsia" w:ascii="宋体" w:hAnsi="宋体" w:eastAsia="宋体" w:cs="宋体"/>
          <w:color w:val="auto"/>
          <w:highlight w:val="none"/>
          <w:u w:val="none"/>
        </w:rPr>
      </w:pPr>
      <w:r>
        <w:rPr>
          <w:rFonts w:hint="eastAsia" w:ascii="宋体" w:hAnsi="宋体" w:eastAsia="宋体" w:cs="宋体"/>
          <w:color w:val="auto"/>
          <w:highlight w:val="none"/>
          <w:u w:val="none"/>
        </w:rPr>
        <w:t>（此页为《西安渼陂湖水系生态文化旅游区综合开发项目合作协议书》各方签字页）</w:t>
      </w:r>
    </w:p>
    <w:p>
      <w:pPr>
        <w:keepNext w:val="0"/>
        <w:keepLines w:val="0"/>
        <w:pageBreakBefore w:val="0"/>
        <w:widowControl w:val="0"/>
        <w:kinsoku/>
        <w:wordWrap/>
        <w:overflowPunct/>
        <w:topLinePunct w:val="0"/>
        <w:autoSpaceDE/>
        <w:autoSpaceDN/>
        <w:bidi w:val="0"/>
        <w:adjustRightInd w:val="0"/>
        <w:snapToGrid w:val="0"/>
        <w:spacing w:line="1100" w:lineRule="exact"/>
        <w:ind w:right="0" w:firstLine="560" w:firstLineChars="200"/>
        <w:textAlignment w:val="baseline"/>
        <w:rPr>
          <w:rFonts w:hint="eastAsia" w:ascii="宋体" w:hAnsi="宋体" w:eastAsia="宋体" w:cs="宋体"/>
          <w:color w:val="auto"/>
          <w:sz w:val="28"/>
          <w:szCs w:val="28"/>
          <w:highlight w:val="none"/>
          <w:u w:val="none"/>
          <w:lang w:val="en-US"/>
        </w:rPr>
      </w:pPr>
    </w:p>
    <w:p>
      <w:pPr>
        <w:pStyle w:val="2"/>
        <w:rPr>
          <w:rFonts w:hint="eastAsia"/>
          <w:color w:val="auto"/>
          <w:highlight w:val="none"/>
          <w:lang w:val="en-US"/>
        </w:rPr>
      </w:pPr>
    </w:p>
    <w:p>
      <w:pPr>
        <w:keepNext w:val="0"/>
        <w:keepLines w:val="0"/>
        <w:pageBreakBefore w:val="0"/>
        <w:widowControl w:val="0"/>
        <w:kinsoku/>
        <w:wordWrap/>
        <w:overflowPunct/>
        <w:topLinePunct w:val="0"/>
        <w:autoSpaceDE/>
        <w:autoSpaceDN/>
        <w:bidi w:val="0"/>
        <w:adjustRightInd w:val="0"/>
        <w:snapToGrid w:val="0"/>
        <w:spacing w:line="1700" w:lineRule="exact"/>
        <w:ind w:right="0"/>
        <w:textAlignment w:val="baseline"/>
        <w:rPr>
          <w:rFonts w:hint="eastAsia"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eastAsia="zh-CN"/>
        </w:rPr>
        <w:t>乙方：</w:t>
      </w:r>
      <w:r>
        <w:rPr>
          <w:rFonts w:hint="eastAsia" w:ascii="宋体" w:hAnsi="宋体" w:eastAsia="宋体" w:cs="宋体"/>
          <w:color w:val="auto"/>
          <w:sz w:val="28"/>
          <w:szCs w:val="28"/>
          <w:highlight w:val="none"/>
          <w:u w:val="none"/>
          <w:lang w:val="en-US"/>
        </w:rPr>
        <w:t>中铁第一勘察设计院集团有限公司（盖章）</w:t>
      </w:r>
    </w:p>
    <w:p>
      <w:pPr>
        <w:keepNext w:val="0"/>
        <w:keepLines w:val="0"/>
        <w:pageBreakBefore w:val="0"/>
        <w:widowControl w:val="0"/>
        <w:kinsoku/>
        <w:wordWrap/>
        <w:overflowPunct/>
        <w:topLinePunct w:val="0"/>
        <w:autoSpaceDE/>
        <w:autoSpaceDN/>
        <w:bidi w:val="0"/>
        <w:adjustRightInd w:val="0"/>
        <w:snapToGrid w:val="0"/>
        <w:spacing w:line="1700" w:lineRule="exact"/>
        <w:ind w:right="0"/>
        <w:textAlignment w:val="baseline"/>
        <w:rPr>
          <w:rFonts w:hint="eastAsia"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rPr>
        <w:t>负责人或授权代表（签字</w:t>
      </w:r>
      <w:r>
        <w:rPr>
          <w:rFonts w:hint="eastAsia" w:ascii="宋体" w:hAnsi="宋体" w:eastAsia="宋体" w:cs="宋体"/>
          <w:color w:val="auto"/>
          <w:sz w:val="28"/>
          <w:szCs w:val="28"/>
          <w:highlight w:val="none"/>
          <w:u w:val="none"/>
          <w:lang w:val="en-US" w:eastAsia="zh-CN"/>
        </w:rPr>
        <w:t>或盖章</w:t>
      </w:r>
      <w:r>
        <w:rPr>
          <w:rFonts w:hint="eastAsia" w:ascii="宋体" w:hAnsi="宋体" w:eastAsia="宋体" w:cs="宋体"/>
          <w:color w:val="auto"/>
          <w:sz w:val="28"/>
          <w:szCs w:val="28"/>
          <w:highlight w:val="none"/>
          <w:u w:val="none"/>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1700" w:lineRule="exact"/>
        <w:ind w:right="0"/>
        <w:textAlignment w:val="baseline"/>
        <w:rPr>
          <w:rFonts w:hint="eastAsia"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rPr>
        <w:t xml:space="preserve">日期：                            </w:t>
      </w:r>
    </w:p>
    <w:p>
      <w:pPr>
        <w:keepNext w:val="0"/>
        <w:keepLines w:val="0"/>
        <w:pageBreakBefore w:val="0"/>
        <w:widowControl w:val="0"/>
        <w:kinsoku/>
        <w:wordWrap/>
        <w:overflowPunct/>
        <w:topLinePunct w:val="0"/>
        <w:autoSpaceDE/>
        <w:autoSpaceDN/>
        <w:bidi w:val="0"/>
        <w:adjustRightInd w:val="0"/>
        <w:snapToGrid w:val="0"/>
        <w:spacing w:line="1100" w:lineRule="exact"/>
        <w:ind w:right="0" w:firstLine="560" w:firstLineChars="200"/>
        <w:textAlignment w:val="baseline"/>
        <w:rPr>
          <w:rFonts w:hint="eastAsia" w:ascii="宋体" w:hAnsi="宋体" w:eastAsia="宋体" w:cs="宋体"/>
          <w:color w:val="auto"/>
          <w:sz w:val="28"/>
          <w:szCs w:val="28"/>
          <w:highlight w:val="none"/>
          <w:u w:val="none"/>
          <w:lang w:val="en-US"/>
        </w:rPr>
      </w:pPr>
    </w:p>
    <w:p>
      <w:pPr>
        <w:pStyle w:val="2"/>
        <w:rPr>
          <w:rFonts w:hint="eastAsia" w:ascii="宋体" w:hAnsi="宋体" w:eastAsia="宋体" w:cs="宋体"/>
          <w:color w:val="auto"/>
          <w:sz w:val="28"/>
          <w:szCs w:val="28"/>
          <w:highlight w:val="none"/>
          <w:u w:val="none"/>
          <w:lang w:val="en-US"/>
        </w:rPr>
      </w:pPr>
    </w:p>
    <w:p>
      <w:pPr>
        <w:rPr>
          <w:rFonts w:hint="eastAsia" w:ascii="宋体" w:hAnsi="宋体" w:eastAsia="宋体" w:cs="宋体"/>
          <w:color w:val="auto"/>
          <w:sz w:val="28"/>
          <w:szCs w:val="28"/>
          <w:highlight w:val="none"/>
          <w:u w:val="none"/>
          <w:lang w:val="en-US"/>
        </w:rPr>
      </w:pPr>
    </w:p>
    <w:p>
      <w:pPr>
        <w:pStyle w:val="2"/>
        <w:rPr>
          <w:rFonts w:hint="eastAsia" w:ascii="宋体" w:hAnsi="宋体" w:eastAsia="宋体" w:cs="宋体"/>
          <w:color w:val="auto"/>
          <w:sz w:val="28"/>
          <w:szCs w:val="28"/>
          <w:highlight w:val="none"/>
          <w:u w:val="none"/>
          <w:lang w:val="en-US"/>
        </w:rPr>
      </w:pPr>
    </w:p>
    <w:p>
      <w:pPr>
        <w:rPr>
          <w:rFonts w:hint="eastAsia" w:ascii="宋体" w:hAnsi="宋体" w:eastAsia="宋体" w:cs="宋体"/>
          <w:color w:val="auto"/>
          <w:sz w:val="28"/>
          <w:szCs w:val="28"/>
          <w:highlight w:val="none"/>
          <w:u w:val="none"/>
          <w:lang w:val="en-US"/>
        </w:rPr>
      </w:pPr>
    </w:p>
    <w:p>
      <w:pPr>
        <w:pStyle w:val="2"/>
        <w:rPr>
          <w:rFonts w:hint="eastAsia" w:ascii="宋体" w:hAnsi="宋体" w:eastAsia="宋体" w:cs="宋体"/>
          <w:color w:val="auto"/>
          <w:sz w:val="28"/>
          <w:szCs w:val="28"/>
          <w:highlight w:val="none"/>
          <w:u w:val="none"/>
          <w:lang w:val="en-US"/>
        </w:rPr>
      </w:pPr>
    </w:p>
    <w:p>
      <w:pPr>
        <w:rPr>
          <w:rFonts w:hint="eastAsia" w:ascii="宋体" w:hAnsi="宋体" w:eastAsia="宋体" w:cs="宋体"/>
          <w:color w:val="auto"/>
          <w:sz w:val="28"/>
          <w:szCs w:val="28"/>
          <w:highlight w:val="none"/>
          <w:u w:val="none"/>
          <w:lang w:val="en-US"/>
        </w:rPr>
      </w:pPr>
    </w:p>
    <w:p>
      <w:pPr>
        <w:widowControl/>
        <w:jc w:val="left"/>
        <w:rPr>
          <w:rFonts w:hint="eastAsia" w:ascii="宋体" w:hAnsi="宋体" w:eastAsia="宋体" w:cs="宋体"/>
          <w:color w:val="auto"/>
          <w:highlight w:val="none"/>
          <w:u w:val="none"/>
        </w:rPr>
      </w:pPr>
    </w:p>
    <w:p>
      <w:pPr>
        <w:widowControl/>
        <w:jc w:val="left"/>
        <w:rPr>
          <w:rFonts w:hint="eastAsia" w:ascii="宋体" w:hAnsi="宋体" w:eastAsia="宋体" w:cs="宋体"/>
          <w:color w:val="auto"/>
          <w:highlight w:val="none"/>
          <w:u w:val="none"/>
        </w:rPr>
      </w:pP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乙方</w:t>
      </w:r>
      <w:r>
        <w:rPr>
          <w:rFonts w:hint="eastAsia" w:ascii="宋体" w:hAnsi="宋体" w:eastAsia="宋体" w:cs="宋体"/>
          <w:color w:val="auto"/>
          <w:highlight w:val="none"/>
          <w:u w:val="none"/>
        </w:rPr>
        <w:t>联合体其他单位)</w:t>
      </w:r>
    </w:p>
    <w:p>
      <w:pPr>
        <w:spacing w:before="156" w:beforeLines="50" w:after="156" w:afterLines="50" w:line="360" w:lineRule="auto"/>
        <w:jc w:val="both"/>
        <w:rPr>
          <w:rFonts w:hint="eastAsia" w:ascii="宋体" w:hAnsi="宋体" w:eastAsia="宋体" w:cs="宋体"/>
          <w:color w:val="auto"/>
          <w:highlight w:val="none"/>
          <w:u w:val="none"/>
        </w:rPr>
      </w:pPr>
      <w:r>
        <w:rPr>
          <w:rFonts w:hint="eastAsia" w:ascii="宋体" w:hAnsi="宋体" w:eastAsia="宋体" w:cs="宋体"/>
          <w:color w:val="auto"/>
          <w:highlight w:val="none"/>
          <w:u w:val="none"/>
        </w:rPr>
        <w:t>（此页为《西安渼陂湖水系生态文化旅游区综合开发项目合作协议书》各方签字页）</w:t>
      </w:r>
    </w:p>
    <w:p>
      <w:pPr>
        <w:keepNext w:val="0"/>
        <w:keepLines w:val="0"/>
        <w:pageBreakBefore w:val="0"/>
        <w:widowControl w:val="0"/>
        <w:kinsoku/>
        <w:wordWrap/>
        <w:overflowPunct/>
        <w:topLinePunct w:val="0"/>
        <w:autoSpaceDE/>
        <w:autoSpaceDN/>
        <w:bidi w:val="0"/>
        <w:adjustRightInd w:val="0"/>
        <w:snapToGrid w:val="0"/>
        <w:spacing w:line="1100" w:lineRule="exact"/>
        <w:ind w:right="0" w:firstLine="560" w:firstLineChars="200"/>
        <w:textAlignment w:val="baseline"/>
        <w:rPr>
          <w:rFonts w:hint="eastAsia" w:ascii="宋体" w:hAnsi="宋体" w:eastAsia="宋体" w:cs="宋体"/>
          <w:color w:val="auto"/>
          <w:sz w:val="28"/>
          <w:szCs w:val="28"/>
          <w:highlight w:val="none"/>
          <w:u w:val="none"/>
          <w:lang w:val="en-US"/>
        </w:rPr>
      </w:pPr>
    </w:p>
    <w:p>
      <w:pPr>
        <w:keepNext w:val="0"/>
        <w:keepLines w:val="0"/>
        <w:pageBreakBefore w:val="0"/>
        <w:widowControl w:val="0"/>
        <w:kinsoku/>
        <w:wordWrap/>
        <w:overflowPunct/>
        <w:topLinePunct w:val="0"/>
        <w:autoSpaceDE/>
        <w:autoSpaceDN/>
        <w:bidi w:val="0"/>
        <w:adjustRightInd w:val="0"/>
        <w:snapToGrid w:val="0"/>
        <w:spacing w:line="1700" w:lineRule="exact"/>
        <w:ind w:right="0"/>
        <w:textAlignment w:val="baseline"/>
        <w:rPr>
          <w:rFonts w:hint="eastAsia"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eastAsia="zh-CN"/>
        </w:rPr>
        <w:t>乙方：</w:t>
      </w:r>
      <w:r>
        <w:rPr>
          <w:rFonts w:hint="eastAsia" w:ascii="宋体" w:hAnsi="宋体" w:eastAsia="宋体" w:cs="宋体"/>
          <w:color w:val="auto"/>
          <w:sz w:val="28"/>
          <w:szCs w:val="28"/>
          <w:highlight w:val="none"/>
          <w:u w:val="none"/>
          <w:lang w:val="en-US"/>
        </w:rPr>
        <w:t>中铁二十局集团有限公司（盖章）</w:t>
      </w:r>
    </w:p>
    <w:p>
      <w:pPr>
        <w:keepNext w:val="0"/>
        <w:keepLines w:val="0"/>
        <w:pageBreakBefore w:val="0"/>
        <w:widowControl w:val="0"/>
        <w:kinsoku/>
        <w:wordWrap/>
        <w:overflowPunct/>
        <w:topLinePunct w:val="0"/>
        <w:autoSpaceDE/>
        <w:autoSpaceDN/>
        <w:bidi w:val="0"/>
        <w:adjustRightInd w:val="0"/>
        <w:snapToGrid w:val="0"/>
        <w:spacing w:line="1700" w:lineRule="exact"/>
        <w:ind w:right="0"/>
        <w:textAlignment w:val="baseline"/>
        <w:rPr>
          <w:rFonts w:hint="eastAsia"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rPr>
        <w:t>负责人或授权代表（签字</w:t>
      </w:r>
      <w:r>
        <w:rPr>
          <w:rFonts w:hint="eastAsia" w:ascii="宋体" w:hAnsi="宋体" w:eastAsia="宋体" w:cs="宋体"/>
          <w:color w:val="auto"/>
          <w:sz w:val="28"/>
          <w:szCs w:val="28"/>
          <w:highlight w:val="none"/>
          <w:u w:val="none"/>
          <w:lang w:val="en-US" w:eastAsia="zh-CN"/>
        </w:rPr>
        <w:t>或盖章</w:t>
      </w:r>
      <w:r>
        <w:rPr>
          <w:rFonts w:hint="eastAsia" w:ascii="宋体" w:hAnsi="宋体" w:eastAsia="宋体" w:cs="宋体"/>
          <w:color w:val="auto"/>
          <w:sz w:val="28"/>
          <w:szCs w:val="28"/>
          <w:highlight w:val="none"/>
          <w:u w:val="none"/>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1700" w:lineRule="exact"/>
        <w:ind w:right="0"/>
        <w:textAlignment w:val="baseline"/>
        <w:rPr>
          <w:rFonts w:hint="eastAsia"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rPr>
        <w:t xml:space="preserve">日期：    </w:t>
      </w:r>
    </w:p>
    <w:p>
      <w:pPr>
        <w:pStyle w:val="2"/>
        <w:rPr>
          <w:rFonts w:ascii="宋体" w:hAnsi="宋体"/>
          <w:color w:val="auto"/>
          <w:highlight w:val="none"/>
          <w:u w:val="none"/>
        </w:rPr>
      </w:pPr>
    </w:p>
    <w:p>
      <w:pPr>
        <w:rPr>
          <w:color w:val="auto"/>
          <w:highlight w:val="none"/>
          <w:u w:val="none"/>
        </w:rPr>
      </w:pPr>
    </w:p>
    <w:p>
      <w:pPr>
        <w:pStyle w:val="2"/>
        <w:rPr>
          <w:color w:val="auto"/>
          <w:highlight w:val="none"/>
          <w:u w:val="none"/>
        </w:rPr>
      </w:pPr>
    </w:p>
    <w:p>
      <w:pPr>
        <w:rPr>
          <w:color w:val="auto"/>
          <w:highlight w:val="none"/>
          <w:u w:val="none"/>
        </w:rPr>
      </w:pPr>
    </w:p>
    <w:p>
      <w:pPr>
        <w:pStyle w:val="2"/>
        <w:rPr>
          <w:color w:val="auto"/>
          <w:highlight w:val="none"/>
          <w:u w:val="none"/>
        </w:rPr>
      </w:pPr>
    </w:p>
    <w:p>
      <w:pPr>
        <w:rPr>
          <w:color w:val="auto"/>
          <w:highlight w:val="none"/>
          <w:u w:val="none"/>
        </w:rPr>
      </w:pPr>
    </w:p>
    <w:p>
      <w:pPr>
        <w:pStyle w:val="2"/>
        <w:rPr>
          <w:color w:val="auto"/>
          <w:highlight w:val="none"/>
          <w:u w:val="none"/>
        </w:rPr>
      </w:pPr>
    </w:p>
    <w:p>
      <w:pPr>
        <w:rPr>
          <w:color w:val="auto"/>
          <w:highlight w:val="none"/>
          <w:u w:val="none"/>
        </w:rPr>
      </w:pPr>
    </w:p>
    <w:p>
      <w:pPr>
        <w:pStyle w:val="2"/>
        <w:rPr>
          <w:color w:val="auto"/>
          <w:highlight w:val="none"/>
          <w:u w:val="none"/>
        </w:rPr>
      </w:pPr>
    </w:p>
    <w:p>
      <w:pPr>
        <w:pStyle w:val="2"/>
        <w:rPr>
          <w:color w:val="auto"/>
          <w:highlight w:val="none"/>
          <w:u w:val="none"/>
        </w:rPr>
      </w:pPr>
    </w:p>
    <w:p>
      <w:pPr>
        <w:rPr>
          <w:color w:val="auto"/>
          <w:highlight w:val="none"/>
          <w:u w:val="none"/>
        </w:rPr>
      </w:pPr>
    </w:p>
    <w:p>
      <w:pPr>
        <w:widowControl/>
        <w:jc w:val="left"/>
        <w:rPr>
          <w:rFonts w:hint="eastAsia" w:ascii="宋体" w:hAnsi="宋体" w:eastAsia="宋体" w:cs="宋体"/>
          <w:color w:val="auto"/>
          <w:highlight w:val="none"/>
          <w:u w:val="none"/>
          <w:lang w:val="en-US"/>
        </w:rPr>
      </w:pPr>
    </w:p>
    <w:p>
      <w:pPr>
        <w:widowControl/>
        <w:jc w:val="left"/>
        <w:rPr>
          <w:rFonts w:hint="eastAsia" w:ascii="宋体" w:hAnsi="宋体" w:eastAsia="宋体" w:cs="宋体"/>
          <w:color w:val="auto"/>
          <w:highlight w:val="none"/>
          <w:u w:val="none"/>
          <w:lang w:val="en-US"/>
        </w:rPr>
      </w:pPr>
      <w:r>
        <w:rPr>
          <w:rFonts w:hint="eastAsia" w:ascii="宋体" w:hAnsi="宋体" w:eastAsia="宋体" w:cs="宋体"/>
          <w:color w:val="auto"/>
          <w:highlight w:val="none"/>
          <w:u w:val="none"/>
          <w:lang w:val="en-US"/>
        </w:rPr>
        <w:t>(</w:t>
      </w:r>
      <w:r>
        <w:rPr>
          <w:rFonts w:hint="eastAsia" w:ascii="宋体" w:hAnsi="宋体" w:eastAsia="宋体" w:cs="宋体"/>
          <w:color w:val="auto"/>
          <w:highlight w:val="none"/>
          <w:u w:val="none"/>
          <w:lang w:val="en-US" w:eastAsia="zh-CN"/>
        </w:rPr>
        <w:t>乙方</w:t>
      </w:r>
      <w:r>
        <w:rPr>
          <w:rFonts w:hint="eastAsia" w:ascii="宋体" w:hAnsi="宋体" w:eastAsia="宋体" w:cs="宋体"/>
          <w:color w:val="auto"/>
          <w:highlight w:val="none"/>
          <w:u w:val="none"/>
          <w:lang w:val="en-US"/>
        </w:rPr>
        <w:t>联合体其他单位)</w:t>
      </w:r>
    </w:p>
    <w:p>
      <w:pPr>
        <w:widowControl/>
        <w:jc w:val="left"/>
        <w:rPr>
          <w:rFonts w:hint="eastAsia" w:ascii="宋体" w:hAnsi="宋体" w:eastAsia="宋体" w:cs="宋体"/>
          <w:color w:val="auto"/>
          <w:highlight w:val="none"/>
          <w:u w:val="none"/>
          <w:lang w:val="en-US"/>
        </w:rPr>
      </w:pPr>
      <w:r>
        <w:rPr>
          <w:rFonts w:hint="eastAsia" w:ascii="宋体" w:hAnsi="宋体" w:eastAsia="宋体" w:cs="宋体"/>
          <w:color w:val="auto"/>
          <w:highlight w:val="none"/>
          <w:u w:val="none"/>
          <w:lang w:val="en-US"/>
        </w:rPr>
        <w:t>（此页为《西安渼陂湖水系生态文化旅游区综合开发项目合作协议书》各方签字页）</w:t>
      </w:r>
    </w:p>
    <w:p>
      <w:pPr>
        <w:keepNext w:val="0"/>
        <w:keepLines w:val="0"/>
        <w:pageBreakBefore w:val="0"/>
        <w:widowControl w:val="0"/>
        <w:kinsoku/>
        <w:wordWrap/>
        <w:overflowPunct/>
        <w:topLinePunct w:val="0"/>
        <w:autoSpaceDE/>
        <w:autoSpaceDN/>
        <w:bidi w:val="0"/>
        <w:adjustRightInd w:val="0"/>
        <w:snapToGrid w:val="0"/>
        <w:spacing w:line="1100" w:lineRule="exact"/>
        <w:ind w:right="0" w:firstLine="560" w:firstLineChars="200"/>
        <w:textAlignment w:val="baseline"/>
        <w:rPr>
          <w:rFonts w:hint="eastAsia" w:ascii="宋体" w:hAnsi="宋体" w:eastAsia="宋体" w:cs="宋体"/>
          <w:color w:val="auto"/>
          <w:sz w:val="28"/>
          <w:szCs w:val="28"/>
          <w:highlight w:val="none"/>
          <w:u w:val="none"/>
          <w:lang w:val="en-US"/>
        </w:rPr>
      </w:pPr>
    </w:p>
    <w:p>
      <w:pPr>
        <w:pStyle w:val="2"/>
        <w:rPr>
          <w:rFonts w:hint="eastAsia"/>
          <w:color w:val="auto"/>
          <w:highlight w:val="none"/>
          <w:lang w:val="en-US"/>
        </w:rPr>
      </w:pPr>
    </w:p>
    <w:p>
      <w:pPr>
        <w:keepNext w:val="0"/>
        <w:keepLines w:val="0"/>
        <w:pageBreakBefore w:val="0"/>
        <w:widowControl w:val="0"/>
        <w:kinsoku/>
        <w:wordWrap/>
        <w:overflowPunct/>
        <w:topLinePunct w:val="0"/>
        <w:autoSpaceDE/>
        <w:autoSpaceDN/>
        <w:bidi w:val="0"/>
        <w:adjustRightInd w:val="0"/>
        <w:snapToGrid w:val="0"/>
        <w:spacing w:line="1700" w:lineRule="exact"/>
        <w:ind w:right="0"/>
        <w:textAlignment w:val="baseline"/>
        <w:rPr>
          <w:rFonts w:hint="eastAsia"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eastAsia="zh-CN"/>
        </w:rPr>
        <w:t>乙方：</w:t>
      </w:r>
      <w:r>
        <w:rPr>
          <w:rFonts w:hint="eastAsia" w:ascii="宋体" w:hAnsi="宋体" w:eastAsia="宋体" w:cs="宋体"/>
          <w:color w:val="auto"/>
          <w:sz w:val="28"/>
          <w:szCs w:val="28"/>
          <w:highlight w:val="none"/>
          <w:u w:val="none"/>
          <w:lang w:val="en-US"/>
        </w:rPr>
        <w:t>中铁十二局集团有限公司（盖章）</w:t>
      </w:r>
    </w:p>
    <w:p>
      <w:pPr>
        <w:keepNext w:val="0"/>
        <w:keepLines w:val="0"/>
        <w:pageBreakBefore w:val="0"/>
        <w:widowControl w:val="0"/>
        <w:kinsoku/>
        <w:wordWrap/>
        <w:overflowPunct/>
        <w:topLinePunct w:val="0"/>
        <w:autoSpaceDE/>
        <w:autoSpaceDN/>
        <w:bidi w:val="0"/>
        <w:adjustRightInd w:val="0"/>
        <w:snapToGrid w:val="0"/>
        <w:spacing w:line="1700" w:lineRule="exact"/>
        <w:ind w:right="0"/>
        <w:textAlignment w:val="baseline"/>
        <w:rPr>
          <w:rFonts w:hint="eastAsia"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rPr>
        <w:t>负责人或授权代表（签字</w:t>
      </w:r>
      <w:r>
        <w:rPr>
          <w:rFonts w:hint="eastAsia" w:ascii="宋体" w:hAnsi="宋体" w:eastAsia="宋体" w:cs="宋体"/>
          <w:color w:val="auto"/>
          <w:sz w:val="28"/>
          <w:szCs w:val="28"/>
          <w:highlight w:val="none"/>
          <w:u w:val="none"/>
          <w:lang w:val="en-US" w:eastAsia="zh-CN"/>
        </w:rPr>
        <w:t>或盖章</w:t>
      </w:r>
      <w:r>
        <w:rPr>
          <w:rFonts w:hint="eastAsia" w:ascii="宋体" w:hAnsi="宋体" w:eastAsia="宋体" w:cs="宋体"/>
          <w:color w:val="auto"/>
          <w:sz w:val="28"/>
          <w:szCs w:val="28"/>
          <w:highlight w:val="none"/>
          <w:u w:val="none"/>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1700" w:lineRule="exact"/>
        <w:ind w:right="0"/>
        <w:textAlignment w:val="baseline"/>
        <w:rPr>
          <w:rFonts w:hint="eastAsia"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rPr>
        <w:t xml:space="preserve">日期：                            </w:t>
      </w:r>
    </w:p>
    <w:p>
      <w:pPr>
        <w:pStyle w:val="2"/>
        <w:rPr>
          <w:rFonts w:ascii="宋体" w:hAnsi="宋体"/>
          <w:color w:val="auto"/>
          <w:highlight w:val="none"/>
          <w:u w:val="single"/>
        </w:rPr>
      </w:pPr>
    </w:p>
    <w:p>
      <w:pPr>
        <w:rPr>
          <w:color w:val="auto"/>
          <w:highlight w:val="none"/>
          <w:u w:val="singl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ageBreakBefore w:val="0"/>
        <w:kinsoku/>
        <w:wordWrap/>
        <w:overflowPunct/>
        <w:topLinePunct w:val="0"/>
        <w:autoSpaceDE/>
        <w:autoSpaceDN/>
        <w:bidi w:val="0"/>
        <w:adjustRightInd/>
        <w:snapToGrid/>
        <w:spacing w:line="560" w:lineRule="exact"/>
        <w:jc w:val="left"/>
        <w:textAlignment w:val="auto"/>
        <w:rPr>
          <w:rFonts w:hint="eastAsia" w:ascii="小标宋" w:hAnsi="小标宋" w:eastAsia="小标宋" w:cs="小标宋"/>
          <w:color w:val="auto"/>
          <w:sz w:val="36"/>
          <w:szCs w:val="36"/>
          <w:highlight w:val="none"/>
          <w:lang w:eastAsia="zh-CN"/>
        </w:rPr>
      </w:pPr>
    </w:p>
    <w:p>
      <w:pPr>
        <w:pStyle w:val="31"/>
        <w:spacing w:before="156" w:beforeLines="50" w:after="156" w:afterLines="50" w:line="360" w:lineRule="auto"/>
        <w:jc w:val="both"/>
        <w:rPr>
          <w:color w:val="auto"/>
          <w:sz w:val="32"/>
          <w:szCs w:val="32"/>
          <w:highlight w:val="none"/>
        </w:rPr>
      </w:pPr>
      <w:r>
        <w:rPr>
          <w:color w:val="auto"/>
          <w:sz w:val="32"/>
          <w:szCs w:val="32"/>
          <w:highlight w:val="none"/>
        </w:rPr>
        <w:br w:type="page"/>
      </w:r>
    </w:p>
    <w:p>
      <w:pPr>
        <w:pStyle w:val="31"/>
        <w:spacing w:before="156" w:beforeLines="50" w:after="156" w:afterLines="50" w:line="360" w:lineRule="auto"/>
        <w:jc w:val="both"/>
        <w:rPr>
          <w:rFonts w:ascii="宋体" w:hAnsi="宋体" w:eastAsia="宋体" w:cs="宋体"/>
          <w:b/>
          <w:color w:val="auto"/>
          <w:highlight w:val="none"/>
        </w:rPr>
      </w:pPr>
      <w:r>
        <w:rPr>
          <w:rFonts w:hint="eastAsia" w:ascii="宋体" w:hAnsi="宋体" w:eastAsia="宋体" w:cs="宋体"/>
          <w:b/>
          <w:color w:val="auto"/>
          <w:highlight w:val="none"/>
        </w:rPr>
        <w:t>附件</w:t>
      </w:r>
      <w:r>
        <w:rPr>
          <w:rFonts w:ascii="宋体" w:hAnsi="宋体" w:eastAsia="宋体" w:cs="宋体"/>
          <w:b/>
          <w:color w:val="auto"/>
          <w:highlight w:val="none"/>
        </w:rPr>
        <w:t>一：合作</w:t>
      </w:r>
      <w:r>
        <w:rPr>
          <w:rFonts w:hint="eastAsia" w:ascii="宋体" w:hAnsi="宋体" w:eastAsia="宋体" w:cs="宋体"/>
          <w:b/>
          <w:color w:val="auto"/>
          <w:highlight w:val="none"/>
        </w:rPr>
        <w:t>区域</w:t>
      </w:r>
      <w:r>
        <w:rPr>
          <w:rFonts w:ascii="宋体" w:hAnsi="宋体" w:eastAsia="宋体" w:cs="宋体"/>
          <w:b/>
          <w:color w:val="auto"/>
          <w:highlight w:val="none"/>
        </w:rPr>
        <w:t>四至示意图</w:t>
      </w:r>
    </w:p>
    <w:p>
      <w:pPr>
        <w:pStyle w:val="31"/>
        <w:spacing w:before="156" w:beforeLines="50" w:after="156" w:afterLines="50" w:line="360" w:lineRule="auto"/>
        <w:rPr>
          <w:rFonts w:ascii="宋体" w:hAnsi="宋体" w:eastAsia="宋体" w:cs="宋体"/>
          <w:color w:val="auto"/>
          <w:highlight w:val="none"/>
        </w:rPr>
      </w:pPr>
      <w:r>
        <w:rPr>
          <w:rFonts w:ascii="宋体" w:hAnsi="宋体" w:eastAsia="宋体" w:cs="宋体"/>
          <w:color w:val="auto"/>
          <w:highlight w:val="none"/>
        </w:rPr>
        <w:drawing>
          <wp:inline distT="0" distB="0" distL="0" distR="0">
            <wp:extent cx="5883275" cy="691705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l="25094" t="9480" r="23181" b="6814"/>
                    <a:stretch>
                      <a:fillRect/>
                    </a:stretch>
                  </pic:blipFill>
                  <pic:spPr>
                    <a:xfrm>
                      <a:off x="0" y="0"/>
                      <a:ext cx="5896145" cy="6932044"/>
                    </a:xfrm>
                    <a:prstGeom prst="rect">
                      <a:avLst/>
                    </a:prstGeom>
                    <a:noFill/>
                    <a:ln>
                      <a:noFill/>
                    </a:ln>
                  </pic:spPr>
                </pic:pic>
              </a:graphicData>
            </a:graphic>
          </wp:inline>
        </w:drawing>
      </w:r>
    </w:p>
    <w:p>
      <w:pPr>
        <w:pStyle w:val="31"/>
        <w:spacing w:before="156" w:beforeLines="50" w:after="156" w:afterLines="50" w:line="360" w:lineRule="auto"/>
        <w:ind w:firstLine="5040" w:firstLineChars="2100"/>
        <w:jc w:val="right"/>
        <w:rPr>
          <w:rFonts w:ascii="宋体" w:hAnsi="宋体" w:eastAsia="宋体" w:cs="宋体"/>
          <w:color w:val="auto"/>
          <w:highlight w:val="none"/>
        </w:rPr>
      </w:pPr>
    </w:p>
    <w:p>
      <w:pPr>
        <w:widowControl/>
        <w:spacing w:before="156" w:beforeLines="50" w:after="156" w:afterLines="50" w:line="360" w:lineRule="auto"/>
        <w:jc w:val="left"/>
        <w:rPr>
          <w:rFonts w:ascii="宋体" w:hAnsi="宋体" w:eastAsia="宋体" w:cs="宋体"/>
          <w:color w:val="auto"/>
          <w:kern w:val="0"/>
          <w:sz w:val="24"/>
          <w:szCs w:val="24"/>
          <w:highlight w:val="none"/>
        </w:rPr>
      </w:pPr>
      <w:r>
        <w:rPr>
          <w:rFonts w:ascii="宋体" w:hAnsi="宋体" w:eastAsia="宋体" w:cs="宋体"/>
          <w:color w:val="auto"/>
          <w:sz w:val="24"/>
          <w:szCs w:val="24"/>
          <w:highlight w:val="none"/>
        </w:rPr>
        <w:br w:type="page"/>
      </w:r>
    </w:p>
    <w:p>
      <w:pPr>
        <w:spacing w:before="156" w:beforeLines="50" w:after="156" w:afterLines="50" w:line="360" w:lineRule="auto"/>
        <w:jc w:val="both"/>
        <w:rPr>
          <w:rFonts w:hint="eastAsia" w:ascii="宋体" w:hAnsi="宋体"/>
          <w:b/>
          <w:bCs/>
          <w:color w:val="auto"/>
          <w:sz w:val="28"/>
          <w:szCs w:val="28"/>
          <w:highlight w:val="none"/>
          <w:lang w:val="en-US" w:eastAsia="zh-CN"/>
        </w:rPr>
      </w:pPr>
      <w:bookmarkStart w:id="183" w:name="_Toc101463889"/>
      <w:bookmarkStart w:id="184" w:name="_Toc55981113"/>
      <w:r>
        <w:rPr>
          <w:rFonts w:hint="eastAsia" w:ascii="宋体" w:hAnsi="宋体"/>
          <w:b/>
          <w:bCs/>
          <w:color w:val="auto"/>
          <w:sz w:val="28"/>
          <w:szCs w:val="28"/>
          <w:highlight w:val="none"/>
        </w:rPr>
        <w:t xml:space="preserve">附件二.  </w:t>
      </w:r>
      <w:r>
        <w:rPr>
          <w:rFonts w:hint="eastAsia" w:ascii="宋体" w:hAnsi="宋体"/>
          <w:b/>
          <w:bCs/>
          <w:color w:val="auto"/>
          <w:sz w:val="28"/>
          <w:szCs w:val="28"/>
          <w:highlight w:val="none"/>
          <w:lang w:val="en-US" w:eastAsia="zh-CN"/>
        </w:rPr>
        <w:t xml:space="preserve">               </w:t>
      </w:r>
    </w:p>
    <w:p>
      <w:pPr>
        <w:spacing w:before="156" w:beforeLines="50" w:after="156" w:afterLines="50"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共管资金账户协议</w:t>
      </w:r>
      <w:bookmarkEnd w:id="183"/>
      <w:bookmarkEnd w:id="184"/>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eastAsia" w:ascii="宋体" w:hAnsi="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甲方（账户所有人）：</w:t>
      </w:r>
      <w:r>
        <w:rPr>
          <w:rFonts w:hint="default" w:ascii="宋体" w:hAnsi="宋体"/>
          <w:color w:val="auto"/>
          <w:sz w:val="24"/>
          <w:szCs w:val="24"/>
          <w:highlight w:val="none"/>
        </w:rPr>
        <w:t>西安曲江渼陂湖投资建设有限公司</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rPr>
        <w:t>乙方（账户共管人）：中国铁建投资集团有限公司</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中铁十二局集团有限公司</w:t>
      </w:r>
      <w:r>
        <w:rPr>
          <w:rFonts w:hint="eastAsia" w:ascii="宋体" w:hAnsi="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default" w:ascii="宋体" w:hAnsi="宋体"/>
          <w:color w:val="auto"/>
          <w:sz w:val="24"/>
          <w:szCs w:val="24"/>
          <w:highlight w:val="none"/>
        </w:rPr>
      </w:pPr>
      <w:r>
        <w:rPr>
          <w:rFonts w:hint="eastAsia" w:ascii="宋体" w:hAnsi="宋体"/>
          <w:color w:val="auto"/>
          <w:sz w:val="24"/>
          <w:szCs w:val="24"/>
          <w:highlight w:val="none"/>
        </w:rPr>
        <w:t>中铁二十局集团有限公司</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中铁二十四局集团有限公司</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中国铁建电气化局集团有限公司</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中铁第一勘察设计院集团有限公司</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中铁建苏州设计研究院有限公司</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中铁建投资基金管理有限公司</w:t>
      </w:r>
    </w:p>
    <w:p>
      <w:pPr>
        <w:autoSpaceDE w:val="0"/>
        <w:autoSpaceDN w:val="0"/>
        <w:adjustRightInd w:val="0"/>
        <w:spacing w:before="156" w:beforeLines="50" w:after="156" w:afterLines="50" w:line="360" w:lineRule="auto"/>
        <w:ind w:firstLine="480" w:firstLineChars="200"/>
        <w:jc w:val="left"/>
        <w:rPr>
          <w:rFonts w:ascii="宋体" w:hAnsi="宋体"/>
          <w:color w:val="auto"/>
          <w:sz w:val="24"/>
          <w:szCs w:val="24"/>
          <w:highlight w:val="none"/>
        </w:rPr>
      </w:pPr>
    </w:p>
    <w:p>
      <w:pPr>
        <w:autoSpaceDE w:val="0"/>
        <w:autoSpaceDN w:val="0"/>
        <w:adjustRightInd w:val="0"/>
        <w:spacing w:before="156" w:beforeLines="50" w:after="156" w:afterLines="50"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鉴于西安曲江渼陂湖投资建设有限公司已通过公开招标方式选定乙方合作本项目，并签署了《西安渼陂湖水系生态文化旅游区综合开发项目合作协议书》的约定注册成立</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有限公司</w:t>
      </w:r>
      <w:r>
        <w:rPr>
          <w:rFonts w:hint="eastAsia" w:ascii="宋体" w:hAnsi="宋体"/>
          <w:color w:val="auto"/>
          <w:sz w:val="24"/>
          <w:szCs w:val="24"/>
          <w:highlight w:val="none"/>
        </w:rPr>
        <w:t>。</w:t>
      </w:r>
    </w:p>
    <w:p>
      <w:pPr>
        <w:autoSpaceDE w:val="0"/>
        <w:autoSpaceDN w:val="0"/>
        <w:adjustRightInd w:val="0"/>
        <w:spacing w:before="156" w:beforeLines="50" w:after="156" w:afterLines="50"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为保证本项目顺利实施，做好本项目的资金监督管理工作，本着平等、自愿、互惠的原则，双方</w:t>
      </w:r>
      <w:r>
        <w:rPr>
          <w:rFonts w:ascii="宋体" w:hAnsi="宋体"/>
          <w:color w:val="auto"/>
          <w:sz w:val="24"/>
          <w:szCs w:val="24"/>
          <w:highlight w:val="none"/>
        </w:rPr>
        <w:t>经协商一致，就甲</w:t>
      </w:r>
      <w:r>
        <w:rPr>
          <w:rFonts w:hint="eastAsia" w:ascii="宋体" w:hAnsi="宋体"/>
          <w:color w:val="auto"/>
          <w:sz w:val="24"/>
          <w:szCs w:val="24"/>
          <w:highlight w:val="none"/>
        </w:rPr>
        <w:t>方</w:t>
      </w:r>
      <w:r>
        <w:rPr>
          <w:rFonts w:ascii="宋体" w:hAnsi="宋体"/>
          <w:color w:val="auto"/>
          <w:sz w:val="24"/>
          <w:szCs w:val="24"/>
          <w:highlight w:val="none"/>
        </w:rPr>
        <w:t>在</w:t>
      </w:r>
      <w:r>
        <w:rPr>
          <w:rFonts w:hint="eastAsia" w:ascii="宋体" w:hAnsi="宋体"/>
          <w:color w:val="auto"/>
          <w:sz w:val="24"/>
          <w:szCs w:val="24"/>
          <w:highlight w:val="none"/>
        </w:rPr>
        <w:t>双方共同确认的银行开立的资金账户中的资金的共同管理</w:t>
      </w:r>
      <w:r>
        <w:rPr>
          <w:rFonts w:ascii="宋体" w:hAnsi="宋体"/>
          <w:color w:val="auto"/>
          <w:sz w:val="24"/>
          <w:szCs w:val="24"/>
          <w:highlight w:val="none"/>
        </w:rPr>
        <w:t>，</w:t>
      </w:r>
      <w:r>
        <w:rPr>
          <w:rFonts w:hint="eastAsia" w:ascii="宋体" w:hAnsi="宋体"/>
          <w:color w:val="auto"/>
          <w:sz w:val="24"/>
          <w:szCs w:val="24"/>
          <w:highlight w:val="none"/>
        </w:rPr>
        <w:t>达成如下资金共管协议（以下简称“本协议”）：</w:t>
      </w:r>
    </w:p>
    <w:p>
      <w:pPr>
        <w:spacing w:before="156" w:beforeLines="50" w:after="156" w:afterLines="50" w:line="360" w:lineRule="auto"/>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第一条</w:t>
      </w:r>
      <w:r>
        <w:rPr>
          <w:rFonts w:ascii="黑体" w:hAnsi="黑体" w:eastAsia="黑体"/>
          <w:color w:val="auto"/>
          <w:sz w:val="32"/>
          <w:szCs w:val="32"/>
          <w:highlight w:val="none"/>
        </w:rPr>
        <w:t xml:space="preserve">   </w:t>
      </w:r>
      <w:r>
        <w:rPr>
          <w:rFonts w:hint="eastAsia" w:ascii="黑体" w:hAnsi="黑体" w:eastAsia="黑体"/>
          <w:color w:val="auto"/>
          <w:sz w:val="32"/>
          <w:szCs w:val="32"/>
          <w:highlight w:val="none"/>
        </w:rPr>
        <w:t>共管账户的开立</w:t>
      </w:r>
    </w:p>
    <w:p>
      <w:pPr>
        <w:spacing w:before="156" w:beforeLines="50" w:after="156"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账户以甲方的名义开户，乙方作为本账户的共管人，双方同意就该账户预留甲乙双方指定人印章、各持一个网银盾等账户管理工具，并做好账户管理工具相关信息的备案登记和签认，甲乙双方各执一份，以实现甲乙双方共同全面管理该账户。</w:t>
      </w:r>
    </w:p>
    <w:p>
      <w:pPr>
        <w:spacing w:before="156" w:beforeLines="50" w:after="156"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在共管过程中，如发生账户管理工具变更、丢失补办等情况，必须由双方共同办理，办理完成后及时就账户管理工具保管信息进行备案登记、签认并留存。共管账户具体信息如下：</w:t>
      </w:r>
    </w:p>
    <w:p>
      <w:pPr>
        <w:spacing w:before="156" w:beforeLines="50" w:after="156"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户  名：</w:t>
      </w:r>
    </w:p>
    <w:p>
      <w:pPr>
        <w:spacing w:before="156" w:beforeLines="50" w:after="156"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账  号：</w:t>
      </w:r>
    </w:p>
    <w:p>
      <w:pPr>
        <w:spacing w:before="156" w:beforeLines="50" w:after="156"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开户行：</w:t>
      </w:r>
    </w:p>
    <w:p>
      <w:pPr>
        <w:spacing w:before="156" w:beforeLines="50" w:after="156" w:afterLines="50" w:line="360" w:lineRule="auto"/>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第二条  共管账户的资金</w:t>
      </w:r>
    </w:p>
    <w:p>
      <w:pPr>
        <w:spacing w:before="156" w:beforeLines="50" w:after="156"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共管账户的资金主要包括以下四个方面：</w:t>
      </w:r>
    </w:p>
    <w:p>
      <w:pPr>
        <w:spacing w:before="156" w:beforeLines="50" w:after="156" w:afterLines="50"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项目公司向甲方提供并由甲方使用的资金；</w:t>
      </w:r>
    </w:p>
    <w:p>
      <w:pPr>
        <w:spacing w:before="156" w:beforeLines="50" w:after="156" w:afterLines="50"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项目范围内甲方获得的平衡资金；</w:t>
      </w:r>
    </w:p>
    <w:p>
      <w:pPr>
        <w:spacing w:before="156" w:beforeLines="50" w:after="156" w:afterLines="50"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3.共管账户本身产生的银行利息和银行手续费；</w:t>
      </w:r>
    </w:p>
    <w:p>
      <w:pPr>
        <w:spacing w:before="156" w:beforeLines="50" w:after="156" w:afterLines="50"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项目公司可能</w:t>
      </w:r>
      <w:r>
        <w:rPr>
          <w:rFonts w:ascii="宋体" w:hAnsi="宋体"/>
          <w:color w:val="auto"/>
          <w:sz w:val="24"/>
          <w:szCs w:val="24"/>
          <w:highlight w:val="none"/>
        </w:rPr>
        <w:t>有权</w:t>
      </w:r>
      <w:r>
        <w:rPr>
          <w:rFonts w:hint="eastAsia" w:ascii="宋体" w:hAnsi="宋体"/>
          <w:color w:val="auto"/>
          <w:sz w:val="24"/>
          <w:szCs w:val="24"/>
          <w:highlight w:val="none"/>
        </w:rPr>
        <w:t>获得</w:t>
      </w:r>
      <w:r>
        <w:rPr>
          <w:rFonts w:ascii="宋体" w:hAnsi="宋体"/>
          <w:color w:val="auto"/>
          <w:sz w:val="24"/>
          <w:szCs w:val="24"/>
          <w:highlight w:val="none"/>
        </w:rPr>
        <w:t>的安置</w:t>
      </w:r>
      <w:r>
        <w:rPr>
          <w:rFonts w:hint="eastAsia" w:ascii="宋体" w:hAnsi="宋体"/>
          <w:color w:val="auto"/>
          <w:sz w:val="24"/>
          <w:szCs w:val="24"/>
          <w:highlight w:val="none"/>
        </w:rPr>
        <w:t>房</w:t>
      </w:r>
      <w:r>
        <w:rPr>
          <w:rFonts w:ascii="宋体" w:hAnsi="宋体"/>
          <w:color w:val="auto"/>
          <w:sz w:val="24"/>
          <w:szCs w:val="24"/>
          <w:highlight w:val="none"/>
        </w:rPr>
        <w:t>停车位销售收入；</w:t>
      </w:r>
    </w:p>
    <w:p>
      <w:pPr>
        <w:spacing w:before="156" w:beforeLines="50" w:after="156" w:afterLines="50"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5.其他经双方协商一致纳入共管账户管理的资金。</w:t>
      </w:r>
    </w:p>
    <w:p>
      <w:pPr>
        <w:spacing w:before="156" w:beforeLines="50" w:after="156" w:afterLines="50" w:line="360" w:lineRule="auto"/>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第三条  共管账户的收支</w:t>
      </w:r>
    </w:p>
    <w:p>
      <w:pPr>
        <w:spacing w:before="156" w:beforeLines="50" w:after="156"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共管账户的资金由甲乙双方协商一致后办理相关收支手续。</w:t>
      </w:r>
    </w:p>
    <w:p>
      <w:pPr>
        <w:spacing w:before="156" w:beforeLines="50" w:after="156" w:afterLines="50" w:line="360" w:lineRule="auto"/>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第四条  共管账户的解除</w:t>
      </w:r>
    </w:p>
    <w:p>
      <w:pPr>
        <w:spacing w:before="156" w:beforeLines="50" w:after="156"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甲乙双方结算并支付完毕后，则甲方账户内的全部资金属于甲方所有，乙方配合甲方无条件解除该账户的共管。</w:t>
      </w:r>
    </w:p>
    <w:p>
      <w:pPr>
        <w:spacing w:before="156" w:beforeLines="50" w:after="156" w:afterLines="50" w:line="360" w:lineRule="auto"/>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第五条  甲方的权利和义务</w:t>
      </w:r>
    </w:p>
    <w:p>
      <w:pPr>
        <w:spacing w:before="156" w:beforeLines="50" w:after="156" w:afterLines="50"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1.自愿将乙方作为被监管账户的共管方，</w:t>
      </w:r>
      <w:r>
        <w:rPr>
          <w:rFonts w:hint="eastAsia" w:ascii="宋体" w:hAnsi="宋体"/>
          <w:color w:val="auto"/>
          <w:sz w:val="24"/>
          <w:szCs w:val="24"/>
          <w:highlight w:val="none"/>
        </w:rPr>
        <w:t>明确</w:t>
      </w:r>
      <w:r>
        <w:rPr>
          <w:rFonts w:ascii="宋体" w:hAnsi="宋体"/>
          <w:color w:val="auto"/>
          <w:sz w:val="24"/>
          <w:szCs w:val="24"/>
          <w:highlight w:val="none"/>
        </w:rPr>
        <w:t>知悉</w:t>
      </w:r>
      <w:r>
        <w:rPr>
          <w:rFonts w:hint="eastAsia" w:ascii="宋体" w:hAnsi="宋体"/>
          <w:color w:val="auto"/>
          <w:sz w:val="24"/>
          <w:szCs w:val="24"/>
          <w:highlight w:val="none"/>
        </w:rPr>
        <w:t>乙方</w:t>
      </w:r>
      <w:r>
        <w:rPr>
          <w:rFonts w:ascii="宋体" w:hAnsi="宋体"/>
          <w:color w:val="auto"/>
          <w:sz w:val="24"/>
          <w:szCs w:val="24"/>
          <w:highlight w:val="none"/>
        </w:rPr>
        <w:t>对被监管账户</w:t>
      </w:r>
      <w:r>
        <w:rPr>
          <w:rFonts w:hint="eastAsia" w:ascii="宋体" w:hAnsi="宋体"/>
          <w:color w:val="auto"/>
          <w:sz w:val="24"/>
          <w:szCs w:val="24"/>
          <w:highlight w:val="none"/>
        </w:rPr>
        <w:t>在被</w:t>
      </w:r>
      <w:r>
        <w:rPr>
          <w:rFonts w:ascii="宋体" w:hAnsi="宋体"/>
          <w:color w:val="auto"/>
          <w:sz w:val="24"/>
          <w:szCs w:val="24"/>
          <w:highlight w:val="none"/>
        </w:rPr>
        <w:t>监管期间的监管职责</w:t>
      </w:r>
      <w:r>
        <w:rPr>
          <w:rFonts w:hint="eastAsia" w:ascii="宋体" w:hAnsi="宋体"/>
          <w:color w:val="auto"/>
          <w:sz w:val="24"/>
          <w:szCs w:val="24"/>
          <w:highlight w:val="none"/>
        </w:rPr>
        <w:t>以及</w:t>
      </w:r>
      <w:r>
        <w:rPr>
          <w:rFonts w:ascii="宋体" w:hAnsi="宋体"/>
          <w:color w:val="auto"/>
          <w:sz w:val="24"/>
          <w:szCs w:val="24"/>
          <w:highlight w:val="none"/>
        </w:rPr>
        <w:t>乙方</w:t>
      </w:r>
      <w:r>
        <w:rPr>
          <w:rFonts w:hint="eastAsia" w:ascii="宋体" w:hAnsi="宋体"/>
          <w:color w:val="auto"/>
          <w:sz w:val="24"/>
          <w:szCs w:val="24"/>
          <w:highlight w:val="none"/>
        </w:rPr>
        <w:t>可取得</w:t>
      </w:r>
      <w:r>
        <w:rPr>
          <w:rFonts w:ascii="宋体" w:hAnsi="宋体"/>
          <w:color w:val="auto"/>
          <w:sz w:val="24"/>
          <w:szCs w:val="24"/>
          <w:highlight w:val="none"/>
        </w:rPr>
        <w:t>甲方</w:t>
      </w:r>
      <w:r>
        <w:rPr>
          <w:rFonts w:hint="eastAsia" w:ascii="宋体" w:hAnsi="宋体"/>
          <w:color w:val="auto"/>
          <w:sz w:val="24"/>
          <w:szCs w:val="24"/>
          <w:highlight w:val="none"/>
        </w:rPr>
        <w:t>被</w:t>
      </w:r>
      <w:r>
        <w:rPr>
          <w:rFonts w:ascii="宋体" w:hAnsi="宋体"/>
          <w:color w:val="auto"/>
          <w:sz w:val="24"/>
          <w:szCs w:val="24"/>
          <w:highlight w:val="none"/>
        </w:rPr>
        <w:t>监管账户</w:t>
      </w:r>
      <w:r>
        <w:rPr>
          <w:rFonts w:hint="eastAsia" w:ascii="宋体" w:hAnsi="宋体"/>
          <w:color w:val="auto"/>
          <w:sz w:val="24"/>
          <w:szCs w:val="24"/>
          <w:highlight w:val="none"/>
        </w:rPr>
        <w:t>余额</w:t>
      </w:r>
      <w:r>
        <w:rPr>
          <w:rFonts w:ascii="宋体" w:hAnsi="宋体"/>
          <w:color w:val="auto"/>
          <w:sz w:val="24"/>
          <w:szCs w:val="24"/>
          <w:highlight w:val="none"/>
        </w:rPr>
        <w:t>、</w:t>
      </w:r>
      <w:r>
        <w:rPr>
          <w:rFonts w:hint="eastAsia" w:ascii="宋体" w:hAnsi="宋体"/>
          <w:color w:val="auto"/>
          <w:sz w:val="24"/>
          <w:szCs w:val="24"/>
          <w:highlight w:val="none"/>
        </w:rPr>
        <w:t>交易明细</w:t>
      </w:r>
      <w:r>
        <w:rPr>
          <w:rFonts w:ascii="宋体" w:hAnsi="宋体"/>
          <w:color w:val="auto"/>
          <w:sz w:val="24"/>
          <w:szCs w:val="24"/>
          <w:highlight w:val="none"/>
        </w:rPr>
        <w:t>等信息</w:t>
      </w:r>
      <w:r>
        <w:rPr>
          <w:rFonts w:hint="eastAsia" w:ascii="宋体" w:hAnsi="宋体"/>
          <w:color w:val="auto"/>
          <w:sz w:val="24"/>
          <w:szCs w:val="24"/>
          <w:highlight w:val="none"/>
        </w:rPr>
        <w:t>。</w:t>
      </w:r>
    </w:p>
    <w:p>
      <w:pPr>
        <w:spacing w:before="156" w:beforeLines="50" w:after="156" w:afterLines="50"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履行本协议期间不得将账户中的资金向任何第三方设置抵押、质押等担保。</w:t>
      </w:r>
    </w:p>
    <w:p>
      <w:pPr>
        <w:spacing w:before="156" w:beforeLines="50" w:after="156" w:afterLines="50"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专款专用，严禁侵占、挪用、截留平衡资金，严格防范各种违法、违纪、违规行为的发生。</w:t>
      </w:r>
    </w:p>
    <w:p>
      <w:pPr>
        <w:spacing w:before="156" w:beforeLines="50" w:after="156" w:afterLines="50"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拨付费用前，应及时向乙方提供相关支付依据。根据乙方的要求将拨付款的明细等报乙方核对。</w:t>
      </w:r>
    </w:p>
    <w:p>
      <w:pPr>
        <w:spacing w:before="156" w:beforeLines="50" w:after="156" w:afterLines="50"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无权单独对共管账户进行资金提取及划转等操作。</w:t>
      </w:r>
    </w:p>
    <w:p>
      <w:pPr>
        <w:spacing w:before="156" w:beforeLines="50" w:after="156" w:afterLines="50" w:line="360" w:lineRule="auto"/>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第六条  乙方的权利和义务</w:t>
      </w:r>
    </w:p>
    <w:p>
      <w:pPr>
        <w:spacing w:before="156" w:beforeLines="50" w:after="156"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1.按照双方确定的资金使用计划，向共管账户汇入由甲方使用的资金。</w:t>
      </w:r>
    </w:p>
    <w:p>
      <w:pPr>
        <w:spacing w:before="156" w:beforeLines="50" w:after="156"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2.如甲方未按照投资协议和本协议的约定，提供拨付资金所需要的支付依据，乙方有权拒绝该笔资金的支付。</w:t>
      </w:r>
    </w:p>
    <w:p>
      <w:pPr>
        <w:spacing w:before="156" w:beforeLines="50" w:after="156" w:afterLines="50"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3.无权单独对共管账户进行资金提取及划转等操作。</w:t>
      </w:r>
    </w:p>
    <w:p>
      <w:pPr>
        <w:spacing w:before="156" w:beforeLines="50" w:after="156" w:afterLines="50" w:line="360" w:lineRule="auto"/>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第七条  违约责任</w:t>
      </w:r>
    </w:p>
    <w:p>
      <w:pPr>
        <w:spacing w:before="156" w:beforeLines="50" w:after="156"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甲乙双方均应遵守并履行本协议约定的义务与责任，任何一方违反本协议的约定，应承担相应的违约责任和赔偿责任。</w:t>
      </w:r>
    </w:p>
    <w:p>
      <w:pPr>
        <w:spacing w:before="156" w:beforeLines="50" w:after="156" w:afterLines="50" w:line="360" w:lineRule="auto"/>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第八条  争议的解决</w:t>
      </w:r>
    </w:p>
    <w:p>
      <w:pPr>
        <w:spacing w:before="156" w:beforeLines="50" w:after="156"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因履行本协议引起的，或与本协议有关的一切争议，应由双方协商解决。若双方无法解决，任何一方可提交原告所在地有管辖权的法院裁决。</w:t>
      </w:r>
    </w:p>
    <w:p>
      <w:pPr>
        <w:spacing w:before="156" w:beforeLines="50" w:after="156" w:afterLines="50" w:line="360" w:lineRule="auto"/>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第九条  终止与其他</w:t>
      </w:r>
    </w:p>
    <w:p>
      <w:pPr>
        <w:spacing w:before="156" w:beforeLines="50" w:after="156"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1.本协议未尽事宜，双方协商后可以签订补充协议。</w:t>
      </w:r>
    </w:p>
    <w:p>
      <w:pPr>
        <w:spacing w:before="156" w:beforeLines="50" w:after="156" w:afterLines="50" w:line="360" w:lineRule="auto"/>
        <w:ind w:firstLine="480" w:firstLineChars="200"/>
        <w:rPr>
          <w:rFonts w:hint="eastAsia" w:ascii="楷体_GB2312" w:hAnsi="宋体" w:eastAsia="楷体_GB2312"/>
          <w:color w:val="auto"/>
          <w:sz w:val="36"/>
          <w:szCs w:val="36"/>
          <w:highlight w:val="none"/>
          <w:lang w:eastAsia="zh-CN"/>
        </w:rPr>
      </w:pPr>
      <w:r>
        <w:rPr>
          <w:rFonts w:hint="eastAsia" w:ascii="宋体" w:hAnsi="宋体" w:eastAsia="宋体" w:cs="宋体"/>
          <w:color w:val="auto"/>
          <w:sz w:val="24"/>
          <w:szCs w:val="24"/>
          <w:highlight w:val="none"/>
        </w:rPr>
        <w:t>2.本协议自</w:t>
      </w:r>
      <w:r>
        <w:rPr>
          <w:rFonts w:hint="eastAsia" w:ascii="宋体" w:hAnsi="宋体" w:eastAsia="宋体" w:cs="宋体"/>
          <w:color w:val="auto"/>
          <w:sz w:val="24"/>
          <w:szCs w:val="24"/>
          <w:highlight w:val="none"/>
          <w:lang w:val="en-US" w:eastAsia="zh-CN"/>
        </w:rPr>
        <w:t>各方</w:t>
      </w:r>
      <w:r>
        <w:rPr>
          <w:rFonts w:hint="eastAsia" w:ascii="宋体" w:hAnsi="宋体" w:eastAsia="宋体" w:cs="宋体"/>
          <w:color w:val="auto"/>
          <w:sz w:val="24"/>
          <w:szCs w:val="24"/>
          <w:highlight w:val="none"/>
        </w:rPr>
        <w:t>法定代表人或其委托代理人签字</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或盖章</w:t>
      </w:r>
      <w:r>
        <w:rPr>
          <w:rFonts w:hint="eastAsia" w:ascii="宋体" w:hAnsi="宋体" w:eastAsia="宋体"/>
          <w:color w:val="auto"/>
          <w:sz w:val="24"/>
          <w:szCs w:val="24"/>
          <w:highlight w:val="none"/>
          <w:lang w:eastAsia="zh-CN"/>
        </w:rPr>
        <w:t>）</w:t>
      </w:r>
      <w:r>
        <w:rPr>
          <w:rFonts w:hint="eastAsia" w:ascii="宋体" w:hAnsi="宋体" w:eastAsia="宋体" w:cs="宋体"/>
          <w:color w:val="auto"/>
          <w:sz w:val="24"/>
          <w:szCs w:val="24"/>
          <w:highlight w:val="none"/>
        </w:rPr>
        <w:t>并加盖公章之日起生效，合同履行完毕之后自动失效。</w:t>
      </w:r>
    </w:p>
    <w:sectPr>
      <w:footerReference r:id="rId5"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小标宋">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120"/>
      <w:ind w:firstLine="480"/>
      <w:jc w:val="center"/>
    </w:pPr>
  </w:p>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239421"/>
    </w:sdtPr>
    <w:sdtContent>
      <w:p>
        <w:pPr>
          <w:pStyle w:val="13"/>
          <w:spacing w:after="120"/>
          <w:ind w:firstLine="480"/>
          <w:jc w:val="center"/>
        </w:pPr>
        <w:r>
          <w:fldChar w:fldCharType="begin"/>
        </w:r>
        <w:r>
          <w:instrText xml:space="preserve">PAGE   \* MERGEFORMAT</w:instrText>
        </w:r>
        <w:r>
          <w:fldChar w:fldCharType="separate"/>
        </w:r>
        <w:r>
          <w:rPr>
            <w:lang w:val="zh-CN"/>
          </w:rPr>
          <w:t>46</w:t>
        </w:r>
        <w:r>
          <w:fldChar w:fldCharType="end"/>
        </w:r>
      </w:p>
    </w:sdtContent>
  </w:sdt>
  <w:p>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M2M0YTEyMWNkODhlODVmNGRhNDg3YjM2NWI0MjIifQ=="/>
  </w:docVars>
  <w:rsids>
    <w:rsidRoot w:val="00012866"/>
    <w:rsid w:val="00001518"/>
    <w:rsid w:val="0000229C"/>
    <w:rsid w:val="00004FB5"/>
    <w:rsid w:val="00005F67"/>
    <w:rsid w:val="000062AC"/>
    <w:rsid w:val="000066AB"/>
    <w:rsid w:val="00006983"/>
    <w:rsid w:val="00012866"/>
    <w:rsid w:val="00013DF2"/>
    <w:rsid w:val="0002186D"/>
    <w:rsid w:val="000239A9"/>
    <w:rsid w:val="00026BDA"/>
    <w:rsid w:val="00027B6D"/>
    <w:rsid w:val="0003027D"/>
    <w:rsid w:val="0003050C"/>
    <w:rsid w:val="000310C5"/>
    <w:rsid w:val="0003135C"/>
    <w:rsid w:val="0003226E"/>
    <w:rsid w:val="00033FEF"/>
    <w:rsid w:val="00034E5C"/>
    <w:rsid w:val="000361A4"/>
    <w:rsid w:val="0004191B"/>
    <w:rsid w:val="0005035A"/>
    <w:rsid w:val="00051637"/>
    <w:rsid w:val="00052B3E"/>
    <w:rsid w:val="000549F4"/>
    <w:rsid w:val="000554D3"/>
    <w:rsid w:val="00056BEB"/>
    <w:rsid w:val="000570BC"/>
    <w:rsid w:val="00057B96"/>
    <w:rsid w:val="000601E0"/>
    <w:rsid w:val="00064255"/>
    <w:rsid w:val="00064FB0"/>
    <w:rsid w:val="000659D3"/>
    <w:rsid w:val="00066098"/>
    <w:rsid w:val="00067279"/>
    <w:rsid w:val="00067629"/>
    <w:rsid w:val="0007115D"/>
    <w:rsid w:val="00072259"/>
    <w:rsid w:val="000725E2"/>
    <w:rsid w:val="00072BF5"/>
    <w:rsid w:val="0007338B"/>
    <w:rsid w:val="000733B9"/>
    <w:rsid w:val="000737E4"/>
    <w:rsid w:val="000754C0"/>
    <w:rsid w:val="000768D5"/>
    <w:rsid w:val="00080343"/>
    <w:rsid w:val="00080B50"/>
    <w:rsid w:val="00082BAF"/>
    <w:rsid w:val="00083357"/>
    <w:rsid w:val="000842BE"/>
    <w:rsid w:val="00087AE0"/>
    <w:rsid w:val="00092E46"/>
    <w:rsid w:val="00093F54"/>
    <w:rsid w:val="000940B7"/>
    <w:rsid w:val="000A0321"/>
    <w:rsid w:val="000A03EE"/>
    <w:rsid w:val="000A05D7"/>
    <w:rsid w:val="000A0F89"/>
    <w:rsid w:val="000A3BC0"/>
    <w:rsid w:val="000A436B"/>
    <w:rsid w:val="000A445E"/>
    <w:rsid w:val="000A4481"/>
    <w:rsid w:val="000A767B"/>
    <w:rsid w:val="000A7A79"/>
    <w:rsid w:val="000A7B66"/>
    <w:rsid w:val="000B0585"/>
    <w:rsid w:val="000B10DD"/>
    <w:rsid w:val="000B1186"/>
    <w:rsid w:val="000C0143"/>
    <w:rsid w:val="000C03C8"/>
    <w:rsid w:val="000C1D54"/>
    <w:rsid w:val="000C20AF"/>
    <w:rsid w:val="000C312B"/>
    <w:rsid w:val="000C32F2"/>
    <w:rsid w:val="000C4C5B"/>
    <w:rsid w:val="000C56B0"/>
    <w:rsid w:val="000C5C66"/>
    <w:rsid w:val="000C61C9"/>
    <w:rsid w:val="000C7A43"/>
    <w:rsid w:val="000D0F52"/>
    <w:rsid w:val="000D2D36"/>
    <w:rsid w:val="000D378F"/>
    <w:rsid w:val="000D6B59"/>
    <w:rsid w:val="000D6DF4"/>
    <w:rsid w:val="000E06E1"/>
    <w:rsid w:val="000E1BA7"/>
    <w:rsid w:val="000F0279"/>
    <w:rsid w:val="000F2A25"/>
    <w:rsid w:val="000F3AB0"/>
    <w:rsid w:val="000F641D"/>
    <w:rsid w:val="000F7F36"/>
    <w:rsid w:val="0010213D"/>
    <w:rsid w:val="00104E44"/>
    <w:rsid w:val="00105154"/>
    <w:rsid w:val="00106C60"/>
    <w:rsid w:val="00106D7C"/>
    <w:rsid w:val="00107FBF"/>
    <w:rsid w:val="001112DA"/>
    <w:rsid w:val="00112BDF"/>
    <w:rsid w:val="00113F03"/>
    <w:rsid w:val="001142D2"/>
    <w:rsid w:val="001144F8"/>
    <w:rsid w:val="00114CE3"/>
    <w:rsid w:val="00114FCB"/>
    <w:rsid w:val="0011530E"/>
    <w:rsid w:val="00115E30"/>
    <w:rsid w:val="001161B2"/>
    <w:rsid w:val="001206A9"/>
    <w:rsid w:val="00121497"/>
    <w:rsid w:val="00121982"/>
    <w:rsid w:val="001227CC"/>
    <w:rsid w:val="0012367D"/>
    <w:rsid w:val="00127E49"/>
    <w:rsid w:val="00130167"/>
    <w:rsid w:val="00130450"/>
    <w:rsid w:val="00130C5C"/>
    <w:rsid w:val="00132892"/>
    <w:rsid w:val="00133FE9"/>
    <w:rsid w:val="00135BA6"/>
    <w:rsid w:val="00135C26"/>
    <w:rsid w:val="00136FB5"/>
    <w:rsid w:val="00141468"/>
    <w:rsid w:val="00141682"/>
    <w:rsid w:val="00142A11"/>
    <w:rsid w:val="00144650"/>
    <w:rsid w:val="001455E8"/>
    <w:rsid w:val="00152321"/>
    <w:rsid w:val="00153E9E"/>
    <w:rsid w:val="00155F4C"/>
    <w:rsid w:val="001565C2"/>
    <w:rsid w:val="001569BF"/>
    <w:rsid w:val="00161336"/>
    <w:rsid w:val="00163368"/>
    <w:rsid w:val="001638E8"/>
    <w:rsid w:val="00164E77"/>
    <w:rsid w:val="001700D7"/>
    <w:rsid w:val="00171D73"/>
    <w:rsid w:val="00172164"/>
    <w:rsid w:val="00173CDA"/>
    <w:rsid w:val="001776E9"/>
    <w:rsid w:val="00177A2E"/>
    <w:rsid w:val="00182BB3"/>
    <w:rsid w:val="001835C5"/>
    <w:rsid w:val="00185D4F"/>
    <w:rsid w:val="0018663D"/>
    <w:rsid w:val="001913C1"/>
    <w:rsid w:val="00191B77"/>
    <w:rsid w:val="00193048"/>
    <w:rsid w:val="001939AC"/>
    <w:rsid w:val="00193EDE"/>
    <w:rsid w:val="00197C69"/>
    <w:rsid w:val="001A22F5"/>
    <w:rsid w:val="001A33DC"/>
    <w:rsid w:val="001A40D5"/>
    <w:rsid w:val="001A4C43"/>
    <w:rsid w:val="001A6D57"/>
    <w:rsid w:val="001B35DC"/>
    <w:rsid w:val="001B3E94"/>
    <w:rsid w:val="001B47CF"/>
    <w:rsid w:val="001B49DE"/>
    <w:rsid w:val="001C0C41"/>
    <w:rsid w:val="001C3877"/>
    <w:rsid w:val="001C66BA"/>
    <w:rsid w:val="001C780B"/>
    <w:rsid w:val="001D12A4"/>
    <w:rsid w:val="001D252C"/>
    <w:rsid w:val="001D4D14"/>
    <w:rsid w:val="001D5F59"/>
    <w:rsid w:val="001D7656"/>
    <w:rsid w:val="001E1A99"/>
    <w:rsid w:val="001E5849"/>
    <w:rsid w:val="001F0388"/>
    <w:rsid w:val="001F0B57"/>
    <w:rsid w:val="001F17BB"/>
    <w:rsid w:val="001F2AE6"/>
    <w:rsid w:val="001F4C5D"/>
    <w:rsid w:val="001F603A"/>
    <w:rsid w:val="001F6EBE"/>
    <w:rsid w:val="001F7932"/>
    <w:rsid w:val="0020245C"/>
    <w:rsid w:val="002026E8"/>
    <w:rsid w:val="00203E48"/>
    <w:rsid w:val="002040A7"/>
    <w:rsid w:val="0020587E"/>
    <w:rsid w:val="0021239F"/>
    <w:rsid w:val="0022103E"/>
    <w:rsid w:val="002211BF"/>
    <w:rsid w:val="0022382B"/>
    <w:rsid w:val="00225013"/>
    <w:rsid w:val="00225E46"/>
    <w:rsid w:val="00230F26"/>
    <w:rsid w:val="0023142E"/>
    <w:rsid w:val="00232A62"/>
    <w:rsid w:val="00233465"/>
    <w:rsid w:val="002344BF"/>
    <w:rsid w:val="0023539E"/>
    <w:rsid w:val="00237B7B"/>
    <w:rsid w:val="002406EE"/>
    <w:rsid w:val="00242CA5"/>
    <w:rsid w:val="0024377F"/>
    <w:rsid w:val="002449C9"/>
    <w:rsid w:val="002451FF"/>
    <w:rsid w:val="00251722"/>
    <w:rsid w:val="00251B3A"/>
    <w:rsid w:val="00253CDC"/>
    <w:rsid w:val="00254999"/>
    <w:rsid w:val="00255274"/>
    <w:rsid w:val="00255566"/>
    <w:rsid w:val="00256AAF"/>
    <w:rsid w:val="0025764C"/>
    <w:rsid w:val="00257DD8"/>
    <w:rsid w:val="00266117"/>
    <w:rsid w:val="00266692"/>
    <w:rsid w:val="00271048"/>
    <w:rsid w:val="00273F08"/>
    <w:rsid w:val="00277959"/>
    <w:rsid w:val="00280BF6"/>
    <w:rsid w:val="00285666"/>
    <w:rsid w:val="002857AA"/>
    <w:rsid w:val="002865F7"/>
    <w:rsid w:val="002900A2"/>
    <w:rsid w:val="00290B0E"/>
    <w:rsid w:val="002920CE"/>
    <w:rsid w:val="00293461"/>
    <w:rsid w:val="002963C0"/>
    <w:rsid w:val="002974E6"/>
    <w:rsid w:val="00297A5D"/>
    <w:rsid w:val="002A057F"/>
    <w:rsid w:val="002A0A81"/>
    <w:rsid w:val="002A2F9E"/>
    <w:rsid w:val="002A3CC7"/>
    <w:rsid w:val="002B06C0"/>
    <w:rsid w:val="002B1B5D"/>
    <w:rsid w:val="002B1BCD"/>
    <w:rsid w:val="002B4413"/>
    <w:rsid w:val="002B4B72"/>
    <w:rsid w:val="002B67C8"/>
    <w:rsid w:val="002C37D1"/>
    <w:rsid w:val="002C52F5"/>
    <w:rsid w:val="002C56CE"/>
    <w:rsid w:val="002C56D1"/>
    <w:rsid w:val="002C61ED"/>
    <w:rsid w:val="002C62B0"/>
    <w:rsid w:val="002D2B3B"/>
    <w:rsid w:val="002D2B6E"/>
    <w:rsid w:val="002D4C12"/>
    <w:rsid w:val="002D50F9"/>
    <w:rsid w:val="002D5501"/>
    <w:rsid w:val="002D745B"/>
    <w:rsid w:val="002E196E"/>
    <w:rsid w:val="002E1C0F"/>
    <w:rsid w:val="002E317C"/>
    <w:rsid w:val="002E60A1"/>
    <w:rsid w:val="002E710F"/>
    <w:rsid w:val="002E7AA7"/>
    <w:rsid w:val="002F0C06"/>
    <w:rsid w:val="002F2292"/>
    <w:rsid w:val="002F2BED"/>
    <w:rsid w:val="002F5593"/>
    <w:rsid w:val="002F59FC"/>
    <w:rsid w:val="002F7244"/>
    <w:rsid w:val="003009B9"/>
    <w:rsid w:val="00300F68"/>
    <w:rsid w:val="00302551"/>
    <w:rsid w:val="00304791"/>
    <w:rsid w:val="00306B58"/>
    <w:rsid w:val="00310961"/>
    <w:rsid w:val="00311075"/>
    <w:rsid w:val="0031565E"/>
    <w:rsid w:val="00315865"/>
    <w:rsid w:val="00321F25"/>
    <w:rsid w:val="003243DB"/>
    <w:rsid w:val="003246F8"/>
    <w:rsid w:val="00326D44"/>
    <w:rsid w:val="003332BE"/>
    <w:rsid w:val="00343AE6"/>
    <w:rsid w:val="00345F8E"/>
    <w:rsid w:val="00347849"/>
    <w:rsid w:val="00350275"/>
    <w:rsid w:val="00350D66"/>
    <w:rsid w:val="00352061"/>
    <w:rsid w:val="0035239D"/>
    <w:rsid w:val="00352666"/>
    <w:rsid w:val="00354C83"/>
    <w:rsid w:val="00361E71"/>
    <w:rsid w:val="00364D43"/>
    <w:rsid w:val="00370367"/>
    <w:rsid w:val="0037068E"/>
    <w:rsid w:val="003714F2"/>
    <w:rsid w:val="00371C01"/>
    <w:rsid w:val="003737C0"/>
    <w:rsid w:val="003753CC"/>
    <w:rsid w:val="00375502"/>
    <w:rsid w:val="003778D6"/>
    <w:rsid w:val="003850C1"/>
    <w:rsid w:val="00391508"/>
    <w:rsid w:val="00392E98"/>
    <w:rsid w:val="003A05F4"/>
    <w:rsid w:val="003A40B4"/>
    <w:rsid w:val="003B18BE"/>
    <w:rsid w:val="003B36FC"/>
    <w:rsid w:val="003B3E0D"/>
    <w:rsid w:val="003B4E10"/>
    <w:rsid w:val="003B6FDD"/>
    <w:rsid w:val="003C190A"/>
    <w:rsid w:val="003C2BD2"/>
    <w:rsid w:val="003C4B70"/>
    <w:rsid w:val="003C51D3"/>
    <w:rsid w:val="003C6603"/>
    <w:rsid w:val="003D172A"/>
    <w:rsid w:val="003D27CB"/>
    <w:rsid w:val="003D6691"/>
    <w:rsid w:val="003D6CF0"/>
    <w:rsid w:val="003E1097"/>
    <w:rsid w:val="003E1165"/>
    <w:rsid w:val="003F132A"/>
    <w:rsid w:val="003F353F"/>
    <w:rsid w:val="003F462B"/>
    <w:rsid w:val="004006C5"/>
    <w:rsid w:val="004012DF"/>
    <w:rsid w:val="00403922"/>
    <w:rsid w:val="0040442B"/>
    <w:rsid w:val="00404D36"/>
    <w:rsid w:val="0040645D"/>
    <w:rsid w:val="00407969"/>
    <w:rsid w:val="00411FE3"/>
    <w:rsid w:val="00412F80"/>
    <w:rsid w:val="00423381"/>
    <w:rsid w:val="00423D33"/>
    <w:rsid w:val="00423F8D"/>
    <w:rsid w:val="0042462A"/>
    <w:rsid w:val="004265AA"/>
    <w:rsid w:val="004314DB"/>
    <w:rsid w:val="00432F01"/>
    <w:rsid w:val="0043305B"/>
    <w:rsid w:val="00433B64"/>
    <w:rsid w:val="004346BD"/>
    <w:rsid w:val="004356DA"/>
    <w:rsid w:val="00437AB1"/>
    <w:rsid w:val="00437BD0"/>
    <w:rsid w:val="00440B2A"/>
    <w:rsid w:val="004425F9"/>
    <w:rsid w:val="00443BC5"/>
    <w:rsid w:val="00452060"/>
    <w:rsid w:val="0045425A"/>
    <w:rsid w:val="00455C58"/>
    <w:rsid w:val="004567E0"/>
    <w:rsid w:val="00457D2F"/>
    <w:rsid w:val="00457E47"/>
    <w:rsid w:val="00460D5A"/>
    <w:rsid w:val="00465BE0"/>
    <w:rsid w:val="0047021B"/>
    <w:rsid w:val="004722BA"/>
    <w:rsid w:val="004726E5"/>
    <w:rsid w:val="0047295B"/>
    <w:rsid w:val="0047420B"/>
    <w:rsid w:val="00476C41"/>
    <w:rsid w:val="00480FA9"/>
    <w:rsid w:val="00481CED"/>
    <w:rsid w:val="00482D95"/>
    <w:rsid w:val="0048535A"/>
    <w:rsid w:val="004857B7"/>
    <w:rsid w:val="0048636F"/>
    <w:rsid w:val="004864D4"/>
    <w:rsid w:val="00486FA0"/>
    <w:rsid w:val="004874EA"/>
    <w:rsid w:val="004916AD"/>
    <w:rsid w:val="00496723"/>
    <w:rsid w:val="004A1FD7"/>
    <w:rsid w:val="004A2B04"/>
    <w:rsid w:val="004A35AB"/>
    <w:rsid w:val="004A44ED"/>
    <w:rsid w:val="004A49FE"/>
    <w:rsid w:val="004A4CB3"/>
    <w:rsid w:val="004A5944"/>
    <w:rsid w:val="004A68CC"/>
    <w:rsid w:val="004B081E"/>
    <w:rsid w:val="004B3937"/>
    <w:rsid w:val="004B3B2F"/>
    <w:rsid w:val="004B45DE"/>
    <w:rsid w:val="004B4C3C"/>
    <w:rsid w:val="004B5F10"/>
    <w:rsid w:val="004B6707"/>
    <w:rsid w:val="004B7483"/>
    <w:rsid w:val="004B7976"/>
    <w:rsid w:val="004C0388"/>
    <w:rsid w:val="004C2780"/>
    <w:rsid w:val="004C5306"/>
    <w:rsid w:val="004C6CA3"/>
    <w:rsid w:val="004D27AA"/>
    <w:rsid w:val="004D6696"/>
    <w:rsid w:val="004E0419"/>
    <w:rsid w:val="004E0B60"/>
    <w:rsid w:val="004E0E12"/>
    <w:rsid w:val="004E0FB3"/>
    <w:rsid w:val="004E306C"/>
    <w:rsid w:val="004E4D1E"/>
    <w:rsid w:val="004F1AD8"/>
    <w:rsid w:val="004F23DC"/>
    <w:rsid w:val="004F274F"/>
    <w:rsid w:val="004F35DA"/>
    <w:rsid w:val="005007AE"/>
    <w:rsid w:val="0050153D"/>
    <w:rsid w:val="00501CB8"/>
    <w:rsid w:val="005027EB"/>
    <w:rsid w:val="00502FE3"/>
    <w:rsid w:val="00503FD8"/>
    <w:rsid w:val="005047A8"/>
    <w:rsid w:val="005068A7"/>
    <w:rsid w:val="00511093"/>
    <w:rsid w:val="00512120"/>
    <w:rsid w:val="00512273"/>
    <w:rsid w:val="005124C4"/>
    <w:rsid w:val="00512BB9"/>
    <w:rsid w:val="00512C5D"/>
    <w:rsid w:val="00514C97"/>
    <w:rsid w:val="00520D1E"/>
    <w:rsid w:val="00521B05"/>
    <w:rsid w:val="005243D4"/>
    <w:rsid w:val="00524C19"/>
    <w:rsid w:val="00526D02"/>
    <w:rsid w:val="005270A7"/>
    <w:rsid w:val="005318EE"/>
    <w:rsid w:val="00531A5B"/>
    <w:rsid w:val="00532447"/>
    <w:rsid w:val="0053339A"/>
    <w:rsid w:val="00533ABA"/>
    <w:rsid w:val="0053434C"/>
    <w:rsid w:val="0054009A"/>
    <w:rsid w:val="00543303"/>
    <w:rsid w:val="005463FC"/>
    <w:rsid w:val="005543CA"/>
    <w:rsid w:val="00555706"/>
    <w:rsid w:val="00560F23"/>
    <w:rsid w:val="00562C94"/>
    <w:rsid w:val="005633A9"/>
    <w:rsid w:val="00563A86"/>
    <w:rsid w:val="00565454"/>
    <w:rsid w:val="0056740C"/>
    <w:rsid w:val="005701CC"/>
    <w:rsid w:val="005714DA"/>
    <w:rsid w:val="00573E7C"/>
    <w:rsid w:val="005767AF"/>
    <w:rsid w:val="005828C7"/>
    <w:rsid w:val="005856FB"/>
    <w:rsid w:val="00586FFF"/>
    <w:rsid w:val="0059032B"/>
    <w:rsid w:val="00590A49"/>
    <w:rsid w:val="00592BD7"/>
    <w:rsid w:val="005938D0"/>
    <w:rsid w:val="005943C4"/>
    <w:rsid w:val="0059500A"/>
    <w:rsid w:val="005A0D6D"/>
    <w:rsid w:val="005A1314"/>
    <w:rsid w:val="005A1631"/>
    <w:rsid w:val="005A7F78"/>
    <w:rsid w:val="005B0822"/>
    <w:rsid w:val="005B1AC3"/>
    <w:rsid w:val="005C2098"/>
    <w:rsid w:val="005C2A72"/>
    <w:rsid w:val="005C3140"/>
    <w:rsid w:val="005C561E"/>
    <w:rsid w:val="005C6ECB"/>
    <w:rsid w:val="005D27D7"/>
    <w:rsid w:val="005D6673"/>
    <w:rsid w:val="005E0334"/>
    <w:rsid w:val="005E109B"/>
    <w:rsid w:val="005E1F1F"/>
    <w:rsid w:val="005E215C"/>
    <w:rsid w:val="005E3714"/>
    <w:rsid w:val="005E4A91"/>
    <w:rsid w:val="005E5A4F"/>
    <w:rsid w:val="005F1F16"/>
    <w:rsid w:val="005F2263"/>
    <w:rsid w:val="005F2826"/>
    <w:rsid w:val="005F33C0"/>
    <w:rsid w:val="005F5D05"/>
    <w:rsid w:val="005F6C98"/>
    <w:rsid w:val="005F78E6"/>
    <w:rsid w:val="00601138"/>
    <w:rsid w:val="00601BF0"/>
    <w:rsid w:val="006029A5"/>
    <w:rsid w:val="00611149"/>
    <w:rsid w:val="006115DF"/>
    <w:rsid w:val="0061475D"/>
    <w:rsid w:val="00617C3B"/>
    <w:rsid w:val="00620F71"/>
    <w:rsid w:val="006216D6"/>
    <w:rsid w:val="00622B4F"/>
    <w:rsid w:val="00624CCD"/>
    <w:rsid w:val="00625D12"/>
    <w:rsid w:val="00626036"/>
    <w:rsid w:val="00633DBF"/>
    <w:rsid w:val="0063581C"/>
    <w:rsid w:val="00640DB2"/>
    <w:rsid w:val="00641183"/>
    <w:rsid w:val="00642964"/>
    <w:rsid w:val="00642A44"/>
    <w:rsid w:val="006443A6"/>
    <w:rsid w:val="006444BA"/>
    <w:rsid w:val="00646F9C"/>
    <w:rsid w:val="00650CD6"/>
    <w:rsid w:val="0065139A"/>
    <w:rsid w:val="006516D7"/>
    <w:rsid w:val="00652DC3"/>
    <w:rsid w:val="00654B23"/>
    <w:rsid w:val="00655A44"/>
    <w:rsid w:val="0065773F"/>
    <w:rsid w:val="00660326"/>
    <w:rsid w:val="006612DE"/>
    <w:rsid w:val="0066324C"/>
    <w:rsid w:val="00665057"/>
    <w:rsid w:val="00666575"/>
    <w:rsid w:val="006670A3"/>
    <w:rsid w:val="00671685"/>
    <w:rsid w:val="006729C9"/>
    <w:rsid w:val="006735F8"/>
    <w:rsid w:val="006757DC"/>
    <w:rsid w:val="0068130B"/>
    <w:rsid w:val="00681AC8"/>
    <w:rsid w:val="00682557"/>
    <w:rsid w:val="00683376"/>
    <w:rsid w:val="00685620"/>
    <w:rsid w:val="00686AD7"/>
    <w:rsid w:val="006918CB"/>
    <w:rsid w:val="006945F0"/>
    <w:rsid w:val="00694F73"/>
    <w:rsid w:val="0069707F"/>
    <w:rsid w:val="006A1646"/>
    <w:rsid w:val="006A30CF"/>
    <w:rsid w:val="006A3A65"/>
    <w:rsid w:val="006A3DA9"/>
    <w:rsid w:val="006A541B"/>
    <w:rsid w:val="006A5957"/>
    <w:rsid w:val="006B0759"/>
    <w:rsid w:val="006B0B8D"/>
    <w:rsid w:val="006B24DF"/>
    <w:rsid w:val="006B4AEB"/>
    <w:rsid w:val="006B4EDA"/>
    <w:rsid w:val="006C0117"/>
    <w:rsid w:val="006C019E"/>
    <w:rsid w:val="006C0B4D"/>
    <w:rsid w:val="006C1C7B"/>
    <w:rsid w:val="006C2B7E"/>
    <w:rsid w:val="006C3D03"/>
    <w:rsid w:val="006C5A64"/>
    <w:rsid w:val="006D04F2"/>
    <w:rsid w:val="006D61AD"/>
    <w:rsid w:val="006D7474"/>
    <w:rsid w:val="006E3C89"/>
    <w:rsid w:val="006E5876"/>
    <w:rsid w:val="006E5E53"/>
    <w:rsid w:val="006E6F78"/>
    <w:rsid w:val="006F2A97"/>
    <w:rsid w:val="00704EC1"/>
    <w:rsid w:val="007059A7"/>
    <w:rsid w:val="007077BC"/>
    <w:rsid w:val="00707F47"/>
    <w:rsid w:val="007106B8"/>
    <w:rsid w:val="007139BD"/>
    <w:rsid w:val="00717500"/>
    <w:rsid w:val="007212FF"/>
    <w:rsid w:val="00721324"/>
    <w:rsid w:val="00721477"/>
    <w:rsid w:val="00721596"/>
    <w:rsid w:val="00721BBF"/>
    <w:rsid w:val="0072406F"/>
    <w:rsid w:val="00724D30"/>
    <w:rsid w:val="00726A64"/>
    <w:rsid w:val="00726D92"/>
    <w:rsid w:val="00727CA6"/>
    <w:rsid w:val="0073015E"/>
    <w:rsid w:val="007301FA"/>
    <w:rsid w:val="00731C7B"/>
    <w:rsid w:val="00731E7D"/>
    <w:rsid w:val="00732772"/>
    <w:rsid w:val="00735145"/>
    <w:rsid w:val="007361A6"/>
    <w:rsid w:val="00740063"/>
    <w:rsid w:val="00740DA7"/>
    <w:rsid w:val="00744601"/>
    <w:rsid w:val="00745C97"/>
    <w:rsid w:val="007469A1"/>
    <w:rsid w:val="00753A2F"/>
    <w:rsid w:val="007563AF"/>
    <w:rsid w:val="00760EC0"/>
    <w:rsid w:val="007665C7"/>
    <w:rsid w:val="00767EAA"/>
    <w:rsid w:val="0077037B"/>
    <w:rsid w:val="00772E20"/>
    <w:rsid w:val="00773718"/>
    <w:rsid w:val="0077449A"/>
    <w:rsid w:val="007747D4"/>
    <w:rsid w:val="00776E8C"/>
    <w:rsid w:val="007806FC"/>
    <w:rsid w:val="00780ACF"/>
    <w:rsid w:val="00781679"/>
    <w:rsid w:val="007840F1"/>
    <w:rsid w:val="00792DA2"/>
    <w:rsid w:val="007930B8"/>
    <w:rsid w:val="0079324F"/>
    <w:rsid w:val="007956AA"/>
    <w:rsid w:val="0079790D"/>
    <w:rsid w:val="007A1697"/>
    <w:rsid w:val="007A2AD7"/>
    <w:rsid w:val="007A58D5"/>
    <w:rsid w:val="007A70B9"/>
    <w:rsid w:val="007A7646"/>
    <w:rsid w:val="007B06D6"/>
    <w:rsid w:val="007B1D70"/>
    <w:rsid w:val="007B26D0"/>
    <w:rsid w:val="007B652A"/>
    <w:rsid w:val="007B786F"/>
    <w:rsid w:val="007C0E52"/>
    <w:rsid w:val="007C2E29"/>
    <w:rsid w:val="007D56D5"/>
    <w:rsid w:val="007D7004"/>
    <w:rsid w:val="007E1CD3"/>
    <w:rsid w:val="007E53E2"/>
    <w:rsid w:val="007E60E9"/>
    <w:rsid w:val="007E7690"/>
    <w:rsid w:val="007F0205"/>
    <w:rsid w:val="007F0461"/>
    <w:rsid w:val="007F1D2F"/>
    <w:rsid w:val="007F3193"/>
    <w:rsid w:val="007F4B79"/>
    <w:rsid w:val="007F4C2D"/>
    <w:rsid w:val="007F6B4F"/>
    <w:rsid w:val="00800187"/>
    <w:rsid w:val="008005BA"/>
    <w:rsid w:val="008017AF"/>
    <w:rsid w:val="00803626"/>
    <w:rsid w:val="00803D96"/>
    <w:rsid w:val="00804CF7"/>
    <w:rsid w:val="00806E18"/>
    <w:rsid w:val="00810B40"/>
    <w:rsid w:val="00814CAE"/>
    <w:rsid w:val="00816F3A"/>
    <w:rsid w:val="0081701A"/>
    <w:rsid w:val="008216DE"/>
    <w:rsid w:val="00821ABC"/>
    <w:rsid w:val="00826E87"/>
    <w:rsid w:val="00830328"/>
    <w:rsid w:val="00830481"/>
    <w:rsid w:val="008322D5"/>
    <w:rsid w:val="008332A1"/>
    <w:rsid w:val="008334A9"/>
    <w:rsid w:val="00833AFA"/>
    <w:rsid w:val="00834CE9"/>
    <w:rsid w:val="00837863"/>
    <w:rsid w:val="008379FE"/>
    <w:rsid w:val="0084075B"/>
    <w:rsid w:val="008423A2"/>
    <w:rsid w:val="00842442"/>
    <w:rsid w:val="00850AE3"/>
    <w:rsid w:val="008515FD"/>
    <w:rsid w:val="00852848"/>
    <w:rsid w:val="00853044"/>
    <w:rsid w:val="00854F92"/>
    <w:rsid w:val="00864C10"/>
    <w:rsid w:val="00864FEA"/>
    <w:rsid w:val="0086611F"/>
    <w:rsid w:val="00866C63"/>
    <w:rsid w:val="008703B4"/>
    <w:rsid w:val="008709F7"/>
    <w:rsid w:val="00874ADB"/>
    <w:rsid w:val="008765E6"/>
    <w:rsid w:val="00876B24"/>
    <w:rsid w:val="00880F79"/>
    <w:rsid w:val="00881FCA"/>
    <w:rsid w:val="00884105"/>
    <w:rsid w:val="00885CBC"/>
    <w:rsid w:val="008908E1"/>
    <w:rsid w:val="00890A3D"/>
    <w:rsid w:val="0089112E"/>
    <w:rsid w:val="00895036"/>
    <w:rsid w:val="008961B1"/>
    <w:rsid w:val="008A05E3"/>
    <w:rsid w:val="008A18B3"/>
    <w:rsid w:val="008A3525"/>
    <w:rsid w:val="008A5A0E"/>
    <w:rsid w:val="008B0B62"/>
    <w:rsid w:val="008B3C71"/>
    <w:rsid w:val="008B5E85"/>
    <w:rsid w:val="008C1215"/>
    <w:rsid w:val="008C1BE4"/>
    <w:rsid w:val="008C2803"/>
    <w:rsid w:val="008C4F75"/>
    <w:rsid w:val="008C5207"/>
    <w:rsid w:val="008C5319"/>
    <w:rsid w:val="008C6BF8"/>
    <w:rsid w:val="008C7759"/>
    <w:rsid w:val="008D0FAA"/>
    <w:rsid w:val="008D49D5"/>
    <w:rsid w:val="008D60FB"/>
    <w:rsid w:val="008D7F7A"/>
    <w:rsid w:val="008E3854"/>
    <w:rsid w:val="008E54BF"/>
    <w:rsid w:val="008E550B"/>
    <w:rsid w:val="008F0ECA"/>
    <w:rsid w:val="008F1926"/>
    <w:rsid w:val="008F541F"/>
    <w:rsid w:val="008F6B05"/>
    <w:rsid w:val="008F79BD"/>
    <w:rsid w:val="008F7FF7"/>
    <w:rsid w:val="00901AF4"/>
    <w:rsid w:val="0090260A"/>
    <w:rsid w:val="0090594D"/>
    <w:rsid w:val="009077BB"/>
    <w:rsid w:val="00912783"/>
    <w:rsid w:val="00912EAE"/>
    <w:rsid w:val="00913B13"/>
    <w:rsid w:val="00921C02"/>
    <w:rsid w:val="009252A9"/>
    <w:rsid w:val="00931E1B"/>
    <w:rsid w:val="00932D15"/>
    <w:rsid w:val="0093406C"/>
    <w:rsid w:val="00937F0F"/>
    <w:rsid w:val="009432B5"/>
    <w:rsid w:val="00945A71"/>
    <w:rsid w:val="00946C53"/>
    <w:rsid w:val="00946FD9"/>
    <w:rsid w:val="0094788B"/>
    <w:rsid w:val="00953953"/>
    <w:rsid w:val="00954780"/>
    <w:rsid w:val="00955F54"/>
    <w:rsid w:val="00956161"/>
    <w:rsid w:val="00956284"/>
    <w:rsid w:val="00961AB2"/>
    <w:rsid w:val="009660FD"/>
    <w:rsid w:val="00973379"/>
    <w:rsid w:val="00974984"/>
    <w:rsid w:val="009756E2"/>
    <w:rsid w:val="00977AEF"/>
    <w:rsid w:val="00981591"/>
    <w:rsid w:val="009821D6"/>
    <w:rsid w:val="00983947"/>
    <w:rsid w:val="009872FA"/>
    <w:rsid w:val="00992A16"/>
    <w:rsid w:val="00993942"/>
    <w:rsid w:val="009944B3"/>
    <w:rsid w:val="00994CE4"/>
    <w:rsid w:val="009960CA"/>
    <w:rsid w:val="009A0F4E"/>
    <w:rsid w:val="009A1146"/>
    <w:rsid w:val="009A2442"/>
    <w:rsid w:val="009A434E"/>
    <w:rsid w:val="009A5D16"/>
    <w:rsid w:val="009A7CCF"/>
    <w:rsid w:val="009B02AC"/>
    <w:rsid w:val="009B1E5C"/>
    <w:rsid w:val="009B275D"/>
    <w:rsid w:val="009B3034"/>
    <w:rsid w:val="009B36E4"/>
    <w:rsid w:val="009C0B02"/>
    <w:rsid w:val="009C36D3"/>
    <w:rsid w:val="009C7FC1"/>
    <w:rsid w:val="009D04B3"/>
    <w:rsid w:val="009E4D32"/>
    <w:rsid w:val="009E4E1B"/>
    <w:rsid w:val="009E7FEA"/>
    <w:rsid w:val="009F02CF"/>
    <w:rsid w:val="009F1CED"/>
    <w:rsid w:val="009F2247"/>
    <w:rsid w:val="009F355A"/>
    <w:rsid w:val="009F53C3"/>
    <w:rsid w:val="00A00B4C"/>
    <w:rsid w:val="00A01BCF"/>
    <w:rsid w:val="00A02A0C"/>
    <w:rsid w:val="00A106E3"/>
    <w:rsid w:val="00A11319"/>
    <w:rsid w:val="00A12097"/>
    <w:rsid w:val="00A15338"/>
    <w:rsid w:val="00A16744"/>
    <w:rsid w:val="00A16F0F"/>
    <w:rsid w:val="00A17102"/>
    <w:rsid w:val="00A20E71"/>
    <w:rsid w:val="00A220C2"/>
    <w:rsid w:val="00A226F5"/>
    <w:rsid w:val="00A23423"/>
    <w:rsid w:val="00A3257A"/>
    <w:rsid w:val="00A349F8"/>
    <w:rsid w:val="00A3553C"/>
    <w:rsid w:val="00A370C1"/>
    <w:rsid w:val="00A40B62"/>
    <w:rsid w:val="00A42A42"/>
    <w:rsid w:val="00A43616"/>
    <w:rsid w:val="00A438D1"/>
    <w:rsid w:val="00A441C5"/>
    <w:rsid w:val="00A511E4"/>
    <w:rsid w:val="00A526F2"/>
    <w:rsid w:val="00A53EBF"/>
    <w:rsid w:val="00A54D71"/>
    <w:rsid w:val="00A600F5"/>
    <w:rsid w:val="00A64A96"/>
    <w:rsid w:val="00A65C52"/>
    <w:rsid w:val="00A663CC"/>
    <w:rsid w:val="00A740A0"/>
    <w:rsid w:val="00A76286"/>
    <w:rsid w:val="00A829ED"/>
    <w:rsid w:val="00A835B5"/>
    <w:rsid w:val="00A840B6"/>
    <w:rsid w:val="00A85372"/>
    <w:rsid w:val="00A85415"/>
    <w:rsid w:val="00A86EFF"/>
    <w:rsid w:val="00A87149"/>
    <w:rsid w:val="00A87852"/>
    <w:rsid w:val="00A92B8C"/>
    <w:rsid w:val="00A95AF7"/>
    <w:rsid w:val="00A97092"/>
    <w:rsid w:val="00AA01D3"/>
    <w:rsid w:val="00AA04A1"/>
    <w:rsid w:val="00AA1821"/>
    <w:rsid w:val="00AA4865"/>
    <w:rsid w:val="00AA6CA0"/>
    <w:rsid w:val="00AA7DED"/>
    <w:rsid w:val="00AB06AA"/>
    <w:rsid w:val="00AB1F3E"/>
    <w:rsid w:val="00AB5083"/>
    <w:rsid w:val="00AC2CD3"/>
    <w:rsid w:val="00AC2E6A"/>
    <w:rsid w:val="00AC35E6"/>
    <w:rsid w:val="00AC631A"/>
    <w:rsid w:val="00AD001F"/>
    <w:rsid w:val="00AD0E9E"/>
    <w:rsid w:val="00AD0ED6"/>
    <w:rsid w:val="00AD1652"/>
    <w:rsid w:val="00AE02D3"/>
    <w:rsid w:val="00AE08A5"/>
    <w:rsid w:val="00AE0FF6"/>
    <w:rsid w:val="00AE20E5"/>
    <w:rsid w:val="00AE3049"/>
    <w:rsid w:val="00AE3A13"/>
    <w:rsid w:val="00AE71AF"/>
    <w:rsid w:val="00AF1951"/>
    <w:rsid w:val="00AF3102"/>
    <w:rsid w:val="00AF345A"/>
    <w:rsid w:val="00AF4731"/>
    <w:rsid w:val="00AF48D1"/>
    <w:rsid w:val="00AF7EB9"/>
    <w:rsid w:val="00B01E43"/>
    <w:rsid w:val="00B02889"/>
    <w:rsid w:val="00B05187"/>
    <w:rsid w:val="00B12306"/>
    <w:rsid w:val="00B13F10"/>
    <w:rsid w:val="00B160F5"/>
    <w:rsid w:val="00B17323"/>
    <w:rsid w:val="00B216F9"/>
    <w:rsid w:val="00B21D5F"/>
    <w:rsid w:val="00B22831"/>
    <w:rsid w:val="00B22A75"/>
    <w:rsid w:val="00B24087"/>
    <w:rsid w:val="00B26985"/>
    <w:rsid w:val="00B2716D"/>
    <w:rsid w:val="00B3087F"/>
    <w:rsid w:val="00B3294F"/>
    <w:rsid w:val="00B33D1C"/>
    <w:rsid w:val="00B35FE0"/>
    <w:rsid w:val="00B361BA"/>
    <w:rsid w:val="00B361FA"/>
    <w:rsid w:val="00B44F09"/>
    <w:rsid w:val="00B52502"/>
    <w:rsid w:val="00B53CA3"/>
    <w:rsid w:val="00B54E03"/>
    <w:rsid w:val="00B5600F"/>
    <w:rsid w:val="00B561FE"/>
    <w:rsid w:val="00B57517"/>
    <w:rsid w:val="00B6168E"/>
    <w:rsid w:val="00B6291E"/>
    <w:rsid w:val="00B65C9E"/>
    <w:rsid w:val="00B679EB"/>
    <w:rsid w:val="00B67B6E"/>
    <w:rsid w:val="00B73257"/>
    <w:rsid w:val="00B738DD"/>
    <w:rsid w:val="00B77BD4"/>
    <w:rsid w:val="00B80A36"/>
    <w:rsid w:val="00B81144"/>
    <w:rsid w:val="00B8135C"/>
    <w:rsid w:val="00B815D4"/>
    <w:rsid w:val="00B829A6"/>
    <w:rsid w:val="00B87E93"/>
    <w:rsid w:val="00B900F0"/>
    <w:rsid w:val="00B940D1"/>
    <w:rsid w:val="00B94CB6"/>
    <w:rsid w:val="00B96335"/>
    <w:rsid w:val="00B97436"/>
    <w:rsid w:val="00BA1E5C"/>
    <w:rsid w:val="00BA2749"/>
    <w:rsid w:val="00BA5122"/>
    <w:rsid w:val="00BA5326"/>
    <w:rsid w:val="00BA5627"/>
    <w:rsid w:val="00BA59BC"/>
    <w:rsid w:val="00BA5ACD"/>
    <w:rsid w:val="00BA5CB2"/>
    <w:rsid w:val="00BA62DE"/>
    <w:rsid w:val="00BA66DF"/>
    <w:rsid w:val="00BA76EE"/>
    <w:rsid w:val="00BB15EF"/>
    <w:rsid w:val="00BB39F6"/>
    <w:rsid w:val="00BB7A85"/>
    <w:rsid w:val="00BC1A96"/>
    <w:rsid w:val="00BC5132"/>
    <w:rsid w:val="00BD0096"/>
    <w:rsid w:val="00BD5627"/>
    <w:rsid w:val="00BD6B0A"/>
    <w:rsid w:val="00BE03B5"/>
    <w:rsid w:val="00BE3C85"/>
    <w:rsid w:val="00BE488A"/>
    <w:rsid w:val="00BE5CB6"/>
    <w:rsid w:val="00BE785E"/>
    <w:rsid w:val="00BE7B45"/>
    <w:rsid w:val="00BF0D58"/>
    <w:rsid w:val="00BF346F"/>
    <w:rsid w:val="00BF35BD"/>
    <w:rsid w:val="00BF36D3"/>
    <w:rsid w:val="00BF722E"/>
    <w:rsid w:val="00BF7BC9"/>
    <w:rsid w:val="00C00EFB"/>
    <w:rsid w:val="00C03791"/>
    <w:rsid w:val="00C04DD3"/>
    <w:rsid w:val="00C1075E"/>
    <w:rsid w:val="00C120DD"/>
    <w:rsid w:val="00C15FB7"/>
    <w:rsid w:val="00C1690A"/>
    <w:rsid w:val="00C21FC0"/>
    <w:rsid w:val="00C23CCB"/>
    <w:rsid w:val="00C23EA7"/>
    <w:rsid w:val="00C25E47"/>
    <w:rsid w:val="00C260D7"/>
    <w:rsid w:val="00C27DBE"/>
    <w:rsid w:val="00C30284"/>
    <w:rsid w:val="00C311B6"/>
    <w:rsid w:val="00C33F7B"/>
    <w:rsid w:val="00C35016"/>
    <w:rsid w:val="00C35565"/>
    <w:rsid w:val="00C370F1"/>
    <w:rsid w:val="00C40953"/>
    <w:rsid w:val="00C40D4A"/>
    <w:rsid w:val="00C41527"/>
    <w:rsid w:val="00C428FB"/>
    <w:rsid w:val="00C42A4E"/>
    <w:rsid w:val="00C458D2"/>
    <w:rsid w:val="00C501BE"/>
    <w:rsid w:val="00C52061"/>
    <w:rsid w:val="00C52191"/>
    <w:rsid w:val="00C54E51"/>
    <w:rsid w:val="00C553F5"/>
    <w:rsid w:val="00C55C45"/>
    <w:rsid w:val="00C5691A"/>
    <w:rsid w:val="00C57ADF"/>
    <w:rsid w:val="00C6120C"/>
    <w:rsid w:val="00C626C0"/>
    <w:rsid w:val="00C649B5"/>
    <w:rsid w:val="00C66AE1"/>
    <w:rsid w:val="00C701BA"/>
    <w:rsid w:val="00C70457"/>
    <w:rsid w:val="00C70A44"/>
    <w:rsid w:val="00C7639B"/>
    <w:rsid w:val="00C7657D"/>
    <w:rsid w:val="00C76712"/>
    <w:rsid w:val="00C77999"/>
    <w:rsid w:val="00C77CE4"/>
    <w:rsid w:val="00C82FCE"/>
    <w:rsid w:val="00C84964"/>
    <w:rsid w:val="00C856FF"/>
    <w:rsid w:val="00C90075"/>
    <w:rsid w:val="00C91AFE"/>
    <w:rsid w:val="00C930F0"/>
    <w:rsid w:val="00C93CC9"/>
    <w:rsid w:val="00C93CE4"/>
    <w:rsid w:val="00C94A39"/>
    <w:rsid w:val="00C94D6D"/>
    <w:rsid w:val="00C96910"/>
    <w:rsid w:val="00CA3B7B"/>
    <w:rsid w:val="00CA61D5"/>
    <w:rsid w:val="00CB0D32"/>
    <w:rsid w:val="00CB174A"/>
    <w:rsid w:val="00CB204D"/>
    <w:rsid w:val="00CB47AC"/>
    <w:rsid w:val="00CC1A57"/>
    <w:rsid w:val="00CC7E22"/>
    <w:rsid w:val="00CD0D65"/>
    <w:rsid w:val="00CD0FF2"/>
    <w:rsid w:val="00CD4E62"/>
    <w:rsid w:val="00CD50CA"/>
    <w:rsid w:val="00CE00C1"/>
    <w:rsid w:val="00CE2585"/>
    <w:rsid w:val="00CE52A7"/>
    <w:rsid w:val="00CE5382"/>
    <w:rsid w:val="00CE621C"/>
    <w:rsid w:val="00CF083C"/>
    <w:rsid w:val="00CF0A3D"/>
    <w:rsid w:val="00CF19E7"/>
    <w:rsid w:val="00CF1A67"/>
    <w:rsid w:val="00CF54D5"/>
    <w:rsid w:val="00CF69FF"/>
    <w:rsid w:val="00CF7C9E"/>
    <w:rsid w:val="00CF7E37"/>
    <w:rsid w:val="00D00DE2"/>
    <w:rsid w:val="00D01967"/>
    <w:rsid w:val="00D026DB"/>
    <w:rsid w:val="00D02827"/>
    <w:rsid w:val="00D02902"/>
    <w:rsid w:val="00D04C05"/>
    <w:rsid w:val="00D072CF"/>
    <w:rsid w:val="00D10DF8"/>
    <w:rsid w:val="00D116B8"/>
    <w:rsid w:val="00D1249E"/>
    <w:rsid w:val="00D127C5"/>
    <w:rsid w:val="00D12C57"/>
    <w:rsid w:val="00D133FE"/>
    <w:rsid w:val="00D13791"/>
    <w:rsid w:val="00D14871"/>
    <w:rsid w:val="00D17058"/>
    <w:rsid w:val="00D20644"/>
    <w:rsid w:val="00D220DB"/>
    <w:rsid w:val="00D23468"/>
    <w:rsid w:val="00D2370D"/>
    <w:rsid w:val="00D23D2B"/>
    <w:rsid w:val="00D2674B"/>
    <w:rsid w:val="00D351CC"/>
    <w:rsid w:val="00D37A1F"/>
    <w:rsid w:val="00D401ED"/>
    <w:rsid w:val="00D40C43"/>
    <w:rsid w:val="00D41DA5"/>
    <w:rsid w:val="00D4208D"/>
    <w:rsid w:val="00D42E09"/>
    <w:rsid w:val="00D46D98"/>
    <w:rsid w:val="00D5323D"/>
    <w:rsid w:val="00D60B15"/>
    <w:rsid w:val="00D616BB"/>
    <w:rsid w:val="00D6348E"/>
    <w:rsid w:val="00D64458"/>
    <w:rsid w:val="00D64BC3"/>
    <w:rsid w:val="00D64C9E"/>
    <w:rsid w:val="00D654A1"/>
    <w:rsid w:val="00D67B66"/>
    <w:rsid w:val="00D707A3"/>
    <w:rsid w:val="00D738DA"/>
    <w:rsid w:val="00D74A9D"/>
    <w:rsid w:val="00D74D66"/>
    <w:rsid w:val="00D760A8"/>
    <w:rsid w:val="00D82F03"/>
    <w:rsid w:val="00D840FE"/>
    <w:rsid w:val="00D859F6"/>
    <w:rsid w:val="00D8648E"/>
    <w:rsid w:val="00D87957"/>
    <w:rsid w:val="00D93144"/>
    <w:rsid w:val="00D96B89"/>
    <w:rsid w:val="00D9741D"/>
    <w:rsid w:val="00D975B7"/>
    <w:rsid w:val="00D9793C"/>
    <w:rsid w:val="00DA6519"/>
    <w:rsid w:val="00DA729A"/>
    <w:rsid w:val="00DB25B5"/>
    <w:rsid w:val="00DC4319"/>
    <w:rsid w:val="00DC4BD0"/>
    <w:rsid w:val="00DC4E1A"/>
    <w:rsid w:val="00DC52C1"/>
    <w:rsid w:val="00DC70A8"/>
    <w:rsid w:val="00DC7309"/>
    <w:rsid w:val="00DD0ECA"/>
    <w:rsid w:val="00DD12FD"/>
    <w:rsid w:val="00DD1DBC"/>
    <w:rsid w:val="00DD246E"/>
    <w:rsid w:val="00DD33EA"/>
    <w:rsid w:val="00DD446B"/>
    <w:rsid w:val="00DD5657"/>
    <w:rsid w:val="00DD7FF3"/>
    <w:rsid w:val="00DE1819"/>
    <w:rsid w:val="00DE5C52"/>
    <w:rsid w:val="00DE7565"/>
    <w:rsid w:val="00DE7A40"/>
    <w:rsid w:val="00DF26DA"/>
    <w:rsid w:val="00DF358E"/>
    <w:rsid w:val="00DF4BC2"/>
    <w:rsid w:val="00DF58DF"/>
    <w:rsid w:val="00DF6E16"/>
    <w:rsid w:val="00DF76EA"/>
    <w:rsid w:val="00E01840"/>
    <w:rsid w:val="00E0324C"/>
    <w:rsid w:val="00E038F6"/>
    <w:rsid w:val="00E073DA"/>
    <w:rsid w:val="00E077D8"/>
    <w:rsid w:val="00E10B56"/>
    <w:rsid w:val="00E10F98"/>
    <w:rsid w:val="00E13EA1"/>
    <w:rsid w:val="00E153CF"/>
    <w:rsid w:val="00E2182B"/>
    <w:rsid w:val="00E2334F"/>
    <w:rsid w:val="00E2726B"/>
    <w:rsid w:val="00E321E0"/>
    <w:rsid w:val="00E346BC"/>
    <w:rsid w:val="00E34E32"/>
    <w:rsid w:val="00E35D85"/>
    <w:rsid w:val="00E4174F"/>
    <w:rsid w:val="00E47904"/>
    <w:rsid w:val="00E51A14"/>
    <w:rsid w:val="00E520A3"/>
    <w:rsid w:val="00E52177"/>
    <w:rsid w:val="00E52B38"/>
    <w:rsid w:val="00E54BBF"/>
    <w:rsid w:val="00E55F9F"/>
    <w:rsid w:val="00E57CCA"/>
    <w:rsid w:val="00E608A8"/>
    <w:rsid w:val="00E64B41"/>
    <w:rsid w:val="00E65EC0"/>
    <w:rsid w:val="00E665A7"/>
    <w:rsid w:val="00E666BB"/>
    <w:rsid w:val="00E70C45"/>
    <w:rsid w:val="00E71277"/>
    <w:rsid w:val="00E71719"/>
    <w:rsid w:val="00E7193C"/>
    <w:rsid w:val="00E738EC"/>
    <w:rsid w:val="00E7462B"/>
    <w:rsid w:val="00E8104F"/>
    <w:rsid w:val="00E82010"/>
    <w:rsid w:val="00E82D3C"/>
    <w:rsid w:val="00E8520B"/>
    <w:rsid w:val="00E87276"/>
    <w:rsid w:val="00E9077D"/>
    <w:rsid w:val="00E9260A"/>
    <w:rsid w:val="00EA0A7A"/>
    <w:rsid w:val="00EA0A87"/>
    <w:rsid w:val="00EA5460"/>
    <w:rsid w:val="00EA623C"/>
    <w:rsid w:val="00EA6961"/>
    <w:rsid w:val="00EB0500"/>
    <w:rsid w:val="00EB210E"/>
    <w:rsid w:val="00EC4C14"/>
    <w:rsid w:val="00ED0589"/>
    <w:rsid w:val="00ED20D1"/>
    <w:rsid w:val="00ED3261"/>
    <w:rsid w:val="00ED4172"/>
    <w:rsid w:val="00ED4636"/>
    <w:rsid w:val="00EE2566"/>
    <w:rsid w:val="00EE436A"/>
    <w:rsid w:val="00EE4FD3"/>
    <w:rsid w:val="00EF0031"/>
    <w:rsid w:val="00EF13D8"/>
    <w:rsid w:val="00EF2978"/>
    <w:rsid w:val="00EF3FDF"/>
    <w:rsid w:val="00EF6774"/>
    <w:rsid w:val="00F00719"/>
    <w:rsid w:val="00F0508C"/>
    <w:rsid w:val="00F0660F"/>
    <w:rsid w:val="00F0684A"/>
    <w:rsid w:val="00F06D06"/>
    <w:rsid w:val="00F11097"/>
    <w:rsid w:val="00F11F5E"/>
    <w:rsid w:val="00F1444D"/>
    <w:rsid w:val="00F1566F"/>
    <w:rsid w:val="00F17725"/>
    <w:rsid w:val="00F20B1B"/>
    <w:rsid w:val="00F23B3E"/>
    <w:rsid w:val="00F24000"/>
    <w:rsid w:val="00F24768"/>
    <w:rsid w:val="00F26327"/>
    <w:rsid w:val="00F3097C"/>
    <w:rsid w:val="00F35BB7"/>
    <w:rsid w:val="00F37112"/>
    <w:rsid w:val="00F435E2"/>
    <w:rsid w:val="00F47483"/>
    <w:rsid w:val="00F50DE5"/>
    <w:rsid w:val="00F51CBE"/>
    <w:rsid w:val="00F530B3"/>
    <w:rsid w:val="00F54B71"/>
    <w:rsid w:val="00F54D18"/>
    <w:rsid w:val="00F55991"/>
    <w:rsid w:val="00F569E9"/>
    <w:rsid w:val="00F60BDB"/>
    <w:rsid w:val="00F6156B"/>
    <w:rsid w:val="00F61A3B"/>
    <w:rsid w:val="00F62D29"/>
    <w:rsid w:val="00F6325E"/>
    <w:rsid w:val="00F63929"/>
    <w:rsid w:val="00F67E87"/>
    <w:rsid w:val="00F702E8"/>
    <w:rsid w:val="00F72020"/>
    <w:rsid w:val="00F877CC"/>
    <w:rsid w:val="00F914C9"/>
    <w:rsid w:val="00F91AFE"/>
    <w:rsid w:val="00F932E9"/>
    <w:rsid w:val="00F93D84"/>
    <w:rsid w:val="00F93FBF"/>
    <w:rsid w:val="00F95491"/>
    <w:rsid w:val="00F977B7"/>
    <w:rsid w:val="00FA1132"/>
    <w:rsid w:val="00FA1ECF"/>
    <w:rsid w:val="00FA468F"/>
    <w:rsid w:val="00FA5C30"/>
    <w:rsid w:val="00FA6333"/>
    <w:rsid w:val="00FB0DB5"/>
    <w:rsid w:val="00FB1089"/>
    <w:rsid w:val="00FB634C"/>
    <w:rsid w:val="00FC06F2"/>
    <w:rsid w:val="00FC0F80"/>
    <w:rsid w:val="00FC2C0A"/>
    <w:rsid w:val="00FC4485"/>
    <w:rsid w:val="00FC57D5"/>
    <w:rsid w:val="00FC77A4"/>
    <w:rsid w:val="00FD04DB"/>
    <w:rsid w:val="00FD1C87"/>
    <w:rsid w:val="00FD3FE6"/>
    <w:rsid w:val="00FD5798"/>
    <w:rsid w:val="00FE1060"/>
    <w:rsid w:val="00FE26AA"/>
    <w:rsid w:val="00FE3024"/>
    <w:rsid w:val="00FE4AB7"/>
    <w:rsid w:val="00FF0EE9"/>
    <w:rsid w:val="00FF45CF"/>
    <w:rsid w:val="00FF53FC"/>
    <w:rsid w:val="00FF5CE5"/>
    <w:rsid w:val="00FF7849"/>
    <w:rsid w:val="01053DB5"/>
    <w:rsid w:val="01707369"/>
    <w:rsid w:val="02DB60B0"/>
    <w:rsid w:val="03251C35"/>
    <w:rsid w:val="05734296"/>
    <w:rsid w:val="071E0F8F"/>
    <w:rsid w:val="07C20795"/>
    <w:rsid w:val="0806239C"/>
    <w:rsid w:val="0AFD710E"/>
    <w:rsid w:val="0CD03677"/>
    <w:rsid w:val="0FF917B2"/>
    <w:rsid w:val="10557FC3"/>
    <w:rsid w:val="130955DD"/>
    <w:rsid w:val="130E305E"/>
    <w:rsid w:val="133032AB"/>
    <w:rsid w:val="13350062"/>
    <w:rsid w:val="135F0966"/>
    <w:rsid w:val="1B541FEA"/>
    <w:rsid w:val="1C5810DD"/>
    <w:rsid w:val="1C8A6D4D"/>
    <w:rsid w:val="1FDA1374"/>
    <w:rsid w:val="209D5C84"/>
    <w:rsid w:val="234D0ABD"/>
    <w:rsid w:val="236301F7"/>
    <w:rsid w:val="2749793B"/>
    <w:rsid w:val="280F1D9E"/>
    <w:rsid w:val="2842467C"/>
    <w:rsid w:val="2B8946DB"/>
    <w:rsid w:val="2C964B11"/>
    <w:rsid w:val="2D8F1458"/>
    <w:rsid w:val="2E1500C8"/>
    <w:rsid w:val="2EEB0FD1"/>
    <w:rsid w:val="2F920ECC"/>
    <w:rsid w:val="2FEB0396"/>
    <w:rsid w:val="320C7326"/>
    <w:rsid w:val="32990C99"/>
    <w:rsid w:val="34B87758"/>
    <w:rsid w:val="34C71413"/>
    <w:rsid w:val="36B258A6"/>
    <w:rsid w:val="36CA2891"/>
    <w:rsid w:val="37FAA3CA"/>
    <w:rsid w:val="39ED4B47"/>
    <w:rsid w:val="3AC71E53"/>
    <w:rsid w:val="3B66562E"/>
    <w:rsid w:val="3D100205"/>
    <w:rsid w:val="3D1E0123"/>
    <w:rsid w:val="3EC10C6B"/>
    <w:rsid w:val="3EF70BA0"/>
    <w:rsid w:val="3F8726EF"/>
    <w:rsid w:val="3FB13799"/>
    <w:rsid w:val="40033A9A"/>
    <w:rsid w:val="406E62E0"/>
    <w:rsid w:val="41910A8C"/>
    <w:rsid w:val="41A30415"/>
    <w:rsid w:val="41C654CA"/>
    <w:rsid w:val="439F1CD1"/>
    <w:rsid w:val="45A16AEC"/>
    <w:rsid w:val="4734F1DA"/>
    <w:rsid w:val="47FB3C89"/>
    <w:rsid w:val="48AF01FB"/>
    <w:rsid w:val="48EC563A"/>
    <w:rsid w:val="492C541D"/>
    <w:rsid w:val="4A1206D4"/>
    <w:rsid w:val="4B0C0841"/>
    <w:rsid w:val="4C1959A8"/>
    <w:rsid w:val="4C4A06A0"/>
    <w:rsid w:val="4CBF1B31"/>
    <w:rsid w:val="4D0413E0"/>
    <w:rsid w:val="4D2F53DC"/>
    <w:rsid w:val="4E3E4EC6"/>
    <w:rsid w:val="4E48548E"/>
    <w:rsid w:val="50491569"/>
    <w:rsid w:val="529A23A0"/>
    <w:rsid w:val="532B3B62"/>
    <w:rsid w:val="53592617"/>
    <w:rsid w:val="53E77B5A"/>
    <w:rsid w:val="54A749C0"/>
    <w:rsid w:val="54E563CF"/>
    <w:rsid w:val="55592260"/>
    <w:rsid w:val="58C25F5C"/>
    <w:rsid w:val="5A302FF5"/>
    <w:rsid w:val="5B441759"/>
    <w:rsid w:val="5B5F903C"/>
    <w:rsid w:val="5BFBCF5A"/>
    <w:rsid w:val="5CA16269"/>
    <w:rsid w:val="5ED510AB"/>
    <w:rsid w:val="5F210339"/>
    <w:rsid w:val="60451B11"/>
    <w:rsid w:val="61FC6879"/>
    <w:rsid w:val="62D2508D"/>
    <w:rsid w:val="62D33B51"/>
    <w:rsid w:val="647A4CCD"/>
    <w:rsid w:val="651047F3"/>
    <w:rsid w:val="65202896"/>
    <w:rsid w:val="67254250"/>
    <w:rsid w:val="68BA352F"/>
    <w:rsid w:val="69644A38"/>
    <w:rsid w:val="696C01C5"/>
    <w:rsid w:val="6AB8707F"/>
    <w:rsid w:val="6B86662A"/>
    <w:rsid w:val="6DEB1F89"/>
    <w:rsid w:val="6EBF4E31"/>
    <w:rsid w:val="6EFA3C6B"/>
    <w:rsid w:val="6FDF9F48"/>
    <w:rsid w:val="715D5DBD"/>
    <w:rsid w:val="72BB76D6"/>
    <w:rsid w:val="72BFC3D7"/>
    <w:rsid w:val="75FD057E"/>
    <w:rsid w:val="78F93AB2"/>
    <w:rsid w:val="793305F1"/>
    <w:rsid w:val="799D0FE8"/>
    <w:rsid w:val="79C020A2"/>
    <w:rsid w:val="79F79ED3"/>
    <w:rsid w:val="7D9D5272"/>
    <w:rsid w:val="7FFB69D6"/>
    <w:rsid w:val="9FD4B292"/>
    <w:rsid w:val="ABF99282"/>
    <w:rsid w:val="C5F7DA43"/>
    <w:rsid w:val="DCF129E1"/>
    <w:rsid w:val="DF8C1985"/>
    <w:rsid w:val="E7FFADF8"/>
    <w:rsid w:val="EBBF107A"/>
    <w:rsid w:val="F72E31A3"/>
    <w:rsid w:val="F7CF332C"/>
    <w:rsid w:val="FB3CC184"/>
    <w:rsid w:val="FB7DA204"/>
    <w:rsid w:val="FD7F5B89"/>
    <w:rsid w:val="FEDFB54B"/>
    <w:rsid w:val="FFB91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0"/>
    <w:pPr>
      <w:keepNext/>
      <w:keepLines/>
      <w:spacing w:line="560" w:lineRule="exact"/>
      <w:jc w:val="left"/>
      <w:outlineLvl w:val="0"/>
    </w:pPr>
    <w:rPr>
      <w:rFonts w:ascii="Calibri" w:hAnsi="Calibri" w:eastAsia="楷体" w:cs="Times New Roman"/>
      <w:bCs/>
      <w:kern w:val="44"/>
      <w:sz w:val="28"/>
      <w:szCs w:val="44"/>
    </w:rPr>
  </w:style>
  <w:style w:type="paragraph" w:styleId="2">
    <w:name w:val="heading 2"/>
    <w:basedOn w:val="1"/>
    <w:next w:val="1"/>
    <w:link w:val="26"/>
    <w:unhideWhenUsed/>
    <w:qFormat/>
    <w:uiPriority w:val="9"/>
    <w:pPr>
      <w:keepNext/>
      <w:keepLines/>
      <w:spacing w:line="560" w:lineRule="exact"/>
      <w:outlineLvl w:val="1"/>
    </w:pPr>
    <w:rPr>
      <w:rFonts w:eastAsia="黑体" w:asciiTheme="majorHAnsi" w:hAnsiTheme="majorHAnsi" w:cstheme="majorBidi"/>
      <w:bCs/>
      <w:sz w:val="24"/>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cstheme="minorHAnsi"/>
      <w:sz w:val="20"/>
      <w:szCs w:val="20"/>
    </w:rPr>
  </w:style>
  <w:style w:type="paragraph" w:styleId="6">
    <w:name w:val="Document Map"/>
    <w:basedOn w:val="1"/>
    <w:link w:val="40"/>
    <w:unhideWhenUsed/>
    <w:qFormat/>
    <w:uiPriority w:val="99"/>
    <w:rPr>
      <w:rFonts w:ascii="宋体" w:eastAsia="宋体"/>
      <w:sz w:val="18"/>
      <w:szCs w:val="18"/>
    </w:rPr>
  </w:style>
  <w:style w:type="paragraph" w:styleId="7">
    <w:name w:val="annotation text"/>
    <w:basedOn w:val="1"/>
    <w:link w:val="41"/>
    <w:unhideWhenUsed/>
    <w:qFormat/>
    <w:uiPriority w:val="99"/>
    <w:pPr>
      <w:jc w:val="left"/>
    </w:pPr>
  </w:style>
  <w:style w:type="paragraph" w:styleId="8">
    <w:name w:val="toc 5"/>
    <w:basedOn w:val="1"/>
    <w:next w:val="1"/>
    <w:unhideWhenUsed/>
    <w:qFormat/>
    <w:uiPriority w:val="39"/>
    <w:pPr>
      <w:ind w:left="840"/>
      <w:jc w:val="left"/>
    </w:pPr>
    <w:rPr>
      <w:rFonts w:cstheme="minorHAnsi"/>
      <w:sz w:val="20"/>
      <w:szCs w:val="20"/>
    </w:rPr>
  </w:style>
  <w:style w:type="paragraph" w:styleId="9">
    <w:name w:val="toc 3"/>
    <w:basedOn w:val="1"/>
    <w:next w:val="1"/>
    <w:unhideWhenUsed/>
    <w:qFormat/>
    <w:uiPriority w:val="39"/>
    <w:pPr>
      <w:ind w:left="420"/>
      <w:jc w:val="left"/>
    </w:pPr>
    <w:rPr>
      <w:rFonts w:cstheme="minorHAnsi"/>
      <w:sz w:val="20"/>
      <w:szCs w:val="20"/>
    </w:rPr>
  </w:style>
  <w:style w:type="paragraph" w:styleId="10">
    <w:name w:val="toc 8"/>
    <w:basedOn w:val="1"/>
    <w:next w:val="1"/>
    <w:unhideWhenUsed/>
    <w:qFormat/>
    <w:uiPriority w:val="39"/>
    <w:pPr>
      <w:ind w:left="1470"/>
      <w:jc w:val="left"/>
    </w:pPr>
    <w:rPr>
      <w:rFonts w:cstheme="minorHAnsi"/>
      <w:sz w:val="20"/>
      <w:szCs w:val="20"/>
    </w:rPr>
  </w:style>
  <w:style w:type="paragraph" w:styleId="11">
    <w:name w:val="Date"/>
    <w:basedOn w:val="1"/>
    <w:next w:val="1"/>
    <w:link w:val="30"/>
    <w:unhideWhenUsed/>
    <w:qFormat/>
    <w:uiPriority w:val="99"/>
    <w:pPr>
      <w:ind w:left="100" w:leftChars="2500"/>
    </w:pPr>
  </w:style>
  <w:style w:type="paragraph" w:styleId="12">
    <w:name w:val="Balloon Text"/>
    <w:basedOn w:val="1"/>
    <w:link w:val="33"/>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before="120"/>
      <w:jc w:val="left"/>
    </w:pPr>
    <w:rPr>
      <w:rFonts w:cstheme="minorHAnsi"/>
      <w:b/>
      <w:bCs/>
      <w:i/>
      <w:iCs/>
      <w:sz w:val="24"/>
      <w:szCs w:val="24"/>
    </w:rPr>
  </w:style>
  <w:style w:type="paragraph" w:styleId="16">
    <w:name w:val="toc 4"/>
    <w:basedOn w:val="1"/>
    <w:next w:val="1"/>
    <w:unhideWhenUsed/>
    <w:qFormat/>
    <w:uiPriority w:val="39"/>
    <w:pPr>
      <w:ind w:left="630"/>
      <w:jc w:val="left"/>
    </w:pPr>
    <w:rPr>
      <w:rFonts w:cstheme="minorHAnsi"/>
      <w:sz w:val="20"/>
      <w:szCs w:val="20"/>
    </w:rPr>
  </w:style>
  <w:style w:type="paragraph" w:styleId="17">
    <w:name w:val="toc 6"/>
    <w:basedOn w:val="1"/>
    <w:next w:val="1"/>
    <w:unhideWhenUsed/>
    <w:qFormat/>
    <w:uiPriority w:val="39"/>
    <w:pPr>
      <w:ind w:left="1050"/>
      <w:jc w:val="left"/>
    </w:pPr>
    <w:rPr>
      <w:rFonts w:cstheme="minorHAnsi"/>
      <w:sz w:val="20"/>
      <w:szCs w:val="20"/>
    </w:rPr>
  </w:style>
  <w:style w:type="paragraph" w:styleId="18">
    <w:name w:val="toc 2"/>
    <w:basedOn w:val="1"/>
    <w:next w:val="1"/>
    <w:unhideWhenUsed/>
    <w:qFormat/>
    <w:uiPriority w:val="39"/>
    <w:pPr>
      <w:spacing w:before="120"/>
      <w:ind w:left="210"/>
      <w:jc w:val="left"/>
    </w:pPr>
    <w:rPr>
      <w:rFonts w:cstheme="minorHAnsi"/>
      <w:b/>
      <w:bCs/>
      <w:sz w:val="22"/>
    </w:rPr>
  </w:style>
  <w:style w:type="paragraph" w:styleId="19">
    <w:name w:val="toc 9"/>
    <w:basedOn w:val="1"/>
    <w:next w:val="1"/>
    <w:unhideWhenUsed/>
    <w:qFormat/>
    <w:uiPriority w:val="39"/>
    <w:pPr>
      <w:ind w:left="1680"/>
      <w:jc w:val="left"/>
    </w:pPr>
    <w:rPr>
      <w:rFonts w:cstheme="minorHAnsi"/>
      <w:sz w:val="20"/>
      <w:szCs w:val="20"/>
    </w:rPr>
  </w:style>
  <w:style w:type="paragraph" w:styleId="20">
    <w:name w:val="annotation subject"/>
    <w:basedOn w:val="7"/>
    <w:next w:val="7"/>
    <w:link w:val="43"/>
    <w:unhideWhenUsed/>
    <w:qFormat/>
    <w:uiPriority w:val="99"/>
    <w:rPr>
      <w:b/>
      <w:bCs/>
    </w:r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unhideWhenUsed/>
    <w:qFormat/>
    <w:uiPriority w:val="99"/>
    <w:rPr>
      <w:sz w:val="21"/>
      <w:szCs w:val="21"/>
    </w:rPr>
  </w:style>
  <w:style w:type="character" w:customStyle="1" w:styleId="25">
    <w:name w:val="标题 1 字符"/>
    <w:basedOn w:val="22"/>
    <w:link w:val="3"/>
    <w:qFormat/>
    <w:uiPriority w:val="0"/>
    <w:rPr>
      <w:rFonts w:ascii="Calibri" w:hAnsi="Calibri" w:eastAsia="楷体" w:cs="Times New Roman"/>
      <w:bCs/>
      <w:kern w:val="44"/>
      <w:sz w:val="28"/>
      <w:szCs w:val="44"/>
    </w:rPr>
  </w:style>
  <w:style w:type="character" w:customStyle="1" w:styleId="26">
    <w:name w:val="标题 2 字符"/>
    <w:basedOn w:val="22"/>
    <w:link w:val="2"/>
    <w:qFormat/>
    <w:uiPriority w:val="9"/>
    <w:rPr>
      <w:rFonts w:eastAsia="黑体" w:asciiTheme="majorHAnsi" w:hAnsiTheme="majorHAnsi" w:cstheme="majorBidi"/>
      <w:bCs/>
      <w:sz w:val="24"/>
      <w:szCs w:val="32"/>
    </w:rPr>
  </w:style>
  <w:style w:type="character" w:customStyle="1" w:styleId="27">
    <w:name w:val="标题 3 字符"/>
    <w:basedOn w:val="22"/>
    <w:link w:val="4"/>
    <w:semiHidden/>
    <w:qFormat/>
    <w:uiPriority w:val="9"/>
    <w:rPr>
      <w:b/>
      <w:bCs/>
      <w:sz w:val="32"/>
      <w:szCs w:val="32"/>
    </w:rPr>
  </w:style>
  <w:style w:type="character" w:customStyle="1" w:styleId="28">
    <w:name w:val="页眉 字符"/>
    <w:basedOn w:val="22"/>
    <w:link w:val="14"/>
    <w:qFormat/>
    <w:uiPriority w:val="99"/>
    <w:rPr>
      <w:sz w:val="18"/>
      <w:szCs w:val="18"/>
    </w:rPr>
  </w:style>
  <w:style w:type="character" w:customStyle="1" w:styleId="29">
    <w:name w:val="页脚 字符"/>
    <w:basedOn w:val="22"/>
    <w:link w:val="13"/>
    <w:qFormat/>
    <w:uiPriority w:val="99"/>
    <w:rPr>
      <w:sz w:val="18"/>
      <w:szCs w:val="18"/>
    </w:rPr>
  </w:style>
  <w:style w:type="character" w:customStyle="1" w:styleId="30">
    <w:name w:val="日期 字符"/>
    <w:basedOn w:val="22"/>
    <w:link w:val="11"/>
    <w:semiHidden/>
    <w:qFormat/>
    <w:uiPriority w:val="99"/>
  </w:style>
  <w:style w:type="paragraph" w:customStyle="1" w:styleId="3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2">
    <w:name w:val="NormalCharacter"/>
    <w:semiHidden/>
    <w:qFormat/>
    <w:uiPriority w:val="0"/>
  </w:style>
  <w:style w:type="character" w:customStyle="1" w:styleId="33">
    <w:name w:val="批注框文本 字符"/>
    <w:basedOn w:val="22"/>
    <w:link w:val="12"/>
    <w:semiHidden/>
    <w:qFormat/>
    <w:uiPriority w:val="99"/>
    <w:rPr>
      <w:sz w:val="18"/>
      <w:szCs w:val="18"/>
    </w:rPr>
  </w:style>
  <w:style w:type="paragraph" w:customStyle="1" w:styleId="34">
    <w:name w:val="p0"/>
    <w:basedOn w:val="1"/>
    <w:qFormat/>
    <w:uiPriority w:val="0"/>
    <w:pPr>
      <w:widowControl/>
      <w:spacing w:line="360" w:lineRule="auto"/>
      <w:ind w:firstLine="200" w:firstLineChars="200"/>
    </w:pPr>
    <w:rPr>
      <w:rFonts w:ascii="Times New Roman" w:hAnsi="Times New Roman" w:eastAsia="宋体" w:cs="Times New Roman"/>
      <w:kern w:val="0"/>
      <w:sz w:val="24"/>
      <w:szCs w:val="20"/>
    </w:rPr>
  </w:style>
  <w:style w:type="paragraph" w:customStyle="1" w:styleId="35">
    <w:name w:val="列出段落7"/>
    <w:basedOn w:val="1"/>
    <w:qFormat/>
    <w:uiPriority w:val="0"/>
    <w:pPr>
      <w:adjustRightInd w:val="0"/>
      <w:snapToGrid w:val="0"/>
      <w:spacing w:afterLines="50" w:line="288" w:lineRule="auto"/>
      <w:ind w:firstLine="200" w:firstLineChars="200"/>
    </w:pPr>
    <w:rPr>
      <w:rFonts w:ascii="宋体" w:hAnsi="宋体" w:eastAsia="宋体" w:cs="Times New Roman"/>
      <w:sz w:val="24"/>
      <w:szCs w:val="24"/>
    </w:rPr>
  </w:style>
  <w:style w:type="paragraph" w:customStyle="1" w:styleId="36">
    <w:name w:val="列出段落1"/>
    <w:basedOn w:val="1"/>
    <w:qFormat/>
    <w:uiPriority w:val="0"/>
    <w:pPr>
      <w:spacing w:line="460" w:lineRule="exact"/>
      <w:ind w:firstLine="420" w:firstLineChars="200"/>
    </w:pPr>
    <w:rPr>
      <w:rFonts w:ascii="Times New Roman" w:hAnsi="Times New Roman" w:eastAsia="宋体" w:cs="Times New Roman"/>
      <w:sz w:val="24"/>
      <w:szCs w:val="20"/>
    </w:rPr>
  </w:style>
  <w:style w:type="paragraph" w:customStyle="1" w:styleId="37">
    <w:name w:val="TOC 标题1"/>
    <w:basedOn w:val="3"/>
    <w:next w:val="1"/>
    <w:unhideWhenUsed/>
    <w:qFormat/>
    <w:uiPriority w:val="39"/>
    <w:pPr>
      <w:widowControl/>
      <w:spacing w:before="480" w:line="276" w:lineRule="auto"/>
      <w:outlineLvl w:val="9"/>
    </w:pPr>
    <w:rPr>
      <w:rFonts w:asciiTheme="majorHAnsi" w:hAnsiTheme="majorHAnsi" w:eastAsiaTheme="majorEastAsia" w:cstheme="majorBidi"/>
      <w:color w:val="376092" w:themeColor="accent1" w:themeShade="BF"/>
      <w:kern w:val="0"/>
      <w:szCs w:val="28"/>
    </w:rPr>
  </w:style>
  <w:style w:type="paragraph" w:customStyle="1" w:styleId="38">
    <w:name w:val="无间隔1"/>
    <w:basedOn w:val="4"/>
    <w:qFormat/>
    <w:uiPriority w:val="1"/>
    <w:pPr>
      <w:spacing w:before="0" w:after="0" w:line="560" w:lineRule="exact"/>
    </w:pPr>
    <w:rPr>
      <w:rFonts w:eastAsia="黑体"/>
      <w:b w:val="0"/>
      <w:sz w:val="24"/>
    </w:rPr>
  </w:style>
  <w:style w:type="paragraph" w:customStyle="1" w:styleId="39">
    <w:name w:val="Char Char25 Char Char1 Char Char Char Char"/>
    <w:qFormat/>
    <w:uiPriority w:val="0"/>
    <w:pPr>
      <w:shd w:val="clear" w:color="auto" w:fill="000080"/>
    </w:pPr>
    <w:rPr>
      <w:rFonts w:ascii="宋体" w:hAnsi="宋体" w:eastAsia="宋体" w:cs="Times New Roman"/>
      <w:b/>
      <w:kern w:val="2"/>
      <w:sz w:val="24"/>
      <w:lang w:val="en-US" w:eastAsia="zh-CN" w:bidi="ar-SA"/>
    </w:rPr>
  </w:style>
  <w:style w:type="character" w:customStyle="1" w:styleId="40">
    <w:name w:val="文档结构图 字符"/>
    <w:basedOn w:val="22"/>
    <w:link w:val="6"/>
    <w:semiHidden/>
    <w:qFormat/>
    <w:uiPriority w:val="99"/>
    <w:rPr>
      <w:rFonts w:ascii="宋体" w:eastAsia="宋体"/>
      <w:sz w:val="18"/>
      <w:szCs w:val="18"/>
    </w:rPr>
  </w:style>
  <w:style w:type="character" w:customStyle="1" w:styleId="41">
    <w:name w:val="批注文字 字符"/>
    <w:basedOn w:val="22"/>
    <w:link w:val="7"/>
    <w:qFormat/>
    <w:uiPriority w:val="99"/>
    <w:rPr>
      <w:kern w:val="2"/>
      <w:sz w:val="21"/>
      <w:szCs w:val="22"/>
    </w:rPr>
  </w:style>
  <w:style w:type="paragraph" w:customStyle="1" w:styleId="42">
    <w:name w:val="样式6"/>
    <w:basedOn w:val="1"/>
    <w:qFormat/>
    <w:uiPriority w:val="0"/>
    <w:pPr>
      <w:widowControl/>
      <w:spacing w:beforeLines="50" w:afterLines="50" w:line="300" w:lineRule="auto"/>
      <w:ind w:firstLine="480" w:firstLineChars="200"/>
    </w:pPr>
    <w:rPr>
      <w:rFonts w:ascii="Times New Roman" w:hAnsi="Times New Roman" w:eastAsia="宋体" w:cs="Times New Roman"/>
      <w:sz w:val="24"/>
      <w:szCs w:val="20"/>
    </w:rPr>
  </w:style>
  <w:style w:type="character" w:customStyle="1" w:styleId="43">
    <w:name w:val="批注主题 字符"/>
    <w:basedOn w:val="41"/>
    <w:link w:val="20"/>
    <w:semiHidden/>
    <w:qFormat/>
    <w:uiPriority w:val="99"/>
    <w:rPr>
      <w:b/>
      <w:bCs/>
      <w:kern w:val="2"/>
      <w:sz w:val="21"/>
      <w:szCs w:val="22"/>
    </w:rPr>
  </w:style>
  <w:style w:type="paragraph" w:customStyle="1" w:styleId="44">
    <w:name w:val="列表段落1"/>
    <w:basedOn w:val="1"/>
    <w:qFormat/>
    <w:uiPriority w:val="99"/>
    <w:pPr>
      <w:ind w:firstLine="420" w:firstLineChars="200"/>
    </w:pPr>
  </w:style>
  <w:style w:type="paragraph" w:customStyle="1" w:styleId="4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6">
    <w:name w:val="TOC 标题2"/>
    <w:basedOn w:val="3"/>
    <w:next w:val="1"/>
    <w:unhideWhenUsed/>
    <w:qFormat/>
    <w:uiPriority w:val="39"/>
    <w:pPr>
      <w:widowControl/>
      <w:spacing w:before="480" w:line="276" w:lineRule="auto"/>
      <w:outlineLvl w:val="9"/>
    </w:pPr>
    <w:rPr>
      <w:rFonts w:asciiTheme="majorHAnsi" w:hAnsiTheme="majorHAnsi" w:eastAsiaTheme="majorEastAsia" w:cstheme="majorBidi"/>
      <w:b/>
      <w:color w:val="376092" w:themeColor="accent1" w:themeShade="BF"/>
      <w:kern w:val="0"/>
      <w:szCs w:val="28"/>
    </w:rPr>
  </w:style>
  <w:style w:type="paragraph" w:customStyle="1" w:styleId="47">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8">
    <w:name w:val="缩进内容1"/>
    <w:basedOn w:val="49"/>
    <w:qFormat/>
    <w:uiPriority w:val="0"/>
    <w:pPr>
      <w:ind w:left="1763"/>
    </w:pPr>
  </w:style>
  <w:style w:type="paragraph" w:customStyle="1" w:styleId="49">
    <w:name w:val="缩进内容"/>
    <w:basedOn w:val="1"/>
    <w:qFormat/>
    <w:uiPriority w:val="99"/>
    <w:pPr>
      <w:spacing w:line="276" w:lineRule="auto"/>
      <w:ind w:left="964"/>
    </w:pPr>
    <w:rPr>
      <w:rFonts w:cs="仿宋"/>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4016</Words>
  <Characters>22892</Characters>
  <Lines>190</Lines>
  <Paragraphs>53</Paragraphs>
  <TotalTime>0</TotalTime>
  <ScaleCrop>false</ScaleCrop>
  <LinksUpToDate>false</LinksUpToDate>
  <CharactersWithSpaces>26855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2022-04-27T12:12:00Z</dcterms:created>
  <dc:creator>秦兆强</dc:creator>
  <cp:lastModifiedBy>王晓宏</cp:lastModifiedBy>
  <cp:lastPrinted>2022-08-31T01:34:00Z</cp:lastPrinted>
  <dcterms:modified xsi:type="dcterms:W3CDTF">2022-08-31T07:47:35Z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1C5F9AA4BBE644648C48D86D4E23EEEF</vt:lpwstr>
  </property>
</Properties>
</file>