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F4A3F4E">
      <w:pPr>
        <w:outlineLvl w:val="9"/>
        <w:rPr>
          <w:rFonts w:cs="宋体" w:asciiTheme="minorEastAsia" w:hAnsiTheme="minorEastAsia" w:eastAsiaTheme="minorEastAsia"/>
          <w:color w:val="auto"/>
          <w:szCs w:val="21"/>
          <w:highlight w:val="none"/>
        </w:rPr>
      </w:pPr>
    </w:p>
    <w:p w14:paraId="0D696483">
      <w:pPr>
        <w:adjustRightInd w:val="0"/>
        <w:snapToGrid w:val="0"/>
        <w:spacing w:line="360" w:lineRule="auto"/>
        <w:outlineLvl w:val="9"/>
        <w:rPr>
          <w:rFonts w:cs="宋体" w:asciiTheme="minorEastAsia" w:hAnsiTheme="minorEastAsia" w:eastAsiaTheme="minorEastAsia"/>
          <w:color w:val="auto"/>
          <w:sz w:val="24"/>
          <w:highlight w:val="none"/>
        </w:rPr>
      </w:pPr>
      <w:r>
        <w:rPr>
          <w:rFonts w:cs="宋体" w:asciiTheme="minorEastAsia" w:hAnsiTheme="minorEastAsia" w:eastAsiaTheme="minorEastAsia"/>
          <w:color w:val="auto"/>
          <w:sz w:val="24"/>
          <w:highlight w:val="none"/>
        </w:rPr>
        <w:t>GF-2020-0216</w:t>
      </w:r>
    </w:p>
    <w:p w14:paraId="15A5D442">
      <w:pPr>
        <w:adjustRightInd w:val="0"/>
        <w:snapToGrid w:val="0"/>
        <w:spacing w:line="360" w:lineRule="auto"/>
        <w:ind w:firstLine="420"/>
        <w:jc w:val="center"/>
        <w:outlineLvl w:val="9"/>
        <w:rPr>
          <w:rFonts w:cs="宋体" w:asciiTheme="minorEastAsia" w:hAnsiTheme="minorEastAsia" w:eastAsiaTheme="minorEastAsia"/>
          <w:color w:val="auto"/>
          <w:sz w:val="24"/>
          <w:highlight w:val="none"/>
        </w:rPr>
      </w:pPr>
    </w:p>
    <w:p w14:paraId="0D1B0178">
      <w:pPr>
        <w:adjustRightInd w:val="0"/>
        <w:snapToGrid w:val="0"/>
        <w:spacing w:line="360" w:lineRule="auto"/>
        <w:ind w:firstLine="420"/>
        <w:jc w:val="center"/>
        <w:outlineLvl w:val="9"/>
        <w:rPr>
          <w:rFonts w:cs="宋体" w:asciiTheme="minorEastAsia" w:hAnsiTheme="minorEastAsia" w:eastAsiaTheme="minorEastAsia"/>
          <w:color w:val="auto"/>
          <w:sz w:val="24"/>
          <w:highlight w:val="none"/>
        </w:rPr>
      </w:pPr>
    </w:p>
    <w:p w14:paraId="04E02130">
      <w:pPr>
        <w:adjustRightInd w:val="0"/>
        <w:snapToGrid w:val="0"/>
        <w:spacing w:line="360" w:lineRule="auto"/>
        <w:ind w:firstLine="420"/>
        <w:jc w:val="center"/>
        <w:outlineLvl w:val="9"/>
        <w:rPr>
          <w:rFonts w:cs="宋体" w:asciiTheme="minorEastAsia" w:hAnsiTheme="minorEastAsia" w:eastAsiaTheme="minorEastAsia"/>
          <w:color w:val="auto"/>
          <w:sz w:val="24"/>
          <w:highlight w:val="none"/>
        </w:rPr>
      </w:pPr>
    </w:p>
    <w:p w14:paraId="7E375D73">
      <w:pPr>
        <w:adjustRightInd w:val="0"/>
        <w:snapToGrid w:val="0"/>
        <w:spacing w:line="360" w:lineRule="auto"/>
        <w:ind w:firstLine="420"/>
        <w:jc w:val="center"/>
        <w:outlineLvl w:val="9"/>
        <w:rPr>
          <w:rFonts w:cs="宋体" w:asciiTheme="minorEastAsia" w:hAnsiTheme="minorEastAsia" w:eastAsiaTheme="minorEastAsia"/>
          <w:color w:val="auto"/>
          <w:sz w:val="24"/>
          <w:highlight w:val="none"/>
        </w:rPr>
      </w:pPr>
    </w:p>
    <w:p w14:paraId="0CC9CDA1">
      <w:pPr>
        <w:adjustRightInd w:val="0"/>
        <w:snapToGrid w:val="0"/>
        <w:spacing w:line="360" w:lineRule="auto"/>
        <w:ind w:firstLine="420"/>
        <w:jc w:val="center"/>
        <w:outlineLvl w:val="9"/>
        <w:rPr>
          <w:rFonts w:cs="宋体" w:asciiTheme="minorEastAsia" w:hAnsiTheme="minorEastAsia" w:eastAsiaTheme="minorEastAsia"/>
          <w:color w:val="auto"/>
          <w:sz w:val="24"/>
          <w:highlight w:val="none"/>
        </w:rPr>
      </w:pPr>
    </w:p>
    <w:p w14:paraId="0800F7E6">
      <w:pPr>
        <w:pStyle w:val="33"/>
        <w:adjustRightInd w:val="0"/>
        <w:snapToGrid w:val="0"/>
        <w:spacing w:line="360" w:lineRule="auto"/>
        <w:ind w:left="0" w:leftChars="0" w:firstLine="420"/>
        <w:jc w:val="center"/>
        <w:outlineLvl w:val="9"/>
        <w:rPr>
          <w:rFonts w:cs="宋体" w:asciiTheme="minorEastAsia" w:hAnsiTheme="minorEastAsia" w:eastAsiaTheme="minorEastAsia"/>
          <w:color w:val="auto"/>
          <w:sz w:val="32"/>
          <w:szCs w:val="32"/>
          <w:highlight w:val="none"/>
        </w:rPr>
      </w:pPr>
    </w:p>
    <w:p w14:paraId="26CBB36E">
      <w:pPr>
        <w:pStyle w:val="33"/>
        <w:adjustRightInd w:val="0"/>
        <w:snapToGrid w:val="0"/>
        <w:spacing w:line="360" w:lineRule="auto"/>
        <w:ind w:left="0" w:leftChars="0" w:firstLine="420"/>
        <w:jc w:val="center"/>
        <w:outlineLvl w:val="9"/>
        <w:rPr>
          <w:rFonts w:cs="宋体" w:asciiTheme="minorEastAsia" w:hAnsiTheme="minorEastAsia" w:eastAsiaTheme="minorEastAsia"/>
          <w:color w:val="auto"/>
          <w:sz w:val="36"/>
          <w:szCs w:val="36"/>
          <w:highlight w:val="none"/>
        </w:rPr>
      </w:pPr>
    </w:p>
    <w:p w14:paraId="3815775D">
      <w:pPr>
        <w:pStyle w:val="108"/>
        <w:spacing w:afterLines="0"/>
        <w:ind w:firstLine="723"/>
        <w:outlineLvl w:val="9"/>
        <w:rPr>
          <w:rFonts w:cs="宋体" w:asciiTheme="minorEastAsia" w:hAnsiTheme="minorEastAsia" w:eastAsiaTheme="minorEastAsia"/>
          <w:bCs/>
          <w:color w:val="auto"/>
          <w:szCs w:val="36"/>
          <w:highlight w:val="none"/>
        </w:rPr>
      </w:pPr>
      <w:r>
        <w:rPr>
          <w:rFonts w:hint="eastAsia" w:cs="宋体" w:asciiTheme="minorEastAsia" w:hAnsiTheme="minorEastAsia" w:eastAsiaTheme="minorEastAsia"/>
          <w:bCs/>
          <w:color w:val="auto"/>
          <w:szCs w:val="36"/>
          <w:highlight w:val="none"/>
        </w:rPr>
        <w:t>建设项目工程总承包合同</w:t>
      </w:r>
    </w:p>
    <w:p w14:paraId="5039431A">
      <w:pPr>
        <w:pStyle w:val="108"/>
        <w:spacing w:afterLines="0"/>
        <w:ind w:firstLine="720"/>
        <w:outlineLvl w:val="9"/>
        <w:rPr>
          <w:rFonts w:cs="宋体" w:asciiTheme="minorEastAsia" w:hAnsiTheme="minorEastAsia" w:eastAsiaTheme="minorEastAsia"/>
          <w:b w:val="0"/>
          <w:bCs/>
          <w:color w:val="auto"/>
          <w:szCs w:val="36"/>
          <w:highlight w:val="none"/>
        </w:rPr>
      </w:pPr>
      <w:r>
        <w:rPr>
          <w:rFonts w:hint="eastAsia" w:cs="宋体" w:asciiTheme="minorEastAsia" w:hAnsiTheme="minorEastAsia" w:eastAsiaTheme="minorEastAsia"/>
          <w:b w:val="0"/>
          <w:bCs/>
          <w:color w:val="auto"/>
          <w:szCs w:val="36"/>
          <w:highlight w:val="none"/>
        </w:rPr>
        <w:t>（示范文本）</w:t>
      </w:r>
    </w:p>
    <w:p w14:paraId="74FDF399">
      <w:pPr>
        <w:pStyle w:val="108"/>
        <w:spacing w:afterLines="0"/>
        <w:ind w:firstLine="482"/>
        <w:outlineLvl w:val="9"/>
        <w:rPr>
          <w:rFonts w:cs="宋体" w:asciiTheme="minorEastAsia" w:hAnsiTheme="minorEastAsia" w:eastAsiaTheme="minorEastAsia"/>
          <w:color w:val="auto"/>
          <w:sz w:val="24"/>
          <w:szCs w:val="24"/>
          <w:highlight w:val="none"/>
        </w:rPr>
      </w:pPr>
    </w:p>
    <w:p w14:paraId="0536C885">
      <w:pPr>
        <w:pStyle w:val="108"/>
        <w:spacing w:afterLines="0"/>
        <w:ind w:firstLine="482"/>
        <w:outlineLvl w:val="9"/>
        <w:rPr>
          <w:rFonts w:cs="宋体" w:asciiTheme="minorEastAsia" w:hAnsiTheme="minorEastAsia" w:eastAsiaTheme="minorEastAsia"/>
          <w:color w:val="auto"/>
          <w:sz w:val="24"/>
          <w:szCs w:val="24"/>
          <w:highlight w:val="none"/>
        </w:rPr>
      </w:pPr>
    </w:p>
    <w:p w14:paraId="7A5EB727">
      <w:pPr>
        <w:adjustRightInd w:val="0"/>
        <w:snapToGrid w:val="0"/>
        <w:spacing w:line="360" w:lineRule="auto"/>
        <w:ind w:firstLine="420"/>
        <w:jc w:val="center"/>
        <w:outlineLvl w:val="9"/>
        <w:rPr>
          <w:rFonts w:cs="宋体" w:asciiTheme="minorEastAsia" w:hAnsiTheme="minorEastAsia" w:eastAsiaTheme="minorEastAsia"/>
          <w:color w:val="auto"/>
          <w:sz w:val="24"/>
          <w:highlight w:val="none"/>
        </w:rPr>
      </w:pPr>
    </w:p>
    <w:p w14:paraId="25C362E7">
      <w:pPr>
        <w:pStyle w:val="108"/>
        <w:spacing w:afterLines="0"/>
        <w:ind w:firstLine="482"/>
        <w:outlineLvl w:val="9"/>
        <w:rPr>
          <w:rFonts w:cs="宋体" w:asciiTheme="minorEastAsia" w:hAnsiTheme="minorEastAsia" w:eastAsiaTheme="minorEastAsia"/>
          <w:color w:val="auto"/>
          <w:sz w:val="24"/>
          <w:szCs w:val="24"/>
          <w:highlight w:val="none"/>
        </w:rPr>
      </w:pPr>
    </w:p>
    <w:p w14:paraId="54817A7D">
      <w:pPr>
        <w:adjustRightInd w:val="0"/>
        <w:snapToGrid w:val="0"/>
        <w:spacing w:line="360" w:lineRule="auto"/>
        <w:ind w:firstLine="420"/>
        <w:jc w:val="center"/>
        <w:outlineLvl w:val="9"/>
        <w:rPr>
          <w:rFonts w:cs="宋体" w:asciiTheme="minorEastAsia" w:hAnsiTheme="minorEastAsia" w:eastAsiaTheme="minorEastAsia"/>
          <w:color w:val="auto"/>
          <w:sz w:val="24"/>
          <w:highlight w:val="none"/>
        </w:rPr>
      </w:pPr>
    </w:p>
    <w:p w14:paraId="075300AF">
      <w:pPr>
        <w:pStyle w:val="33"/>
        <w:adjustRightInd w:val="0"/>
        <w:snapToGrid w:val="0"/>
        <w:spacing w:line="360" w:lineRule="auto"/>
        <w:ind w:left="0" w:leftChars="0" w:firstLine="420"/>
        <w:jc w:val="center"/>
        <w:outlineLvl w:val="9"/>
        <w:rPr>
          <w:rFonts w:cs="宋体" w:asciiTheme="minorEastAsia" w:hAnsiTheme="minorEastAsia" w:eastAsiaTheme="minorEastAsia"/>
          <w:color w:val="auto"/>
          <w:sz w:val="24"/>
          <w:highlight w:val="none"/>
        </w:rPr>
      </w:pPr>
    </w:p>
    <w:p w14:paraId="1581F103">
      <w:pPr>
        <w:adjustRightInd w:val="0"/>
        <w:snapToGrid w:val="0"/>
        <w:spacing w:line="360" w:lineRule="auto"/>
        <w:ind w:firstLine="1687" w:firstLineChars="700"/>
        <w:outlineLvl w:val="9"/>
        <w:rPr>
          <w:rFonts w:cs="宋体" w:asciiTheme="minorEastAsia" w:hAnsiTheme="minorEastAsia" w:eastAsiaTheme="minorEastAsia"/>
          <w:b/>
          <w:bCs/>
          <w:color w:val="auto"/>
          <w:sz w:val="24"/>
          <w:highlight w:val="none"/>
          <w:lang w:val="zh-CN"/>
        </w:rPr>
      </w:pPr>
    </w:p>
    <w:p w14:paraId="5B9012E2">
      <w:pPr>
        <w:adjustRightInd w:val="0"/>
        <w:snapToGrid w:val="0"/>
        <w:spacing w:line="360" w:lineRule="auto"/>
        <w:ind w:firstLine="1687" w:firstLineChars="700"/>
        <w:outlineLvl w:val="9"/>
        <w:rPr>
          <w:rFonts w:cs="宋体" w:asciiTheme="minorEastAsia" w:hAnsiTheme="minorEastAsia" w:eastAsiaTheme="minorEastAsia"/>
          <w:b/>
          <w:bCs/>
          <w:color w:val="auto"/>
          <w:sz w:val="24"/>
          <w:highlight w:val="none"/>
          <w:lang w:val="zh-CN"/>
        </w:rPr>
      </w:pPr>
    </w:p>
    <w:p w14:paraId="5DDEB552">
      <w:pPr>
        <w:adjustRightInd w:val="0"/>
        <w:snapToGrid w:val="0"/>
        <w:spacing w:line="360" w:lineRule="auto"/>
        <w:ind w:firstLine="1687" w:firstLineChars="700"/>
        <w:outlineLvl w:val="9"/>
        <w:rPr>
          <w:rFonts w:cs="宋体" w:asciiTheme="minorEastAsia" w:hAnsiTheme="minorEastAsia" w:eastAsiaTheme="minorEastAsia"/>
          <w:b/>
          <w:bCs/>
          <w:color w:val="auto"/>
          <w:sz w:val="24"/>
          <w:highlight w:val="none"/>
          <w:lang w:val="zh-CN"/>
        </w:rPr>
      </w:pPr>
    </w:p>
    <w:p w14:paraId="407EB54F">
      <w:pPr>
        <w:adjustRightInd w:val="0"/>
        <w:snapToGrid w:val="0"/>
        <w:spacing w:line="360" w:lineRule="auto"/>
        <w:ind w:firstLine="1687" w:firstLineChars="700"/>
        <w:outlineLvl w:val="9"/>
        <w:rPr>
          <w:rFonts w:cs="宋体" w:asciiTheme="minorEastAsia" w:hAnsiTheme="minorEastAsia" w:eastAsiaTheme="minorEastAsia"/>
          <w:b/>
          <w:bCs/>
          <w:color w:val="auto"/>
          <w:sz w:val="24"/>
          <w:highlight w:val="none"/>
          <w:lang w:val="zh-CN"/>
        </w:rPr>
      </w:pPr>
      <w:r>
        <w:rPr>
          <w:rFonts w:cs="宋体" w:asciiTheme="minorEastAsia" w:hAnsiTheme="minorEastAsia" w:eastAsiaTheme="minorEastAsia"/>
          <w:b/>
          <w:bCs/>
          <w:color w:val="auto"/>
          <w:sz w:val="24"/>
          <w:highlight w:val="none"/>
        </w:rPr>
        <mc:AlternateContent>
          <mc:Choice Requires="wps">
            <w:drawing>
              <wp:anchor distT="0" distB="0" distL="114300" distR="114300" simplePos="0" relativeHeight="251921408" behindDoc="0" locked="0" layoutInCell="1" allowOverlap="1">
                <wp:simplePos x="0" y="0"/>
                <wp:positionH relativeFrom="column">
                  <wp:posOffset>4451350</wp:posOffset>
                </wp:positionH>
                <wp:positionV relativeFrom="paragraph">
                  <wp:posOffset>163830</wp:posOffset>
                </wp:positionV>
                <wp:extent cx="708025" cy="618490"/>
                <wp:effectExtent l="0" t="0" r="15875" b="10160"/>
                <wp:wrapNone/>
                <wp:docPr id="1631579042" name="文本框 1631579042"/>
                <wp:cNvGraphicFramePr/>
                <a:graphic xmlns:a="http://schemas.openxmlformats.org/drawingml/2006/main">
                  <a:graphicData uri="http://schemas.microsoft.com/office/word/2010/wordprocessingShape">
                    <wps:wsp>
                      <wps:cNvSpPr txBox="1"/>
                      <wps:spPr>
                        <a:xfrm>
                          <a:off x="0" y="0"/>
                          <a:ext cx="708025" cy="618490"/>
                        </a:xfrm>
                        <a:prstGeom prst="rect">
                          <a:avLst/>
                        </a:prstGeom>
                        <a:solidFill>
                          <a:srgbClr val="FFFFFF"/>
                        </a:solidFill>
                        <a:ln>
                          <a:noFill/>
                        </a:ln>
                        <a:effectLst/>
                      </wps:spPr>
                      <wps:txbx>
                        <w:txbxContent>
                          <w:p w14:paraId="6E75331B">
                            <w:pPr>
                              <w:rPr>
                                <w:b/>
                                <w:bCs/>
                                <w:sz w:val="32"/>
                                <w:szCs w:val="32"/>
                              </w:rPr>
                            </w:pPr>
                            <w:r>
                              <w:rPr>
                                <w:rFonts w:hint="eastAsia"/>
                                <w:b/>
                                <w:bCs/>
                                <w:sz w:val="32"/>
                                <w:szCs w:val="32"/>
                              </w:rPr>
                              <w:t>制定</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350.5pt;margin-top:12.9pt;height:48.7pt;width:55.75pt;z-index:251921408;mso-width-relative:page;mso-height-relative:margin;mso-height-percent:200;" fillcolor="#FFFFFF" filled="t" stroked="f" coordsize="21600,21600" o:gfxdata="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cuNdn1wAAAAoBAAAPAAAA&#10;AAAAAAEAIAAAACIAAABkcnMvZG93bnJldi54bWxQSwECFAAUAAAACACHTuJAOFfYLt0BAACwAwAA&#10;DgAAAAAAAAABACAAAAAmAQAAZHJzL2Uyb0RvYy54bWxQSwUGAAAAAAYABgBZAQAAdQUAAAAA&#10;">
                <v:fill on="t" focussize="0,0"/>
                <v:stroke on="f"/>
                <v:imagedata o:title=""/>
                <o:lock v:ext="edit" aspectratio="f"/>
                <v:textbox style="mso-fit-shape-to-text:t;">
                  <w:txbxContent>
                    <w:p w14:paraId="6E75331B">
                      <w:pPr>
                        <w:rPr>
                          <w:b/>
                          <w:bCs/>
                          <w:sz w:val="32"/>
                          <w:szCs w:val="32"/>
                        </w:rPr>
                      </w:pPr>
                      <w:r>
                        <w:rPr>
                          <w:rFonts w:hint="eastAsia"/>
                          <w:b/>
                          <w:bCs/>
                          <w:sz w:val="32"/>
                          <w:szCs w:val="32"/>
                        </w:rPr>
                        <w:t>制定</w:t>
                      </w:r>
                    </w:p>
                  </w:txbxContent>
                </v:textbox>
              </v:shape>
            </w:pict>
          </mc:Fallback>
        </mc:AlternateContent>
      </w:r>
      <w:r>
        <w:rPr>
          <w:rFonts w:cs="宋体" w:asciiTheme="minorEastAsia" w:hAnsiTheme="minorEastAsia" w:eastAsiaTheme="minorEastAsia"/>
          <w:b/>
          <w:color w:val="auto"/>
          <w:sz w:val="24"/>
          <w:highlight w:val="none"/>
        </w:rPr>
        <mc:AlternateContent>
          <mc:Choice Requires="wps">
            <w:drawing>
              <wp:anchor distT="0" distB="0" distL="114300" distR="114300" simplePos="0" relativeHeight="251948032" behindDoc="0" locked="0" layoutInCell="1" allowOverlap="1">
                <wp:simplePos x="0" y="0"/>
                <wp:positionH relativeFrom="column">
                  <wp:posOffset>-1499235</wp:posOffset>
                </wp:positionH>
                <wp:positionV relativeFrom="paragraph">
                  <wp:posOffset>-8062595</wp:posOffset>
                </wp:positionV>
                <wp:extent cx="635000" cy="635000"/>
                <wp:effectExtent l="5080" t="5080" r="7620" b="7620"/>
                <wp:wrapNone/>
                <wp:docPr id="1631579043" name="文本框 1631579043"/>
                <wp:cNvGraphicFramePr/>
                <a:graphic xmlns:a="http://schemas.openxmlformats.org/drawingml/2006/main">
                  <a:graphicData uri="http://schemas.microsoft.com/office/word/2010/wordprocessingShape">
                    <wps:wsp>
                      <wps:cNvSpPr txBox="1">
                        <a:spLocks noChangeArrowheads="1"/>
                      </wps:cNvSpPr>
                      <wps:spPr bwMode="auto">
                        <a:xfrm>
                          <a:off x="0" y="0"/>
                          <a:ext cx="635000" cy="635000"/>
                        </a:xfrm>
                        <a:prstGeom prst="rect">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18.05pt;margin-top:-634.85pt;height:50pt;width:50pt;z-index:251948032;mso-width-relative:page;mso-height-relative:page;" fillcolor="#FFFFFF" filled="t" stroked="t" coordsize="21600,21600" o:gfxdata="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zXnsC9wAAAARAQAADwAAAAAA&#10;AAABACAAAAAiAAAAZHJzL2Rvd25yZXYueG1sUEsBAhQAFAAAAAgAh07iQKsWHkZIAgAAmwQAAA4A&#10;AAAAAAAAAQAgAAAAKwEAAGRycy9lMm9Eb2MueG1sUEsFBgAAAAAGAAYAWQEAAOUFAAAAAA==&#10;">
                <v:fill on="t" focussize="0,0"/>
                <v:stroke color="#000000" miterlimit="8" joinstyle="miter"/>
                <v:imagedata o:title=""/>
                <o:lock v:ext="edit" aspectratio="f"/>
              </v:shape>
            </w:pict>
          </mc:Fallback>
        </mc:AlternateContent>
      </w:r>
      <w:r>
        <w:rPr>
          <w:rFonts w:hint="eastAsia" w:cs="宋体" w:asciiTheme="minorEastAsia" w:hAnsiTheme="minorEastAsia" w:eastAsiaTheme="minorEastAsia"/>
          <w:b/>
          <w:bCs/>
          <w:color w:val="auto"/>
          <w:sz w:val="24"/>
          <w:highlight w:val="none"/>
          <w:lang w:val="zh-CN"/>
        </w:rPr>
        <w:t>中华人民共和国住房和城乡建设部</w:t>
      </w:r>
    </w:p>
    <w:p w14:paraId="7F5F4A1C">
      <w:pPr>
        <w:pStyle w:val="95"/>
        <w:keepNext w:val="0"/>
        <w:keepLines w:val="0"/>
        <w:widowControl w:val="0"/>
        <w:adjustRightInd w:val="0"/>
        <w:snapToGrid w:val="0"/>
        <w:spacing w:before="0" w:line="360" w:lineRule="auto"/>
        <w:ind w:firstLine="1687" w:firstLineChars="700"/>
        <w:outlineLvl w:val="9"/>
        <w:rPr>
          <w:rFonts w:cs="宋体" w:asciiTheme="minorEastAsia" w:hAnsiTheme="minorEastAsia" w:eastAsiaTheme="minorEastAsia"/>
          <w:color w:val="auto"/>
          <w:kern w:val="2"/>
          <w:sz w:val="24"/>
          <w:szCs w:val="24"/>
          <w:highlight w:val="none"/>
          <w:lang w:val="zh-CN"/>
        </w:rPr>
      </w:pPr>
      <w:r>
        <w:rPr>
          <w:rFonts w:hint="eastAsia" w:cs="宋体" w:asciiTheme="minorEastAsia" w:hAnsiTheme="minorEastAsia" w:eastAsiaTheme="minorEastAsia"/>
          <w:color w:val="auto"/>
          <w:kern w:val="2"/>
          <w:sz w:val="24"/>
          <w:szCs w:val="24"/>
          <w:highlight w:val="none"/>
          <w:lang w:val="zh-CN"/>
        </w:rPr>
        <w:t>国</w:t>
      </w:r>
      <w:r>
        <w:rPr>
          <w:rFonts w:hint="eastAsia" w:cs="宋体" w:asciiTheme="minorEastAsia" w:hAnsiTheme="minorEastAsia" w:eastAsiaTheme="minorEastAsia"/>
          <w:color w:val="auto"/>
          <w:kern w:val="2"/>
          <w:sz w:val="24"/>
          <w:szCs w:val="24"/>
          <w:highlight w:val="none"/>
          <w:lang w:val="en-US" w:eastAsia="zh-CN"/>
        </w:rPr>
        <w:t xml:space="preserve">    </w:t>
      </w:r>
      <w:r>
        <w:rPr>
          <w:rFonts w:hint="eastAsia" w:cs="宋体" w:asciiTheme="minorEastAsia" w:hAnsiTheme="minorEastAsia" w:eastAsiaTheme="minorEastAsia"/>
          <w:color w:val="auto"/>
          <w:kern w:val="2"/>
          <w:sz w:val="24"/>
          <w:szCs w:val="24"/>
          <w:highlight w:val="none"/>
          <w:lang w:val="zh-CN"/>
        </w:rPr>
        <w:t>家</w:t>
      </w:r>
      <w:r>
        <w:rPr>
          <w:rFonts w:hint="eastAsia" w:cs="宋体" w:asciiTheme="minorEastAsia" w:hAnsiTheme="minorEastAsia" w:eastAsiaTheme="minorEastAsia"/>
          <w:color w:val="auto"/>
          <w:kern w:val="2"/>
          <w:sz w:val="24"/>
          <w:szCs w:val="24"/>
          <w:highlight w:val="none"/>
          <w:lang w:val="en-US" w:eastAsia="zh-CN"/>
        </w:rPr>
        <w:t xml:space="preserve">   </w:t>
      </w:r>
      <w:r>
        <w:rPr>
          <w:rFonts w:hint="eastAsia" w:cs="宋体" w:asciiTheme="minorEastAsia" w:hAnsiTheme="minorEastAsia" w:eastAsiaTheme="minorEastAsia"/>
          <w:color w:val="auto"/>
          <w:kern w:val="2"/>
          <w:sz w:val="24"/>
          <w:szCs w:val="24"/>
          <w:highlight w:val="none"/>
          <w:lang w:val="zh-CN"/>
        </w:rPr>
        <w:t>市</w:t>
      </w:r>
      <w:r>
        <w:rPr>
          <w:rFonts w:hint="eastAsia" w:cs="宋体" w:asciiTheme="minorEastAsia" w:hAnsiTheme="minorEastAsia" w:eastAsiaTheme="minorEastAsia"/>
          <w:color w:val="auto"/>
          <w:kern w:val="2"/>
          <w:sz w:val="24"/>
          <w:szCs w:val="24"/>
          <w:highlight w:val="none"/>
          <w:lang w:val="en-US" w:eastAsia="zh-CN"/>
        </w:rPr>
        <w:t xml:space="preserve">   </w:t>
      </w:r>
      <w:r>
        <w:rPr>
          <w:rFonts w:hint="eastAsia" w:cs="宋体" w:asciiTheme="minorEastAsia" w:hAnsiTheme="minorEastAsia" w:eastAsiaTheme="minorEastAsia"/>
          <w:color w:val="auto"/>
          <w:kern w:val="2"/>
          <w:sz w:val="24"/>
          <w:szCs w:val="24"/>
          <w:highlight w:val="none"/>
          <w:lang w:val="zh-CN"/>
        </w:rPr>
        <w:t>场</w:t>
      </w:r>
      <w:r>
        <w:rPr>
          <w:rFonts w:hint="eastAsia" w:cs="宋体" w:asciiTheme="minorEastAsia" w:hAnsiTheme="minorEastAsia" w:eastAsiaTheme="minorEastAsia"/>
          <w:color w:val="auto"/>
          <w:kern w:val="2"/>
          <w:sz w:val="24"/>
          <w:szCs w:val="24"/>
          <w:highlight w:val="none"/>
          <w:lang w:val="en-US" w:eastAsia="zh-CN"/>
        </w:rPr>
        <w:t xml:space="preserve">   </w:t>
      </w:r>
      <w:r>
        <w:rPr>
          <w:rFonts w:hint="eastAsia" w:cs="宋体" w:asciiTheme="minorEastAsia" w:hAnsiTheme="minorEastAsia" w:eastAsiaTheme="minorEastAsia"/>
          <w:color w:val="auto"/>
          <w:kern w:val="2"/>
          <w:sz w:val="24"/>
          <w:szCs w:val="24"/>
          <w:highlight w:val="none"/>
          <w:lang w:val="zh-CN"/>
        </w:rPr>
        <w:t>监</w:t>
      </w:r>
      <w:r>
        <w:rPr>
          <w:rFonts w:hint="eastAsia" w:cs="宋体" w:asciiTheme="minorEastAsia" w:hAnsiTheme="minorEastAsia" w:eastAsiaTheme="minorEastAsia"/>
          <w:color w:val="auto"/>
          <w:kern w:val="2"/>
          <w:sz w:val="24"/>
          <w:szCs w:val="24"/>
          <w:highlight w:val="none"/>
          <w:lang w:val="en-US" w:eastAsia="zh-CN"/>
        </w:rPr>
        <w:t xml:space="preserve">   </w:t>
      </w:r>
      <w:r>
        <w:rPr>
          <w:rFonts w:hint="eastAsia" w:cs="宋体" w:asciiTheme="minorEastAsia" w:hAnsiTheme="minorEastAsia" w:eastAsiaTheme="minorEastAsia"/>
          <w:color w:val="auto"/>
          <w:kern w:val="2"/>
          <w:sz w:val="24"/>
          <w:szCs w:val="24"/>
          <w:highlight w:val="none"/>
          <w:lang w:val="zh-CN"/>
        </w:rPr>
        <w:t>督</w:t>
      </w:r>
      <w:bookmarkStart w:id="0" w:name="_Toc54862164"/>
    </w:p>
    <w:p w14:paraId="414EAAA0">
      <w:pPr>
        <w:adjustRightInd w:val="0"/>
        <w:snapToGrid w:val="0"/>
        <w:spacing w:line="360" w:lineRule="auto"/>
        <w:ind w:firstLine="1470" w:firstLineChars="700"/>
        <w:outlineLvl w:val="9"/>
        <w:rPr>
          <w:rFonts w:asciiTheme="minorEastAsia" w:hAnsiTheme="minorEastAsia" w:eastAsiaTheme="minorEastAsia" w:cstheme="minorEastAsia"/>
          <w:color w:val="auto"/>
          <w:szCs w:val="21"/>
          <w:highlight w:val="none"/>
        </w:rPr>
      </w:pPr>
      <w:r>
        <w:rPr>
          <w:rFonts w:cs="宋体" w:asciiTheme="minorEastAsia" w:hAnsiTheme="minorEastAsia" w:eastAsiaTheme="minorEastAsia"/>
          <w:color w:val="auto"/>
          <w:szCs w:val="21"/>
          <w:highlight w:val="none"/>
        </w:rPr>
        <w:br w:type="page"/>
      </w:r>
    </w:p>
    <w:p w14:paraId="689CCC2D">
      <w:pPr>
        <w:adjustRightInd w:val="0"/>
        <w:snapToGrid w:val="0"/>
        <w:spacing w:line="360" w:lineRule="auto"/>
        <w:ind w:firstLine="420"/>
        <w:jc w:val="center"/>
        <w:rPr>
          <w:rFonts w:cs="宋体" w:asciiTheme="minorEastAsia" w:hAnsiTheme="minorEastAsia" w:eastAsiaTheme="minorEastAsia"/>
          <w:b/>
          <w:bCs/>
          <w:kern w:val="44"/>
          <w:szCs w:val="21"/>
        </w:rPr>
      </w:pPr>
      <w:r>
        <w:rPr>
          <w:rFonts w:hint="eastAsia" w:cs="宋体" w:asciiTheme="minorEastAsia" w:hAnsiTheme="minorEastAsia" w:eastAsiaTheme="minorEastAsia"/>
          <w:b/>
          <w:bCs/>
          <w:kern w:val="44"/>
          <w:szCs w:val="21"/>
        </w:rPr>
        <w:t>目录</w:t>
      </w:r>
    </w:p>
    <w:p w14:paraId="0BF87213">
      <w:pPr>
        <w:adjustRightInd w:val="0"/>
        <w:snapToGrid w:val="0"/>
        <w:spacing w:line="360" w:lineRule="auto"/>
        <w:ind w:firstLine="843" w:firstLineChars="400"/>
        <w:rPr>
          <w:rFonts w:cs="宋体" w:asciiTheme="minorEastAsia" w:hAnsiTheme="minorEastAsia" w:eastAsiaTheme="minorEastAsia"/>
          <w:b/>
          <w:szCs w:val="21"/>
        </w:rPr>
      </w:pPr>
      <w:r>
        <w:rPr>
          <w:rFonts w:hint="eastAsia" w:cs="宋体" w:asciiTheme="minorEastAsia" w:hAnsiTheme="minorEastAsia" w:eastAsiaTheme="minorEastAsia"/>
          <w:b/>
          <w:szCs w:val="21"/>
        </w:rPr>
        <w:t>第一部分合同协议书</w:t>
      </w:r>
    </w:p>
    <w:p w14:paraId="291B493D">
      <w:pPr>
        <w:adjustRightInd w:val="0"/>
        <w:snapToGrid w:val="0"/>
        <w:spacing w:line="360" w:lineRule="auto"/>
        <w:ind w:firstLine="843" w:firstLineChars="400"/>
        <w:rPr>
          <w:rFonts w:cs="宋体" w:asciiTheme="minorEastAsia" w:hAnsiTheme="minorEastAsia" w:eastAsiaTheme="minorEastAsia"/>
          <w:b/>
          <w:szCs w:val="21"/>
        </w:rPr>
      </w:pPr>
      <w:r>
        <w:rPr>
          <w:rFonts w:hint="eastAsia" w:cs="宋体" w:asciiTheme="minorEastAsia" w:hAnsiTheme="minorEastAsia" w:eastAsiaTheme="minorEastAsia"/>
          <w:b/>
          <w:szCs w:val="21"/>
        </w:rPr>
        <w:t>第二部分通用合同条款</w:t>
      </w:r>
    </w:p>
    <w:p w14:paraId="38A56C84">
      <w:pPr>
        <w:adjustRightInd w:val="0"/>
        <w:snapToGrid w:val="0"/>
        <w:spacing w:line="360" w:lineRule="auto"/>
        <w:ind w:firstLine="843" w:firstLineChars="400"/>
        <w:rPr>
          <w:rFonts w:cs="宋体" w:asciiTheme="minorEastAsia" w:hAnsiTheme="minorEastAsia" w:eastAsiaTheme="minorEastAsia"/>
          <w:b/>
          <w:szCs w:val="21"/>
        </w:rPr>
      </w:pPr>
      <w:r>
        <w:rPr>
          <w:rFonts w:hint="eastAsia" w:cs="宋体" w:asciiTheme="minorEastAsia" w:hAnsiTheme="minorEastAsia" w:eastAsiaTheme="minorEastAsia"/>
          <w:b/>
          <w:szCs w:val="21"/>
        </w:rPr>
        <w:t>第三部分专用合同条款</w:t>
      </w:r>
    </w:p>
    <w:p w14:paraId="58FD1108">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附件一：</w:t>
      </w:r>
      <w:r>
        <w:rPr>
          <w:rFonts w:hint="eastAsia" w:cs="宋体" w:asciiTheme="minorEastAsia" w:hAnsiTheme="minorEastAsia" w:eastAsiaTheme="minorEastAsia"/>
          <w:bCs/>
          <w:kern w:val="0"/>
          <w:szCs w:val="21"/>
        </w:rPr>
        <w:t>承包人承揽工程项目一览表</w:t>
      </w:r>
    </w:p>
    <w:p w14:paraId="6AB5CEDF">
      <w:pPr>
        <w:widowControl/>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附件二：</w:t>
      </w:r>
      <w:r>
        <w:rPr>
          <w:rFonts w:hint="eastAsia" w:cs="宋体" w:asciiTheme="minorEastAsia" w:hAnsiTheme="minorEastAsia" w:eastAsiaTheme="minorEastAsia"/>
          <w:bCs/>
          <w:kern w:val="0"/>
          <w:szCs w:val="21"/>
        </w:rPr>
        <w:t>发包人供应材料设备一览表</w:t>
      </w:r>
    </w:p>
    <w:p w14:paraId="77C46F91">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附件三：</w:t>
      </w:r>
      <w:r>
        <w:rPr>
          <w:rFonts w:hint="eastAsia" w:cs="宋体" w:asciiTheme="minorEastAsia" w:hAnsiTheme="minorEastAsia" w:eastAsiaTheme="minorEastAsia"/>
          <w:bCs/>
          <w:kern w:val="0"/>
          <w:szCs w:val="21"/>
        </w:rPr>
        <w:t>工程质量保修书</w:t>
      </w:r>
    </w:p>
    <w:p w14:paraId="176BC061">
      <w:pPr>
        <w:adjustRightInd w:val="0"/>
        <w:snapToGrid w:val="0"/>
        <w:spacing w:line="360" w:lineRule="auto"/>
        <w:ind w:firstLine="1470" w:firstLineChars="700"/>
        <w:rPr>
          <w:rFonts w:asciiTheme="minorEastAsia" w:hAnsiTheme="minorEastAsia" w:eastAsiaTheme="minorEastAsia"/>
          <w:szCs w:val="21"/>
        </w:rPr>
      </w:pPr>
      <w:r>
        <w:rPr>
          <w:rFonts w:hint="eastAsia" w:asciiTheme="minorEastAsia" w:hAnsiTheme="minorEastAsia" w:eastAsiaTheme="minorEastAsia" w:cstheme="minorEastAsia"/>
          <w:szCs w:val="21"/>
        </w:rPr>
        <w:t>附件四：</w:t>
      </w:r>
      <w:r>
        <w:rPr>
          <w:rFonts w:hint="eastAsia" w:asciiTheme="minorEastAsia" w:hAnsiTheme="minorEastAsia" w:eastAsiaTheme="minorEastAsia"/>
          <w:szCs w:val="21"/>
        </w:rPr>
        <w:t>承包人供应材料设备参考品牌范围表</w:t>
      </w:r>
    </w:p>
    <w:p w14:paraId="55FE3ED9">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附件五：</w:t>
      </w:r>
      <w:r>
        <w:rPr>
          <w:rFonts w:asciiTheme="minorEastAsia" w:hAnsiTheme="minorEastAsia" w:eastAsiaTheme="minorEastAsia"/>
          <w:szCs w:val="21"/>
        </w:rPr>
        <w:t>招标范围外可能发生的项目单价明细表</w:t>
      </w:r>
    </w:p>
    <w:p w14:paraId="43DE4310">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w:t>
      </w:r>
      <w:r>
        <w:rPr>
          <w:rFonts w:hint="eastAsia" w:asciiTheme="minorEastAsia" w:hAnsiTheme="minorEastAsia" w:eastAsiaTheme="minorEastAsia" w:cstheme="minorEastAsia"/>
          <w:szCs w:val="21"/>
          <w:lang w:eastAsia="zh-CN"/>
        </w:rPr>
        <w:t>六</w:t>
      </w:r>
      <w:r>
        <w:rPr>
          <w:rFonts w:hint="eastAsia" w:asciiTheme="minorEastAsia" w:hAnsiTheme="minorEastAsia" w:eastAsiaTheme="minorEastAsia" w:cstheme="minorEastAsia"/>
          <w:szCs w:val="21"/>
        </w:rPr>
        <w:t>：</w:t>
      </w:r>
      <w:r>
        <w:rPr>
          <w:rFonts w:hint="eastAsia" w:cs="宋体" w:asciiTheme="minorEastAsia" w:hAnsiTheme="minorEastAsia" w:eastAsiaTheme="minorEastAsia"/>
          <w:szCs w:val="21"/>
        </w:rPr>
        <w:t>工期控制时间表</w:t>
      </w:r>
    </w:p>
    <w:p w14:paraId="54AACE12">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w:t>
      </w:r>
      <w:r>
        <w:rPr>
          <w:rFonts w:hint="eastAsia" w:asciiTheme="minorEastAsia" w:hAnsiTheme="minorEastAsia" w:eastAsiaTheme="minorEastAsia" w:cstheme="minorEastAsia"/>
          <w:szCs w:val="21"/>
          <w:lang w:eastAsia="zh-CN"/>
        </w:rPr>
        <w:t>七</w:t>
      </w:r>
      <w:r>
        <w:rPr>
          <w:rFonts w:hint="eastAsia" w:asciiTheme="minorEastAsia" w:hAnsiTheme="minorEastAsia" w:eastAsiaTheme="minorEastAsia" w:cstheme="minorEastAsia"/>
          <w:szCs w:val="21"/>
        </w:rPr>
        <w:t>：</w:t>
      </w:r>
      <w:r>
        <w:rPr>
          <w:rFonts w:hint="eastAsia" w:cs="宋体" w:asciiTheme="minorEastAsia" w:hAnsiTheme="minorEastAsia" w:eastAsiaTheme="minorEastAsia"/>
          <w:bCs/>
          <w:kern w:val="0"/>
          <w:szCs w:val="21"/>
        </w:rPr>
        <w:t>建设工程安全防护、文明施工措施项目清单</w:t>
      </w:r>
    </w:p>
    <w:p w14:paraId="31B82144">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w:t>
      </w:r>
      <w:r>
        <w:rPr>
          <w:rFonts w:hint="eastAsia" w:asciiTheme="minorEastAsia" w:hAnsiTheme="minorEastAsia" w:eastAsiaTheme="minorEastAsia" w:cstheme="minorEastAsia"/>
          <w:szCs w:val="21"/>
          <w:lang w:eastAsia="zh-CN"/>
        </w:rPr>
        <w:t>八</w:t>
      </w:r>
      <w:r>
        <w:rPr>
          <w:rFonts w:hint="eastAsia" w:asciiTheme="minorEastAsia" w:hAnsiTheme="minorEastAsia" w:eastAsiaTheme="minorEastAsia" w:cstheme="minorEastAsia"/>
          <w:szCs w:val="21"/>
        </w:rPr>
        <w:t>：</w:t>
      </w:r>
      <w:r>
        <w:rPr>
          <w:rFonts w:hint="eastAsia" w:cs="宋体" w:asciiTheme="minorEastAsia" w:hAnsiTheme="minorEastAsia" w:eastAsiaTheme="minorEastAsia"/>
          <w:bCs/>
          <w:szCs w:val="21"/>
        </w:rPr>
        <w:t>工程返修</w:t>
      </w:r>
    </w:p>
    <w:p w14:paraId="550137AE">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w:t>
      </w:r>
      <w:r>
        <w:rPr>
          <w:rFonts w:hint="eastAsia" w:asciiTheme="minorEastAsia" w:hAnsiTheme="minorEastAsia" w:eastAsiaTheme="minorEastAsia" w:cstheme="minorEastAsia"/>
          <w:szCs w:val="21"/>
          <w:lang w:eastAsia="zh-CN"/>
        </w:rPr>
        <w:t>九</w:t>
      </w:r>
      <w:r>
        <w:rPr>
          <w:rFonts w:hint="eastAsia" w:asciiTheme="minorEastAsia" w:hAnsiTheme="minorEastAsia" w:eastAsiaTheme="minorEastAsia" w:cstheme="minorEastAsia"/>
          <w:szCs w:val="21"/>
        </w:rPr>
        <w:t>：</w:t>
      </w:r>
      <w:r>
        <w:rPr>
          <w:rFonts w:hint="eastAsia" w:cs="宋体" w:asciiTheme="minorEastAsia" w:hAnsiTheme="minorEastAsia" w:eastAsiaTheme="minorEastAsia"/>
          <w:szCs w:val="21"/>
        </w:rPr>
        <w:t>剩余工程量施工（垃圾外运）费用扣除流程</w:t>
      </w:r>
    </w:p>
    <w:p w14:paraId="4715E4E9">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附件十：</w:t>
      </w:r>
      <w:r>
        <w:rPr>
          <w:rFonts w:hint="eastAsia" w:cs="宋体" w:asciiTheme="minorEastAsia" w:hAnsiTheme="minorEastAsia" w:eastAsiaTheme="minorEastAsia"/>
          <w:szCs w:val="21"/>
        </w:rPr>
        <w:t>监理例会制度</w:t>
      </w:r>
    </w:p>
    <w:p w14:paraId="77414779">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附件十</w:t>
      </w:r>
      <w:r>
        <w:rPr>
          <w:rFonts w:hint="eastAsia" w:asciiTheme="minorEastAsia" w:hAnsiTheme="minorEastAsia" w:eastAsiaTheme="minorEastAsia" w:cstheme="minorEastAsia"/>
          <w:szCs w:val="21"/>
          <w:lang w:eastAsia="zh-CN"/>
        </w:rPr>
        <w:t>一</w:t>
      </w:r>
      <w:r>
        <w:rPr>
          <w:rFonts w:hint="eastAsia" w:asciiTheme="minorEastAsia" w:hAnsiTheme="minorEastAsia" w:eastAsiaTheme="minorEastAsia" w:cstheme="minorEastAsia"/>
          <w:szCs w:val="21"/>
        </w:rPr>
        <w:t>：</w:t>
      </w:r>
      <w:r>
        <w:rPr>
          <w:rFonts w:hint="eastAsia" w:asciiTheme="minorEastAsia" w:hAnsiTheme="minorEastAsia" w:eastAsiaTheme="minorEastAsia"/>
          <w:szCs w:val="21"/>
        </w:rPr>
        <w:t>工程变更与签证控制程序</w:t>
      </w:r>
    </w:p>
    <w:p w14:paraId="53A4015A">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附件十</w:t>
      </w:r>
      <w:r>
        <w:rPr>
          <w:rFonts w:hint="eastAsia" w:asciiTheme="minorEastAsia" w:hAnsiTheme="minorEastAsia" w:eastAsiaTheme="minorEastAsia" w:cstheme="minorEastAsia"/>
          <w:szCs w:val="21"/>
          <w:lang w:eastAsia="zh-CN"/>
        </w:rPr>
        <w:t>二</w:t>
      </w:r>
      <w:r>
        <w:rPr>
          <w:rFonts w:hint="eastAsia" w:asciiTheme="minorEastAsia" w:hAnsiTheme="minorEastAsia" w:eastAsiaTheme="minorEastAsia" w:cstheme="minorEastAsia"/>
          <w:szCs w:val="21"/>
        </w:rPr>
        <w:t>：</w:t>
      </w:r>
      <w:r>
        <w:rPr>
          <w:rFonts w:hint="eastAsia" w:cs="宋体" w:asciiTheme="minorEastAsia" w:hAnsiTheme="minorEastAsia" w:eastAsiaTheme="minorEastAsia"/>
          <w:szCs w:val="21"/>
        </w:rPr>
        <w:t>首次会议制度</w:t>
      </w:r>
    </w:p>
    <w:p w14:paraId="3E566442">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附件十</w:t>
      </w:r>
      <w:r>
        <w:rPr>
          <w:rFonts w:hint="eastAsia" w:asciiTheme="minorEastAsia" w:hAnsiTheme="minorEastAsia" w:eastAsiaTheme="minorEastAsia" w:cstheme="minorEastAsia"/>
          <w:szCs w:val="21"/>
          <w:lang w:eastAsia="zh-CN"/>
        </w:rPr>
        <w:t>三</w:t>
      </w:r>
      <w:r>
        <w:rPr>
          <w:rFonts w:hint="eastAsia" w:asciiTheme="minorEastAsia" w:hAnsiTheme="minorEastAsia" w:eastAsiaTheme="minorEastAsia" w:cstheme="minorEastAsia"/>
          <w:szCs w:val="21"/>
        </w:rPr>
        <w:t>：</w:t>
      </w:r>
      <w:r>
        <w:rPr>
          <w:rFonts w:hint="eastAsia" w:cs="宋体" w:asciiTheme="minorEastAsia" w:hAnsiTheme="minorEastAsia" w:eastAsiaTheme="minorEastAsia"/>
          <w:szCs w:val="21"/>
        </w:rPr>
        <w:t>安全生产及消防安全目标责任书</w:t>
      </w:r>
    </w:p>
    <w:p w14:paraId="0BD71F0D">
      <w:pPr>
        <w:adjustRightInd w:val="0"/>
        <w:snapToGrid w:val="0"/>
        <w:spacing w:line="360" w:lineRule="auto"/>
        <w:ind w:firstLine="1470" w:firstLineChars="700"/>
        <w:jc w:val="left"/>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附件十</w:t>
      </w:r>
      <w:r>
        <w:rPr>
          <w:rFonts w:hint="eastAsia" w:asciiTheme="minorEastAsia" w:hAnsiTheme="minorEastAsia" w:eastAsiaTheme="minorEastAsia" w:cstheme="minorEastAsia"/>
          <w:szCs w:val="21"/>
          <w:lang w:eastAsia="zh-CN"/>
        </w:rPr>
        <w:t>四</w:t>
      </w:r>
      <w:r>
        <w:rPr>
          <w:rFonts w:hint="eastAsia" w:asciiTheme="minorEastAsia" w:hAnsiTheme="minorEastAsia" w:eastAsiaTheme="minorEastAsia" w:cstheme="minorEastAsia"/>
          <w:szCs w:val="21"/>
        </w:rPr>
        <w:t>：现场安全文明施工管理条例</w:t>
      </w:r>
    </w:p>
    <w:p w14:paraId="684437D5">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cs="宋体" w:asciiTheme="minorEastAsia" w:hAnsiTheme="minorEastAsia" w:eastAsiaTheme="minorEastAsia"/>
          <w:szCs w:val="21"/>
          <w:lang w:eastAsia="zh-CN"/>
        </w:rPr>
        <w:t>附件十五：</w:t>
      </w:r>
      <w:r>
        <w:rPr>
          <w:rFonts w:hint="eastAsia" w:cs="宋体" w:asciiTheme="minorEastAsia" w:hAnsiTheme="minorEastAsia" w:eastAsiaTheme="minorEastAsia"/>
          <w:szCs w:val="21"/>
        </w:rPr>
        <w:t>现场管理及处罚措施</w:t>
      </w:r>
    </w:p>
    <w:p w14:paraId="6D9ADAE9">
      <w:pPr>
        <w:widowControl/>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附件十</w:t>
      </w:r>
      <w:r>
        <w:rPr>
          <w:rFonts w:hint="eastAsia" w:asciiTheme="minorEastAsia" w:hAnsiTheme="minorEastAsia" w:eastAsiaTheme="minorEastAsia" w:cstheme="minorEastAsia"/>
          <w:szCs w:val="21"/>
          <w:lang w:eastAsia="zh-CN"/>
        </w:rPr>
        <w:t>六</w:t>
      </w:r>
      <w:r>
        <w:rPr>
          <w:rFonts w:hint="eastAsia" w:asciiTheme="minorEastAsia" w:hAnsiTheme="minorEastAsia" w:eastAsiaTheme="minorEastAsia" w:cstheme="minorEastAsia"/>
          <w:szCs w:val="21"/>
        </w:rPr>
        <w:t>：</w:t>
      </w:r>
      <w:r>
        <w:rPr>
          <w:rFonts w:hint="eastAsia" w:asciiTheme="minorEastAsia" w:hAnsiTheme="minorEastAsia" w:eastAsiaTheme="minorEastAsia"/>
          <w:szCs w:val="21"/>
        </w:rPr>
        <w:t>工程材料设备管理办法</w:t>
      </w:r>
    </w:p>
    <w:p w14:paraId="71903BB7">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附件十</w:t>
      </w:r>
      <w:r>
        <w:rPr>
          <w:rFonts w:hint="eastAsia" w:asciiTheme="minorEastAsia" w:hAnsiTheme="minorEastAsia" w:eastAsiaTheme="minorEastAsia" w:cstheme="minorEastAsia"/>
          <w:szCs w:val="21"/>
          <w:lang w:eastAsia="zh-CN"/>
        </w:rPr>
        <w:t>七</w:t>
      </w:r>
      <w:r>
        <w:rPr>
          <w:rFonts w:hint="eastAsia" w:asciiTheme="minorEastAsia" w:hAnsiTheme="minorEastAsia" w:eastAsiaTheme="minorEastAsia" w:cstheme="minorEastAsia"/>
          <w:szCs w:val="21"/>
        </w:rPr>
        <w:t>：</w:t>
      </w:r>
      <w:r>
        <w:rPr>
          <w:rFonts w:hint="eastAsia" w:asciiTheme="minorEastAsia" w:hAnsiTheme="minorEastAsia" w:eastAsiaTheme="minorEastAsia"/>
          <w:szCs w:val="21"/>
        </w:rPr>
        <w:t>工程结算编制指引</w:t>
      </w:r>
    </w:p>
    <w:p w14:paraId="4542B6AA">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附件十</w:t>
      </w:r>
      <w:r>
        <w:rPr>
          <w:rFonts w:hint="eastAsia" w:asciiTheme="minorEastAsia" w:hAnsiTheme="minorEastAsia" w:eastAsiaTheme="minorEastAsia" w:cstheme="minorEastAsia"/>
          <w:szCs w:val="21"/>
          <w:lang w:eastAsia="zh-CN"/>
        </w:rPr>
        <w:t>八</w:t>
      </w:r>
      <w:r>
        <w:rPr>
          <w:rFonts w:hint="eastAsia" w:asciiTheme="minorEastAsia" w:hAnsiTheme="minorEastAsia" w:eastAsiaTheme="minorEastAsia" w:cstheme="minorEastAsia"/>
          <w:szCs w:val="21"/>
        </w:rPr>
        <w:t>：防渗漏体系操作指引</w:t>
      </w:r>
    </w:p>
    <w:p w14:paraId="2DD4BAF2">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w:t>
      </w:r>
      <w:r>
        <w:rPr>
          <w:rFonts w:hint="eastAsia" w:asciiTheme="minorEastAsia" w:hAnsiTheme="minorEastAsia" w:eastAsiaTheme="minorEastAsia" w:cstheme="minorEastAsia"/>
          <w:szCs w:val="21"/>
          <w:lang w:eastAsia="zh-CN"/>
        </w:rPr>
        <w:t>十九</w:t>
      </w:r>
      <w:r>
        <w:rPr>
          <w:rFonts w:hint="eastAsia" w:asciiTheme="minorEastAsia" w:hAnsiTheme="minorEastAsia" w:eastAsiaTheme="minorEastAsia" w:cstheme="minorEastAsia"/>
          <w:szCs w:val="21"/>
        </w:rPr>
        <w:t>：</w:t>
      </w:r>
      <w:r>
        <w:rPr>
          <w:rFonts w:hint="eastAsia" w:cs="宋体" w:asciiTheme="minorEastAsia" w:hAnsiTheme="minorEastAsia" w:eastAsiaTheme="minorEastAsia"/>
          <w:szCs w:val="21"/>
        </w:rPr>
        <w:t>廉政承诺书</w:t>
      </w:r>
    </w:p>
    <w:p w14:paraId="296E51C3">
      <w:pPr>
        <w:widowControl/>
        <w:tabs>
          <w:tab w:val="left" w:pos="4282"/>
        </w:tabs>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w:t>
      </w:r>
      <w:r>
        <w:rPr>
          <w:rFonts w:hint="eastAsia" w:asciiTheme="minorEastAsia" w:hAnsiTheme="minorEastAsia" w:eastAsiaTheme="minorEastAsia" w:cstheme="minorEastAsia"/>
          <w:szCs w:val="21"/>
          <w:lang w:eastAsia="zh-CN"/>
        </w:rPr>
        <w:t>二十</w:t>
      </w:r>
      <w:r>
        <w:rPr>
          <w:rFonts w:hint="eastAsia" w:asciiTheme="minorEastAsia" w:hAnsiTheme="minorEastAsia" w:eastAsiaTheme="minorEastAsia" w:cstheme="minorEastAsia"/>
          <w:szCs w:val="21"/>
        </w:rPr>
        <w:t>：退场协定</w:t>
      </w:r>
      <w:r>
        <w:rPr>
          <w:rFonts w:asciiTheme="minorEastAsia" w:hAnsiTheme="minorEastAsia" w:eastAsiaTheme="minorEastAsia" w:cstheme="minorEastAsia"/>
          <w:szCs w:val="21"/>
        </w:rPr>
        <w:tab/>
      </w:r>
    </w:p>
    <w:p w14:paraId="13F8D175">
      <w:pPr>
        <w:widowControl/>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附件二十</w:t>
      </w:r>
      <w:r>
        <w:rPr>
          <w:rFonts w:hint="eastAsia" w:asciiTheme="minorEastAsia" w:hAnsiTheme="minorEastAsia" w:eastAsiaTheme="minorEastAsia" w:cstheme="minorEastAsia"/>
          <w:szCs w:val="21"/>
          <w:lang w:eastAsia="zh-CN"/>
        </w:rPr>
        <w:t>一</w:t>
      </w:r>
      <w:r>
        <w:rPr>
          <w:rFonts w:hint="eastAsia" w:asciiTheme="minorEastAsia" w:hAnsiTheme="minorEastAsia" w:eastAsiaTheme="minorEastAsia" w:cstheme="minorEastAsia"/>
          <w:szCs w:val="21"/>
        </w:rPr>
        <w:t>：</w:t>
      </w:r>
      <w:r>
        <w:rPr>
          <w:rFonts w:hint="eastAsia" w:cs="宋体" w:asciiTheme="minorEastAsia" w:hAnsiTheme="minorEastAsia" w:eastAsiaTheme="minorEastAsia"/>
          <w:bCs/>
          <w:szCs w:val="21"/>
        </w:rPr>
        <w:t>暂估价工程及暂定价材料</w:t>
      </w:r>
      <w:r>
        <w:rPr>
          <w:rFonts w:hint="eastAsia" w:cs="宋体" w:asciiTheme="minorEastAsia" w:hAnsiTheme="minorEastAsia" w:eastAsiaTheme="minorEastAsia"/>
          <w:bCs/>
          <w:szCs w:val="21"/>
          <w:lang w:eastAsia="zh-CN"/>
        </w:rPr>
        <w:t>招</w:t>
      </w:r>
      <w:r>
        <w:rPr>
          <w:rFonts w:hint="eastAsia" w:cs="宋体" w:asciiTheme="minorEastAsia" w:hAnsiTheme="minorEastAsia" w:eastAsiaTheme="minorEastAsia"/>
          <w:bCs/>
          <w:szCs w:val="21"/>
        </w:rPr>
        <w:t>标采购管理作业文件</w:t>
      </w:r>
    </w:p>
    <w:p w14:paraId="54048320">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附件二十</w:t>
      </w:r>
      <w:r>
        <w:rPr>
          <w:rFonts w:hint="eastAsia" w:asciiTheme="minorEastAsia" w:hAnsiTheme="minorEastAsia" w:eastAsiaTheme="minorEastAsia" w:cstheme="minorEastAsia"/>
          <w:szCs w:val="21"/>
          <w:lang w:eastAsia="zh-CN"/>
        </w:rPr>
        <w:t>二</w:t>
      </w:r>
      <w:r>
        <w:rPr>
          <w:rFonts w:hint="eastAsia" w:asciiTheme="minorEastAsia" w:hAnsiTheme="minorEastAsia" w:eastAsiaTheme="minorEastAsia" w:cstheme="minorEastAsia"/>
          <w:szCs w:val="21"/>
        </w:rPr>
        <w:t>：</w:t>
      </w:r>
      <w:r>
        <w:rPr>
          <w:rFonts w:hint="eastAsia" w:cs="宋体" w:asciiTheme="minorEastAsia" w:hAnsiTheme="minorEastAsia" w:eastAsiaTheme="minorEastAsia"/>
          <w:bCs/>
          <w:szCs w:val="21"/>
        </w:rPr>
        <w:t>西安经发地产“明源移动质检”平台实施管理办法</w:t>
      </w:r>
    </w:p>
    <w:p w14:paraId="2241BD1A">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附件二十</w:t>
      </w:r>
      <w:r>
        <w:rPr>
          <w:rFonts w:hint="eastAsia" w:asciiTheme="minorEastAsia" w:hAnsiTheme="minorEastAsia" w:eastAsiaTheme="minorEastAsia" w:cstheme="minorEastAsia"/>
          <w:szCs w:val="21"/>
          <w:lang w:eastAsia="zh-CN"/>
        </w:rPr>
        <w:t>三</w:t>
      </w:r>
      <w:r>
        <w:rPr>
          <w:rFonts w:hint="eastAsia" w:asciiTheme="minorEastAsia" w:hAnsiTheme="minorEastAsia" w:eastAsiaTheme="minorEastAsia" w:cstheme="minorEastAsia"/>
          <w:szCs w:val="21"/>
        </w:rPr>
        <w:t>：</w:t>
      </w:r>
      <w:r>
        <w:rPr>
          <w:rFonts w:hint="eastAsia" w:cs="宋体" w:asciiTheme="minorEastAsia" w:hAnsiTheme="minorEastAsia" w:eastAsiaTheme="minorEastAsia"/>
          <w:szCs w:val="21"/>
        </w:rPr>
        <w:t>经发地产施工现场环境工作标准</w:t>
      </w:r>
    </w:p>
    <w:p w14:paraId="0BA95059">
      <w:pPr>
        <w:adjustRightInd w:val="0"/>
        <w:snapToGrid w:val="0"/>
        <w:spacing w:line="360" w:lineRule="auto"/>
        <w:ind w:firstLine="1470" w:firstLineChars="700"/>
        <w:rPr>
          <w:rFonts w:cs="宋体" w:asciiTheme="minorEastAsia" w:hAnsiTheme="minorEastAsia" w:eastAsiaTheme="minorEastAsia"/>
          <w:szCs w:val="21"/>
        </w:rPr>
      </w:pPr>
      <w:r>
        <w:rPr>
          <w:rFonts w:hint="eastAsia" w:asciiTheme="minorEastAsia" w:hAnsiTheme="minorEastAsia" w:eastAsiaTheme="minorEastAsia" w:cstheme="minorEastAsia"/>
          <w:szCs w:val="21"/>
        </w:rPr>
        <w:t>附件二十</w:t>
      </w:r>
      <w:r>
        <w:rPr>
          <w:rFonts w:hint="eastAsia" w:asciiTheme="minorEastAsia" w:hAnsiTheme="minorEastAsia" w:eastAsiaTheme="minorEastAsia" w:cstheme="minorEastAsia"/>
          <w:szCs w:val="21"/>
          <w:lang w:eastAsia="zh-CN"/>
        </w:rPr>
        <w:t>四</w:t>
      </w:r>
      <w:r>
        <w:rPr>
          <w:rFonts w:hint="eastAsia" w:asciiTheme="minorEastAsia" w:hAnsiTheme="minorEastAsia" w:eastAsiaTheme="minorEastAsia" w:cstheme="minorEastAsia"/>
          <w:szCs w:val="21"/>
        </w:rPr>
        <w:t>：</w:t>
      </w:r>
      <w:r>
        <w:rPr>
          <w:rFonts w:hint="eastAsia" w:cs="宋体" w:asciiTheme="minorEastAsia" w:hAnsiTheme="minorEastAsia" w:eastAsiaTheme="minorEastAsia"/>
          <w:szCs w:val="21"/>
        </w:rPr>
        <w:t>承包人主要施工管理人员表</w:t>
      </w:r>
    </w:p>
    <w:p w14:paraId="4363B926">
      <w:pPr>
        <w:adjustRightInd w:val="0"/>
        <w:snapToGrid w:val="0"/>
        <w:spacing w:line="360" w:lineRule="auto"/>
        <w:ind w:firstLine="1470" w:firstLineChars="700"/>
        <w:rPr>
          <w:rFonts w:asciiTheme="minorEastAsia" w:hAnsiTheme="minorEastAsia" w:eastAsiaTheme="minorEastAsia"/>
          <w:szCs w:val="21"/>
        </w:rPr>
      </w:pPr>
      <w:r>
        <w:rPr>
          <w:rFonts w:hint="eastAsia" w:asciiTheme="minorEastAsia" w:hAnsiTheme="minorEastAsia" w:eastAsiaTheme="minorEastAsia" w:cstheme="minorEastAsia"/>
          <w:szCs w:val="21"/>
        </w:rPr>
        <w:t>附件二十</w:t>
      </w:r>
      <w:r>
        <w:rPr>
          <w:rFonts w:hint="eastAsia" w:asciiTheme="minorEastAsia" w:hAnsiTheme="minorEastAsia" w:eastAsiaTheme="minorEastAsia" w:cstheme="minorEastAsia"/>
          <w:szCs w:val="21"/>
          <w:lang w:eastAsia="zh-CN"/>
        </w:rPr>
        <w:t>五</w:t>
      </w:r>
      <w:r>
        <w:rPr>
          <w:rFonts w:hint="eastAsia" w:asciiTheme="minorEastAsia" w:hAnsiTheme="minorEastAsia" w:eastAsiaTheme="minorEastAsia" w:cstheme="minorEastAsia"/>
          <w:szCs w:val="21"/>
        </w:rPr>
        <w:t>：</w:t>
      </w:r>
      <w:r>
        <w:rPr>
          <w:rFonts w:hint="eastAsia" w:asciiTheme="minorEastAsia" w:hAnsiTheme="minorEastAsia" w:eastAsiaTheme="minorEastAsia"/>
          <w:szCs w:val="21"/>
        </w:rPr>
        <w:t>施工工程类在用供方履约评价表</w:t>
      </w:r>
    </w:p>
    <w:p w14:paraId="29A351F8">
      <w:pPr>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附件二十</w:t>
      </w:r>
      <w:r>
        <w:rPr>
          <w:rFonts w:hint="eastAsia" w:asciiTheme="minorEastAsia" w:hAnsiTheme="minorEastAsia" w:eastAsiaTheme="minorEastAsia" w:cstheme="minorEastAsia"/>
          <w:szCs w:val="21"/>
          <w:lang w:eastAsia="zh-CN"/>
        </w:rPr>
        <w:t>六</w:t>
      </w:r>
      <w:r>
        <w:rPr>
          <w:rFonts w:hint="eastAsia" w:asciiTheme="minorEastAsia" w:hAnsiTheme="minorEastAsia" w:eastAsiaTheme="minorEastAsia" w:cstheme="minorEastAsia"/>
          <w:szCs w:val="21"/>
        </w:rPr>
        <w:t>：</w:t>
      </w:r>
      <w:r>
        <w:rPr>
          <w:rFonts w:hint="eastAsia" w:asciiTheme="minorEastAsia" w:hAnsiTheme="minorEastAsia" w:eastAsiaTheme="minorEastAsia"/>
          <w:szCs w:val="21"/>
        </w:rPr>
        <w:t>暂估价工程及暂定价材料设备管理办法</w:t>
      </w:r>
    </w:p>
    <w:p w14:paraId="4E71AFF4">
      <w:pPr>
        <w:widowControl/>
        <w:adjustRightInd w:val="0"/>
        <w:snapToGrid w:val="0"/>
        <w:spacing w:line="360" w:lineRule="auto"/>
        <w:ind w:firstLine="1470" w:firstLineChars="70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附件二十</w:t>
      </w:r>
      <w:r>
        <w:rPr>
          <w:rFonts w:hint="eastAsia" w:asciiTheme="minorEastAsia" w:hAnsiTheme="minorEastAsia" w:eastAsiaTheme="minorEastAsia" w:cstheme="minorEastAsia"/>
          <w:szCs w:val="21"/>
          <w:lang w:eastAsia="zh-CN"/>
        </w:rPr>
        <w:t>七</w:t>
      </w:r>
      <w:r>
        <w:rPr>
          <w:rFonts w:hint="eastAsia" w:asciiTheme="minorEastAsia" w:hAnsiTheme="minorEastAsia" w:eastAsiaTheme="minorEastAsia" w:cstheme="minorEastAsia"/>
          <w:szCs w:val="21"/>
        </w:rPr>
        <w:t>：工期延期批复表</w:t>
      </w:r>
    </w:p>
    <w:p w14:paraId="10312C5C">
      <w:pPr>
        <w:adjustRightInd w:val="0"/>
        <w:snapToGrid w:val="0"/>
        <w:spacing w:line="360" w:lineRule="auto"/>
        <w:ind w:firstLine="1470" w:firstLineChars="70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w:t>
      </w:r>
      <w:r>
        <w:rPr>
          <w:rFonts w:hint="eastAsia" w:asciiTheme="minorEastAsia" w:hAnsiTheme="minorEastAsia" w:eastAsiaTheme="minorEastAsia" w:cstheme="minorEastAsia"/>
          <w:szCs w:val="21"/>
          <w:lang w:eastAsia="zh-CN"/>
        </w:rPr>
        <w:t>二十八</w:t>
      </w:r>
      <w:r>
        <w:rPr>
          <w:rFonts w:hint="eastAsia" w:asciiTheme="minorEastAsia" w:hAnsiTheme="minorEastAsia" w:eastAsiaTheme="minorEastAsia" w:cstheme="minorEastAsia"/>
          <w:szCs w:val="21"/>
        </w:rPr>
        <w:t>：</w:t>
      </w:r>
      <w:r>
        <w:rPr>
          <w:rFonts w:hint="eastAsia" w:cs="黑体" w:asciiTheme="minorEastAsia" w:hAnsiTheme="minorEastAsia" w:eastAsiaTheme="minorEastAsia"/>
          <w:bCs/>
          <w:kern w:val="0"/>
          <w:szCs w:val="21"/>
          <w:lang w:val="zh-CN"/>
        </w:rPr>
        <w:t>施工图设计质量评分表</w:t>
      </w:r>
    </w:p>
    <w:p w14:paraId="4991F4BB">
      <w:pPr>
        <w:adjustRightInd w:val="0"/>
        <w:snapToGrid w:val="0"/>
        <w:spacing w:line="360" w:lineRule="auto"/>
        <w:ind w:firstLine="1470" w:firstLineChars="70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w:t>
      </w:r>
      <w:r>
        <w:rPr>
          <w:rFonts w:hint="eastAsia" w:asciiTheme="minorEastAsia" w:hAnsiTheme="minorEastAsia" w:eastAsiaTheme="minorEastAsia" w:cstheme="minorEastAsia"/>
          <w:szCs w:val="21"/>
          <w:lang w:eastAsia="zh-CN"/>
        </w:rPr>
        <w:t>二十九</w:t>
      </w:r>
      <w:r>
        <w:rPr>
          <w:rFonts w:hint="eastAsia" w:asciiTheme="minorEastAsia" w:hAnsiTheme="minorEastAsia" w:eastAsiaTheme="minorEastAsia" w:cstheme="minorEastAsia"/>
          <w:szCs w:val="21"/>
        </w:rPr>
        <w:t>：工作联系单管理要求</w:t>
      </w:r>
    </w:p>
    <w:p w14:paraId="36446967">
      <w:pPr>
        <w:adjustRightInd w:val="0"/>
        <w:snapToGrid w:val="0"/>
        <w:spacing w:line="360" w:lineRule="auto"/>
        <w:ind w:firstLine="1470" w:firstLineChars="70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w:t>
      </w:r>
      <w:r>
        <w:rPr>
          <w:rFonts w:hint="eastAsia" w:asciiTheme="minorEastAsia" w:hAnsiTheme="minorEastAsia" w:eastAsiaTheme="minorEastAsia" w:cstheme="minorEastAsia"/>
          <w:szCs w:val="21"/>
          <w:lang w:eastAsia="zh-CN"/>
        </w:rPr>
        <w:t>三十</w:t>
      </w:r>
      <w:r>
        <w:rPr>
          <w:rFonts w:hint="eastAsia" w:asciiTheme="minorEastAsia" w:hAnsiTheme="minorEastAsia" w:eastAsiaTheme="minorEastAsia" w:cstheme="minorEastAsia"/>
          <w:szCs w:val="21"/>
        </w:rPr>
        <w:t>：联合体协议书</w:t>
      </w:r>
    </w:p>
    <w:p w14:paraId="7967B6DB">
      <w:pPr>
        <w:adjustRightInd w:val="0"/>
        <w:snapToGrid w:val="0"/>
        <w:spacing w:line="360" w:lineRule="auto"/>
        <w:ind w:firstLine="1470" w:firstLineChars="70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附件三十</w:t>
      </w:r>
      <w:r>
        <w:rPr>
          <w:rFonts w:hint="eastAsia" w:asciiTheme="minorEastAsia" w:hAnsiTheme="minorEastAsia" w:eastAsiaTheme="minorEastAsia" w:cstheme="minorEastAsia"/>
          <w:szCs w:val="21"/>
          <w:lang w:eastAsia="zh-CN"/>
        </w:rPr>
        <w:t>一</w:t>
      </w:r>
      <w:r>
        <w:rPr>
          <w:rFonts w:hint="eastAsia" w:asciiTheme="minorEastAsia" w:hAnsiTheme="minorEastAsia" w:eastAsiaTheme="minorEastAsia" w:cstheme="minorEastAsia"/>
          <w:szCs w:val="21"/>
        </w:rPr>
        <w:t>：设计工作履约评价考核表</w:t>
      </w:r>
    </w:p>
    <w:p w14:paraId="5F7F2EFF">
      <w:pPr>
        <w:adjustRightInd w:val="0"/>
        <w:snapToGrid w:val="0"/>
        <w:spacing w:line="360" w:lineRule="auto"/>
        <w:ind w:firstLine="1470" w:firstLineChars="700"/>
        <w:rPr>
          <w:rFonts w:asciiTheme="minorEastAsia" w:hAnsiTheme="minorEastAsia" w:eastAsiaTheme="minorEastAsia" w:cstheme="minorEastAsia"/>
          <w:szCs w:val="21"/>
        </w:rPr>
      </w:pPr>
      <w:r>
        <w:fldChar w:fldCharType="begin"/>
      </w:r>
      <w:r>
        <w:instrText xml:space="preserve"> HYPERLINK \l "_Toc477076878" </w:instrText>
      </w:r>
      <w:r>
        <w:fldChar w:fldCharType="separate"/>
      </w:r>
      <w:r>
        <w:rPr>
          <w:rFonts w:hint="eastAsia" w:asciiTheme="minorEastAsia" w:hAnsiTheme="minorEastAsia" w:eastAsiaTheme="minorEastAsia" w:cstheme="minorEastAsia"/>
          <w:szCs w:val="21"/>
        </w:rPr>
        <w:t>附件三十</w:t>
      </w:r>
      <w:r>
        <w:rPr>
          <w:rFonts w:hint="eastAsia" w:asciiTheme="minorEastAsia" w:hAnsiTheme="minorEastAsia" w:eastAsiaTheme="minorEastAsia" w:cstheme="minorEastAsia"/>
          <w:szCs w:val="21"/>
          <w:lang w:eastAsia="zh-CN"/>
        </w:rPr>
        <w:t>二</w:t>
      </w:r>
      <w:r>
        <w:rPr>
          <w:rFonts w:hint="eastAsia" w:asciiTheme="minorEastAsia" w:hAnsiTheme="minorEastAsia" w:eastAsiaTheme="minorEastAsia" w:cstheme="minorEastAsia"/>
          <w:szCs w:val="21"/>
        </w:rPr>
        <w:fldChar w:fldCharType="end"/>
      </w:r>
      <w:r>
        <w:rPr>
          <w:rFonts w:hint="eastAsia" w:asciiTheme="minorEastAsia" w:hAnsiTheme="minorEastAsia" w:eastAsiaTheme="minorEastAsia" w:cstheme="minorEastAsia"/>
          <w:szCs w:val="21"/>
        </w:rPr>
        <w:t>《样板评审与分户验收管理控制规程》</w:t>
      </w:r>
    </w:p>
    <w:p w14:paraId="4F3C6B9C">
      <w:pPr>
        <w:adjustRightInd w:val="0"/>
        <w:snapToGrid w:val="0"/>
        <w:spacing w:line="360" w:lineRule="auto"/>
        <w:ind w:firstLine="1470" w:firstLineChars="700"/>
        <w:rPr>
          <w:rFonts w:asciiTheme="minorEastAsia" w:hAnsiTheme="minorEastAsia" w:eastAsiaTheme="minorEastAsia" w:cstheme="minorEastAsia"/>
          <w:szCs w:val="21"/>
        </w:rPr>
      </w:pPr>
      <w:r>
        <w:fldChar w:fldCharType="begin"/>
      </w:r>
      <w:r>
        <w:instrText xml:space="preserve"> HYPERLINK \l "_Toc477076879" </w:instrText>
      </w:r>
      <w:r>
        <w:fldChar w:fldCharType="separate"/>
      </w:r>
      <w:r>
        <w:rPr>
          <w:rFonts w:hint="eastAsia" w:asciiTheme="minorEastAsia" w:hAnsiTheme="minorEastAsia" w:eastAsiaTheme="minorEastAsia" w:cstheme="minorEastAsia"/>
          <w:szCs w:val="21"/>
        </w:rPr>
        <w:t>附件三十</w:t>
      </w:r>
      <w:r>
        <w:rPr>
          <w:rFonts w:hint="eastAsia" w:asciiTheme="minorEastAsia" w:hAnsiTheme="minorEastAsia" w:eastAsiaTheme="minorEastAsia" w:cstheme="minorEastAsia"/>
          <w:szCs w:val="21"/>
          <w:lang w:eastAsia="zh-CN"/>
        </w:rPr>
        <w:t>三</w:t>
      </w:r>
      <w:r>
        <w:rPr>
          <w:rFonts w:hint="eastAsia" w:asciiTheme="minorEastAsia" w:hAnsiTheme="minorEastAsia" w:eastAsiaTheme="minorEastAsia" w:cstheme="minorEastAsia"/>
          <w:szCs w:val="21"/>
        </w:rPr>
        <w:t>《实测实量指引》</w:t>
      </w:r>
      <w:r>
        <w:rPr>
          <w:rFonts w:hint="eastAsia" w:asciiTheme="minorEastAsia" w:hAnsiTheme="minorEastAsia" w:eastAsiaTheme="minorEastAsia" w:cstheme="minorEastAsia"/>
          <w:szCs w:val="21"/>
        </w:rPr>
        <w:fldChar w:fldCharType="end"/>
      </w:r>
    </w:p>
    <w:p w14:paraId="5D8B3102">
      <w:pPr>
        <w:adjustRightInd w:val="0"/>
        <w:snapToGrid w:val="0"/>
        <w:spacing w:line="360" w:lineRule="auto"/>
        <w:ind w:firstLine="1470" w:firstLineChars="70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附件三十</w:t>
      </w:r>
      <w:r>
        <w:rPr>
          <w:rFonts w:hint="eastAsia" w:asciiTheme="minorEastAsia" w:hAnsiTheme="minorEastAsia" w:eastAsiaTheme="minorEastAsia" w:cstheme="minorEastAsia"/>
          <w:szCs w:val="21"/>
          <w:lang w:eastAsia="zh-CN"/>
        </w:rPr>
        <w:t>四</w:t>
      </w:r>
      <w:r>
        <w:rPr>
          <w:rFonts w:hint="eastAsia" w:asciiTheme="minorEastAsia" w:hAnsiTheme="minorEastAsia" w:eastAsiaTheme="minorEastAsia" w:cstheme="minorEastAsia"/>
          <w:szCs w:val="21"/>
        </w:rPr>
        <w:t>：《民工工资按时发放承诺书》</w:t>
      </w:r>
    </w:p>
    <w:p w14:paraId="10E5E876">
      <w:pPr>
        <w:adjustRightInd w:val="0"/>
        <w:snapToGrid w:val="0"/>
        <w:spacing w:line="360" w:lineRule="auto"/>
        <w:ind w:firstLine="1470" w:firstLineChars="70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附件三十</w:t>
      </w:r>
      <w:r>
        <w:rPr>
          <w:rFonts w:hint="eastAsia" w:asciiTheme="minorEastAsia" w:hAnsiTheme="minorEastAsia" w:eastAsiaTheme="minorEastAsia" w:cstheme="minorEastAsia"/>
          <w:szCs w:val="21"/>
          <w:lang w:eastAsia="zh-CN"/>
        </w:rPr>
        <w:t>五</w:t>
      </w:r>
      <w:r>
        <w:rPr>
          <w:rFonts w:hint="eastAsia" w:asciiTheme="minorEastAsia" w:hAnsiTheme="minorEastAsia" w:eastAsiaTheme="minorEastAsia" w:cstheme="minorEastAsia"/>
          <w:szCs w:val="21"/>
        </w:rPr>
        <w:t>：《现场施工环境综合整治及治污减霾承诺书》</w:t>
      </w:r>
    </w:p>
    <w:p w14:paraId="60BA4015">
      <w:pPr>
        <w:adjustRightInd w:val="0"/>
        <w:snapToGrid w:val="0"/>
        <w:spacing w:line="360" w:lineRule="auto"/>
        <w:ind w:firstLine="1470" w:firstLineChars="700"/>
        <w:rPr>
          <w:rFonts w:hint="eastAsia" w:asciiTheme="minorEastAsia" w:hAnsiTheme="minorEastAsia" w:eastAsiaTheme="minorEastAsia" w:cstheme="minorEastAsia"/>
          <w:szCs w:val="21"/>
          <w:lang w:eastAsia="zh-CN"/>
        </w:rPr>
      </w:pPr>
      <w:r>
        <w:rPr>
          <w:rFonts w:hint="eastAsia" w:asciiTheme="minorEastAsia" w:hAnsiTheme="minorEastAsia" w:eastAsiaTheme="minorEastAsia" w:cstheme="minorEastAsia"/>
          <w:szCs w:val="21"/>
        </w:rPr>
        <w:t>附件三十</w:t>
      </w:r>
      <w:r>
        <w:rPr>
          <w:rFonts w:hint="eastAsia" w:asciiTheme="minorEastAsia" w:hAnsiTheme="minorEastAsia" w:eastAsiaTheme="minorEastAsia" w:cstheme="minorEastAsia"/>
          <w:szCs w:val="21"/>
          <w:lang w:eastAsia="zh-CN"/>
        </w:rPr>
        <w:t>六</w:t>
      </w:r>
      <w:r>
        <w:rPr>
          <w:rFonts w:hint="eastAsia" w:asciiTheme="minorEastAsia" w:hAnsiTheme="minorEastAsia" w:eastAsiaTheme="minorEastAsia" w:cstheme="minorEastAsia"/>
          <w:szCs w:val="21"/>
        </w:rPr>
        <w:t>： 《暂估价工程一览表》、《暂定价材料设备一览表及明细表》</w:t>
      </w:r>
      <w:r>
        <w:rPr>
          <w:rFonts w:hint="eastAsia" w:asciiTheme="minorEastAsia" w:hAnsiTheme="minorEastAsia" w:eastAsiaTheme="minorEastAsia" w:cstheme="minorEastAsia"/>
          <w:szCs w:val="21"/>
          <w:lang w:eastAsia="zh-CN"/>
        </w:rPr>
        <w:t>、《认质认价材料设备明细表（招标认价）》</w:t>
      </w:r>
    </w:p>
    <w:p w14:paraId="67CEDC94">
      <w:pPr>
        <w:adjustRightInd w:val="0"/>
        <w:snapToGrid w:val="0"/>
        <w:spacing w:line="360" w:lineRule="auto"/>
        <w:ind w:firstLine="1470" w:firstLineChars="70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附件三十</w:t>
      </w:r>
      <w:r>
        <w:rPr>
          <w:rFonts w:hint="eastAsia" w:asciiTheme="minorEastAsia" w:hAnsiTheme="minorEastAsia" w:eastAsiaTheme="minorEastAsia" w:cstheme="minorEastAsia"/>
          <w:szCs w:val="21"/>
          <w:lang w:eastAsia="zh-CN"/>
        </w:rPr>
        <w:t>七</w:t>
      </w:r>
      <w:r>
        <w:rPr>
          <w:rFonts w:hint="eastAsia" w:asciiTheme="minorEastAsia" w:hAnsiTheme="minorEastAsia" w:eastAsiaTheme="minorEastAsia" w:cstheme="minorEastAsia"/>
          <w:szCs w:val="21"/>
        </w:rPr>
        <w:t>：《总包对各专业分包工程的管理配合内容》</w:t>
      </w:r>
    </w:p>
    <w:p w14:paraId="2C7F5EF5">
      <w:pPr>
        <w:adjustRightInd w:val="0"/>
        <w:snapToGrid w:val="0"/>
        <w:spacing w:line="360" w:lineRule="auto"/>
        <w:ind w:firstLine="1470" w:firstLineChars="70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w:t>
      </w:r>
      <w:r>
        <w:rPr>
          <w:rFonts w:hint="eastAsia" w:asciiTheme="minorEastAsia" w:hAnsiTheme="minorEastAsia" w:eastAsiaTheme="minorEastAsia" w:cstheme="minorEastAsia"/>
          <w:szCs w:val="21"/>
          <w:lang w:eastAsia="zh-CN"/>
        </w:rPr>
        <w:t>三十八</w:t>
      </w:r>
      <w:r>
        <w:rPr>
          <w:rFonts w:hint="eastAsia" w:asciiTheme="minorEastAsia" w:hAnsiTheme="minorEastAsia" w:eastAsiaTheme="minorEastAsia" w:cstheme="minorEastAsia"/>
          <w:szCs w:val="21"/>
        </w:rPr>
        <w:t>：《暂估价工程及材料设备付款、结算及质保期约定》</w:t>
      </w:r>
    </w:p>
    <w:p w14:paraId="03AC83D6">
      <w:pPr>
        <w:adjustRightInd w:val="0"/>
        <w:snapToGrid w:val="0"/>
        <w:spacing w:line="360" w:lineRule="auto"/>
        <w:ind w:firstLine="1470" w:firstLineChars="70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w:t>
      </w:r>
      <w:r>
        <w:rPr>
          <w:rFonts w:hint="eastAsia" w:asciiTheme="minorEastAsia" w:hAnsiTheme="minorEastAsia" w:eastAsiaTheme="minorEastAsia" w:cstheme="minorEastAsia"/>
          <w:szCs w:val="21"/>
          <w:lang w:eastAsia="zh-CN"/>
        </w:rPr>
        <w:t>三十九</w:t>
      </w:r>
      <w:r>
        <w:rPr>
          <w:rFonts w:hint="eastAsia" w:asciiTheme="minorEastAsia" w:hAnsiTheme="minorEastAsia" w:eastAsiaTheme="minorEastAsia" w:cstheme="minorEastAsia"/>
          <w:szCs w:val="21"/>
        </w:rPr>
        <w:t>：《总包与分包界面划分》</w:t>
      </w:r>
    </w:p>
    <w:p w14:paraId="2AF9A860">
      <w:pPr>
        <w:adjustRightInd w:val="0"/>
        <w:snapToGrid w:val="0"/>
        <w:spacing w:line="360" w:lineRule="auto"/>
        <w:ind w:firstLine="1470" w:firstLineChars="70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w:t>
      </w:r>
      <w:r>
        <w:rPr>
          <w:rFonts w:hint="eastAsia" w:asciiTheme="minorEastAsia" w:hAnsiTheme="minorEastAsia" w:eastAsiaTheme="minorEastAsia" w:cstheme="minorEastAsia"/>
          <w:szCs w:val="21"/>
          <w:lang w:eastAsia="zh-CN"/>
        </w:rPr>
        <w:t>四十</w:t>
      </w:r>
      <w:r>
        <w:rPr>
          <w:rFonts w:hint="eastAsia" w:asciiTheme="minorEastAsia" w:hAnsiTheme="minorEastAsia" w:eastAsiaTheme="minorEastAsia" w:cstheme="minorEastAsia"/>
          <w:szCs w:val="21"/>
        </w:rPr>
        <w:t>《防渗漏、防开裂重点管控细则》</w:t>
      </w:r>
    </w:p>
    <w:p w14:paraId="39A62637">
      <w:pPr>
        <w:adjustRightInd w:val="0"/>
        <w:snapToGrid w:val="0"/>
        <w:spacing w:line="360" w:lineRule="auto"/>
        <w:ind w:firstLine="1470" w:firstLineChars="70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附件四十</w:t>
      </w:r>
      <w:r>
        <w:rPr>
          <w:rFonts w:hint="eastAsia" w:asciiTheme="minorEastAsia" w:hAnsiTheme="minorEastAsia" w:eastAsiaTheme="minorEastAsia" w:cstheme="minorEastAsia"/>
          <w:szCs w:val="21"/>
          <w:lang w:eastAsia="zh-CN"/>
        </w:rPr>
        <w:t>一</w:t>
      </w:r>
      <w:r>
        <w:rPr>
          <w:rFonts w:hint="eastAsia" w:asciiTheme="minorEastAsia" w:hAnsiTheme="minorEastAsia" w:eastAsiaTheme="minorEastAsia" w:cstheme="minorEastAsia"/>
          <w:szCs w:val="21"/>
        </w:rPr>
        <w:t>《外墙及门窗淋水试验实施办法》</w:t>
      </w:r>
    </w:p>
    <w:p w14:paraId="0E6F7DDF">
      <w:pPr>
        <w:adjustRightInd w:val="0"/>
        <w:snapToGrid w:val="0"/>
        <w:spacing w:line="360" w:lineRule="auto"/>
        <w:ind w:firstLine="1470" w:firstLineChars="70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附件四十</w:t>
      </w:r>
      <w:r>
        <w:rPr>
          <w:rFonts w:hint="eastAsia" w:asciiTheme="minorEastAsia" w:hAnsiTheme="minorEastAsia" w:eastAsiaTheme="minorEastAsia" w:cstheme="minorEastAsia"/>
          <w:szCs w:val="21"/>
          <w:lang w:eastAsia="zh-CN"/>
        </w:rPr>
        <w:t>二</w:t>
      </w:r>
      <w:r>
        <w:rPr>
          <w:rFonts w:hint="eastAsia" w:asciiTheme="minorEastAsia" w:hAnsiTheme="minorEastAsia" w:eastAsiaTheme="minorEastAsia" w:cstheme="minorEastAsia"/>
          <w:szCs w:val="21"/>
        </w:rPr>
        <w:t>：关于新能源车辆使用要求</w:t>
      </w:r>
    </w:p>
    <w:p w14:paraId="1BA03529">
      <w:pPr>
        <w:adjustRightInd w:val="0"/>
        <w:snapToGrid w:val="0"/>
        <w:spacing w:line="360" w:lineRule="auto"/>
        <w:ind w:firstLine="1470" w:firstLineChars="700"/>
        <w:rPr>
          <w:rFonts w:hint="eastAsia" w:asciiTheme="minorEastAsia" w:hAnsiTheme="minorEastAsia" w:eastAsiaTheme="minorEastAsia" w:cstheme="minorEastAsia"/>
          <w:szCs w:val="21"/>
          <w:lang w:eastAsia="zh-CN"/>
        </w:rPr>
      </w:pPr>
      <w:r>
        <w:rPr>
          <w:rFonts w:hint="eastAsia" w:asciiTheme="minorEastAsia" w:hAnsiTheme="minorEastAsia" w:eastAsiaTheme="minorEastAsia" w:cstheme="minorEastAsia"/>
          <w:szCs w:val="21"/>
        </w:rPr>
        <w:t>附件四十</w:t>
      </w:r>
      <w:r>
        <w:rPr>
          <w:rFonts w:hint="eastAsia" w:asciiTheme="minorEastAsia" w:hAnsiTheme="minorEastAsia" w:eastAsiaTheme="minorEastAsia" w:cstheme="minorEastAsia"/>
          <w:szCs w:val="21"/>
          <w:lang w:eastAsia="zh-CN"/>
        </w:rPr>
        <w:t>三</w:t>
      </w:r>
      <w:r>
        <w:rPr>
          <w:rFonts w:hint="eastAsia" w:asciiTheme="minorEastAsia" w:hAnsiTheme="minorEastAsia" w:eastAsiaTheme="minorEastAsia" w:cstheme="minorEastAsia"/>
          <w:szCs w:val="21"/>
        </w:rPr>
        <w:t>：第三方评估体系管理办法</w:t>
      </w:r>
      <w:r>
        <w:rPr>
          <w:rFonts w:hint="eastAsia" w:asciiTheme="minorEastAsia" w:hAnsiTheme="minorEastAsia" w:eastAsiaTheme="minorEastAsia" w:cstheme="minorEastAsia"/>
          <w:szCs w:val="21"/>
          <w:lang w:eastAsia="zh-CN"/>
        </w:rPr>
        <w:t>（附：第三方评估考核结果执行办法）</w:t>
      </w:r>
    </w:p>
    <w:p w14:paraId="6A97B420">
      <w:pPr>
        <w:adjustRightInd w:val="0"/>
        <w:snapToGrid w:val="0"/>
        <w:spacing w:line="360" w:lineRule="auto"/>
        <w:ind w:firstLine="1470" w:firstLineChars="70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附件四十</w:t>
      </w:r>
      <w:r>
        <w:rPr>
          <w:rFonts w:hint="eastAsia" w:asciiTheme="minorEastAsia" w:hAnsiTheme="minorEastAsia" w:eastAsiaTheme="minorEastAsia" w:cstheme="minorEastAsia"/>
          <w:szCs w:val="21"/>
          <w:lang w:eastAsia="zh-CN"/>
        </w:rPr>
        <w:t>四</w:t>
      </w:r>
      <w:r>
        <w:rPr>
          <w:rFonts w:hint="eastAsia" w:asciiTheme="minorEastAsia" w:hAnsiTheme="minorEastAsia" w:eastAsiaTheme="minorEastAsia" w:cstheme="minorEastAsia"/>
          <w:szCs w:val="21"/>
        </w:rPr>
        <w:t>：项目安全文明施工实施细则</w:t>
      </w:r>
    </w:p>
    <w:p w14:paraId="019B811D">
      <w:pPr>
        <w:adjustRightInd w:val="0"/>
        <w:snapToGrid w:val="0"/>
        <w:spacing w:line="360" w:lineRule="auto"/>
        <w:ind w:firstLine="1470" w:firstLineChars="70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附件四十</w:t>
      </w:r>
      <w:r>
        <w:rPr>
          <w:rFonts w:hint="eastAsia" w:asciiTheme="minorEastAsia" w:hAnsiTheme="minorEastAsia" w:eastAsiaTheme="minorEastAsia" w:cstheme="minorEastAsia"/>
          <w:szCs w:val="21"/>
          <w:lang w:eastAsia="zh-CN"/>
        </w:rPr>
        <w:t>五</w:t>
      </w:r>
      <w:r>
        <w:rPr>
          <w:rFonts w:hint="eastAsia" w:asciiTheme="minorEastAsia" w:hAnsiTheme="minorEastAsia" w:eastAsiaTheme="minorEastAsia" w:cstheme="minorEastAsia"/>
          <w:szCs w:val="21"/>
        </w:rPr>
        <w:t>：成品保护实施细则</w:t>
      </w:r>
    </w:p>
    <w:p w14:paraId="1636516E">
      <w:pPr>
        <w:adjustRightInd w:val="0"/>
        <w:snapToGrid w:val="0"/>
        <w:spacing w:line="360" w:lineRule="auto"/>
        <w:ind w:firstLine="1470" w:firstLineChars="700"/>
        <w:rPr>
          <w:rFonts w:hint="eastAsia" w:asciiTheme="minorEastAsia" w:hAnsiTheme="minorEastAsia" w:eastAsiaTheme="minorEastAsia" w:cstheme="minorEastAsia"/>
          <w:szCs w:val="21"/>
          <w:lang w:eastAsia="zh-CN"/>
        </w:rPr>
      </w:pPr>
      <w:r>
        <w:rPr>
          <w:rFonts w:hint="eastAsia" w:asciiTheme="minorEastAsia" w:hAnsiTheme="minorEastAsia" w:eastAsiaTheme="minorEastAsia" w:cstheme="minorEastAsia"/>
          <w:szCs w:val="21"/>
          <w:lang w:eastAsia="zh-CN"/>
        </w:rPr>
        <w:t>附件</w:t>
      </w:r>
      <w:r>
        <w:rPr>
          <w:rFonts w:hint="eastAsia" w:asciiTheme="minorEastAsia" w:hAnsiTheme="minorEastAsia" w:eastAsiaTheme="minorEastAsia" w:cstheme="minorEastAsia"/>
          <w:szCs w:val="21"/>
        </w:rPr>
        <w:t>四十</w:t>
      </w:r>
      <w:r>
        <w:rPr>
          <w:rFonts w:hint="eastAsia" w:asciiTheme="minorEastAsia" w:hAnsiTheme="minorEastAsia" w:eastAsiaTheme="minorEastAsia" w:cstheme="minorEastAsia"/>
          <w:szCs w:val="21"/>
          <w:lang w:eastAsia="zh-CN"/>
        </w:rPr>
        <w:t>六</w:t>
      </w:r>
      <w:r>
        <w:rPr>
          <w:rFonts w:hint="eastAsia" w:asciiTheme="minorEastAsia" w:hAnsiTheme="minorEastAsia" w:eastAsiaTheme="minorEastAsia" w:cstheme="minorEastAsia"/>
          <w:szCs w:val="21"/>
        </w:rPr>
        <w:t>：</w:t>
      </w:r>
      <w:r>
        <w:rPr>
          <w:rFonts w:hint="eastAsia" w:asciiTheme="minorEastAsia" w:hAnsiTheme="minorEastAsia" w:eastAsiaTheme="minorEastAsia" w:cstheme="minorEastAsia"/>
          <w:szCs w:val="21"/>
          <w:lang w:eastAsia="zh-CN"/>
        </w:rPr>
        <w:t>设计任务书</w:t>
      </w:r>
    </w:p>
    <w:p w14:paraId="421D93C8">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7B0BF683">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1CFB923B">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36A419EE">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2B8DDF82">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12AC98A1">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63139EBC">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5F379519">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72ED155C">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4A8CBE35">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716986CC">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0B57BB88">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3AD3CAB2">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1DE977AC">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1547E410">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2FE8057C">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5A0912D2">
      <w:pPr>
        <w:adjustRightInd w:val="0"/>
        <w:snapToGrid w:val="0"/>
        <w:spacing w:line="360" w:lineRule="auto"/>
        <w:jc w:val="center"/>
        <w:outlineLvl w:val="9"/>
        <w:rPr>
          <w:rFonts w:hint="eastAsia" w:cs="宋体" w:asciiTheme="minorEastAsia" w:hAnsiTheme="minorEastAsia" w:eastAsiaTheme="minorEastAsia"/>
          <w:b/>
          <w:bCs/>
          <w:color w:val="auto"/>
          <w:sz w:val="21"/>
          <w:szCs w:val="21"/>
          <w:highlight w:val="none"/>
        </w:rPr>
      </w:pPr>
    </w:p>
    <w:p w14:paraId="07D5B04A">
      <w:pPr>
        <w:adjustRightInd w:val="0"/>
        <w:snapToGrid w:val="0"/>
        <w:spacing w:line="360" w:lineRule="auto"/>
        <w:jc w:val="center"/>
        <w:outlineLvl w:val="9"/>
        <w:rPr>
          <w:rFonts w:hint="eastAsia" w:cs="宋体" w:asciiTheme="minorEastAsia" w:hAnsiTheme="minorEastAsia" w:eastAsiaTheme="minorEastAsia"/>
          <w:b/>
          <w:bCs/>
          <w:color w:val="auto"/>
          <w:sz w:val="28"/>
          <w:szCs w:val="28"/>
          <w:highlight w:val="none"/>
        </w:rPr>
      </w:pPr>
      <w:r>
        <w:rPr>
          <w:rFonts w:hint="eastAsia" w:cs="宋体" w:asciiTheme="minorEastAsia" w:hAnsiTheme="minorEastAsia" w:eastAsiaTheme="minorEastAsia"/>
          <w:b/>
          <w:bCs/>
          <w:color w:val="auto"/>
          <w:sz w:val="28"/>
          <w:szCs w:val="28"/>
          <w:highlight w:val="none"/>
        </w:rPr>
        <w:t>白桦林</w:t>
      </w:r>
      <w:r>
        <w:rPr>
          <w:rFonts w:hint="eastAsia" w:cs="宋体" w:asciiTheme="minorEastAsia" w:hAnsiTheme="minorEastAsia" w:eastAsiaTheme="minorEastAsia"/>
          <w:b/>
          <w:bCs/>
          <w:color w:val="auto"/>
          <w:sz w:val="28"/>
          <w:szCs w:val="28"/>
          <w:highlight w:val="none"/>
          <w:lang w:eastAsia="zh-CN"/>
        </w:rPr>
        <w:t>观澜</w:t>
      </w:r>
      <w:r>
        <w:rPr>
          <w:rFonts w:hint="eastAsia" w:cs="宋体" w:asciiTheme="minorEastAsia" w:hAnsiTheme="minorEastAsia" w:eastAsiaTheme="minorEastAsia"/>
          <w:b/>
          <w:bCs/>
          <w:color w:val="auto"/>
          <w:sz w:val="28"/>
          <w:szCs w:val="28"/>
          <w:highlight w:val="none"/>
        </w:rPr>
        <w:t>项目工程总承包(EPC)合同</w:t>
      </w:r>
    </w:p>
    <w:p w14:paraId="6A700318">
      <w:pPr>
        <w:adjustRightInd w:val="0"/>
        <w:snapToGrid w:val="0"/>
        <w:spacing w:line="360" w:lineRule="auto"/>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第一部分协议书</w:t>
      </w:r>
      <w:bookmarkEnd w:id="0"/>
    </w:p>
    <w:p w14:paraId="636A77BB">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lang w:eastAsia="zh-CN"/>
        </w:rPr>
      </w:pPr>
      <w:r>
        <w:rPr>
          <w:rFonts w:hint="eastAsia" w:cs="宋体" w:asciiTheme="minorEastAsia" w:hAnsiTheme="minorEastAsia" w:eastAsiaTheme="minorEastAsia"/>
          <w:color w:val="auto"/>
          <w:szCs w:val="21"/>
          <w:highlight w:val="none"/>
        </w:rPr>
        <w:t>发包人（甲方）：</w:t>
      </w:r>
      <w:r>
        <w:rPr>
          <w:rFonts w:hint="eastAsia" w:cs="宋体" w:asciiTheme="minorEastAsia" w:hAnsiTheme="minorEastAsia" w:eastAsiaTheme="minorEastAsia"/>
          <w:color w:val="auto"/>
          <w:szCs w:val="21"/>
          <w:highlight w:val="none"/>
          <w:lang w:eastAsia="zh-CN"/>
        </w:rPr>
        <w:t>西安经发景弘项目开发有限公司</w:t>
      </w:r>
    </w:p>
    <w:p w14:paraId="6900BDC6">
      <w:pPr>
        <w:adjustRightInd w:val="0"/>
        <w:snapToGrid w:val="0"/>
        <w:spacing w:line="360" w:lineRule="auto"/>
        <w:ind w:firstLine="420" w:firstLineChars="20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承包人（乙方,联合体牵头人）：中建八局第二建设有限公司</w:t>
      </w:r>
    </w:p>
    <w:p w14:paraId="06B7A645">
      <w:pPr>
        <w:adjustRightInd w:val="0"/>
        <w:snapToGrid w:val="0"/>
        <w:spacing w:line="360" w:lineRule="auto"/>
        <w:ind w:firstLine="420" w:firstLineChars="20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承包人（乙方，联合体成员）：中建八局(陕西)建设科技有限公司</w:t>
      </w:r>
    </w:p>
    <w:p w14:paraId="652FEA5C">
      <w:pPr>
        <w:adjustRightInd w:val="0"/>
        <w:snapToGrid w:val="0"/>
        <w:spacing w:line="360" w:lineRule="auto"/>
        <w:ind w:firstLine="420" w:firstLineChars="20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承包人（乙方，联合体成员）：中国建筑西北设计研究院有限公司</w:t>
      </w:r>
    </w:p>
    <w:p w14:paraId="348CD81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根据《中华人民共和国民法典》、《中华人民共和国建筑法》及有关法律规定、行政法规，遵循平等、自愿、公平和诚实信用的原则，双方就</w:t>
      </w:r>
      <w:r>
        <w:rPr>
          <w:rFonts w:hint="eastAsia" w:cs="宋体" w:asciiTheme="minorEastAsia" w:hAnsiTheme="minorEastAsia" w:eastAsiaTheme="minorEastAsia"/>
          <w:color w:val="auto"/>
          <w:szCs w:val="21"/>
          <w:highlight w:val="none"/>
          <w:u w:val="single"/>
          <w:lang w:eastAsia="zh-CN"/>
        </w:rPr>
        <w:t>白桦林观澜项目工程总承包（EPC）</w:t>
      </w:r>
      <w:r>
        <w:rPr>
          <w:rFonts w:hint="eastAsia" w:cs="宋体" w:asciiTheme="minorEastAsia" w:hAnsiTheme="minorEastAsia" w:eastAsiaTheme="minorEastAsia"/>
          <w:color w:val="auto"/>
          <w:szCs w:val="21"/>
          <w:highlight w:val="none"/>
        </w:rPr>
        <w:t>事宜经协商一致，订立本合同。</w:t>
      </w:r>
    </w:p>
    <w:p w14:paraId="662AC7D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 w:name="_Toc54862165"/>
      <w:r>
        <w:rPr>
          <w:rFonts w:hint="eastAsia" w:cs="宋体" w:asciiTheme="minorEastAsia" w:hAnsiTheme="minorEastAsia" w:eastAsiaTheme="minorEastAsia"/>
          <w:color w:val="auto"/>
          <w:szCs w:val="21"/>
          <w:highlight w:val="none"/>
        </w:rPr>
        <w:t>一、工程概况</w:t>
      </w:r>
      <w:bookmarkEnd w:id="1"/>
    </w:p>
    <w:p w14:paraId="51091127">
      <w:pPr>
        <w:spacing w:line="520" w:lineRule="exact"/>
        <w:ind w:firstLine="420" w:firstLineChars="200"/>
        <w:outlineLvl w:val="9"/>
        <w:rPr>
          <w:rFonts w:hint="eastAsia" w:cs="宋体" w:asciiTheme="minorEastAsia" w:hAnsiTheme="minorEastAsia" w:eastAsiaTheme="minorEastAsia"/>
          <w:color w:val="auto"/>
          <w:szCs w:val="21"/>
          <w:highlight w:val="none"/>
          <w:u w:val="single"/>
          <w:lang w:eastAsia="zh-CN"/>
        </w:rPr>
      </w:pPr>
      <w:bookmarkStart w:id="2" w:name="_Toc54862166"/>
      <w:r>
        <w:rPr>
          <w:rFonts w:hint="eastAsia" w:cs="宋体" w:asciiTheme="minorEastAsia" w:hAnsiTheme="minorEastAsia" w:eastAsiaTheme="minorEastAsia"/>
          <w:color w:val="auto"/>
          <w:szCs w:val="21"/>
          <w:highlight w:val="none"/>
        </w:rPr>
        <w:t>工程名称：</w:t>
      </w:r>
      <w:r>
        <w:rPr>
          <w:rFonts w:hint="eastAsia" w:cs="宋体" w:asciiTheme="minorEastAsia" w:hAnsiTheme="minorEastAsia" w:eastAsiaTheme="minorEastAsia"/>
          <w:color w:val="auto"/>
          <w:szCs w:val="21"/>
          <w:highlight w:val="none"/>
          <w:u w:val="single"/>
          <w:lang w:eastAsia="zh-CN"/>
        </w:rPr>
        <w:t>白桦林观澜项目工程总承包（EPC）</w:t>
      </w:r>
    </w:p>
    <w:p w14:paraId="7A910D1B">
      <w:pPr>
        <w:spacing w:line="520" w:lineRule="exact"/>
        <w:ind w:firstLine="420" w:firstLineChars="200"/>
        <w:outlineLvl w:val="9"/>
        <w:rPr>
          <w:rFonts w:hint="eastAsia" w:cs="宋体" w:asciiTheme="minorEastAsia" w:hAnsiTheme="minorEastAsia" w:eastAsiaTheme="minorEastAsia"/>
          <w:color w:val="auto"/>
          <w:szCs w:val="21"/>
          <w:highlight w:val="none"/>
          <w:lang w:eastAsia="zh-CN"/>
        </w:rPr>
      </w:pPr>
      <w:r>
        <w:rPr>
          <w:rFonts w:hint="eastAsia" w:cs="宋体" w:asciiTheme="minorEastAsia" w:hAnsiTheme="minorEastAsia" w:eastAsiaTheme="minorEastAsia"/>
          <w:color w:val="auto"/>
          <w:szCs w:val="21"/>
          <w:highlight w:val="none"/>
        </w:rPr>
        <w:t>工程内容及规模：</w:t>
      </w:r>
      <w:r>
        <w:rPr>
          <w:rFonts w:hint="eastAsia" w:cs="宋体" w:asciiTheme="minorEastAsia" w:hAnsiTheme="minorEastAsia" w:eastAsiaTheme="minorEastAsia"/>
          <w:color w:val="auto"/>
          <w:szCs w:val="21"/>
          <w:highlight w:val="none"/>
          <w:lang w:eastAsia="zh-CN"/>
        </w:rPr>
        <w:t>项目占地面积51.15亩，主要建设内容为住宅、综合商业。规划总建筑面积约8.77万平方米，其中地上建筑面积约6.82万平方米（含住宅约6.41万平方米、综合商业约0.16万平方米及其余配套公建约0.25万平方米），地下建筑面积约1.95万平方米，最终以资源规划部门审定面积为准。总投资额113492万元，资金来源为自筹资金。</w:t>
      </w:r>
    </w:p>
    <w:p w14:paraId="5631217A">
      <w:pPr>
        <w:spacing w:line="52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项目地点：本项目位于西安市尚稷路北侧规划路以北，明光路东侧规划路以东，规划路以西。</w:t>
      </w:r>
    </w:p>
    <w:p w14:paraId="7A561596">
      <w:pPr>
        <w:spacing w:line="52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工程承包范围：</w:t>
      </w:r>
      <w:r>
        <w:rPr>
          <w:rFonts w:hint="eastAsia" w:ascii="宋体" w:hAnsi="宋体" w:cs="宋体"/>
          <w:color w:val="auto"/>
          <w:szCs w:val="21"/>
          <w:highlight w:val="none"/>
          <w:u w:val="none"/>
        </w:rPr>
        <w:t>本期建设范围内</w:t>
      </w:r>
      <w:r>
        <w:rPr>
          <w:rFonts w:hint="eastAsia" w:ascii="宋体" w:hAnsi="宋体"/>
          <w:color w:val="auto"/>
          <w:szCs w:val="21"/>
          <w:highlight w:val="none"/>
          <w:u w:val="none"/>
        </w:rPr>
        <w:t>包括但不限于</w:t>
      </w:r>
      <w:r>
        <w:rPr>
          <w:rFonts w:hint="eastAsia"/>
          <w:color w:val="auto"/>
          <w:highlight w:val="none"/>
          <w:u w:val="none"/>
          <w:lang w:eastAsia="zh-CN"/>
        </w:rPr>
        <w:t>白桦林观澜项目工程总承包(EPC)</w:t>
      </w:r>
      <w:r>
        <w:rPr>
          <w:rFonts w:hint="eastAsia" w:ascii="宋体" w:hAnsi="宋体"/>
          <w:color w:val="auto"/>
          <w:szCs w:val="21"/>
          <w:highlight w:val="none"/>
          <w:u w:val="none"/>
        </w:rPr>
        <w:t>的设计（方案设计除外）、采购、施工、工程保修期内的缺陷修复和保修</w:t>
      </w:r>
      <w:r>
        <w:rPr>
          <w:rFonts w:hint="eastAsia" w:cs="宋体" w:asciiTheme="minorEastAsia" w:hAnsiTheme="minorEastAsia" w:eastAsiaTheme="minorEastAsia"/>
          <w:color w:val="auto"/>
          <w:szCs w:val="21"/>
          <w:highlight w:val="none"/>
          <w:u w:val="none"/>
        </w:rPr>
        <w:t>工作，同时承担相关协调工作：</w:t>
      </w:r>
    </w:p>
    <w:p w14:paraId="0B367EE5">
      <w:pPr>
        <w:spacing w:line="520" w:lineRule="exact"/>
        <w:ind w:firstLine="420" w:firstLineChars="200"/>
        <w:outlineLvl w:val="9"/>
        <w:rPr>
          <w:rFonts w:cs="宋体" w:asciiTheme="minorEastAsia" w:hAnsiTheme="minorEastAsia" w:eastAsiaTheme="minorEastAsia"/>
          <w:bCs/>
          <w:color w:val="auto"/>
          <w:kern w:val="0"/>
          <w:szCs w:val="21"/>
          <w:highlight w:val="none"/>
        </w:rPr>
      </w:pPr>
      <w:r>
        <w:rPr>
          <w:rFonts w:cs="宋体" w:asciiTheme="minorEastAsia" w:hAnsiTheme="minorEastAsia" w:eastAsiaTheme="minorEastAsia"/>
          <w:bCs/>
          <w:color w:val="auto"/>
          <w:kern w:val="0"/>
          <w:szCs w:val="21"/>
          <w:highlight w:val="none"/>
        </w:rPr>
        <w:t>1、设计</w:t>
      </w:r>
    </w:p>
    <w:p w14:paraId="5C4BF373">
      <w:pPr>
        <w:spacing w:line="520" w:lineRule="exact"/>
        <w:ind w:firstLine="420" w:firstLineChars="200"/>
        <w:outlineLvl w:val="9"/>
        <w:rPr>
          <w:rFonts w:cs="宋体" w:asciiTheme="minorEastAsia" w:hAnsiTheme="minorEastAsia" w:eastAsiaTheme="minorEastAsia"/>
          <w:bCs/>
          <w:color w:val="auto"/>
          <w:kern w:val="0"/>
          <w:szCs w:val="21"/>
          <w:highlight w:val="none"/>
        </w:rPr>
      </w:pPr>
      <w:r>
        <w:rPr>
          <w:rFonts w:hint="eastAsia" w:cs="宋体" w:asciiTheme="minorEastAsia" w:hAnsiTheme="minorEastAsia" w:eastAsiaTheme="minorEastAsia"/>
          <w:bCs/>
          <w:color w:val="auto"/>
          <w:kern w:val="0"/>
          <w:szCs w:val="21"/>
          <w:highlight w:val="none"/>
        </w:rPr>
        <w:t>涵盖</w:t>
      </w:r>
      <w:r>
        <w:rPr>
          <w:rFonts w:hint="eastAsia" w:cs="宋体" w:asciiTheme="minorEastAsia" w:hAnsiTheme="minorEastAsia" w:eastAsiaTheme="minorEastAsia"/>
          <w:bCs/>
          <w:color w:val="auto"/>
          <w:kern w:val="0"/>
          <w:szCs w:val="21"/>
          <w:highlight w:val="none"/>
          <w:u w:val="single"/>
          <w:lang w:eastAsia="zh-CN"/>
        </w:rPr>
        <w:t>白桦林观澜项目工程总承包(EPC)</w:t>
      </w:r>
      <w:r>
        <w:rPr>
          <w:rFonts w:hint="eastAsia" w:cs="宋体" w:asciiTheme="minorEastAsia" w:hAnsiTheme="minorEastAsia" w:eastAsiaTheme="minorEastAsia"/>
          <w:bCs/>
          <w:color w:val="auto"/>
          <w:kern w:val="0"/>
          <w:szCs w:val="21"/>
          <w:highlight w:val="none"/>
        </w:rPr>
        <w:t>项目发包人需要的设计工作、设计管理工作及设计服务等相关工作，具体以后附设计任务书为准。</w:t>
      </w:r>
    </w:p>
    <w:p w14:paraId="7B299A36">
      <w:pPr>
        <w:spacing w:line="520" w:lineRule="exact"/>
        <w:ind w:firstLine="420" w:firstLineChars="200"/>
        <w:outlineLvl w:val="9"/>
        <w:rPr>
          <w:rFonts w:cs="宋体" w:asciiTheme="minorEastAsia" w:hAnsiTheme="minorEastAsia" w:eastAsiaTheme="minorEastAsia"/>
          <w:bCs/>
          <w:color w:val="auto"/>
          <w:kern w:val="0"/>
          <w:szCs w:val="21"/>
          <w:highlight w:val="none"/>
        </w:rPr>
      </w:pPr>
      <w:r>
        <w:rPr>
          <w:rFonts w:cs="宋体" w:asciiTheme="minorEastAsia" w:hAnsiTheme="minorEastAsia" w:eastAsiaTheme="minorEastAsia"/>
          <w:bCs/>
          <w:color w:val="auto"/>
          <w:kern w:val="0"/>
          <w:szCs w:val="21"/>
          <w:highlight w:val="none"/>
        </w:rPr>
        <w:t>2、施工：所有设计图纸范围内的施工内容，</w:t>
      </w:r>
      <w:r>
        <w:rPr>
          <w:rFonts w:hint="eastAsia" w:cs="宋体" w:asciiTheme="minorEastAsia" w:hAnsiTheme="minorEastAsia" w:eastAsiaTheme="minorEastAsia"/>
          <w:bCs/>
          <w:color w:val="auto"/>
          <w:kern w:val="0"/>
          <w:szCs w:val="21"/>
          <w:highlight w:val="none"/>
        </w:rPr>
        <w:t>主要包括从土方开挖开始的主体土建、装修、给排水、采暖、通风、电气、消防、弱电、路网、海绵城市等全部工程，具体施工内容以施工图纸、招标文件为准。暂估价工程详见附件《暂估价工程一览表》。上述内容只是概况性的，承包人不应认为巨细无遗，承包人有责任进行现场踏勘，细阅图纸、合同及工程规范，务求对施工工程的所有内容做到完全掌握。发包人保留调整承包人承包范围的权利。</w:t>
      </w:r>
    </w:p>
    <w:p w14:paraId="1D20C285">
      <w:pPr>
        <w:spacing w:line="520" w:lineRule="exact"/>
        <w:ind w:firstLine="420" w:firstLineChars="200"/>
        <w:outlineLvl w:val="9"/>
        <w:rPr>
          <w:rFonts w:cs="宋体" w:asciiTheme="minorEastAsia" w:hAnsiTheme="minorEastAsia" w:eastAsiaTheme="minorEastAsia"/>
          <w:bCs/>
          <w:color w:val="auto"/>
          <w:kern w:val="0"/>
          <w:szCs w:val="21"/>
          <w:highlight w:val="none"/>
        </w:rPr>
      </w:pPr>
      <w:r>
        <w:rPr>
          <w:rFonts w:cs="宋体" w:asciiTheme="minorEastAsia" w:hAnsiTheme="minorEastAsia" w:eastAsiaTheme="minorEastAsia"/>
          <w:bCs/>
          <w:color w:val="auto"/>
          <w:kern w:val="0"/>
          <w:szCs w:val="21"/>
          <w:highlight w:val="none"/>
        </w:rPr>
        <w:t>3、EPC项目管理：</w:t>
      </w:r>
    </w:p>
    <w:p w14:paraId="4D7C3827">
      <w:pPr>
        <w:spacing w:line="520" w:lineRule="exact"/>
        <w:ind w:firstLine="420" w:firstLineChars="200"/>
        <w:outlineLvl w:val="9"/>
        <w:rPr>
          <w:rFonts w:cs="宋体" w:asciiTheme="minorEastAsia" w:hAnsiTheme="minorEastAsia" w:eastAsiaTheme="minorEastAsia"/>
          <w:bCs/>
          <w:color w:val="auto"/>
          <w:kern w:val="0"/>
          <w:szCs w:val="21"/>
          <w:highlight w:val="none"/>
        </w:rPr>
      </w:pPr>
      <w:r>
        <w:rPr>
          <w:rFonts w:hint="eastAsia" w:cs="宋体" w:asciiTheme="minorEastAsia" w:hAnsiTheme="minorEastAsia" w:eastAsiaTheme="minorEastAsia"/>
          <w:bCs/>
          <w:color w:val="auto"/>
          <w:kern w:val="0"/>
          <w:szCs w:val="21"/>
          <w:highlight w:val="none"/>
        </w:rPr>
        <w:t>（</w:t>
      </w:r>
      <w:r>
        <w:rPr>
          <w:rFonts w:cs="宋体" w:asciiTheme="minorEastAsia" w:hAnsiTheme="minorEastAsia" w:eastAsiaTheme="minorEastAsia"/>
          <w:bCs/>
          <w:color w:val="auto"/>
          <w:kern w:val="0"/>
          <w:szCs w:val="21"/>
          <w:highlight w:val="none"/>
        </w:rPr>
        <w:t>1）承包人应充分发挥设计在整个工程建设过程中的主导作用，设计、施工相互沟通、协作到达工程项目建设整体方案的不断优化，提高工程质量；</w:t>
      </w:r>
    </w:p>
    <w:p w14:paraId="23692CF9">
      <w:pPr>
        <w:spacing w:line="520" w:lineRule="exact"/>
        <w:ind w:firstLine="420" w:firstLineChars="200"/>
        <w:outlineLvl w:val="9"/>
        <w:rPr>
          <w:rFonts w:cs="宋体" w:asciiTheme="minorEastAsia" w:hAnsiTheme="minorEastAsia" w:eastAsiaTheme="minorEastAsia"/>
          <w:bCs/>
          <w:color w:val="auto"/>
          <w:kern w:val="0"/>
          <w:szCs w:val="21"/>
          <w:highlight w:val="none"/>
        </w:rPr>
      </w:pPr>
      <w:r>
        <w:rPr>
          <w:rFonts w:hint="eastAsia" w:cs="宋体" w:asciiTheme="minorEastAsia" w:hAnsiTheme="minorEastAsia" w:eastAsiaTheme="minorEastAsia"/>
          <w:bCs/>
          <w:color w:val="auto"/>
          <w:kern w:val="0"/>
          <w:szCs w:val="21"/>
          <w:highlight w:val="none"/>
        </w:rPr>
        <w:t>（</w:t>
      </w:r>
      <w:r>
        <w:rPr>
          <w:rFonts w:cs="宋体" w:asciiTheme="minorEastAsia" w:hAnsiTheme="minorEastAsia" w:eastAsiaTheme="minorEastAsia"/>
          <w:bCs/>
          <w:color w:val="auto"/>
          <w:kern w:val="0"/>
          <w:szCs w:val="21"/>
          <w:highlight w:val="none"/>
        </w:rPr>
        <w:t>2）承包人应做好设计、采购、施工各阶段工作的合理衔接，有效地实现建设项目的进度、成本和质量控制符合建设工程承包合同约定。</w:t>
      </w:r>
    </w:p>
    <w:p w14:paraId="39983EA9">
      <w:pPr>
        <w:adjustRightInd w:val="0"/>
        <w:snapToGrid w:val="0"/>
        <w:spacing w:line="360" w:lineRule="auto"/>
        <w:ind w:firstLine="420" w:firstLineChars="20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二、合同工期</w:t>
      </w:r>
      <w:bookmarkEnd w:id="2"/>
    </w:p>
    <w:p w14:paraId="203F977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计划总工期：</w:t>
      </w:r>
      <w:r>
        <w:rPr>
          <w:rFonts w:hint="eastAsia" w:cs="宋体" w:asciiTheme="minorEastAsia" w:hAnsiTheme="minorEastAsia" w:eastAsiaTheme="minorEastAsia"/>
          <w:color w:val="auto"/>
          <w:szCs w:val="21"/>
          <w:highlight w:val="none"/>
          <w:lang w:val="en-US" w:eastAsia="zh-CN"/>
        </w:rPr>
        <w:t>454</w:t>
      </w:r>
      <w:r>
        <w:rPr>
          <w:rFonts w:hint="eastAsia" w:cs="宋体" w:asciiTheme="minorEastAsia" w:hAnsiTheme="minorEastAsia" w:eastAsiaTheme="minorEastAsia"/>
          <w:color w:val="auto"/>
          <w:szCs w:val="21"/>
          <w:highlight w:val="none"/>
        </w:rPr>
        <w:t>日历</w:t>
      </w:r>
      <w:r>
        <w:rPr>
          <w:rFonts w:cs="宋体" w:asciiTheme="minorEastAsia" w:hAnsiTheme="minorEastAsia" w:eastAsiaTheme="minorEastAsia"/>
          <w:color w:val="auto"/>
          <w:szCs w:val="21"/>
          <w:highlight w:val="none"/>
        </w:rPr>
        <w:t>天。</w:t>
      </w:r>
      <w:r>
        <w:rPr>
          <w:rFonts w:hint="eastAsia" w:cs="宋体" w:asciiTheme="minorEastAsia" w:hAnsiTheme="minorEastAsia" w:eastAsiaTheme="minorEastAsia"/>
          <w:color w:val="auto"/>
          <w:szCs w:val="21"/>
          <w:highlight w:val="none"/>
        </w:rPr>
        <w:t>每一个单体工程</w:t>
      </w:r>
      <w:r>
        <w:rPr>
          <w:rFonts w:cs="宋体" w:asciiTheme="minorEastAsia" w:hAnsiTheme="minorEastAsia" w:eastAsiaTheme="minorEastAsia"/>
          <w:color w:val="auto"/>
          <w:szCs w:val="21"/>
          <w:highlight w:val="none"/>
        </w:rPr>
        <w:t>具体</w:t>
      </w:r>
      <w:r>
        <w:rPr>
          <w:rFonts w:hint="eastAsia" w:cs="宋体" w:asciiTheme="minorEastAsia" w:hAnsiTheme="minorEastAsia" w:eastAsiaTheme="minorEastAsia"/>
          <w:color w:val="auto"/>
          <w:szCs w:val="21"/>
          <w:highlight w:val="none"/>
        </w:rPr>
        <w:t>开工时间</w:t>
      </w:r>
      <w:r>
        <w:rPr>
          <w:rFonts w:cs="宋体" w:asciiTheme="minorEastAsia" w:hAnsiTheme="minorEastAsia" w:eastAsiaTheme="minorEastAsia"/>
          <w:color w:val="auto"/>
          <w:szCs w:val="21"/>
          <w:highlight w:val="none"/>
        </w:rPr>
        <w:t>以发包人开工令为准</w:t>
      </w:r>
      <w:r>
        <w:rPr>
          <w:rFonts w:hint="eastAsia" w:cs="宋体" w:asciiTheme="minorEastAsia" w:hAnsiTheme="minorEastAsia" w:eastAsiaTheme="minorEastAsia"/>
          <w:color w:val="auto"/>
          <w:szCs w:val="21"/>
          <w:highlight w:val="none"/>
        </w:rPr>
        <w:t>。</w:t>
      </w:r>
    </w:p>
    <w:p w14:paraId="7A90EEE1">
      <w:pPr>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工期总日历天数与计划日期计算的工期天数不一致的，以工期总日历天数为准。</w:t>
      </w:r>
      <w:bookmarkStart w:id="3" w:name="_Toc54862167"/>
      <w:r>
        <w:rPr>
          <w:rFonts w:hint="eastAsia" w:cs="宋体" w:asciiTheme="minorEastAsia" w:hAnsiTheme="minorEastAsia" w:eastAsiaTheme="minorEastAsia"/>
          <w:color w:val="auto"/>
          <w:szCs w:val="21"/>
          <w:highlight w:val="none"/>
        </w:rPr>
        <w:t>各分项工程节点工期详见附件《工期控制时间表》。</w:t>
      </w:r>
    </w:p>
    <w:p w14:paraId="10EA5F9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三、质量标准</w:t>
      </w:r>
      <w:bookmarkEnd w:id="3"/>
    </w:p>
    <w:p w14:paraId="4198E45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 </w:t>
      </w:r>
      <w:r>
        <w:rPr>
          <w:rFonts w:hint="eastAsia" w:cs="宋体" w:asciiTheme="minorEastAsia" w:hAnsiTheme="minorEastAsia" w:eastAsiaTheme="minorEastAsia"/>
          <w:color w:val="auto"/>
          <w:szCs w:val="21"/>
          <w:highlight w:val="none"/>
        </w:rPr>
        <w:t>工程质量标准：</w:t>
      </w:r>
    </w:p>
    <w:p w14:paraId="29B2521F">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u w:val="single"/>
        </w:rPr>
      </w:pPr>
      <w:r>
        <w:rPr>
          <w:rFonts w:hint="eastAsia" w:cs="宋体" w:asciiTheme="minorEastAsia" w:hAnsiTheme="minorEastAsia" w:eastAsiaTheme="minorEastAsia"/>
          <w:b/>
          <w:color w:val="auto"/>
          <w:szCs w:val="21"/>
          <w:highlight w:val="none"/>
        </w:rPr>
        <w:t>（</w:t>
      </w:r>
      <w:r>
        <w:rPr>
          <w:rFonts w:cs="宋体" w:asciiTheme="minorEastAsia" w:hAnsiTheme="minorEastAsia" w:eastAsiaTheme="minorEastAsia"/>
          <w:b/>
          <w:color w:val="auto"/>
          <w:szCs w:val="21"/>
          <w:highlight w:val="none"/>
        </w:rPr>
        <w:t>1）设计质量标准：</w:t>
      </w:r>
      <w:r>
        <w:rPr>
          <w:rFonts w:hint="eastAsia" w:cs="宋体" w:asciiTheme="minorEastAsia" w:hAnsiTheme="minorEastAsia" w:eastAsiaTheme="minorEastAsia"/>
          <w:b/>
          <w:color w:val="auto"/>
          <w:szCs w:val="21"/>
          <w:highlight w:val="none"/>
          <w:u w:val="single"/>
        </w:rPr>
        <w:t>符合国家、省、市有关现行设计规范、标准的要求。</w:t>
      </w:r>
    </w:p>
    <w:p w14:paraId="079EA346">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w:t>
      </w:r>
      <w:r>
        <w:rPr>
          <w:rFonts w:cs="宋体" w:asciiTheme="minorEastAsia" w:hAnsiTheme="minorEastAsia" w:eastAsiaTheme="minorEastAsia"/>
          <w:b/>
          <w:color w:val="auto"/>
          <w:szCs w:val="21"/>
          <w:highlight w:val="none"/>
        </w:rPr>
        <w:t>2）施工质量标准：</w:t>
      </w:r>
      <w:r>
        <w:rPr>
          <w:rFonts w:hint="eastAsia" w:cs="宋体" w:asciiTheme="minorEastAsia" w:hAnsiTheme="minorEastAsia" w:eastAsiaTheme="minorEastAsia"/>
          <w:b/>
          <w:color w:val="auto"/>
          <w:szCs w:val="21"/>
          <w:highlight w:val="none"/>
          <w:u w:val="single"/>
        </w:rPr>
        <w:t>达到国家现行施工验收规范“合格”标准。</w:t>
      </w:r>
    </w:p>
    <w:p w14:paraId="33BB0D2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 w:name="_Toc54862168"/>
      <w:r>
        <w:rPr>
          <w:rFonts w:hint="eastAsia" w:cs="宋体" w:asciiTheme="minorEastAsia" w:hAnsiTheme="minorEastAsia" w:eastAsiaTheme="minorEastAsia"/>
          <w:color w:val="auto"/>
          <w:szCs w:val="21"/>
          <w:highlight w:val="none"/>
        </w:rPr>
        <w:t>四、签约合同价与合同价格形式</w:t>
      </w:r>
      <w:bookmarkEnd w:id="4"/>
    </w:p>
    <w:p w14:paraId="7097E0F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    1. 签约合同价为：</w:t>
      </w:r>
    </w:p>
    <w:p w14:paraId="5E24263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    合同暂定含税总价：（大写）人民币</w:t>
      </w:r>
      <w:r>
        <w:rPr>
          <w:rFonts w:hint="eastAsia" w:cs="宋体" w:asciiTheme="minorEastAsia" w:hAnsiTheme="minorEastAsia" w:eastAsiaTheme="minorEastAsia"/>
          <w:color w:val="auto"/>
          <w:szCs w:val="21"/>
          <w:highlight w:val="none"/>
          <w:u w:val="single"/>
        </w:rPr>
        <w:t>叁亿玖仟叁佰万零捌仟贰佰叁拾肆元陆角整</w:t>
      </w:r>
      <w:r>
        <w:rPr>
          <w:rFonts w:cs="宋体" w:asciiTheme="minorEastAsia" w:hAnsiTheme="minorEastAsia" w:eastAsiaTheme="minorEastAsia"/>
          <w:color w:val="auto"/>
          <w:szCs w:val="21"/>
          <w:highlight w:val="none"/>
        </w:rPr>
        <w:t>，（小写）¥</w:t>
      </w:r>
      <w:r>
        <w:rPr>
          <w:rFonts w:hint="eastAsia" w:cs="宋体" w:asciiTheme="minorEastAsia" w:hAnsiTheme="minorEastAsia" w:eastAsiaTheme="minorEastAsia"/>
          <w:color w:val="auto"/>
          <w:szCs w:val="21"/>
          <w:highlight w:val="none"/>
          <w:u w:val="single"/>
        </w:rPr>
        <w:t>393008234.60</w:t>
      </w:r>
      <w:r>
        <w:rPr>
          <w:rFonts w:cs="宋体" w:asciiTheme="minorEastAsia" w:hAnsiTheme="minorEastAsia" w:eastAsiaTheme="minorEastAsia"/>
          <w:color w:val="auto"/>
          <w:szCs w:val="21"/>
          <w:highlight w:val="none"/>
        </w:rPr>
        <w:t>元。最终以结算为准。</w:t>
      </w:r>
      <w:r>
        <w:rPr>
          <w:rFonts w:hint="eastAsia" w:cs="宋体" w:asciiTheme="minorEastAsia" w:hAnsiTheme="minorEastAsia" w:eastAsiaTheme="minorEastAsia"/>
          <w:color w:val="auto"/>
          <w:spacing w:val="-4"/>
          <w:szCs w:val="21"/>
          <w:highlight w:val="none"/>
        </w:rPr>
        <w:t>其中合同</w:t>
      </w:r>
      <w:r>
        <w:rPr>
          <w:rFonts w:hint="eastAsia" w:cs="宋体" w:asciiTheme="minorEastAsia" w:hAnsiTheme="minorEastAsia" w:eastAsiaTheme="minorEastAsia"/>
          <w:color w:val="auto"/>
          <w:szCs w:val="21"/>
          <w:highlight w:val="none"/>
        </w:rPr>
        <w:t>含税</w:t>
      </w:r>
      <w:r>
        <w:rPr>
          <w:rFonts w:hint="eastAsia" w:cs="宋体" w:asciiTheme="minorEastAsia" w:hAnsiTheme="minorEastAsia" w:eastAsiaTheme="minorEastAsia"/>
          <w:color w:val="auto"/>
          <w:spacing w:val="-4"/>
          <w:szCs w:val="21"/>
          <w:highlight w:val="none"/>
        </w:rPr>
        <w:t>总价＝设计费＋建筑安装工程费+暂估价工程</w:t>
      </w:r>
      <w:r>
        <w:rPr>
          <w:rFonts w:cs="宋体" w:asciiTheme="minorEastAsia" w:hAnsiTheme="minorEastAsia" w:eastAsiaTheme="minorEastAsia"/>
          <w:color w:val="auto"/>
          <w:spacing w:val="-4"/>
          <w:szCs w:val="21"/>
          <w:highlight w:val="none"/>
        </w:rPr>
        <w:t>+暂列金额，具体如下：</w:t>
      </w:r>
    </w:p>
    <w:p w14:paraId="0F6AC6FF">
      <w:pPr>
        <w:adjustRightInd w:val="0"/>
        <w:snapToGrid w:val="0"/>
        <w:spacing w:line="360" w:lineRule="auto"/>
        <w:ind w:firstLine="420" w:firstLineChars="20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szCs w:val="21"/>
          <w:highlight w:val="none"/>
        </w:rPr>
        <w:t xml:space="preserve">    （1）含税设计费：（大写）人民币</w:t>
      </w:r>
      <w:r>
        <w:rPr>
          <w:rFonts w:hint="eastAsia" w:cs="宋体" w:asciiTheme="minorEastAsia" w:hAnsiTheme="minorEastAsia" w:eastAsiaTheme="minorEastAsia"/>
          <w:color w:val="auto"/>
          <w:szCs w:val="21"/>
          <w:highlight w:val="none"/>
          <w:u w:val="single"/>
          <w:lang w:eastAsia="zh-CN"/>
        </w:rPr>
        <w:t>叁佰捌拾肆万肆仟伍佰元整</w:t>
      </w:r>
      <w:r>
        <w:rPr>
          <w:rFonts w:cs="宋体" w:asciiTheme="minorEastAsia" w:hAnsiTheme="minorEastAsia" w:eastAsiaTheme="minorEastAsia"/>
          <w:color w:val="auto"/>
          <w:szCs w:val="21"/>
          <w:highlight w:val="none"/>
        </w:rPr>
        <w:t>，（小写）¥</w:t>
      </w:r>
      <w:r>
        <w:rPr>
          <w:rFonts w:hint="eastAsia" w:cs="宋体" w:asciiTheme="minorEastAsia" w:hAnsiTheme="minorEastAsia" w:eastAsiaTheme="minorEastAsia"/>
          <w:color w:val="auto"/>
          <w:szCs w:val="21"/>
          <w:highlight w:val="none"/>
          <w:u w:val="single"/>
        </w:rPr>
        <w:t>3844500.00</w:t>
      </w:r>
      <w:r>
        <w:rPr>
          <w:rFonts w:cs="宋体" w:asciiTheme="minorEastAsia" w:hAnsiTheme="minorEastAsia" w:eastAsiaTheme="minorEastAsia"/>
          <w:color w:val="auto"/>
          <w:szCs w:val="21"/>
          <w:highlight w:val="none"/>
        </w:rPr>
        <w:t>元；不含税设计费：（大写）人民币</w:t>
      </w:r>
      <w:r>
        <w:rPr>
          <w:rFonts w:hint="eastAsia" w:cs="宋体" w:asciiTheme="minorEastAsia" w:hAnsiTheme="minorEastAsia" w:eastAsiaTheme="minorEastAsia"/>
          <w:color w:val="auto"/>
          <w:szCs w:val="21"/>
          <w:highlight w:val="none"/>
          <w:u w:val="single"/>
          <w:lang w:eastAsia="zh-CN"/>
        </w:rPr>
        <w:t>叁佰陆拾贰万陆仟捌佰捌拾陆元柒角玖分</w:t>
      </w:r>
      <w:r>
        <w:rPr>
          <w:rFonts w:cs="宋体" w:asciiTheme="minorEastAsia" w:hAnsiTheme="minorEastAsia" w:eastAsiaTheme="minorEastAsia"/>
          <w:color w:val="auto"/>
          <w:szCs w:val="21"/>
          <w:highlight w:val="none"/>
        </w:rPr>
        <w:t>，（小写）¥</w:t>
      </w:r>
      <w:r>
        <w:rPr>
          <w:rFonts w:hint="eastAsia" w:cs="宋体" w:asciiTheme="minorEastAsia" w:hAnsiTheme="minorEastAsia" w:eastAsiaTheme="minorEastAsia"/>
          <w:color w:val="auto"/>
          <w:szCs w:val="21"/>
          <w:highlight w:val="none"/>
          <w:u w:val="single"/>
        </w:rPr>
        <w:t xml:space="preserve">3626886.79 </w:t>
      </w:r>
      <w:r>
        <w:rPr>
          <w:rFonts w:cs="宋体" w:asciiTheme="minorEastAsia" w:hAnsiTheme="minorEastAsia" w:eastAsiaTheme="minorEastAsia"/>
          <w:color w:val="auto"/>
          <w:szCs w:val="21"/>
          <w:highlight w:val="none"/>
        </w:rPr>
        <w:t>元；增值税税率</w:t>
      </w:r>
      <w:r>
        <w:rPr>
          <w:rFonts w:hint="eastAsia"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lang w:val="en-US" w:eastAsia="zh-CN"/>
        </w:rPr>
        <w:t>6</w:t>
      </w:r>
      <w:r>
        <w:rPr>
          <w:rFonts w:cs="宋体" w:asciiTheme="minorEastAsia" w:hAnsiTheme="minorEastAsia" w:eastAsiaTheme="minorEastAsia"/>
          <w:color w:val="auto"/>
          <w:szCs w:val="21"/>
          <w:highlight w:val="none"/>
        </w:rPr>
        <w:t xml:space="preserve"> %，增值税额：（大写）人民</w:t>
      </w:r>
      <w:r>
        <w:rPr>
          <w:rFonts w:hint="eastAsia" w:cs="宋体" w:asciiTheme="minorEastAsia" w:hAnsiTheme="minorEastAsia" w:eastAsiaTheme="minorEastAsia"/>
          <w:color w:val="auto"/>
          <w:szCs w:val="21"/>
          <w:highlight w:val="none"/>
        </w:rPr>
        <w:t>币</w:t>
      </w:r>
      <w:r>
        <w:rPr>
          <w:rFonts w:hint="eastAsia" w:cs="宋体" w:asciiTheme="minorEastAsia" w:hAnsiTheme="minorEastAsia" w:eastAsiaTheme="minorEastAsia"/>
          <w:color w:val="auto"/>
          <w:szCs w:val="21"/>
          <w:highlight w:val="none"/>
          <w:u w:val="single"/>
          <w:lang w:eastAsia="zh-CN"/>
        </w:rPr>
        <w:t>贰拾壹万柒仟陆佰壹拾叁元贰角壹分</w:t>
      </w:r>
      <w:r>
        <w:rPr>
          <w:rFonts w:cs="宋体" w:asciiTheme="minorEastAsia" w:hAnsiTheme="minorEastAsia" w:eastAsiaTheme="minorEastAsia"/>
          <w:color w:val="auto"/>
          <w:szCs w:val="21"/>
          <w:highlight w:val="none"/>
        </w:rPr>
        <w:t>，（小写）¥</w:t>
      </w:r>
      <w:r>
        <w:rPr>
          <w:rFonts w:hint="eastAsia" w:cs="宋体" w:asciiTheme="minorEastAsia" w:hAnsiTheme="minorEastAsia" w:eastAsiaTheme="minorEastAsia"/>
          <w:color w:val="auto"/>
          <w:szCs w:val="21"/>
          <w:highlight w:val="none"/>
          <w:u w:val="single"/>
        </w:rPr>
        <w:t xml:space="preserve">217613.21 </w:t>
      </w:r>
      <w:r>
        <w:rPr>
          <w:rFonts w:cs="宋体" w:asciiTheme="minorEastAsia" w:hAnsiTheme="minorEastAsia" w:eastAsiaTheme="minorEastAsia"/>
          <w:color w:val="auto"/>
          <w:szCs w:val="21"/>
          <w:highlight w:val="none"/>
        </w:rPr>
        <w:t>元。</w:t>
      </w:r>
      <w:r>
        <w:rPr>
          <w:rFonts w:hint="eastAsia" w:cs="宋体" w:asciiTheme="minorEastAsia" w:hAnsiTheme="minorEastAsia" w:eastAsiaTheme="minorEastAsia"/>
          <w:color w:val="auto"/>
          <w:kern w:val="0"/>
          <w:szCs w:val="21"/>
          <w:highlight w:val="none"/>
        </w:rPr>
        <w:t>设计费结算：采用固定总价包干方式，除合同另有约定外，对承包人提出的任何追加报价，发包人将不予考虑。</w:t>
      </w:r>
    </w:p>
    <w:p w14:paraId="77451DA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    （2）含税建筑安装工程费：（大写）人民币</w:t>
      </w:r>
      <w:r>
        <w:rPr>
          <w:rFonts w:hint="eastAsia" w:cs="宋体" w:asciiTheme="minorEastAsia" w:hAnsiTheme="minorEastAsia" w:eastAsiaTheme="minorEastAsia"/>
          <w:color w:val="auto"/>
          <w:szCs w:val="21"/>
          <w:highlight w:val="none"/>
          <w:u w:val="single"/>
          <w:lang w:eastAsia="zh-CN"/>
        </w:rPr>
        <w:t>贰亿肆仟柒佰贰拾玖万叁仟柒佰叁拾肆元陆角整</w:t>
      </w:r>
      <w:r>
        <w:rPr>
          <w:rFonts w:cs="宋体" w:asciiTheme="minorEastAsia" w:hAnsiTheme="minorEastAsia" w:eastAsiaTheme="minorEastAsia"/>
          <w:color w:val="auto"/>
          <w:szCs w:val="21"/>
          <w:highlight w:val="none"/>
        </w:rPr>
        <w:t>，（小写）¥</w:t>
      </w:r>
      <w:r>
        <w:rPr>
          <w:rFonts w:hint="eastAsia" w:cs="宋体" w:asciiTheme="minorEastAsia" w:hAnsiTheme="minorEastAsia" w:eastAsiaTheme="minorEastAsia"/>
          <w:color w:val="auto"/>
          <w:szCs w:val="21"/>
          <w:highlight w:val="none"/>
          <w:u w:val="single"/>
        </w:rPr>
        <w:t xml:space="preserve"> 247293734.60 </w:t>
      </w:r>
      <w:r>
        <w:rPr>
          <w:rFonts w:cs="宋体" w:asciiTheme="minorEastAsia" w:hAnsiTheme="minorEastAsia" w:eastAsiaTheme="minorEastAsia"/>
          <w:color w:val="auto"/>
          <w:szCs w:val="21"/>
          <w:highlight w:val="none"/>
        </w:rPr>
        <w:t>元；不含税建筑安装工程费：（大写）人民币</w:t>
      </w:r>
      <w:r>
        <w:rPr>
          <w:rFonts w:hint="eastAsia" w:cs="宋体" w:asciiTheme="minorEastAsia" w:hAnsiTheme="minorEastAsia" w:eastAsiaTheme="minorEastAsia"/>
          <w:color w:val="auto"/>
          <w:szCs w:val="21"/>
          <w:highlight w:val="none"/>
          <w:u w:val="single"/>
          <w:lang w:eastAsia="zh-CN"/>
        </w:rPr>
        <w:t>贰亿贰仟陆佰捌拾柒万肆仟玖佰捌拾伍元捌角柒分</w:t>
      </w:r>
      <w:r>
        <w:rPr>
          <w:rFonts w:cs="宋体" w:asciiTheme="minorEastAsia" w:hAnsiTheme="minorEastAsia" w:eastAsiaTheme="minorEastAsia"/>
          <w:color w:val="auto"/>
          <w:szCs w:val="21"/>
          <w:highlight w:val="none"/>
        </w:rPr>
        <w:t>，（小写）¥</w:t>
      </w:r>
      <w:r>
        <w:rPr>
          <w:rFonts w:hint="eastAsia" w:cs="宋体" w:asciiTheme="minorEastAsia" w:hAnsiTheme="minorEastAsia" w:eastAsiaTheme="minorEastAsia"/>
          <w:color w:val="auto"/>
          <w:szCs w:val="21"/>
          <w:highlight w:val="none"/>
          <w:u w:val="single"/>
        </w:rPr>
        <w:t xml:space="preserve">226874985.87 </w:t>
      </w:r>
      <w:r>
        <w:rPr>
          <w:rFonts w:cs="宋体" w:asciiTheme="minorEastAsia" w:hAnsiTheme="minorEastAsia" w:eastAsiaTheme="minorEastAsia"/>
          <w:color w:val="auto"/>
          <w:szCs w:val="21"/>
          <w:highlight w:val="none"/>
        </w:rPr>
        <w:t>元；增值税税率</w:t>
      </w:r>
      <w:r>
        <w:rPr>
          <w:rFonts w:hint="eastAsia"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lang w:val="en-US" w:eastAsia="zh-CN"/>
        </w:rPr>
        <w:t>9</w:t>
      </w:r>
      <w:r>
        <w:rPr>
          <w:rFonts w:cs="宋体" w:asciiTheme="minorEastAsia" w:hAnsiTheme="minorEastAsia" w:eastAsiaTheme="minorEastAsia"/>
          <w:color w:val="auto"/>
          <w:szCs w:val="21"/>
          <w:highlight w:val="none"/>
        </w:rPr>
        <w:t xml:space="preserve"> %，增值税额：（大写）人民币</w:t>
      </w:r>
      <w:bookmarkStart w:id="5" w:name="_Toc54862169"/>
      <w:r>
        <w:rPr>
          <w:rFonts w:hint="eastAsia" w:cs="宋体" w:asciiTheme="minorEastAsia" w:hAnsiTheme="minorEastAsia" w:eastAsiaTheme="minorEastAsia"/>
          <w:color w:val="auto"/>
          <w:szCs w:val="21"/>
          <w:highlight w:val="none"/>
          <w:u w:val="single"/>
          <w:lang w:eastAsia="zh-CN"/>
        </w:rPr>
        <w:t>贰仟零肆拾壹万捌仟柒佰肆拾捌元柒角叁分</w:t>
      </w:r>
      <w:r>
        <w:rPr>
          <w:rFonts w:cs="宋体" w:asciiTheme="minorEastAsia" w:hAnsiTheme="minorEastAsia" w:eastAsiaTheme="minorEastAsia"/>
          <w:color w:val="auto"/>
          <w:szCs w:val="21"/>
          <w:highlight w:val="none"/>
        </w:rPr>
        <w:t>，（小写）¥</w:t>
      </w:r>
      <w:r>
        <w:rPr>
          <w:rFonts w:hint="eastAsia" w:cs="宋体" w:asciiTheme="minorEastAsia" w:hAnsiTheme="minorEastAsia" w:eastAsiaTheme="minorEastAsia"/>
          <w:color w:val="auto"/>
          <w:szCs w:val="21"/>
          <w:highlight w:val="none"/>
          <w:u w:val="single"/>
        </w:rPr>
        <w:t>20418748.73</w:t>
      </w:r>
      <w:r>
        <w:rPr>
          <w:rFonts w:cs="宋体" w:asciiTheme="minorEastAsia" w:hAnsiTheme="minorEastAsia" w:eastAsiaTheme="minorEastAsia"/>
          <w:color w:val="auto"/>
          <w:szCs w:val="21"/>
          <w:highlight w:val="none"/>
        </w:rPr>
        <w:t>元</w:t>
      </w:r>
      <w:r>
        <w:rPr>
          <w:rFonts w:hint="eastAsia" w:cs="宋体" w:asciiTheme="minorEastAsia" w:hAnsiTheme="minorEastAsia" w:eastAsiaTheme="minorEastAsia"/>
          <w:color w:val="auto"/>
          <w:szCs w:val="21"/>
          <w:highlight w:val="none"/>
        </w:rPr>
        <w:t>。建筑安装</w:t>
      </w:r>
      <w:r>
        <w:rPr>
          <w:rFonts w:hint="eastAsia" w:cs="宋体" w:asciiTheme="minorEastAsia" w:hAnsiTheme="minorEastAsia" w:eastAsiaTheme="minorEastAsia"/>
          <w:color w:val="auto"/>
          <w:kern w:val="0"/>
          <w:szCs w:val="21"/>
          <w:highlight w:val="none"/>
        </w:rPr>
        <w:t>工程费结算</w:t>
      </w:r>
      <w:r>
        <w:rPr>
          <w:rFonts w:cs="宋体" w:asciiTheme="minorEastAsia" w:hAnsiTheme="minorEastAsia" w:eastAsiaTheme="minorEastAsia"/>
          <w:color w:val="auto"/>
          <w:kern w:val="0"/>
          <w:szCs w:val="21"/>
          <w:highlight w:val="none"/>
        </w:rPr>
        <w:t>=</w:t>
      </w:r>
      <w:r>
        <w:rPr>
          <w:rFonts w:hint="eastAsia" w:cs="宋体" w:asciiTheme="minorEastAsia" w:hAnsiTheme="minorEastAsia" w:eastAsiaTheme="minorEastAsia"/>
          <w:color w:val="auto"/>
          <w:szCs w:val="21"/>
          <w:highlight w:val="none"/>
        </w:rPr>
        <w:t>按合同约定的施工图预算计价原则计算、由</w:t>
      </w:r>
      <w:r>
        <w:rPr>
          <w:rFonts w:hint="eastAsia" w:cs="宋体" w:asciiTheme="minorEastAsia" w:hAnsiTheme="minorEastAsia" w:eastAsiaTheme="minorEastAsia"/>
          <w:color w:val="auto"/>
          <w:kern w:val="0"/>
          <w:szCs w:val="21"/>
          <w:highlight w:val="none"/>
        </w:rPr>
        <w:t>招标人确认的</w:t>
      </w:r>
      <w:r>
        <w:rPr>
          <w:rFonts w:hint="eastAsia" w:cs="宋体" w:asciiTheme="minorEastAsia" w:hAnsiTheme="minorEastAsia" w:eastAsiaTheme="minorEastAsia"/>
          <w:bCs/>
          <w:color w:val="auto"/>
          <w:szCs w:val="21"/>
          <w:highlight w:val="none"/>
        </w:rPr>
        <w:t>建筑安装工程费</w:t>
      </w:r>
      <w:r>
        <w:rPr>
          <w:rFonts w:hint="eastAsia" w:cs="宋体" w:asciiTheme="minorEastAsia" w:hAnsiTheme="minorEastAsia" w:eastAsiaTheme="minorEastAsia"/>
          <w:color w:val="auto"/>
          <w:szCs w:val="21"/>
          <w:highlight w:val="none"/>
        </w:rPr>
        <w:t>×</w:t>
      </w:r>
      <w:r>
        <w:rPr>
          <w:rFonts w:hint="eastAsia" w:cs="宋体" w:asciiTheme="minorEastAsia" w:hAnsiTheme="minorEastAsia" w:eastAsiaTheme="minorEastAsia"/>
          <w:bCs/>
          <w:color w:val="auto"/>
          <w:szCs w:val="21"/>
          <w:highlight w:val="none"/>
        </w:rPr>
        <w:t>建筑安装工程费折算率</w:t>
      </w:r>
      <w:r>
        <w:rPr>
          <w:rFonts w:hint="eastAsia" w:cs="宋体" w:asciiTheme="minorEastAsia" w:hAnsiTheme="minorEastAsia" w:eastAsiaTheme="minorEastAsia"/>
          <w:color w:val="auto"/>
          <w:kern w:val="0"/>
          <w:szCs w:val="21"/>
          <w:highlight w:val="none"/>
        </w:rPr>
        <w:t>。</w:t>
      </w:r>
      <w:r>
        <w:rPr>
          <w:rFonts w:hint="eastAsia" w:cs="宋体" w:asciiTheme="minorEastAsia" w:hAnsiTheme="minorEastAsia" w:eastAsiaTheme="minorEastAsia"/>
          <w:bCs/>
          <w:color w:val="auto"/>
          <w:szCs w:val="21"/>
          <w:highlight w:val="none"/>
        </w:rPr>
        <w:t>建筑安装工程费折算率</w:t>
      </w:r>
      <w:r>
        <w:rPr>
          <w:rFonts w:cs="宋体" w:asciiTheme="minorEastAsia" w:hAnsiTheme="minorEastAsia" w:eastAsiaTheme="minorEastAsia"/>
          <w:color w:val="auto"/>
          <w:kern w:val="0"/>
          <w:szCs w:val="21"/>
          <w:highlight w:val="none"/>
        </w:rPr>
        <w:t>=（建筑安装工程费投标报价/建筑安装工程费</w:t>
      </w:r>
      <w:r>
        <w:rPr>
          <w:rFonts w:hint="eastAsia" w:cs="宋体" w:asciiTheme="minorEastAsia" w:hAnsiTheme="minorEastAsia" w:eastAsiaTheme="minorEastAsia"/>
          <w:color w:val="auto"/>
          <w:szCs w:val="21"/>
          <w:highlight w:val="none"/>
        </w:rPr>
        <w:t>最高限价）×</w:t>
      </w:r>
      <w:r>
        <w:rPr>
          <w:rFonts w:cs="宋体" w:asciiTheme="minorEastAsia" w:hAnsiTheme="minorEastAsia" w:eastAsiaTheme="minorEastAsia"/>
          <w:color w:val="auto"/>
          <w:szCs w:val="21"/>
          <w:highlight w:val="none"/>
        </w:rPr>
        <w:t>100%。</w:t>
      </w:r>
    </w:p>
    <w:p w14:paraId="79E0279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pacing w:val="-4"/>
          <w:szCs w:val="21"/>
          <w:highlight w:val="none"/>
        </w:rPr>
        <w:t>暂估价工程</w:t>
      </w:r>
      <w:r>
        <w:rPr>
          <w:rFonts w:hint="eastAsia" w:cs="宋体" w:asciiTheme="minorEastAsia" w:hAnsiTheme="minorEastAsia" w:eastAsiaTheme="minorEastAsia"/>
          <w:color w:val="auto"/>
          <w:szCs w:val="21"/>
          <w:highlight w:val="none"/>
        </w:rPr>
        <w:t>（含税）</w:t>
      </w:r>
      <w:r>
        <w:rPr>
          <w:rFonts w:hint="eastAsia" w:cs="宋体" w:asciiTheme="minorEastAsia" w:hAnsiTheme="minorEastAsia" w:eastAsiaTheme="minorEastAsia"/>
          <w:color w:val="auto"/>
          <w:spacing w:val="-4"/>
          <w:szCs w:val="21"/>
          <w:highlight w:val="none"/>
        </w:rPr>
        <w:t>：</w:t>
      </w:r>
      <w:r>
        <w:rPr>
          <w:rFonts w:hint="eastAsia" w:cs="宋体" w:asciiTheme="minorEastAsia" w:hAnsiTheme="minorEastAsia" w:eastAsiaTheme="minorEastAsia"/>
          <w:color w:val="auto"/>
          <w:szCs w:val="21"/>
          <w:highlight w:val="none"/>
        </w:rPr>
        <w:t>（大写）人民币</w:t>
      </w:r>
      <w:r>
        <w:rPr>
          <w:rFonts w:hint="eastAsia" w:cs="宋体" w:asciiTheme="minorEastAsia" w:hAnsiTheme="minorEastAsia" w:eastAsiaTheme="minorEastAsia"/>
          <w:color w:val="auto"/>
          <w:szCs w:val="21"/>
          <w:highlight w:val="none"/>
          <w:u w:val="single"/>
          <w:lang w:eastAsia="zh-CN"/>
        </w:rPr>
        <w:t>壹亿叁仟肆佰捌拾柒万元整</w:t>
      </w:r>
      <w:r>
        <w:rPr>
          <w:rFonts w:cs="宋体" w:asciiTheme="minorEastAsia" w:hAnsiTheme="minorEastAsia" w:eastAsiaTheme="minorEastAsia"/>
          <w:color w:val="auto"/>
          <w:szCs w:val="21"/>
          <w:highlight w:val="none"/>
        </w:rPr>
        <w:t>，（小写）¥</w:t>
      </w:r>
      <w:r>
        <w:rPr>
          <w:rFonts w:hint="eastAsia" w:cs="宋体" w:asciiTheme="minorEastAsia" w:hAnsiTheme="minorEastAsia" w:eastAsiaTheme="minorEastAsia"/>
          <w:color w:val="auto"/>
          <w:szCs w:val="21"/>
          <w:highlight w:val="none"/>
          <w:u w:val="single"/>
        </w:rPr>
        <w:t>134870000.00</w:t>
      </w:r>
      <w:r>
        <w:rPr>
          <w:rFonts w:cs="宋体" w:asciiTheme="minorEastAsia" w:hAnsiTheme="minorEastAsia" w:eastAsiaTheme="minorEastAsia"/>
          <w:color w:val="auto"/>
          <w:szCs w:val="21"/>
          <w:highlight w:val="none"/>
        </w:rPr>
        <w:t>元</w:t>
      </w: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不含税</w:t>
      </w:r>
      <w:r>
        <w:rPr>
          <w:rFonts w:hint="eastAsia" w:cs="宋体" w:asciiTheme="minorEastAsia" w:hAnsiTheme="minorEastAsia" w:eastAsiaTheme="minorEastAsia"/>
          <w:color w:val="auto"/>
          <w:szCs w:val="21"/>
          <w:highlight w:val="none"/>
          <w:lang w:eastAsia="zh-CN"/>
        </w:rPr>
        <w:t>金额</w:t>
      </w:r>
      <w:r>
        <w:rPr>
          <w:rFonts w:cs="宋体" w:asciiTheme="minorEastAsia" w:hAnsiTheme="minorEastAsia" w:eastAsiaTheme="minorEastAsia"/>
          <w:color w:val="auto"/>
          <w:szCs w:val="21"/>
          <w:highlight w:val="none"/>
        </w:rPr>
        <w:t>：（大写）人民币</w:t>
      </w:r>
      <w:r>
        <w:rPr>
          <w:rFonts w:hint="eastAsia" w:cs="宋体" w:asciiTheme="minorEastAsia" w:hAnsiTheme="minorEastAsia" w:eastAsiaTheme="minorEastAsia"/>
          <w:color w:val="auto"/>
          <w:szCs w:val="21"/>
          <w:highlight w:val="none"/>
          <w:u w:val="single"/>
          <w:lang w:eastAsia="zh-CN"/>
        </w:rPr>
        <w:t>壹亿贰仟叁佰柒拾叁万叁仟玖佰肆拾肆元玖角伍分</w:t>
      </w:r>
      <w:r>
        <w:rPr>
          <w:rFonts w:cs="宋体" w:asciiTheme="minorEastAsia" w:hAnsiTheme="minorEastAsia" w:eastAsiaTheme="minorEastAsia"/>
          <w:color w:val="auto"/>
          <w:szCs w:val="21"/>
          <w:highlight w:val="none"/>
        </w:rPr>
        <w:t>，（小写）¥</w:t>
      </w:r>
      <w:r>
        <w:rPr>
          <w:rFonts w:hint="eastAsia" w:cs="宋体" w:asciiTheme="minorEastAsia" w:hAnsiTheme="minorEastAsia" w:eastAsiaTheme="minorEastAsia"/>
          <w:color w:val="auto"/>
          <w:szCs w:val="21"/>
          <w:highlight w:val="none"/>
          <w:u w:val="single"/>
        </w:rPr>
        <w:t xml:space="preserve">123733944.95 </w:t>
      </w:r>
      <w:r>
        <w:rPr>
          <w:rFonts w:cs="宋体" w:asciiTheme="minorEastAsia" w:hAnsiTheme="minorEastAsia" w:eastAsiaTheme="minorEastAsia"/>
          <w:color w:val="auto"/>
          <w:szCs w:val="21"/>
          <w:highlight w:val="none"/>
        </w:rPr>
        <w:t>元；增值税税率</w:t>
      </w:r>
      <w:r>
        <w:rPr>
          <w:rFonts w:hint="eastAsia"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lang w:val="en-US" w:eastAsia="zh-CN"/>
        </w:rPr>
        <w:t>9</w:t>
      </w:r>
      <w:r>
        <w:rPr>
          <w:rFonts w:cs="宋体" w:asciiTheme="minorEastAsia" w:hAnsiTheme="minorEastAsia" w:eastAsiaTheme="minorEastAsia"/>
          <w:color w:val="auto"/>
          <w:szCs w:val="21"/>
          <w:highlight w:val="none"/>
        </w:rPr>
        <w:t>%，增值税额：（大写）人民币</w:t>
      </w:r>
      <w:r>
        <w:rPr>
          <w:rFonts w:hint="eastAsia" w:cs="宋体" w:asciiTheme="minorEastAsia" w:hAnsiTheme="minorEastAsia" w:eastAsiaTheme="minorEastAsia"/>
          <w:color w:val="auto"/>
          <w:szCs w:val="21"/>
          <w:highlight w:val="none"/>
          <w:u w:val="single"/>
          <w:lang w:eastAsia="zh-CN"/>
        </w:rPr>
        <w:t>壹仟壹佰壹拾叁万陆仟零伍拾伍元零伍分</w:t>
      </w:r>
      <w:r>
        <w:rPr>
          <w:rFonts w:cs="宋体" w:asciiTheme="minorEastAsia" w:hAnsiTheme="minorEastAsia" w:eastAsiaTheme="minorEastAsia"/>
          <w:color w:val="auto"/>
          <w:szCs w:val="21"/>
          <w:highlight w:val="none"/>
        </w:rPr>
        <w:t>，（小写）¥</w:t>
      </w:r>
      <w:r>
        <w:rPr>
          <w:rFonts w:hint="eastAsia" w:cs="宋体" w:asciiTheme="minorEastAsia" w:hAnsiTheme="minorEastAsia" w:eastAsiaTheme="minorEastAsia"/>
          <w:color w:val="auto"/>
          <w:szCs w:val="21"/>
          <w:highlight w:val="none"/>
          <w:u w:val="single"/>
        </w:rPr>
        <w:t>11136055.05</w:t>
      </w:r>
      <w:r>
        <w:rPr>
          <w:rFonts w:cs="宋体" w:asciiTheme="minorEastAsia" w:hAnsiTheme="minorEastAsia" w:eastAsiaTheme="minorEastAsia"/>
          <w:color w:val="auto"/>
          <w:szCs w:val="21"/>
          <w:highlight w:val="none"/>
        </w:rPr>
        <w:t>元</w:t>
      </w:r>
      <w:r>
        <w:rPr>
          <w:rFonts w:hint="eastAsia" w:cs="宋体" w:asciiTheme="minorEastAsia" w:hAnsiTheme="minorEastAsia" w:eastAsiaTheme="minorEastAsia"/>
          <w:color w:val="auto"/>
          <w:szCs w:val="21"/>
          <w:highlight w:val="none"/>
        </w:rPr>
        <w:t>。</w:t>
      </w:r>
    </w:p>
    <w:p w14:paraId="5CD5DB9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w:t>
      </w:r>
      <w:r>
        <w:rPr>
          <w:rFonts w:hint="eastAsia" w:cs="宋体" w:asciiTheme="minorEastAsia" w:hAnsiTheme="minorEastAsia" w:eastAsiaTheme="minorEastAsia"/>
          <w:color w:val="auto"/>
          <w:spacing w:val="-4"/>
          <w:szCs w:val="21"/>
          <w:highlight w:val="none"/>
        </w:rPr>
        <w:t>暂列金额</w:t>
      </w:r>
      <w:r>
        <w:rPr>
          <w:rFonts w:hint="eastAsia" w:cs="宋体" w:asciiTheme="minorEastAsia" w:hAnsiTheme="minorEastAsia" w:eastAsiaTheme="minorEastAsia"/>
          <w:color w:val="auto"/>
          <w:szCs w:val="21"/>
          <w:highlight w:val="none"/>
        </w:rPr>
        <w:t>（含税）</w:t>
      </w:r>
      <w:r>
        <w:rPr>
          <w:rFonts w:hint="eastAsia" w:cs="宋体" w:asciiTheme="minorEastAsia" w:hAnsiTheme="minorEastAsia" w:eastAsiaTheme="minorEastAsia"/>
          <w:color w:val="auto"/>
          <w:spacing w:val="-4"/>
          <w:szCs w:val="21"/>
          <w:highlight w:val="none"/>
        </w:rPr>
        <w:t>：</w:t>
      </w:r>
      <w:r>
        <w:rPr>
          <w:rFonts w:hint="eastAsia" w:cs="宋体" w:asciiTheme="minorEastAsia" w:hAnsiTheme="minorEastAsia" w:eastAsiaTheme="minorEastAsia"/>
          <w:color w:val="auto"/>
          <w:szCs w:val="21"/>
          <w:highlight w:val="none"/>
        </w:rPr>
        <w:t>（大写）人民币</w:t>
      </w:r>
      <w:bookmarkStart w:id="6" w:name="_Hlk153717392"/>
      <w:bookmarkEnd w:id="6"/>
      <w:r>
        <w:rPr>
          <w:rFonts w:hint="eastAsia" w:cs="宋体" w:asciiTheme="minorEastAsia" w:hAnsiTheme="minorEastAsia" w:eastAsiaTheme="minorEastAsia"/>
          <w:color w:val="auto"/>
          <w:szCs w:val="21"/>
          <w:highlight w:val="none"/>
          <w:u w:val="single"/>
          <w:lang w:eastAsia="zh-CN"/>
        </w:rPr>
        <w:t>柒佰万元整</w:t>
      </w:r>
      <w:r>
        <w:rPr>
          <w:rFonts w:cs="宋体" w:asciiTheme="minorEastAsia" w:hAnsiTheme="minorEastAsia" w:eastAsiaTheme="minorEastAsia"/>
          <w:color w:val="auto"/>
          <w:szCs w:val="21"/>
          <w:highlight w:val="none"/>
        </w:rPr>
        <w:t>，（小写）¥</w:t>
      </w:r>
      <w:r>
        <w:rPr>
          <w:rFonts w:hint="eastAsia" w:cs="宋体" w:asciiTheme="minorEastAsia" w:hAnsiTheme="minorEastAsia" w:eastAsiaTheme="minorEastAsia"/>
          <w:color w:val="auto"/>
          <w:szCs w:val="21"/>
          <w:highlight w:val="none"/>
          <w:u w:val="single"/>
        </w:rPr>
        <w:t>7000000.00</w:t>
      </w:r>
      <w:r>
        <w:rPr>
          <w:rFonts w:cs="宋体" w:asciiTheme="minorEastAsia" w:hAnsiTheme="minorEastAsia" w:eastAsiaTheme="minorEastAsia"/>
          <w:color w:val="auto"/>
          <w:szCs w:val="21"/>
          <w:highlight w:val="none"/>
        </w:rPr>
        <w:t>元</w:t>
      </w: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不含税</w:t>
      </w:r>
      <w:r>
        <w:rPr>
          <w:rFonts w:hint="eastAsia" w:cs="宋体" w:asciiTheme="minorEastAsia" w:hAnsiTheme="minorEastAsia" w:eastAsiaTheme="minorEastAsia"/>
          <w:color w:val="auto"/>
          <w:szCs w:val="21"/>
          <w:highlight w:val="none"/>
          <w:lang w:eastAsia="zh-CN"/>
        </w:rPr>
        <w:t>金额</w:t>
      </w:r>
      <w:r>
        <w:rPr>
          <w:rFonts w:cs="宋体" w:asciiTheme="minorEastAsia" w:hAnsiTheme="minorEastAsia" w:eastAsiaTheme="minorEastAsia"/>
          <w:color w:val="auto"/>
          <w:szCs w:val="21"/>
          <w:highlight w:val="none"/>
        </w:rPr>
        <w:t>：（大写）人民币</w:t>
      </w:r>
      <w:r>
        <w:rPr>
          <w:rFonts w:hint="eastAsia" w:cs="宋体" w:asciiTheme="minorEastAsia" w:hAnsiTheme="minorEastAsia" w:eastAsiaTheme="minorEastAsia"/>
          <w:color w:val="auto"/>
          <w:szCs w:val="21"/>
          <w:highlight w:val="none"/>
          <w:u w:val="single"/>
          <w:lang w:eastAsia="zh-CN"/>
        </w:rPr>
        <w:t>陆佰肆拾贰万贰仟零壹拾捌元叁角伍分</w:t>
      </w:r>
      <w:r>
        <w:rPr>
          <w:rFonts w:cs="宋体" w:asciiTheme="minorEastAsia" w:hAnsiTheme="minorEastAsia" w:eastAsiaTheme="minorEastAsia"/>
          <w:color w:val="auto"/>
          <w:szCs w:val="21"/>
          <w:highlight w:val="none"/>
        </w:rPr>
        <w:t>，（小写）¥</w:t>
      </w:r>
      <w:r>
        <w:rPr>
          <w:rFonts w:hint="eastAsia" w:cs="宋体" w:asciiTheme="minorEastAsia" w:hAnsiTheme="minorEastAsia" w:eastAsiaTheme="minorEastAsia"/>
          <w:color w:val="auto"/>
          <w:szCs w:val="21"/>
          <w:highlight w:val="none"/>
          <w:u w:val="single"/>
        </w:rPr>
        <w:t>6422018.3</w:t>
      </w:r>
      <w:r>
        <w:rPr>
          <w:rFonts w:hint="eastAsia" w:cs="宋体" w:asciiTheme="minorEastAsia" w:hAnsiTheme="minorEastAsia" w:eastAsiaTheme="minorEastAsia"/>
          <w:color w:val="auto"/>
          <w:szCs w:val="21"/>
          <w:highlight w:val="none"/>
          <w:u w:val="single"/>
          <w:lang w:val="en-US" w:eastAsia="zh-CN"/>
        </w:rPr>
        <w:t>5</w:t>
      </w:r>
      <w:r>
        <w:rPr>
          <w:rFonts w:cs="宋体" w:asciiTheme="minorEastAsia" w:hAnsiTheme="minorEastAsia" w:eastAsiaTheme="minorEastAsia"/>
          <w:color w:val="auto"/>
          <w:szCs w:val="21"/>
          <w:highlight w:val="none"/>
        </w:rPr>
        <w:t>元；增值税税率</w:t>
      </w:r>
      <w:r>
        <w:rPr>
          <w:rFonts w:hint="eastAsia"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lang w:val="en-US" w:eastAsia="zh-CN"/>
        </w:rPr>
        <w:t>9</w:t>
      </w:r>
      <w:r>
        <w:rPr>
          <w:rFonts w:cs="宋体" w:asciiTheme="minorEastAsia" w:hAnsiTheme="minorEastAsia" w:eastAsiaTheme="minorEastAsia"/>
          <w:color w:val="auto"/>
          <w:szCs w:val="21"/>
          <w:highlight w:val="none"/>
        </w:rPr>
        <w:t xml:space="preserve"> %，增值税额：（大写）人民币</w:t>
      </w:r>
      <w:r>
        <w:rPr>
          <w:rFonts w:hint="eastAsia" w:cs="宋体" w:asciiTheme="minorEastAsia" w:hAnsiTheme="minorEastAsia" w:eastAsiaTheme="minorEastAsia"/>
          <w:color w:val="auto"/>
          <w:szCs w:val="21"/>
          <w:highlight w:val="none"/>
          <w:u w:val="single"/>
          <w:lang w:eastAsia="zh-CN"/>
        </w:rPr>
        <w:t>伍拾柒万柒仟玖佰捌拾壹元陆角伍分</w:t>
      </w:r>
      <w:r>
        <w:rPr>
          <w:rFonts w:cs="宋体" w:asciiTheme="minorEastAsia" w:hAnsiTheme="minorEastAsia" w:eastAsiaTheme="minorEastAsia"/>
          <w:color w:val="auto"/>
          <w:szCs w:val="21"/>
          <w:highlight w:val="none"/>
        </w:rPr>
        <w:t>，（小写）¥</w:t>
      </w:r>
      <w:r>
        <w:rPr>
          <w:rFonts w:hint="eastAsia" w:cs="宋体" w:asciiTheme="minorEastAsia" w:hAnsiTheme="minorEastAsia" w:eastAsiaTheme="minorEastAsia"/>
          <w:color w:val="auto"/>
          <w:szCs w:val="21"/>
          <w:highlight w:val="none"/>
          <w:u w:val="single"/>
        </w:rPr>
        <w:t>577981.65</w:t>
      </w:r>
      <w:r>
        <w:rPr>
          <w:rFonts w:cs="宋体" w:asciiTheme="minorEastAsia" w:hAnsiTheme="minorEastAsia" w:eastAsiaTheme="minorEastAsia"/>
          <w:color w:val="auto"/>
          <w:szCs w:val="21"/>
          <w:highlight w:val="none"/>
        </w:rPr>
        <w:t>元</w:t>
      </w:r>
      <w:r>
        <w:rPr>
          <w:rFonts w:hint="eastAsia" w:cs="宋体" w:asciiTheme="minorEastAsia" w:hAnsiTheme="minorEastAsia" w:eastAsiaTheme="minorEastAsia"/>
          <w:color w:val="auto"/>
          <w:szCs w:val="21"/>
          <w:highlight w:val="none"/>
        </w:rPr>
        <w:t>。</w:t>
      </w:r>
    </w:p>
    <w:p w14:paraId="48FA635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五、工程总承包项目经理</w:t>
      </w:r>
      <w:bookmarkEnd w:id="5"/>
    </w:p>
    <w:p w14:paraId="1453827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工程总承包项目经理：</w:t>
      </w:r>
      <w:r>
        <w:rPr>
          <w:rFonts w:hint="eastAsia" w:cs="宋体" w:asciiTheme="minorEastAsia" w:hAnsiTheme="minorEastAsia" w:eastAsiaTheme="minorEastAsia"/>
          <w:color w:val="auto"/>
          <w:szCs w:val="21"/>
          <w:highlight w:val="none"/>
          <w:u w:val="single"/>
        </w:rPr>
        <w:t>吕朝江 电话 ：18660405929</w:t>
      </w:r>
      <w:r>
        <w:rPr>
          <w:rFonts w:hint="eastAsia" w:cs="宋体" w:asciiTheme="minorEastAsia" w:hAnsiTheme="minorEastAsia" w:eastAsiaTheme="minorEastAsia"/>
          <w:color w:val="auto"/>
          <w:szCs w:val="21"/>
          <w:highlight w:val="none"/>
        </w:rPr>
        <w:t>。</w:t>
      </w:r>
    </w:p>
    <w:p w14:paraId="0ED8634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7" w:name="_Toc54862170"/>
      <w:r>
        <w:rPr>
          <w:rFonts w:hint="eastAsia" w:cs="宋体" w:asciiTheme="minorEastAsia" w:hAnsiTheme="minorEastAsia" w:eastAsiaTheme="minorEastAsia"/>
          <w:color w:val="auto"/>
          <w:szCs w:val="21"/>
          <w:highlight w:val="none"/>
        </w:rPr>
        <w:t>六、合同文件构成</w:t>
      </w:r>
      <w:bookmarkEnd w:id="7"/>
    </w:p>
    <w:p w14:paraId="4775C41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本协议书与下列文件一起构成合同文件：</w:t>
      </w:r>
    </w:p>
    <w:p w14:paraId="7ED90E0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 xml:space="preserve">1） </w:t>
      </w:r>
      <w:r>
        <w:rPr>
          <w:rFonts w:hint="eastAsia" w:cs="宋体" w:asciiTheme="minorEastAsia" w:hAnsiTheme="minorEastAsia" w:eastAsiaTheme="minorEastAsia"/>
          <w:color w:val="auto"/>
          <w:szCs w:val="21"/>
          <w:highlight w:val="none"/>
        </w:rPr>
        <w:t>中标通知书；</w:t>
      </w:r>
    </w:p>
    <w:p w14:paraId="0183575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 xml:space="preserve">2） </w:t>
      </w:r>
      <w:r>
        <w:rPr>
          <w:rFonts w:hint="eastAsia" w:cs="宋体" w:asciiTheme="minorEastAsia" w:hAnsiTheme="minorEastAsia" w:eastAsiaTheme="minorEastAsia"/>
          <w:color w:val="auto"/>
          <w:szCs w:val="21"/>
          <w:highlight w:val="none"/>
        </w:rPr>
        <w:t>投标函及投标函附录；</w:t>
      </w:r>
    </w:p>
    <w:p w14:paraId="5B11802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 xml:space="preserve">3） </w:t>
      </w:r>
      <w:r>
        <w:rPr>
          <w:rFonts w:hint="eastAsia" w:cs="宋体" w:asciiTheme="minorEastAsia" w:hAnsiTheme="minorEastAsia" w:eastAsiaTheme="minorEastAsia"/>
          <w:color w:val="auto"/>
          <w:szCs w:val="21"/>
          <w:highlight w:val="none"/>
        </w:rPr>
        <w:t>专用合同条件及《发包人要求》等附件；</w:t>
      </w:r>
    </w:p>
    <w:p w14:paraId="216A2B8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 xml:space="preserve">4） </w:t>
      </w:r>
      <w:r>
        <w:rPr>
          <w:rFonts w:hint="eastAsia" w:cs="宋体" w:asciiTheme="minorEastAsia" w:hAnsiTheme="minorEastAsia" w:eastAsiaTheme="minorEastAsia"/>
          <w:color w:val="auto"/>
          <w:szCs w:val="21"/>
          <w:highlight w:val="none"/>
        </w:rPr>
        <w:t>通用合同条件；</w:t>
      </w:r>
    </w:p>
    <w:p w14:paraId="3EE7020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 xml:space="preserve">5） 承包人建议书； </w:t>
      </w:r>
    </w:p>
    <w:p w14:paraId="5CE475F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 xml:space="preserve">6） </w:t>
      </w:r>
      <w:r>
        <w:rPr>
          <w:rFonts w:hint="eastAsia" w:cs="宋体" w:asciiTheme="minorEastAsia" w:hAnsiTheme="minorEastAsia" w:eastAsiaTheme="minorEastAsia"/>
          <w:color w:val="auto"/>
          <w:szCs w:val="21"/>
          <w:highlight w:val="none"/>
        </w:rPr>
        <w:t>价格清单；</w:t>
      </w:r>
    </w:p>
    <w:p w14:paraId="43CBD3E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 xml:space="preserve">7） </w:t>
      </w:r>
      <w:r>
        <w:rPr>
          <w:rFonts w:hint="eastAsia" w:cs="宋体" w:asciiTheme="minorEastAsia" w:hAnsiTheme="minorEastAsia" w:eastAsiaTheme="minorEastAsia"/>
          <w:color w:val="auto"/>
          <w:szCs w:val="21"/>
          <w:highlight w:val="none"/>
        </w:rPr>
        <w:t>双方约定的其他合同文件。</w:t>
      </w:r>
    </w:p>
    <w:p w14:paraId="45C5553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上述各项合同文件包括双方就该项合同文件所作出的补充和修改，属于同一类内容的合同文件应以最新签署的为准。专用合同条件及其附件须经合同当事人签字或盖章。</w:t>
      </w:r>
    </w:p>
    <w:p w14:paraId="65F7CF3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8" w:name="_Toc54862171"/>
      <w:r>
        <w:rPr>
          <w:rFonts w:hint="eastAsia" w:cs="宋体" w:asciiTheme="minorEastAsia" w:hAnsiTheme="minorEastAsia" w:eastAsiaTheme="minorEastAsia"/>
          <w:color w:val="auto"/>
          <w:szCs w:val="21"/>
          <w:highlight w:val="none"/>
        </w:rPr>
        <w:t>七、承诺</w:t>
      </w:r>
      <w:bookmarkEnd w:id="8"/>
    </w:p>
    <w:p w14:paraId="42C9FDE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 </w:t>
      </w:r>
      <w:r>
        <w:rPr>
          <w:rFonts w:hint="eastAsia" w:cs="宋体" w:asciiTheme="minorEastAsia" w:hAnsiTheme="minorEastAsia" w:eastAsiaTheme="minorEastAsia"/>
          <w:color w:val="auto"/>
          <w:szCs w:val="21"/>
          <w:highlight w:val="none"/>
        </w:rPr>
        <w:t>发包人承诺按照法律规定履行项目审批手续、筹集工程建设资金并按照合同约定的期限和方式支付合同价款。</w:t>
      </w:r>
    </w:p>
    <w:p w14:paraId="0AC3D22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2. </w:t>
      </w:r>
      <w:r>
        <w:rPr>
          <w:rFonts w:hint="eastAsia" w:cs="宋体" w:asciiTheme="minorEastAsia" w:hAnsiTheme="minorEastAsia" w:eastAsiaTheme="minorEastAsia"/>
          <w:color w:val="auto"/>
          <w:szCs w:val="21"/>
          <w:highlight w:val="none"/>
        </w:rPr>
        <w:t>承包人承诺按照法律规定及合同约定组织完成工程的设计、施工及采购等工作，确保工程质量和安全，不进行转包及违法分包，并在缺陷责任期及缺陷责任期内承担相应的工程维修责任。</w:t>
      </w:r>
    </w:p>
    <w:p w14:paraId="53AA1CE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9" w:name="_Toc54862172"/>
      <w:r>
        <w:rPr>
          <w:rFonts w:hint="eastAsia" w:cs="宋体" w:asciiTheme="minorEastAsia" w:hAnsiTheme="minorEastAsia" w:eastAsiaTheme="minorEastAsia"/>
          <w:color w:val="auto"/>
          <w:szCs w:val="21"/>
          <w:highlight w:val="none"/>
        </w:rPr>
        <w:t>八、订立时间</w:t>
      </w:r>
      <w:bookmarkEnd w:id="9"/>
    </w:p>
    <w:p w14:paraId="731CD40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本合同于</w:t>
      </w:r>
      <w:r>
        <w:rPr>
          <w:rFonts w:hint="eastAsia" w:cs="宋体" w:asciiTheme="minorEastAsia" w:hAnsiTheme="minorEastAsia" w:eastAsiaTheme="minorEastAsia"/>
          <w:color w:val="auto"/>
          <w:szCs w:val="21"/>
          <w:highlight w:val="none"/>
          <w:lang w:val="en-US" w:eastAsia="zh-CN"/>
        </w:rPr>
        <w:t>2025</w:t>
      </w:r>
      <w:r>
        <w:rPr>
          <w:rFonts w:hint="eastAsia" w:cs="宋体" w:asciiTheme="minorEastAsia" w:hAnsiTheme="minorEastAsia" w:eastAsiaTheme="minorEastAsia"/>
          <w:color w:val="auto"/>
          <w:szCs w:val="21"/>
          <w:highlight w:val="none"/>
        </w:rPr>
        <w:t>年 月  日订立。</w:t>
      </w:r>
    </w:p>
    <w:p w14:paraId="181B0D0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0" w:name="_Toc54862173"/>
      <w:r>
        <w:rPr>
          <w:rFonts w:hint="eastAsia" w:cs="宋体" w:asciiTheme="minorEastAsia" w:hAnsiTheme="minorEastAsia" w:eastAsiaTheme="minorEastAsia"/>
          <w:color w:val="auto"/>
          <w:szCs w:val="21"/>
          <w:highlight w:val="none"/>
        </w:rPr>
        <w:t>九、订立地点</w:t>
      </w:r>
      <w:bookmarkEnd w:id="10"/>
    </w:p>
    <w:p w14:paraId="43977E2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本合同在</w:t>
      </w:r>
      <w:r>
        <w:rPr>
          <w:rFonts w:hint="eastAsia"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lang w:val="en-US" w:eastAsia="zh-CN"/>
        </w:rPr>
        <w:t xml:space="preserve">西安市 </w:t>
      </w:r>
      <w:r>
        <w:rPr>
          <w:rFonts w:hint="eastAsia"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订立。</w:t>
      </w:r>
    </w:p>
    <w:p w14:paraId="695AB11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1" w:name="_Toc54862174"/>
      <w:r>
        <w:rPr>
          <w:rFonts w:hint="eastAsia" w:cs="宋体" w:asciiTheme="minorEastAsia" w:hAnsiTheme="minorEastAsia" w:eastAsiaTheme="minorEastAsia"/>
          <w:color w:val="auto"/>
          <w:szCs w:val="21"/>
          <w:highlight w:val="none"/>
        </w:rPr>
        <w:t>十、合同生效</w:t>
      </w:r>
      <w:bookmarkEnd w:id="11"/>
    </w:p>
    <w:p w14:paraId="41259BD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本合同自发包人和承包人的法定代表人或其委托代理人在协议书上签字并加盖各自单位公章后生效。</w:t>
      </w:r>
    </w:p>
    <w:p w14:paraId="2916A93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2" w:name="_Toc54862175"/>
      <w:r>
        <w:rPr>
          <w:rFonts w:hint="eastAsia" w:cs="宋体" w:asciiTheme="minorEastAsia" w:hAnsiTheme="minorEastAsia" w:eastAsiaTheme="minorEastAsia"/>
          <w:color w:val="auto"/>
          <w:szCs w:val="21"/>
          <w:highlight w:val="none"/>
        </w:rPr>
        <w:t>十一、合同份数</w:t>
      </w:r>
      <w:bookmarkEnd w:id="12"/>
    </w:p>
    <w:p w14:paraId="40B90A9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本合同一式</w:t>
      </w:r>
      <w:r>
        <w:rPr>
          <w:rFonts w:hint="eastAsia" w:cs="宋体" w:asciiTheme="minorEastAsia" w:hAnsiTheme="minorEastAsia" w:eastAsiaTheme="minorEastAsia"/>
          <w:color w:val="auto"/>
          <w:szCs w:val="21"/>
          <w:highlight w:val="none"/>
          <w:u w:val="single"/>
        </w:rPr>
        <w:t xml:space="preserve"> 拾陆 </w:t>
      </w:r>
      <w:r>
        <w:rPr>
          <w:rFonts w:hint="eastAsia" w:cs="宋体" w:asciiTheme="minorEastAsia" w:hAnsiTheme="minorEastAsia" w:eastAsiaTheme="minorEastAsia"/>
          <w:color w:val="auto"/>
          <w:szCs w:val="21"/>
          <w:highlight w:val="none"/>
        </w:rPr>
        <w:t>份，均具有同等法律效力，发包人执</w:t>
      </w:r>
      <w:r>
        <w:rPr>
          <w:rFonts w:hint="eastAsia" w:cs="宋体" w:asciiTheme="minorEastAsia" w:hAnsiTheme="minorEastAsia" w:eastAsiaTheme="minorEastAsia"/>
          <w:color w:val="auto"/>
          <w:szCs w:val="21"/>
          <w:highlight w:val="none"/>
          <w:u w:val="single"/>
        </w:rPr>
        <w:t xml:space="preserve"> 玖 </w:t>
      </w:r>
      <w:r>
        <w:rPr>
          <w:rFonts w:hint="eastAsia" w:cs="宋体" w:asciiTheme="minorEastAsia" w:hAnsiTheme="minorEastAsia" w:eastAsiaTheme="minorEastAsia"/>
          <w:color w:val="auto"/>
          <w:szCs w:val="21"/>
          <w:highlight w:val="none"/>
        </w:rPr>
        <w:t>份，承包人执</w:t>
      </w:r>
      <w:r>
        <w:rPr>
          <w:rFonts w:hint="eastAsia" w:cs="宋体" w:asciiTheme="minorEastAsia" w:hAnsiTheme="minorEastAsia" w:eastAsiaTheme="minorEastAsia"/>
          <w:color w:val="auto"/>
          <w:szCs w:val="21"/>
          <w:highlight w:val="none"/>
          <w:u w:val="single"/>
        </w:rPr>
        <w:t xml:space="preserve"> 柒 </w:t>
      </w:r>
      <w:r>
        <w:rPr>
          <w:rFonts w:hint="eastAsia" w:cs="宋体" w:asciiTheme="minorEastAsia" w:hAnsiTheme="minorEastAsia" w:eastAsiaTheme="minorEastAsia"/>
          <w:color w:val="auto"/>
          <w:szCs w:val="21"/>
          <w:highlight w:val="none"/>
        </w:rPr>
        <w:t>份。</w:t>
      </w:r>
    </w:p>
    <w:tbl>
      <w:tblPr>
        <w:tblStyle w:val="56"/>
        <w:tblpPr w:leftFromText="180" w:rightFromText="180" w:vertAnchor="text" w:horzAnchor="page" w:tblpX="1393" w:tblpY="185"/>
        <w:tblW w:w="9747" w:type="dxa"/>
        <w:tblInd w:w="0" w:type="dxa"/>
        <w:tblLayout w:type="fixed"/>
        <w:tblCellMar>
          <w:top w:w="0" w:type="dxa"/>
          <w:left w:w="108" w:type="dxa"/>
          <w:bottom w:w="0" w:type="dxa"/>
          <w:right w:w="108" w:type="dxa"/>
        </w:tblCellMar>
      </w:tblPr>
      <w:tblGrid>
        <w:gridCol w:w="4825"/>
        <w:gridCol w:w="4922"/>
      </w:tblGrid>
      <w:tr w14:paraId="3D0B6EC0">
        <w:tblPrEx>
          <w:tblCellMar>
            <w:top w:w="0" w:type="dxa"/>
            <w:left w:w="108" w:type="dxa"/>
            <w:bottom w:w="0" w:type="dxa"/>
            <w:right w:w="108" w:type="dxa"/>
          </w:tblCellMar>
        </w:tblPrEx>
        <w:trPr>
          <w:trHeight w:val="967" w:hRule="atLeast"/>
        </w:trPr>
        <w:tc>
          <w:tcPr>
            <w:tcW w:w="4825" w:type="dxa"/>
            <w:vAlign w:val="top"/>
          </w:tcPr>
          <w:p w14:paraId="681631B3">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jc w:val="both"/>
              <w:outlineLvl w:val="9"/>
              <w:rPr>
                <w:rFonts w:hint="eastAsia" w:cs="宋体" w:asciiTheme="minorEastAsia" w:hAnsiTheme="minorEastAsia" w:eastAsiaTheme="minorEastAsia"/>
                <w:snapToGrid w:val="0"/>
                <w:color w:val="auto"/>
                <w:kern w:val="0"/>
                <w:sz w:val="21"/>
                <w:szCs w:val="21"/>
                <w:highlight w:val="none"/>
                <w:u w:val="single"/>
                <w:lang w:eastAsia="zh-CN"/>
              </w:rPr>
            </w:pPr>
            <w:r>
              <w:rPr>
                <w:rFonts w:hint="eastAsia" w:cs="宋体" w:asciiTheme="minorEastAsia" w:hAnsiTheme="minorEastAsia" w:eastAsiaTheme="minorEastAsia"/>
                <w:color w:val="auto"/>
                <w:sz w:val="21"/>
                <w:szCs w:val="21"/>
                <w:highlight w:val="none"/>
              </w:rPr>
              <w:t>发包人：</w:t>
            </w:r>
            <w:r>
              <w:rPr>
                <w:rFonts w:hint="eastAsia" w:cs="宋体" w:asciiTheme="minorEastAsia" w:hAnsiTheme="minorEastAsia" w:eastAsiaTheme="minorEastAsia"/>
                <w:color w:val="auto"/>
                <w:sz w:val="21"/>
                <w:szCs w:val="21"/>
                <w:highlight w:val="none"/>
                <w:lang w:eastAsia="zh-CN"/>
              </w:rPr>
              <w:t>西安经发景弘项目开发有限公司</w:t>
            </w:r>
          </w:p>
          <w:p w14:paraId="4DC687B5">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firstLineChars="0"/>
              <w:jc w:val="both"/>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（公章或合同专用章）</w:t>
            </w:r>
          </w:p>
        </w:tc>
        <w:tc>
          <w:tcPr>
            <w:tcW w:w="4922" w:type="dxa"/>
          </w:tcPr>
          <w:p w14:paraId="5E4A3DA4">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jc w:val="both"/>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承包人</w:t>
            </w:r>
            <w:r>
              <w:rPr>
                <w:rFonts w:hint="eastAsia" w:cs="宋体" w:asciiTheme="minorEastAsia" w:hAnsiTheme="minorEastAsia" w:eastAsiaTheme="minorEastAsia"/>
                <w:color w:val="auto"/>
                <w:sz w:val="21"/>
                <w:szCs w:val="21"/>
                <w:highlight w:val="none"/>
                <w:lang w:eastAsia="zh-CN"/>
              </w:rPr>
              <w:t>（联合体牵头人）</w:t>
            </w:r>
            <w:r>
              <w:rPr>
                <w:rFonts w:hint="eastAsia" w:cs="宋体" w:asciiTheme="minorEastAsia" w:hAnsiTheme="minorEastAsia" w:eastAsiaTheme="minorEastAsia"/>
                <w:color w:val="auto"/>
                <w:sz w:val="21"/>
                <w:szCs w:val="21"/>
                <w:highlight w:val="none"/>
              </w:rPr>
              <w:t>：中建八局第二建设有限公司（公章或合同专用章）</w:t>
            </w:r>
          </w:p>
        </w:tc>
      </w:tr>
      <w:tr w14:paraId="7470BF62">
        <w:tblPrEx>
          <w:tblCellMar>
            <w:top w:w="0" w:type="dxa"/>
            <w:left w:w="108" w:type="dxa"/>
            <w:bottom w:w="0" w:type="dxa"/>
            <w:right w:w="108" w:type="dxa"/>
          </w:tblCellMar>
        </w:tblPrEx>
        <w:trPr>
          <w:trHeight w:val="614" w:hRule="atLeast"/>
        </w:trPr>
        <w:tc>
          <w:tcPr>
            <w:tcW w:w="4825" w:type="dxa"/>
            <w:vAlign w:val="top"/>
          </w:tcPr>
          <w:p w14:paraId="3A054AC0">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firstLineChars="0"/>
              <w:jc w:val="both"/>
              <w:outlineLvl w:val="9"/>
              <w:rPr>
                <w:rFonts w:cs="宋体" w:asciiTheme="minorEastAsia" w:hAnsiTheme="minorEastAsia" w:eastAsiaTheme="minorEastAsia"/>
                <w:color w:val="auto"/>
                <w:sz w:val="21"/>
                <w:szCs w:val="21"/>
                <w:highlight w:val="none"/>
                <w:u w:val="single"/>
              </w:rPr>
            </w:pPr>
            <w:r>
              <w:rPr>
                <w:rFonts w:hint="eastAsia" w:cs="宋体" w:asciiTheme="minorEastAsia" w:hAnsiTheme="minorEastAsia" w:eastAsiaTheme="minorEastAsia"/>
                <w:color w:val="auto"/>
                <w:sz w:val="21"/>
                <w:szCs w:val="21"/>
                <w:highlight w:val="none"/>
              </w:rPr>
              <w:t>法定代表人或其委托代理人：（签章）</w:t>
            </w:r>
          </w:p>
        </w:tc>
        <w:tc>
          <w:tcPr>
            <w:tcW w:w="4922" w:type="dxa"/>
          </w:tcPr>
          <w:p w14:paraId="5A0DBB9C">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jc w:val="both"/>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法定代表人或其委托代理人：（签章）</w:t>
            </w:r>
          </w:p>
        </w:tc>
      </w:tr>
      <w:tr w14:paraId="68F6923C">
        <w:tblPrEx>
          <w:tblCellMar>
            <w:top w:w="0" w:type="dxa"/>
            <w:left w:w="108" w:type="dxa"/>
            <w:bottom w:w="0" w:type="dxa"/>
            <w:right w:w="108" w:type="dxa"/>
          </w:tblCellMar>
        </w:tblPrEx>
        <w:trPr>
          <w:trHeight w:val="2833" w:hRule="atLeast"/>
        </w:trPr>
        <w:tc>
          <w:tcPr>
            <w:tcW w:w="4825" w:type="dxa"/>
            <w:vAlign w:val="top"/>
          </w:tcPr>
          <w:p w14:paraId="055AED55">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firstLineChars="0"/>
              <w:jc w:val="both"/>
              <w:outlineLvl w:val="9"/>
              <w:rPr>
                <w:rFonts w:hint="eastAsia" w:cs="宋体" w:asciiTheme="minorEastAsia" w:hAnsiTheme="minorEastAsia" w:eastAsiaTheme="minorEastAsia"/>
                <w:color w:val="auto"/>
                <w:sz w:val="21"/>
                <w:szCs w:val="21"/>
                <w:highlight w:val="none"/>
                <w:lang w:val="en-US" w:eastAsia="zh-CN"/>
              </w:rPr>
            </w:pPr>
            <w:r>
              <w:rPr>
                <w:rFonts w:hint="eastAsia" w:cs="宋体" w:asciiTheme="minorEastAsia" w:hAnsiTheme="minorEastAsia" w:eastAsiaTheme="minorEastAsia"/>
                <w:color w:val="auto"/>
                <w:sz w:val="21"/>
                <w:szCs w:val="21"/>
                <w:highlight w:val="none"/>
              </w:rPr>
              <w:t>统一社会信用代码：</w:t>
            </w:r>
            <w:r>
              <w:rPr>
                <w:rFonts w:hint="eastAsia" w:cs="宋体" w:asciiTheme="minorEastAsia" w:hAnsiTheme="minorEastAsia" w:eastAsiaTheme="minorEastAsia"/>
                <w:color w:val="auto"/>
                <w:sz w:val="21"/>
                <w:szCs w:val="21"/>
                <w:highlight w:val="none"/>
                <w:lang w:val="en-US" w:eastAsia="zh-CN"/>
              </w:rPr>
              <w:t>91610132MAE6HQ4M7W </w:t>
            </w:r>
          </w:p>
          <w:p w14:paraId="753753D4">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firstLineChars="0"/>
              <w:jc w:val="both"/>
              <w:outlineLvl w:val="9"/>
              <w:rPr>
                <w:rFonts w:hint="eastAsia" w:cs="宋体" w:asciiTheme="minorEastAsia" w:hAnsiTheme="minorEastAsia" w:eastAsiaTheme="minorEastAsia"/>
                <w:color w:val="auto"/>
                <w:sz w:val="21"/>
                <w:szCs w:val="21"/>
                <w:highlight w:val="none"/>
                <w:lang w:val="en-US" w:eastAsia="zh-CN"/>
              </w:rPr>
            </w:pPr>
            <w:r>
              <w:rPr>
                <w:rFonts w:hint="eastAsia" w:cs="宋体" w:asciiTheme="minorEastAsia" w:hAnsiTheme="minorEastAsia" w:eastAsiaTheme="minorEastAsia"/>
                <w:color w:val="auto"/>
                <w:sz w:val="21"/>
                <w:szCs w:val="21"/>
                <w:highlight w:val="none"/>
                <w:lang w:val="en-US" w:eastAsia="zh-CN"/>
              </w:rPr>
              <w:t>地址：陕西省西安市经济技术开发区凤城二路经发大厦 1幢11301室</w:t>
            </w:r>
          </w:p>
          <w:p w14:paraId="4F7CB8E3">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firstLineChars="0"/>
              <w:jc w:val="both"/>
              <w:outlineLvl w:val="9"/>
              <w:rPr>
                <w:rFonts w:hint="default" w:cs="宋体" w:asciiTheme="minorEastAsia" w:hAnsiTheme="minorEastAsia" w:eastAsiaTheme="minorEastAsia"/>
                <w:color w:val="auto"/>
                <w:sz w:val="21"/>
                <w:szCs w:val="21"/>
                <w:highlight w:val="none"/>
                <w:lang w:val="en-US" w:eastAsia="zh-CN"/>
              </w:rPr>
            </w:pPr>
            <w:r>
              <w:rPr>
                <w:rFonts w:hint="eastAsia" w:cs="宋体" w:asciiTheme="minorEastAsia" w:hAnsiTheme="minorEastAsia" w:eastAsiaTheme="minorEastAsia"/>
                <w:color w:val="auto"/>
                <w:sz w:val="21"/>
                <w:szCs w:val="21"/>
                <w:highlight w:val="none"/>
                <w:lang w:val="en-US" w:eastAsia="zh-CN"/>
              </w:rPr>
              <w:t>邮政编码：710031</w:t>
            </w:r>
          </w:p>
          <w:p w14:paraId="26A77EB0">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firstLineChars="0"/>
              <w:jc w:val="both"/>
              <w:outlineLvl w:val="9"/>
              <w:rPr>
                <w:rFonts w:hint="default" w:cs="宋体" w:asciiTheme="minorEastAsia" w:hAnsiTheme="minorEastAsia" w:eastAsiaTheme="minorEastAsia"/>
                <w:color w:val="auto"/>
                <w:sz w:val="21"/>
                <w:szCs w:val="21"/>
                <w:highlight w:val="none"/>
                <w:lang w:val="en-US" w:eastAsia="zh-CN"/>
              </w:rPr>
            </w:pPr>
            <w:r>
              <w:rPr>
                <w:rFonts w:hint="eastAsia" w:cs="宋体" w:asciiTheme="minorEastAsia" w:hAnsiTheme="minorEastAsia" w:eastAsiaTheme="minorEastAsia"/>
                <w:color w:val="auto"/>
                <w:sz w:val="21"/>
                <w:szCs w:val="21"/>
                <w:highlight w:val="none"/>
                <w:lang w:val="en-US" w:eastAsia="zh-CN"/>
              </w:rPr>
              <w:t>电话：029-86524202</w:t>
            </w:r>
          </w:p>
          <w:p w14:paraId="3CFEECAD">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firstLineChars="0"/>
              <w:jc w:val="both"/>
              <w:outlineLvl w:val="9"/>
              <w:rPr>
                <w:rFonts w:hint="eastAsia" w:cs="宋体" w:asciiTheme="minorEastAsia" w:hAnsiTheme="minorEastAsia" w:eastAsiaTheme="minorEastAsia"/>
                <w:color w:val="auto"/>
                <w:sz w:val="21"/>
                <w:szCs w:val="21"/>
                <w:highlight w:val="none"/>
                <w:lang w:val="en-US" w:eastAsia="zh-CN"/>
              </w:rPr>
            </w:pPr>
            <w:r>
              <w:rPr>
                <w:rFonts w:hint="eastAsia" w:cs="宋体" w:asciiTheme="minorEastAsia" w:hAnsiTheme="minorEastAsia" w:eastAsiaTheme="minorEastAsia"/>
                <w:color w:val="auto"/>
                <w:sz w:val="21"/>
                <w:szCs w:val="21"/>
                <w:highlight w:val="none"/>
                <w:lang w:val="en-US" w:eastAsia="zh-CN"/>
              </w:rPr>
              <w:t>开户银行：西安银行股份有限公司文景路支行</w:t>
            </w:r>
          </w:p>
          <w:p w14:paraId="4BD8F6E3">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firstLineChars="0"/>
              <w:jc w:val="both"/>
              <w:outlineLvl w:val="9"/>
              <w:rPr>
                <w:rFonts w:hint="eastAsia" w:cs="宋体" w:asciiTheme="minorEastAsia" w:hAnsiTheme="minorEastAsia" w:eastAsiaTheme="minorEastAsia"/>
                <w:color w:val="auto"/>
                <w:sz w:val="21"/>
                <w:szCs w:val="21"/>
                <w:highlight w:val="none"/>
                <w:lang w:val="en-US" w:eastAsia="zh-CN"/>
              </w:rPr>
            </w:pPr>
            <w:r>
              <w:rPr>
                <w:rFonts w:hint="eastAsia" w:cs="宋体" w:asciiTheme="minorEastAsia" w:hAnsiTheme="minorEastAsia" w:eastAsiaTheme="minorEastAsia"/>
                <w:color w:val="auto"/>
                <w:sz w:val="21"/>
                <w:szCs w:val="21"/>
                <w:highlight w:val="none"/>
                <w:lang w:val="en-US" w:eastAsia="zh-CN"/>
              </w:rPr>
              <w:t>账号：707011580000264750</w:t>
            </w:r>
          </w:p>
          <w:p w14:paraId="2439DCFB">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firstLineChars="0"/>
              <w:jc w:val="both"/>
              <w:outlineLvl w:val="9"/>
              <w:rPr>
                <w:rFonts w:hint="eastAsia" w:cs="宋体" w:asciiTheme="minorEastAsia" w:hAnsiTheme="minorEastAsia" w:eastAsiaTheme="minorEastAsia"/>
                <w:color w:val="auto"/>
                <w:sz w:val="21"/>
                <w:szCs w:val="21"/>
                <w:highlight w:val="none"/>
                <w:lang w:eastAsia="zh-CN"/>
              </w:rPr>
            </w:pPr>
          </w:p>
        </w:tc>
        <w:tc>
          <w:tcPr>
            <w:tcW w:w="4922" w:type="dxa"/>
          </w:tcPr>
          <w:p w14:paraId="398E150D">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统一社会信用代码：91370000163054089N</w:t>
            </w:r>
          </w:p>
          <w:p w14:paraId="5CAE963C">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地址：山东省济南市历下区文化东路16号中建文化城二期办公楼1单元17层</w:t>
            </w:r>
          </w:p>
          <w:p w14:paraId="629760A8">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邮政编码：250014</w:t>
            </w:r>
          </w:p>
          <w:p w14:paraId="3F953902">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电话：0531-87963842</w:t>
            </w:r>
          </w:p>
          <w:p w14:paraId="65E32E38">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开户银行：中国建设银行股份有限公司济南市槐荫支行</w:t>
            </w:r>
          </w:p>
          <w:p w14:paraId="45E6F94C">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jc w:val="both"/>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账号：370016161108050000926</w:t>
            </w:r>
          </w:p>
        </w:tc>
      </w:tr>
      <w:tr w14:paraId="255D6C88">
        <w:tblPrEx>
          <w:tblCellMar>
            <w:top w:w="0" w:type="dxa"/>
            <w:left w:w="108" w:type="dxa"/>
            <w:bottom w:w="0" w:type="dxa"/>
            <w:right w:w="108" w:type="dxa"/>
          </w:tblCellMar>
        </w:tblPrEx>
        <w:trPr>
          <w:trHeight w:val="967" w:hRule="atLeast"/>
        </w:trPr>
        <w:tc>
          <w:tcPr>
            <w:tcW w:w="4825" w:type="dxa"/>
            <w:shd w:val="clear" w:color="auto" w:fill="auto"/>
            <w:vAlign w:val="top"/>
          </w:tcPr>
          <w:p w14:paraId="1F0F949E">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jc w:val="both"/>
              <w:outlineLvl w:val="9"/>
              <w:rPr>
                <w:rFonts w:hint="eastAsia" w:cs="宋体" w:asciiTheme="minorEastAsia" w:hAnsiTheme="minorEastAsia" w:eastAsiaTheme="minorEastAsia"/>
                <w:color w:val="auto"/>
                <w:kern w:val="2"/>
                <w:sz w:val="21"/>
                <w:szCs w:val="21"/>
                <w:highlight w:val="none"/>
                <w:lang w:val="en-US" w:eastAsia="zh-CN" w:bidi="ar-SA"/>
              </w:rPr>
            </w:pPr>
            <w:r>
              <w:rPr>
                <w:rFonts w:hint="eastAsia" w:cs="宋体" w:asciiTheme="minorEastAsia" w:hAnsiTheme="minorEastAsia" w:eastAsiaTheme="minorEastAsia"/>
                <w:color w:val="auto"/>
                <w:sz w:val="21"/>
                <w:szCs w:val="21"/>
                <w:highlight w:val="none"/>
              </w:rPr>
              <w:t>承包人</w:t>
            </w:r>
            <w:r>
              <w:rPr>
                <w:rFonts w:hint="eastAsia" w:cs="宋体" w:asciiTheme="minorEastAsia" w:hAnsiTheme="minorEastAsia" w:eastAsiaTheme="minorEastAsia"/>
                <w:color w:val="auto"/>
                <w:sz w:val="21"/>
                <w:szCs w:val="21"/>
                <w:highlight w:val="none"/>
                <w:lang w:eastAsia="zh-CN"/>
              </w:rPr>
              <w:t>（联合体成员）</w:t>
            </w:r>
            <w:r>
              <w:rPr>
                <w:rFonts w:hint="eastAsia" w:cs="宋体" w:asciiTheme="minorEastAsia" w:hAnsiTheme="minorEastAsia" w:eastAsiaTheme="minorEastAsia"/>
                <w:color w:val="auto"/>
                <w:sz w:val="21"/>
                <w:szCs w:val="21"/>
                <w:highlight w:val="none"/>
              </w:rPr>
              <w:t>：中建八局（陕西）建设科技有限公司（公章或合同专用章）</w:t>
            </w:r>
          </w:p>
        </w:tc>
        <w:tc>
          <w:tcPr>
            <w:tcW w:w="4922" w:type="dxa"/>
            <w:vAlign w:val="top"/>
          </w:tcPr>
          <w:p w14:paraId="231DEFE8">
            <w:pPr>
              <w:pStyle w:val="97"/>
              <w:keepNext w:val="0"/>
              <w:keepLines w:val="0"/>
              <w:framePr w:hSpace="0" w:wrap="auto" w:vAnchor="margin" w:hAnchor="text" w:yAlign="inline"/>
              <w:widowControl w:val="0"/>
              <w:suppressLineNumbers w:val="0"/>
              <w:spacing w:before="0" w:beforeAutospacing="0" w:after="0" w:afterAutospacing="0" w:line="360" w:lineRule="auto"/>
              <w:ind w:left="0" w:right="0" w:firstLine="48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承包人</w:t>
            </w:r>
            <w:r>
              <w:rPr>
                <w:rFonts w:hint="eastAsia" w:cs="宋体" w:asciiTheme="minorEastAsia" w:hAnsiTheme="minorEastAsia" w:eastAsiaTheme="minorEastAsia"/>
                <w:color w:val="auto"/>
                <w:sz w:val="21"/>
                <w:szCs w:val="21"/>
                <w:highlight w:val="none"/>
                <w:lang w:eastAsia="zh-CN"/>
              </w:rPr>
              <w:t>（联合体成员）</w:t>
            </w:r>
            <w:r>
              <w:rPr>
                <w:rFonts w:hint="eastAsia" w:cs="宋体" w:asciiTheme="minorEastAsia" w:hAnsiTheme="minorEastAsia" w:eastAsiaTheme="minorEastAsia"/>
                <w:color w:val="auto"/>
                <w:sz w:val="21"/>
                <w:szCs w:val="21"/>
                <w:highlight w:val="none"/>
              </w:rPr>
              <w:t>：中国建筑西北设计研究院有限公司（公章或合同专用章）</w:t>
            </w:r>
          </w:p>
        </w:tc>
      </w:tr>
      <w:tr w14:paraId="348FEA47">
        <w:tblPrEx>
          <w:tblCellMar>
            <w:top w:w="0" w:type="dxa"/>
            <w:left w:w="108" w:type="dxa"/>
            <w:bottom w:w="0" w:type="dxa"/>
            <w:right w:w="108" w:type="dxa"/>
          </w:tblCellMar>
        </w:tblPrEx>
        <w:trPr>
          <w:trHeight w:val="626" w:hRule="atLeast"/>
        </w:trPr>
        <w:tc>
          <w:tcPr>
            <w:tcW w:w="0" w:type="auto"/>
            <w:shd w:val="clear" w:color="auto" w:fill="auto"/>
            <w:vAlign w:val="top"/>
          </w:tcPr>
          <w:p w14:paraId="154487BE">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kern w:val="2"/>
                <w:sz w:val="21"/>
                <w:szCs w:val="21"/>
                <w:highlight w:val="none"/>
                <w:lang w:val="en-US" w:eastAsia="zh-CN" w:bidi="ar-SA"/>
              </w:rPr>
            </w:pPr>
            <w:r>
              <w:rPr>
                <w:rFonts w:hint="eastAsia" w:cs="宋体" w:asciiTheme="minorEastAsia" w:hAnsiTheme="minorEastAsia" w:eastAsiaTheme="minorEastAsia"/>
                <w:color w:val="auto"/>
                <w:sz w:val="21"/>
                <w:szCs w:val="21"/>
                <w:highlight w:val="none"/>
              </w:rPr>
              <w:t>法定代表人或其委托代理人：（签章）</w:t>
            </w:r>
          </w:p>
        </w:tc>
        <w:tc>
          <w:tcPr>
            <w:tcW w:w="4922" w:type="dxa"/>
            <w:vAlign w:val="top"/>
          </w:tcPr>
          <w:p w14:paraId="59C5350F">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法定代表人或其委托代理人：（签章）</w:t>
            </w:r>
          </w:p>
        </w:tc>
      </w:tr>
      <w:tr w14:paraId="0C82EBB2">
        <w:tblPrEx>
          <w:tblCellMar>
            <w:top w:w="0" w:type="dxa"/>
            <w:left w:w="108" w:type="dxa"/>
            <w:bottom w:w="0" w:type="dxa"/>
            <w:right w:w="108" w:type="dxa"/>
          </w:tblCellMar>
        </w:tblPrEx>
        <w:trPr>
          <w:trHeight w:val="3527" w:hRule="atLeast"/>
        </w:trPr>
        <w:tc>
          <w:tcPr>
            <w:tcW w:w="0" w:type="auto"/>
            <w:shd w:val="clear" w:color="auto" w:fill="auto"/>
            <w:vAlign w:val="top"/>
          </w:tcPr>
          <w:p w14:paraId="653F296E">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统一社会信用代码：91610132MACKTEK271</w:t>
            </w:r>
          </w:p>
          <w:p w14:paraId="303B698E">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地址：陕西省西安市经济技术开发区凤城二路白桦林金融创新中心D座19层层</w:t>
            </w:r>
          </w:p>
          <w:p w14:paraId="04C85FA0">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邮政编码：710000</w:t>
            </w:r>
          </w:p>
          <w:p w14:paraId="5020305B">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电话：029-88606022</w:t>
            </w:r>
          </w:p>
          <w:p w14:paraId="17E49DE1">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开户银行：中国银行股份有限公司西安市经济技术开发区支行</w:t>
            </w:r>
          </w:p>
          <w:p w14:paraId="51E29B59">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账号：102906338119</w:t>
            </w:r>
          </w:p>
          <w:p w14:paraId="0E8AC839">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kern w:val="2"/>
                <w:sz w:val="21"/>
                <w:szCs w:val="21"/>
                <w:highlight w:val="none"/>
                <w:lang w:val="en-US" w:eastAsia="zh-CN" w:bidi="ar-SA"/>
              </w:rPr>
            </w:pPr>
          </w:p>
        </w:tc>
        <w:tc>
          <w:tcPr>
            <w:tcW w:w="4922" w:type="dxa"/>
            <w:vAlign w:val="top"/>
          </w:tcPr>
          <w:p w14:paraId="33D64CB6">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统一社会信用代码：91610000220543840X</w:t>
            </w:r>
          </w:p>
          <w:p w14:paraId="2E239E51">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地址：陕西省西安市经开区文景路中段98号</w:t>
            </w:r>
          </w:p>
          <w:p w14:paraId="6704A1D8">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邮政编码：710018</w:t>
            </w:r>
          </w:p>
          <w:p w14:paraId="5242589C">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电话：029-68515229</w:t>
            </w:r>
          </w:p>
          <w:p w14:paraId="0436534E">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开户银行：中国银行股份有限公司西安北大街支行</w:t>
            </w:r>
          </w:p>
          <w:p w14:paraId="74DBD425">
            <w:pPr>
              <w:pStyle w:val="97"/>
              <w:keepNext w:val="0"/>
              <w:keepLines w:val="0"/>
              <w:framePr w:hSpace="0" w:wrap="auto" w:vAnchor="margin" w:hAnchor="text" w:yAlign="inline"/>
              <w:widowControl w:val="0"/>
              <w:suppressLineNumbers w:val="0"/>
              <w:spacing w:before="0" w:beforeAutospacing="0" w:after="0" w:afterAutospacing="0" w:line="360" w:lineRule="auto"/>
              <w:ind w:left="0" w:leftChars="0" w:right="0" w:rightChars="0" w:firstLine="480" w:firstLineChars="0"/>
              <w:jc w:val="both"/>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账号：102808711753</w:t>
            </w:r>
          </w:p>
        </w:tc>
      </w:tr>
    </w:tbl>
    <w:p w14:paraId="19DB0F37">
      <w:pPr>
        <w:ind w:firstLine="480"/>
        <w:outlineLvl w:val="9"/>
        <w:rPr>
          <w:rFonts w:cs="宋体" w:asciiTheme="minorEastAsia" w:hAnsiTheme="minorEastAsia" w:eastAsiaTheme="minorEastAsia"/>
          <w:color w:val="auto"/>
          <w:szCs w:val="21"/>
          <w:highlight w:val="none"/>
        </w:rPr>
      </w:pPr>
    </w:p>
    <w:p w14:paraId="52A5D6E2">
      <w:pPr>
        <w:outlineLvl w:val="9"/>
        <w:rPr>
          <w:rFonts w:cs="宋体" w:asciiTheme="minorEastAsia" w:hAnsiTheme="minorEastAsia" w:eastAsiaTheme="minorEastAsia"/>
          <w:color w:val="auto"/>
          <w:szCs w:val="21"/>
          <w:highlight w:val="none"/>
        </w:rPr>
      </w:pPr>
      <w:bookmarkStart w:id="13" w:name="_Toc54862176"/>
      <w:r>
        <w:rPr>
          <w:rFonts w:cs="宋体" w:asciiTheme="minorEastAsia" w:hAnsiTheme="minorEastAsia" w:eastAsiaTheme="minorEastAsia"/>
          <w:color w:val="auto"/>
          <w:szCs w:val="21"/>
          <w:highlight w:val="none"/>
        </w:rPr>
        <w:br w:type="page"/>
      </w:r>
    </w:p>
    <w:p w14:paraId="7AC79AF2">
      <w:pPr>
        <w:pStyle w:val="95"/>
        <w:keepNext w:val="0"/>
        <w:keepLines w:val="0"/>
        <w:adjustRightInd w:val="0"/>
        <w:snapToGrid w:val="0"/>
        <w:spacing w:before="0" w:line="360" w:lineRule="auto"/>
        <w:ind w:firstLine="643"/>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第二部分通用</w:t>
      </w:r>
      <w:bookmarkEnd w:id="13"/>
      <w:r>
        <w:rPr>
          <w:rFonts w:hint="eastAsia" w:cs="宋体" w:asciiTheme="minorEastAsia" w:hAnsiTheme="minorEastAsia" w:eastAsiaTheme="minorEastAsia"/>
          <w:color w:val="auto"/>
          <w:sz w:val="21"/>
          <w:szCs w:val="21"/>
          <w:highlight w:val="none"/>
        </w:rPr>
        <w:t>条款</w:t>
      </w:r>
    </w:p>
    <w:p w14:paraId="6DF1B540">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14" w:name="_Ref508893699"/>
      <w:bookmarkStart w:id="15" w:name="_Toc54862177"/>
      <w:bookmarkStart w:id="16" w:name="_Ref509040826"/>
      <w:bookmarkStart w:id="17" w:name="_Ref509040831"/>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1条 </w:t>
      </w:r>
      <w:r>
        <w:rPr>
          <w:rFonts w:hint="eastAsia" w:cs="宋体" w:asciiTheme="minorEastAsia" w:hAnsiTheme="minorEastAsia" w:eastAsiaTheme="minorEastAsia"/>
          <w:b/>
          <w:color w:val="auto"/>
          <w:szCs w:val="21"/>
          <w:highlight w:val="none"/>
        </w:rPr>
        <w:t>一般约定</w:t>
      </w:r>
      <w:bookmarkEnd w:id="14"/>
      <w:bookmarkEnd w:id="15"/>
    </w:p>
    <w:p w14:paraId="7A559F5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8" w:name="_Ref523741474"/>
      <w:bookmarkStart w:id="19" w:name="_Ref523741471"/>
      <w:bookmarkStart w:id="20" w:name="_Toc54862178"/>
      <w:r>
        <w:rPr>
          <w:rFonts w:cs="宋体" w:asciiTheme="minorEastAsia" w:hAnsiTheme="minorEastAsia" w:eastAsiaTheme="minorEastAsia"/>
          <w:color w:val="auto"/>
          <w:szCs w:val="21"/>
          <w:highlight w:val="none"/>
        </w:rPr>
        <w:t xml:space="preserve">1.1 </w:t>
      </w:r>
      <w:r>
        <w:rPr>
          <w:rFonts w:hint="eastAsia" w:cs="宋体" w:asciiTheme="minorEastAsia" w:hAnsiTheme="minorEastAsia" w:eastAsiaTheme="minorEastAsia"/>
          <w:color w:val="auto"/>
          <w:szCs w:val="21"/>
          <w:highlight w:val="none"/>
        </w:rPr>
        <w:t>词语定义和解释</w:t>
      </w:r>
      <w:bookmarkEnd w:id="16"/>
      <w:bookmarkEnd w:id="17"/>
      <w:bookmarkEnd w:id="18"/>
      <w:bookmarkEnd w:id="19"/>
      <w:bookmarkEnd w:id="20"/>
    </w:p>
    <w:p w14:paraId="455415C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合同协议书、通用合同条件、专用合同条件中的下列词语应具有本款所赋予的含义：</w:t>
      </w:r>
    </w:p>
    <w:p w14:paraId="50625B4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1" w:name="_Ref4757289"/>
      <w:bookmarkStart w:id="22" w:name="_Ref521288340"/>
      <w:r>
        <w:rPr>
          <w:rFonts w:cs="宋体" w:asciiTheme="minorEastAsia" w:hAnsiTheme="minorEastAsia" w:eastAsiaTheme="minorEastAsia"/>
          <w:color w:val="auto"/>
          <w:szCs w:val="21"/>
          <w:highlight w:val="none"/>
        </w:rPr>
        <w:t xml:space="preserve">1.1.1 </w:t>
      </w:r>
      <w:r>
        <w:rPr>
          <w:rFonts w:hint="eastAsia" w:cs="宋体" w:asciiTheme="minorEastAsia" w:hAnsiTheme="minorEastAsia" w:eastAsiaTheme="minorEastAsia"/>
          <w:color w:val="auto"/>
          <w:szCs w:val="21"/>
          <w:highlight w:val="none"/>
        </w:rPr>
        <w:t>合同</w:t>
      </w:r>
      <w:bookmarkEnd w:id="21"/>
    </w:p>
    <w:p w14:paraId="614ADE3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1.1.1.1 </w:t>
      </w:r>
      <w:r>
        <w:rPr>
          <w:rFonts w:hint="eastAsia" w:cs="宋体" w:asciiTheme="minorEastAsia" w:hAnsiTheme="minorEastAsia" w:eastAsiaTheme="minorEastAsia"/>
          <w:color w:val="auto"/>
          <w:szCs w:val="21"/>
          <w:highlight w:val="none"/>
        </w:rPr>
        <w:t>合同：是指根据法律规定和合同当事人约定具有约束力的文件，构成合同的文件包括合同协议书、中标通知书（如果有）、投标函及其附录（如果有）、专用合同条件及其附件、通用合同条件、《发包人要求》、承包人建议书、价格清单以及双方约定的其他合同文件。</w:t>
      </w:r>
    </w:p>
    <w:p w14:paraId="6FA43CA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1.1.1.2 </w:t>
      </w:r>
      <w:r>
        <w:rPr>
          <w:rFonts w:hint="eastAsia" w:cs="宋体" w:asciiTheme="minorEastAsia" w:hAnsiTheme="minorEastAsia" w:eastAsiaTheme="minorEastAsia"/>
          <w:color w:val="auto"/>
          <w:szCs w:val="21"/>
          <w:highlight w:val="none"/>
        </w:rPr>
        <w:t>合同协议书：是指构成合同的由发包人和承包人共同签署的称为“合同协议书”的书面文件。</w:t>
      </w:r>
    </w:p>
    <w:p w14:paraId="0614CAC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1.1.1.3 </w:t>
      </w:r>
      <w:r>
        <w:rPr>
          <w:rFonts w:hint="eastAsia" w:cs="宋体" w:asciiTheme="minorEastAsia" w:hAnsiTheme="minorEastAsia" w:eastAsiaTheme="minorEastAsia"/>
          <w:color w:val="auto"/>
          <w:szCs w:val="21"/>
          <w:highlight w:val="none"/>
        </w:rPr>
        <w:t>中标通知书：是指构成合同的由发包人通知承包人中标的书面文件。中标通知书随附的澄清、说明、补正事项纪要等，是中标通知书的组成部分。</w:t>
      </w:r>
    </w:p>
    <w:p w14:paraId="720796B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1.1.1.4 </w:t>
      </w:r>
      <w:r>
        <w:rPr>
          <w:rFonts w:hint="eastAsia" w:cs="宋体" w:asciiTheme="minorEastAsia" w:hAnsiTheme="minorEastAsia" w:eastAsiaTheme="minorEastAsia"/>
          <w:color w:val="auto"/>
          <w:szCs w:val="21"/>
          <w:highlight w:val="none"/>
        </w:rPr>
        <w:t>投标函：是指构成合同的由承包人填写并签署的用于投标的称为“投标函”的文件。</w:t>
      </w:r>
    </w:p>
    <w:p w14:paraId="1F9690C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1.1.1.5 </w:t>
      </w:r>
      <w:r>
        <w:rPr>
          <w:rFonts w:hint="eastAsia" w:cs="宋体" w:asciiTheme="minorEastAsia" w:hAnsiTheme="minorEastAsia" w:eastAsiaTheme="minorEastAsia"/>
          <w:color w:val="auto"/>
          <w:szCs w:val="21"/>
          <w:highlight w:val="none"/>
        </w:rPr>
        <w:t>投标函附录：是指构成合同的附在投标函后的称为“投标函附录”的文件。</w:t>
      </w:r>
    </w:p>
    <w:p w14:paraId="7DF958F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1.1.1.6 </w:t>
      </w:r>
      <w:r>
        <w:rPr>
          <w:rFonts w:hint="eastAsia" w:cs="宋体" w:asciiTheme="minorEastAsia" w:hAnsiTheme="minorEastAsia" w:eastAsiaTheme="minorEastAsia"/>
          <w:color w:val="auto"/>
          <w:szCs w:val="21"/>
          <w:highlight w:val="none"/>
        </w:rPr>
        <w:t>《发包人要求》：指构成合同文件组成部分的名为《发包人要求》的文件，其中列明工程的目的、范围、设计与其他技术标准和要求，以及合同双方当事人约定对其所作的修改或补充。</w:t>
      </w:r>
    </w:p>
    <w:p w14:paraId="6B75975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1.1.1.7 </w:t>
      </w:r>
      <w:r>
        <w:rPr>
          <w:rFonts w:hint="eastAsia" w:cs="宋体" w:asciiTheme="minorEastAsia" w:hAnsiTheme="minorEastAsia" w:eastAsiaTheme="minorEastAsia"/>
          <w:color w:val="auto"/>
          <w:szCs w:val="21"/>
          <w:highlight w:val="none"/>
        </w:rPr>
        <w:t>项目清单：是指发包人提供的载明工程总承包项目勘察费（如果有）、设计费、建筑安装工程费、设备购置费、暂估价、暂列金和双方约定的其他费用的名称和相应数量等内容的项目明细。</w:t>
      </w:r>
    </w:p>
    <w:p w14:paraId="63BBAF1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1.1.1.8 </w:t>
      </w:r>
      <w:r>
        <w:rPr>
          <w:rFonts w:hint="eastAsia" w:cs="宋体" w:asciiTheme="minorEastAsia" w:hAnsiTheme="minorEastAsia" w:eastAsiaTheme="minorEastAsia"/>
          <w:color w:val="auto"/>
          <w:szCs w:val="21"/>
          <w:highlight w:val="none"/>
        </w:rPr>
        <w:t>价格清单：指构成合同文件组成部分的由承包人按发包人提供的项目清单规定的格式和要求填写并标明价格的清单。</w:t>
      </w:r>
    </w:p>
    <w:p w14:paraId="0D13FD4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1.1.1.9 </w:t>
      </w:r>
      <w:r>
        <w:rPr>
          <w:rFonts w:hint="eastAsia" w:cs="宋体" w:asciiTheme="minorEastAsia" w:hAnsiTheme="minorEastAsia" w:eastAsiaTheme="minorEastAsia"/>
          <w:color w:val="auto"/>
          <w:szCs w:val="21"/>
          <w:highlight w:val="none"/>
        </w:rPr>
        <w:t>承包人建议书：指构成合同文件组成部分的名为承包人建议书的文件。承包人建议书由承包人随投标函一起提交。</w:t>
      </w:r>
    </w:p>
    <w:p w14:paraId="227F05E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3" w:name="_Ref4415300"/>
      <w:r>
        <w:rPr>
          <w:rFonts w:cs="宋体" w:asciiTheme="minorEastAsia" w:hAnsiTheme="minorEastAsia" w:eastAsiaTheme="minorEastAsia"/>
          <w:color w:val="auto"/>
          <w:szCs w:val="21"/>
          <w:highlight w:val="none"/>
        </w:rPr>
        <w:t xml:space="preserve">1.1.1.10 </w:t>
      </w:r>
      <w:r>
        <w:rPr>
          <w:rFonts w:hint="eastAsia" w:cs="宋体" w:asciiTheme="minorEastAsia" w:hAnsiTheme="minorEastAsia" w:eastAsiaTheme="minorEastAsia"/>
          <w:color w:val="auto"/>
          <w:szCs w:val="21"/>
          <w:highlight w:val="none"/>
        </w:rPr>
        <w:t>其他合同文件：是指经合同当事人约定的与工程实施有关的具有合同约束力的文件或书面协议。合同当事人可以在专用合同条件中进行约定。</w:t>
      </w:r>
      <w:bookmarkEnd w:id="23"/>
    </w:p>
    <w:p w14:paraId="5AF17F3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4" w:name="_Ref4757418"/>
      <w:r>
        <w:rPr>
          <w:rFonts w:cs="宋体" w:asciiTheme="minorEastAsia" w:hAnsiTheme="minorEastAsia" w:eastAsiaTheme="minorEastAsia"/>
          <w:color w:val="auto"/>
          <w:szCs w:val="21"/>
          <w:highlight w:val="none"/>
        </w:rPr>
        <w:t xml:space="preserve">1.1.2 </w:t>
      </w:r>
      <w:r>
        <w:rPr>
          <w:rFonts w:hint="eastAsia" w:cs="宋体" w:asciiTheme="minorEastAsia" w:hAnsiTheme="minorEastAsia" w:eastAsiaTheme="minorEastAsia"/>
          <w:color w:val="auto"/>
          <w:szCs w:val="21"/>
          <w:highlight w:val="none"/>
        </w:rPr>
        <w:t>合同当事人及其他相关方</w:t>
      </w:r>
      <w:bookmarkEnd w:id="24"/>
    </w:p>
    <w:p w14:paraId="44F14BB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1.1.2.1 </w:t>
      </w:r>
      <w:r>
        <w:rPr>
          <w:rFonts w:hint="eastAsia" w:cs="宋体" w:asciiTheme="minorEastAsia" w:hAnsiTheme="minorEastAsia" w:eastAsiaTheme="minorEastAsia"/>
          <w:color w:val="auto"/>
          <w:szCs w:val="21"/>
          <w:highlight w:val="none"/>
        </w:rPr>
        <w:t>合同当事人：是指发包人和（或）承包人。</w:t>
      </w:r>
    </w:p>
    <w:p w14:paraId="3C6C718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1.1.2.2 </w:t>
      </w:r>
      <w:r>
        <w:rPr>
          <w:rFonts w:hint="eastAsia" w:cs="宋体" w:asciiTheme="minorEastAsia" w:hAnsiTheme="minorEastAsia" w:eastAsiaTheme="minorEastAsia"/>
          <w:color w:val="auto"/>
          <w:szCs w:val="21"/>
          <w:highlight w:val="none"/>
        </w:rPr>
        <w:t>发包人：是指与承包人订立合同协议书的当事人及取得该当事人资格的合法继受人。本合同中“因发包人原因”里的“发包人”包括发包人及所有发包人人员。</w:t>
      </w:r>
    </w:p>
    <w:p w14:paraId="5BFACAD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1.1.2.3 </w:t>
      </w:r>
      <w:r>
        <w:rPr>
          <w:rFonts w:hint="eastAsia" w:cs="宋体" w:asciiTheme="minorEastAsia" w:hAnsiTheme="minorEastAsia" w:eastAsiaTheme="minorEastAsia"/>
          <w:color w:val="auto"/>
          <w:szCs w:val="21"/>
          <w:highlight w:val="none"/>
        </w:rPr>
        <w:t>承包人：是指与发包人订立合同协议书的当事人及取得该当事人资格的合法继受人。</w:t>
      </w:r>
    </w:p>
    <w:p w14:paraId="1FA90E3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1.1.2.4 </w:t>
      </w:r>
      <w:r>
        <w:rPr>
          <w:rFonts w:hint="eastAsia" w:cs="宋体" w:asciiTheme="minorEastAsia" w:hAnsiTheme="minorEastAsia" w:eastAsiaTheme="minorEastAsia"/>
          <w:color w:val="auto"/>
          <w:szCs w:val="21"/>
          <w:highlight w:val="none"/>
        </w:rPr>
        <w:t>联合体：是指经发包人同意由两个或两个以上法人或者其他组织组成的，作为承包人的临时机构。</w:t>
      </w:r>
    </w:p>
    <w:p w14:paraId="6E8B594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5" w:name="_Ref4420046"/>
      <w:r>
        <w:rPr>
          <w:rFonts w:cs="宋体" w:asciiTheme="minorEastAsia" w:hAnsiTheme="minorEastAsia" w:eastAsiaTheme="minorEastAsia"/>
          <w:color w:val="auto"/>
          <w:szCs w:val="21"/>
          <w:highlight w:val="none"/>
        </w:rPr>
        <w:t xml:space="preserve">1.1.2.5 </w:t>
      </w:r>
      <w:r>
        <w:rPr>
          <w:rFonts w:hint="eastAsia" w:cs="宋体" w:asciiTheme="minorEastAsia" w:hAnsiTheme="minorEastAsia" w:eastAsiaTheme="minorEastAsia"/>
          <w:color w:val="auto"/>
          <w:szCs w:val="21"/>
          <w:highlight w:val="none"/>
        </w:rPr>
        <w:t>发包人代表：是指由发包人任命并派驻工作现场，在发包人授权范围内行使发包人权利和履行发包人义务的人。</w:t>
      </w:r>
    </w:p>
    <w:p w14:paraId="63CC508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6" w:name="_Ref4756982"/>
      <w:r>
        <w:rPr>
          <w:rFonts w:cs="宋体" w:asciiTheme="minorEastAsia" w:hAnsiTheme="minorEastAsia" w:eastAsiaTheme="minorEastAsia"/>
          <w:color w:val="auto"/>
          <w:szCs w:val="21"/>
          <w:highlight w:val="none"/>
        </w:rPr>
        <w:t xml:space="preserve">1.1.2.6 </w:t>
      </w:r>
      <w:r>
        <w:rPr>
          <w:rFonts w:hint="eastAsia" w:cs="宋体" w:asciiTheme="minorEastAsia" w:hAnsiTheme="minorEastAsia" w:eastAsiaTheme="minorEastAsia"/>
          <w:color w:val="auto"/>
          <w:szCs w:val="21"/>
          <w:highlight w:val="none"/>
        </w:rPr>
        <w:t>工程师：是指在专用合同条件中指明的，受发包人委托按照法律规定和发包人的授权进行合同履行管理、工程监督管理等工作的法人或其他组织；该法人或其他组织应雇用一名具有相应执业资格和职业能力的自然人作为工程师代表，并授予其根据本合同代表工程师行事的权利。</w:t>
      </w:r>
      <w:bookmarkEnd w:id="25"/>
      <w:bookmarkEnd w:id="26"/>
    </w:p>
    <w:p w14:paraId="7727829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1.1.2.7 </w:t>
      </w:r>
      <w:r>
        <w:rPr>
          <w:rFonts w:hint="eastAsia" w:cs="宋体" w:asciiTheme="minorEastAsia" w:hAnsiTheme="minorEastAsia" w:eastAsiaTheme="minorEastAsia"/>
          <w:color w:val="auto"/>
          <w:szCs w:val="21"/>
          <w:highlight w:val="none"/>
        </w:rPr>
        <w:t>工程总承包项目经理：是指由承包人任命的，在承包人授权范围内负责合同履行的管理，且按照法律规定具有相应资格的项目负责人。</w:t>
      </w:r>
    </w:p>
    <w:p w14:paraId="44DB6C3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1.1.2.8 </w:t>
      </w:r>
      <w:r>
        <w:rPr>
          <w:rFonts w:hint="eastAsia" w:cs="宋体" w:asciiTheme="minorEastAsia" w:hAnsiTheme="minorEastAsia" w:eastAsiaTheme="minorEastAsia"/>
          <w:color w:val="auto"/>
          <w:szCs w:val="21"/>
          <w:highlight w:val="none"/>
        </w:rPr>
        <w:t>设计负责人：是指承包人指定负责组织、指导、协调设计工作并具有相应资格的人员。</w:t>
      </w:r>
    </w:p>
    <w:p w14:paraId="5473FEB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1.1.2.9 </w:t>
      </w:r>
      <w:r>
        <w:rPr>
          <w:rFonts w:hint="eastAsia" w:cs="宋体" w:asciiTheme="minorEastAsia" w:hAnsiTheme="minorEastAsia" w:eastAsiaTheme="minorEastAsia"/>
          <w:color w:val="auto"/>
          <w:szCs w:val="21"/>
          <w:highlight w:val="none"/>
        </w:rPr>
        <w:t>采购负责人：是指承包人指定负责组织、指导、协调采购工作的人员。</w:t>
      </w:r>
    </w:p>
    <w:p w14:paraId="1492F71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1.1.2.10 </w:t>
      </w:r>
      <w:r>
        <w:rPr>
          <w:rFonts w:hint="eastAsia" w:cs="宋体" w:asciiTheme="minorEastAsia" w:hAnsiTheme="minorEastAsia" w:eastAsiaTheme="minorEastAsia"/>
          <w:color w:val="auto"/>
          <w:szCs w:val="21"/>
          <w:highlight w:val="none"/>
        </w:rPr>
        <w:t>施工负责人：是指承包人指定负责组织、指导、协调施工工作并具有相应资格的人员。</w:t>
      </w:r>
    </w:p>
    <w:p w14:paraId="57A11F1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1.1.2.11 </w:t>
      </w:r>
      <w:r>
        <w:rPr>
          <w:rFonts w:hint="eastAsia" w:cs="宋体" w:asciiTheme="minorEastAsia" w:hAnsiTheme="minorEastAsia" w:eastAsiaTheme="minorEastAsia"/>
          <w:color w:val="auto"/>
          <w:szCs w:val="21"/>
          <w:highlight w:val="none"/>
        </w:rPr>
        <w:t>分包人：是指按照法律规定和合同约定，分包部分工程或工作，并与承包人订立分包合同的具有相应资质或资格的法人或其他组织。</w:t>
      </w:r>
    </w:p>
    <w:p w14:paraId="08380C4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7" w:name="_Ref4758319"/>
      <w:r>
        <w:rPr>
          <w:rFonts w:cs="宋体" w:asciiTheme="minorEastAsia" w:hAnsiTheme="minorEastAsia" w:eastAsiaTheme="minorEastAsia"/>
          <w:color w:val="auto"/>
          <w:szCs w:val="21"/>
          <w:highlight w:val="none"/>
        </w:rPr>
        <w:t xml:space="preserve">1.1.3 </w:t>
      </w:r>
      <w:r>
        <w:rPr>
          <w:rFonts w:hint="eastAsia" w:cs="宋体" w:asciiTheme="minorEastAsia" w:hAnsiTheme="minorEastAsia" w:eastAsiaTheme="minorEastAsia"/>
          <w:color w:val="auto"/>
          <w:szCs w:val="21"/>
          <w:highlight w:val="none"/>
        </w:rPr>
        <w:t>工程和设备</w:t>
      </w:r>
      <w:bookmarkEnd w:id="27"/>
    </w:p>
    <w:p w14:paraId="6D04DCE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1.1.3.1 </w:t>
      </w:r>
      <w:r>
        <w:rPr>
          <w:rFonts w:hint="eastAsia" w:cs="宋体" w:asciiTheme="minorEastAsia" w:hAnsiTheme="minorEastAsia" w:eastAsiaTheme="minorEastAsia"/>
          <w:color w:val="auto"/>
          <w:szCs w:val="21"/>
          <w:highlight w:val="none"/>
        </w:rPr>
        <w:t>工程：是指与合同协议书中工程承包范围对应的永久工程和（或）临时工程。</w:t>
      </w:r>
    </w:p>
    <w:p w14:paraId="3520F9C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1.1.3.2 </w:t>
      </w:r>
      <w:r>
        <w:rPr>
          <w:rFonts w:hint="eastAsia" w:cs="宋体" w:asciiTheme="minorEastAsia" w:hAnsiTheme="minorEastAsia" w:eastAsiaTheme="minorEastAsia"/>
          <w:color w:val="auto"/>
          <w:szCs w:val="21"/>
          <w:highlight w:val="none"/>
        </w:rPr>
        <w:t>工程实施：是指进行工程的设计、采购、施工和竣工以及对工程任何缺陷的修复。</w:t>
      </w:r>
    </w:p>
    <w:p w14:paraId="29C4AB5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1.1.3.3 </w:t>
      </w:r>
      <w:r>
        <w:rPr>
          <w:rFonts w:hint="eastAsia" w:cs="宋体" w:asciiTheme="minorEastAsia" w:hAnsiTheme="minorEastAsia" w:eastAsiaTheme="minorEastAsia"/>
          <w:color w:val="auto"/>
          <w:szCs w:val="21"/>
          <w:highlight w:val="none"/>
        </w:rPr>
        <w:t>永久工程：是指按合同约定建造并移交给发包人的工程，包括工程设备。</w:t>
      </w:r>
    </w:p>
    <w:p w14:paraId="36B6887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1.1.3.4 </w:t>
      </w:r>
      <w:r>
        <w:rPr>
          <w:rFonts w:hint="eastAsia" w:cs="宋体" w:asciiTheme="minorEastAsia" w:hAnsiTheme="minorEastAsia" w:eastAsiaTheme="minorEastAsia"/>
          <w:color w:val="auto"/>
          <w:szCs w:val="21"/>
          <w:highlight w:val="none"/>
        </w:rPr>
        <w:t>临时工程：是指为完成合同约定的永久工程所修建的各类临时性工程，不包括施工设备。</w:t>
      </w:r>
    </w:p>
    <w:p w14:paraId="1AE0ECA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8" w:name="_Ref4419825"/>
      <w:r>
        <w:rPr>
          <w:rFonts w:cs="宋体" w:asciiTheme="minorEastAsia" w:hAnsiTheme="minorEastAsia" w:eastAsiaTheme="minorEastAsia"/>
          <w:color w:val="auto"/>
          <w:szCs w:val="21"/>
          <w:highlight w:val="none"/>
        </w:rPr>
        <w:t xml:space="preserve">1.1.3.5 </w:t>
      </w:r>
      <w:r>
        <w:rPr>
          <w:rFonts w:hint="eastAsia" w:cs="宋体" w:asciiTheme="minorEastAsia" w:hAnsiTheme="minorEastAsia" w:eastAsiaTheme="minorEastAsia"/>
          <w:color w:val="auto"/>
          <w:szCs w:val="21"/>
          <w:highlight w:val="none"/>
        </w:rPr>
        <w:t>单位</w:t>
      </w:r>
      <w:r>
        <w:rPr>
          <w:rFonts w:cs="宋体" w:asciiTheme="minorEastAsia" w:hAnsiTheme="minorEastAsia" w:eastAsiaTheme="minorEastAsia"/>
          <w:color w:val="auto"/>
          <w:szCs w:val="21"/>
          <w:highlight w:val="none"/>
        </w:rPr>
        <w:t>/区段工程：是指在专用合同条件中指明特定范围的，能单独接收并使用的永久工程。</w:t>
      </w:r>
      <w:bookmarkEnd w:id="28"/>
    </w:p>
    <w:p w14:paraId="2F19EA2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1.1.3.6 </w:t>
      </w:r>
      <w:r>
        <w:rPr>
          <w:rFonts w:hint="eastAsia" w:cs="宋体" w:asciiTheme="minorEastAsia" w:hAnsiTheme="minorEastAsia" w:eastAsiaTheme="minorEastAsia"/>
          <w:color w:val="auto"/>
          <w:szCs w:val="21"/>
          <w:highlight w:val="none"/>
        </w:rPr>
        <w:t>工程设备：指构成永久工程的机电设备、仪器装置、运载工具及其他类似的设备和装置，包括其配件及备品、备件、易损易耗件等。</w:t>
      </w:r>
    </w:p>
    <w:p w14:paraId="7F012A4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1.1.3.7 </w:t>
      </w:r>
      <w:r>
        <w:rPr>
          <w:rFonts w:hint="eastAsia" w:cs="宋体" w:asciiTheme="minorEastAsia" w:hAnsiTheme="minorEastAsia" w:eastAsiaTheme="minorEastAsia"/>
          <w:color w:val="auto"/>
          <w:szCs w:val="21"/>
          <w:highlight w:val="none"/>
        </w:rPr>
        <w:t>施工设备：指为完成合同约定的各项工作所需的设备、器具和其他物品，不包括工程设备、临时工程和材料。</w:t>
      </w:r>
    </w:p>
    <w:p w14:paraId="731F5F3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1.1.3.8 </w:t>
      </w:r>
      <w:r>
        <w:rPr>
          <w:rFonts w:hint="eastAsia" w:cs="宋体" w:asciiTheme="minorEastAsia" w:hAnsiTheme="minorEastAsia" w:eastAsiaTheme="minorEastAsia"/>
          <w:color w:val="auto"/>
          <w:szCs w:val="21"/>
          <w:highlight w:val="none"/>
        </w:rPr>
        <w:t>临时设施：指为完成合同约定的各项工作所服务的临时性生产和生活设施。</w:t>
      </w:r>
    </w:p>
    <w:p w14:paraId="11B4C48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9" w:name="_Ref4420577"/>
      <w:r>
        <w:rPr>
          <w:rFonts w:cs="宋体" w:asciiTheme="minorEastAsia" w:hAnsiTheme="minorEastAsia" w:eastAsiaTheme="minorEastAsia"/>
          <w:color w:val="auto"/>
          <w:szCs w:val="21"/>
          <w:highlight w:val="none"/>
        </w:rPr>
        <w:t xml:space="preserve">1.1.3.9 </w:t>
      </w:r>
      <w:r>
        <w:rPr>
          <w:rFonts w:hint="eastAsia" w:cs="宋体" w:asciiTheme="minorEastAsia" w:hAnsiTheme="minorEastAsia" w:eastAsiaTheme="minorEastAsia"/>
          <w:color w:val="auto"/>
          <w:szCs w:val="21"/>
          <w:highlight w:val="none"/>
        </w:rPr>
        <w:t>施工现场：是指用于工程施工的场所，以及在专用合同条件中指明作为施工场所组成部分的其他场所，包括永久占地和临时占地。</w:t>
      </w:r>
      <w:bookmarkEnd w:id="29"/>
    </w:p>
    <w:p w14:paraId="701DF50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0" w:name="_Ref4420746"/>
      <w:r>
        <w:rPr>
          <w:rFonts w:cs="宋体" w:asciiTheme="minorEastAsia" w:hAnsiTheme="minorEastAsia" w:eastAsiaTheme="minorEastAsia"/>
          <w:color w:val="auto"/>
          <w:szCs w:val="21"/>
          <w:highlight w:val="none"/>
        </w:rPr>
        <w:t xml:space="preserve">1.1.3.10 </w:t>
      </w:r>
      <w:r>
        <w:rPr>
          <w:rFonts w:hint="eastAsia" w:cs="宋体" w:asciiTheme="minorEastAsia" w:hAnsiTheme="minorEastAsia" w:eastAsiaTheme="minorEastAsia"/>
          <w:color w:val="auto"/>
          <w:szCs w:val="21"/>
          <w:highlight w:val="none"/>
        </w:rPr>
        <w:t>永久占地：是指专用合同条件中指明为实施工程需永久占用的土地。</w:t>
      </w:r>
      <w:bookmarkEnd w:id="30"/>
    </w:p>
    <w:p w14:paraId="070D1AB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1" w:name="_Ref4420821"/>
      <w:r>
        <w:rPr>
          <w:rFonts w:cs="宋体" w:asciiTheme="minorEastAsia" w:hAnsiTheme="minorEastAsia" w:eastAsiaTheme="minorEastAsia"/>
          <w:color w:val="auto"/>
          <w:szCs w:val="21"/>
          <w:highlight w:val="none"/>
        </w:rPr>
        <w:t xml:space="preserve">1.1.3.11 </w:t>
      </w:r>
      <w:r>
        <w:rPr>
          <w:rFonts w:hint="eastAsia" w:cs="宋体" w:asciiTheme="minorEastAsia" w:hAnsiTheme="minorEastAsia" w:eastAsiaTheme="minorEastAsia"/>
          <w:color w:val="auto"/>
          <w:szCs w:val="21"/>
          <w:highlight w:val="none"/>
        </w:rPr>
        <w:t>临时占地：是指专用合同条件中指明为实施工程需临时占用的土地。</w:t>
      </w:r>
      <w:bookmarkEnd w:id="31"/>
    </w:p>
    <w:p w14:paraId="76F1BF3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1.1.4 </w:t>
      </w:r>
      <w:r>
        <w:rPr>
          <w:rFonts w:hint="eastAsia" w:cs="宋体" w:asciiTheme="minorEastAsia" w:hAnsiTheme="minorEastAsia" w:eastAsiaTheme="minorEastAsia"/>
          <w:color w:val="auto"/>
          <w:szCs w:val="21"/>
          <w:highlight w:val="none"/>
        </w:rPr>
        <w:t>日期和期限</w:t>
      </w:r>
    </w:p>
    <w:p w14:paraId="19344FE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1.1.4.1 </w:t>
      </w:r>
      <w:r>
        <w:rPr>
          <w:rFonts w:hint="eastAsia" w:cs="宋体" w:asciiTheme="minorEastAsia" w:hAnsiTheme="minorEastAsia" w:eastAsiaTheme="minorEastAsia"/>
          <w:color w:val="auto"/>
          <w:szCs w:val="21"/>
          <w:highlight w:val="none"/>
        </w:rPr>
        <w:t>开始工作通知：指工程师按第</w:t>
      </w:r>
      <w:r>
        <w:rPr>
          <w:rFonts w:cs="宋体" w:asciiTheme="minorEastAsia" w:hAnsiTheme="minorEastAsia" w:eastAsiaTheme="minorEastAsia"/>
          <w:color w:val="auto"/>
          <w:szCs w:val="21"/>
          <w:highlight w:val="none"/>
        </w:rPr>
        <w:t>8.1.2项[开始工作通知]的约定通知承包人开始工作的函件。</w:t>
      </w:r>
    </w:p>
    <w:p w14:paraId="3ED63DE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1.1.4.2 </w:t>
      </w:r>
      <w:r>
        <w:rPr>
          <w:rFonts w:hint="eastAsia" w:cs="宋体" w:asciiTheme="minorEastAsia" w:hAnsiTheme="minorEastAsia" w:eastAsiaTheme="minorEastAsia"/>
          <w:color w:val="auto"/>
          <w:szCs w:val="21"/>
          <w:highlight w:val="none"/>
        </w:rPr>
        <w:t>开始工作日期：包括计划开始工作日期和实际开始工作日期。计划开始工作日期是指合同协议书约定的开始工作日期；实际开始工作日期是指工程师按照第</w:t>
      </w:r>
      <w:r>
        <w:rPr>
          <w:rFonts w:cs="宋体" w:asciiTheme="minorEastAsia" w:hAnsiTheme="minorEastAsia" w:eastAsiaTheme="minorEastAsia"/>
          <w:color w:val="auto"/>
          <w:szCs w:val="21"/>
          <w:highlight w:val="none"/>
        </w:rPr>
        <w:t>8.1款[开始工作]约定发出的符合法律规定的开始工作通知中载明的开始工作日期。</w:t>
      </w:r>
    </w:p>
    <w:p w14:paraId="389BB02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1.1.4.3 </w:t>
      </w:r>
      <w:r>
        <w:rPr>
          <w:rFonts w:hint="eastAsia" w:cs="宋体" w:asciiTheme="minorEastAsia" w:hAnsiTheme="minorEastAsia" w:eastAsiaTheme="minorEastAsia"/>
          <w:color w:val="auto"/>
          <w:szCs w:val="21"/>
          <w:highlight w:val="none"/>
        </w:rPr>
        <w:t>开始现场施工日期：包括计划开始现场施工日期和实际开始现场施工日期。计划开始现场施工日期是指合同协议书约定的开始现场施工日期；实际开始现场施工日期是指工程师发出的符合法律规定的开工通知中载明的开始现场施工日期。</w:t>
      </w:r>
    </w:p>
    <w:p w14:paraId="0B48C24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1.1.4.4 </w:t>
      </w:r>
      <w:r>
        <w:rPr>
          <w:rFonts w:hint="eastAsia" w:cs="宋体" w:asciiTheme="minorEastAsia" w:hAnsiTheme="minorEastAsia" w:eastAsiaTheme="minorEastAsia"/>
          <w:color w:val="auto"/>
          <w:szCs w:val="21"/>
          <w:highlight w:val="none"/>
        </w:rPr>
        <w:t>竣工日期：包括计划竣工日期和实际竣工日期。计划竣工日期是指合同协议书约定的竣工日期；实际竣工日期按照第</w:t>
      </w:r>
      <w:r>
        <w:rPr>
          <w:rFonts w:cs="宋体" w:asciiTheme="minorEastAsia" w:hAnsiTheme="minorEastAsia" w:eastAsiaTheme="minorEastAsia"/>
          <w:color w:val="auto"/>
          <w:szCs w:val="21"/>
          <w:highlight w:val="none"/>
        </w:rPr>
        <w:t>8.2款[竣工日期]的约定确定。</w:t>
      </w:r>
    </w:p>
    <w:p w14:paraId="3A1651E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1.1.4.5 </w:t>
      </w:r>
      <w:r>
        <w:rPr>
          <w:rFonts w:hint="eastAsia" w:cs="宋体" w:asciiTheme="minorEastAsia" w:hAnsiTheme="minorEastAsia" w:eastAsiaTheme="minorEastAsia"/>
          <w:color w:val="auto"/>
          <w:szCs w:val="21"/>
          <w:highlight w:val="none"/>
        </w:rPr>
        <w:t>工期：是指在合同协议书约定的承包人完成合同工作所需的期限，包括按照合同约定所作的期限变更及按合同约定承包人有权取得的工期延长。</w:t>
      </w:r>
    </w:p>
    <w:p w14:paraId="480CB34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1.1.4.6 </w:t>
      </w:r>
      <w:r>
        <w:rPr>
          <w:rFonts w:hint="eastAsia" w:cs="宋体" w:asciiTheme="minorEastAsia" w:hAnsiTheme="minorEastAsia" w:eastAsiaTheme="minorEastAsia"/>
          <w:color w:val="auto"/>
          <w:szCs w:val="21"/>
          <w:highlight w:val="none"/>
        </w:rPr>
        <w:t>缺陷责任期：是指发包人预留工程质量保证金以保证承包人履行第</w:t>
      </w:r>
      <w:r>
        <w:rPr>
          <w:rFonts w:cs="宋体" w:asciiTheme="minorEastAsia" w:hAnsiTheme="minorEastAsia" w:eastAsiaTheme="minorEastAsia"/>
          <w:color w:val="auto"/>
          <w:szCs w:val="21"/>
          <w:highlight w:val="none"/>
        </w:rPr>
        <w:t>11.3款[缺陷调查]下质量缺陷责任的期限。</w:t>
      </w:r>
    </w:p>
    <w:p w14:paraId="3C658B7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1.1.4.7 </w:t>
      </w:r>
      <w:r>
        <w:rPr>
          <w:rFonts w:hint="eastAsia" w:cs="宋体" w:asciiTheme="minorEastAsia" w:hAnsiTheme="minorEastAsia" w:eastAsiaTheme="minorEastAsia"/>
          <w:color w:val="auto"/>
          <w:szCs w:val="21"/>
          <w:highlight w:val="none"/>
        </w:rPr>
        <w:t>缺陷责任期：是指承包人按照合同约定和法律规定对工程质量承担保修责任的期限，该期限自缺陷责任期起算之日起计算。</w:t>
      </w:r>
    </w:p>
    <w:p w14:paraId="5EFE7AE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1.1.4.8 </w:t>
      </w:r>
      <w:r>
        <w:rPr>
          <w:rFonts w:hint="eastAsia" w:cs="宋体" w:asciiTheme="minorEastAsia" w:hAnsiTheme="minorEastAsia" w:eastAsiaTheme="minorEastAsia"/>
          <w:color w:val="auto"/>
          <w:szCs w:val="21"/>
          <w:highlight w:val="none"/>
        </w:rPr>
        <w:t>基准日期：招标发包的工程以投标截止日前</w:t>
      </w:r>
      <w:r>
        <w:rPr>
          <w:rFonts w:cs="宋体" w:asciiTheme="minorEastAsia" w:hAnsiTheme="minorEastAsia" w:eastAsiaTheme="minorEastAsia"/>
          <w:color w:val="auto"/>
          <w:szCs w:val="21"/>
          <w:highlight w:val="none"/>
        </w:rPr>
        <w:t>28天的日期为基准日期，直接发包的工程以合同订立日前28天的日期为基准日期。</w:t>
      </w:r>
    </w:p>
    <w:p w14:paraId="59CB179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1.1.4.9 </w:t>
      </w:r>
      <w:r>
        <w:rPr>
          <w:rFonts w:hint="eastAsia" w:cs="宋体" w:asciiTheme="minorEastAsia" w:hAnsiTheme="minorEastAsia" w:eastAsiaTheme="minorEastAsia"/>
          <w:color w:val="auto"/>
          <w:szCs w:val="21"/>
          <w:highlight w:val="none"/>
        </w:rPr>
        <w:t>天：除特别指明外，均指日历天。合同中按天计算时间的，开始当天不计入，从次日开始计算。期限最后一天的截止时间为当天</w:t>
      </w:r>
      <w:r>
        <w:rPr>
          <w:rFonts w:cs="宋体" w:asciiTheme="minorEastAsia" w:hAnsiTheme="minorEastAsia" w:eastAsiaTheme="minorEastAsia"/>
          <w:color w:val="auto"/>
          <w:szCs w:val="21"/>
          <w:highlight w:val="none"/>
        </w:rPr>
        <w:t>24:00。</w:t>
      </w:r>
    </w:p>
    <w:p w14:paraId="46C152E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1.1.4.10 </w:t>
      </w:r>
      <w:r>
        <w:rPr>
          <w:rFonts w:hint="eastAsia" w:cs="宋体" w:asciiTheme="minorEastAsia" w:hAnsiTheme="minorEastAsia" w:eastAsiaTheme="minorEastAsia"/>
          <w:color w:val="auto"/>
          <w:szCs w:val="21"/>
          <w:highlight w:val="none"/>
        </w:rPr>
        <w:t>竣工试验：是指在工程竣工验收前，根据第</w:t>
      </w:r>
      <w:r>
        <w:rPr>
          <w:rFonts w:cs="宋体" w:asciiTheme="minorEastAsia" w:hAnsiTheme="minorEastAsia" w:eastAsiaTheme="minorEastAsia"/>
          <w:color w:val="auto"/>
          <w:szCs w:val="21"/>
          <w:highlight w:val="none"/>
        </w:rPr>
        <w:t>9条[竣工试验]要求进行的试验。</w:t>
      </w:r>
    </w:p>
    <w:p w14:paraId="0107BA3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1.1.4.11 </w:t>
      </w:r>
      <w:r>
        <w:rPr>
          <w:rFonts w:hint="eastAsia" w:cs="宋体" w:asciiTheme="minorEastAsia" w:hAnsiTheme="minorEastAsia" w:eastAsiaTheme="minorEastAsia"/>
          <w:color w:val="auto"/>
          <w:szCs w:val="21"/>
          <w:highlight w:val="none"/>
        </w:rPr>
        <w:t>竣工验收：是指承包人完成了合同约定的各项内容后，发包人按合同要求进行的验收。</w:t>
      </w:r>
    </w:p>
    <w:p w14:paraId="4DBC36B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1.1.4.12 </w:t>
      </w:r>
      <w:r>
        <w:rPr>
          <w:rFonts w:hint="eastAsia" w:cs="宋体" w:asciiTheme="minorEastAsia" w:hAnsiTheme="minorEastAsia" w:eastAsiaTheme="minorEastAsia"/>
          <w:color w:val="auto"/>
          <w:szCs w:val="21"/>
          <w:highlight w:val="none"/>
        </w:rPr>
        <w:t>竣工后试验：是指在工程竣工验收后，根据第</w:t>
      </w:r>
      <w:r>
        <w:rPr>
          <w:rFonts w:cs="宋体" w:asciiTheme="minorEastAsia" w:hAnsiTheme="minorEastAsia" w:eastAsiaTheme="minorEastAsia"/>
          <w:color w:val="auto"/>
          <w:szCs w:val="21"/>
          <w:highlight w:val="none"/>
        </w:rPr>
        <w:t>12条[竣工后试验]约定进行的试验。</w:t>
      </w:r>
    </w:p>
    <w:p w14:paraId="1ADB7EB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1.1.5 </w:t>
      </w:r>
      <w:r>
        <w:rPr>
          <w:rFonts w:hint="eastAsia" w:cs="宋体" w:asciiTheme="minorEastAsia" w:hAnsiTheme="minorEastAsia" w:eastAsiaTheme="minorEastAsia"/>
          <w:color w:val="auto"/>
          <w:szCs w:val="21"/>
          <w:highlight w:val="none"/>
        </w:rPr>
        <w:t>合同价格和费用</w:t>
      </w:r>
    </w:p>
    <w:p w14:paraId="471A10C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1.1.5.1 </w:t>
      </w:r>
      <w:r>
        <w:rPr>
          <w:rFonts w:hint="eastAsia" w:cs="宋体" w:asciiTheme="minorEastAsia" w:hAnsiTheme="minorEastAsia" w:eastAsiaTheme="minorEastAsia"/>
          <w:color w:val="auto"/>
          <w:szCs w:val="21"/>
          <w:highlight w:val="none"/>
        </w:rPr>
        <w:t>签约合同价：是指发包人和承包人在合同协议书中确定的总金额，包括暂估价及暂列金等。</w:t>
      </w:r>
    </w:p>
    <w:p w14:paraId="012B3EA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1.1.5.2 </w:t>
      </w:r>
      <w:r>
        <w:rPr>
          <w:rFonts w:hint="eastAsia" w:cs="宋体" w:asciiTheme="minorEastAsia" w:hAnsiTheme="minorEastAsia" w:eastAsiaTheme="minorEastAsia"/>
          <w:color w:val="auto"/>
          <w:szCs w:val="21"/>
          <w:highlight w:val="none"/>
        </w:rPr>
        <w:t>合同价格：是指发包人用于支付承包人按照合同约定完成承包范围内全部工作的金额，包括合同履行过程中按合同约定发生的价格变化。</w:t>
      </w:r>
    </w:p>
    <w:p w14:paraId="4DB9C06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1.1.5.3 </w:t>
      </w:r>
      <w:r>
        <w:rPr>
          <w:rFonts w:hint="eastAsia" w:cs="宋体" w:asciiTheme="minorEastAsia" w:hAnsiTheme="minorEastAsia" w:eastAsiaTheme="minorEastAsia"/>
          <w:color w:val="auto"/>
          <w:szCs w:val="21"/>
          <w:highlight w:val="none"/>
        </w:rPr>
        <w:t>费用：是指为履行合同所发生的或将要发生的所有合理开支，包括管理费和应分摊的其他费用，但不包括利润。</w:t>
      </w:r>
    </w:p>
    <w:p w14:paraId="6E61F47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1.1.5.4 </w:t>
      </w:r>
      <w:r>
        <w:rPr>
          <w:rFonts w:hint="eastAsia" w:cs="宋体" w:asciiTheme="minorEastAsia" w:hAnsiTheme="minorEastAsia" w:eastAsiaTheme="minorEastAsia"/>
          <w:color w:val="auto"/>
          <w:szCs w:val="21"/>
          <w:highlight w:val="none"/>
        </w:rPr>
        <w:t>人工费：是指支付给直接从事建筑安装工程施工作业的建筑工人的各项费用。</w:t>
      </w:r>
    </w:p>
    <w:p w14:paraId="2BA1D0F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1.1.5.5 </w:t>
      </w:r>
      <w:r>
        <w:rPr>
          <w:rFonts w:hint="eastAsia" w:cs="宋体" w:asciiTheme="minorEastAsia" w:hAnsiTheme="minorEastAsia" w:eastAsiaTheme="minorEastAsia"/>
          <w:color w:val="auto"/>
          <w:szCs w:val="21"/>
          <w:highlight w:val="none"/>
        </w:rPr>
        <w:t>暂估价：</w:t>
      </w:r>
      <w:bookmarkStart w:id="32" w:name="_Hlk18973781"/>
      <w:r>
        <w:rPr>
          <w:rFonts w:hint="eastAsia" w:cs="宋体" w:asciiTheme="minorEastAsia" w:hAnsiTheme="minorEastAsia" w:eastAsiaTheme="minorEastAsia"/>
          <w:color w:val="auto"/>
          <w:szCs w:val="21"/>
          <w:highlight w:val="none"/>
        </w:rPr>
        <w:t>是指发包人在项目清单中给定的，用于支付必然发生但暂时不能确定价格的专业服务、材料、设备、专业工程的金额。</w:t>
      </w:r>
      <w:bookmarkEnd w:id="32"/>
    </w:p>
    <w:p w14:paraId="3708A37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1.1.5.6 </w:t>
      </w:r>
      <w:r>
        <w:rPr>
          <w:rFonts w:hint="eastAsia" w:cs="宋体" w:asciiTheme="minorEastAsia" w:hAnsiTheme="minorEastAsia" w:eastAsiaTheme="minorEastAsia"/>
          <w:color w:val="auto"/>
          <w:szCs w:val="21"/>
          <w:highlight w:val="none"/>
        </w:rPr>
        <w:t>暂列金：是指发包人在项目清单中给定的，用于在订立协议书时尚未确定或不可预见变更的设计、施工及其所需材料、工程设备、服务等的金额，包括以计日工方式支付的金额。</w:t>
      </w:r>
    </w:p>
    <w:p w14:paraId="6132655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1.1.5.7 </w:t>
      </w:r>
      <w:r>
        <w:rPr>
          <w:rFonts w:hint="eastAsia" w:cs="宋体" w:asciiTheme="minorEastAsia" w:hAnsiTheme="minorEastAsia" w:eastAsiaTheme="minorEastAsia"/>
          <w:color w:val="auto"/>
          <w:szCs w:val="21"/>
          <w:highlight w:val="none"/>
        </w:rPr>
        <w:t>计日工：是指合同履行过程中，承包人完成发包人提出的零星工作或需要采用计日工计价的变更工作时，按合同中约定的单价计价的一种方式。</w:t>
      </w:r>
    </w:p>
    <w:p w14:paraId="6EC6CF1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1.1.5.8 </w:t>
      </w:r>
      <w:r>
        <w:rPr>
          <w:rFonts w:hint="eastAsia" w:cs="宋体" w:asciiTheme="minorEastAsia" w:hAnsiTheme="minorEastAsia" w:eastAsiaTheme="minorEastAsia"/>
          <w:color w:val="auto"/>
          <w:szCs w:val="21"/>
          <w:highlight w:val="none"/>
        </w:rPr>
        <w:t>质量保证金：是指按第</w:t>
      </w:r>
      <w:r>
        <w:rPr>
          <w:rFonts w:cs="宋体" w:asciiTheme="minorEastAsia" w:hAnsiTheme="minorEastAsia" w:eastAsiaTheme="minorEastAsia"/>
          <w:color w:val="auto"/>
          <w:szCs w:val="21"/>
          <w:highlight w:val="none"/>
        </w:rPr>
        <w:t>14.6款[质量保证金]约定承包人用于保证其在缺陷责任期内履行缺陷修复义务的担保。</w:t>
      </w:r>
    </w:p>
    <w:p w14:paraId="0F26347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1.1.6 </w:t>
      </w:r>
      <w:r>
        <w:rPr>
          <w:rFonts w:hint="eastAsia" w:cs="宋体" w:asciiTheme="minorEastAsia" w:hAnsiTheme="minorEastAsia" w:eastAsiaTheme="minorEastAsia"/>
          <w:color w:val="auto"/>
          <w:szCs w:val="21"/>
          <w:highlight w:val="none"/>
        </w:rPr>
        <w:t>其他</w:t>
      </w:r>
    </w:p>
    <w:p w14:paraId="14F24A6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1.1.6.1 </w:t>
      </w:r>
      <w:r>
        <w:rPr>
          <w:rFonts w:hint="eastAsia" w:cs="宋体" w:asciiTheme="minorEastAsia" w:hAnsiTheme="minorEastAsia" w:eastAsiaTheme="minorEastAsia"/>
          <w:color w:val="auto"/>
          <w:szCs w:val="21"/>
          <w:highlight w:val="none"/>
        </w:rPr>
        <w:t>书面形式：指合同文件、信函、电报、传真、数据电文、电子邮件、会议纪要等可以有形地表现所载内容的形式。</w:t>
      </w:r>
    </w:p>
    <w:p w14:paraId="0B7B419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1.1.6.2 </w:t>
      </w:r>
      <w:r>
        <w:rPr>
          <w:rFonts w:hint="eastAsia" w:cs="宋体" w:asciiTheme="minorEastAsia" w:hAnsiTheme="minorEastAsia" w:eastAsiaTheme="minorEastAsia"/>
          <w:color w:val="auto"/>
          <w:szCs w:val="21"/>
          <w:highlight w:val="none"/>
        </w:rPr>
        <w:t>承包人文件：指由承包人根据合同约定应提交的所有图纸、手册、模型、计算书、软件、函件、洽商性文件和其他技术性文件。</w:t>
      </w:r>
    </w:p>
    <w:p w14:paraId="31ADC93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1.1.6.3 </w:t>
      </w:r>
      <w:r>
        <w:rPr>
          <w:rFonts w:hint="eastAsia" w:cs="宋体" w:asciiTheme="minorEastAsia" w:hAnsiTheme="minorEastAsia" w:eastAsiaTheme="minorEastAsia"/>
          <w:color w:val="auto"/>
          <w:szCs w:val="21"/>
          <w:highlight w:val="none"/>
        </w:rPr>
        <w:t>变更：指根据第</w:t>
      </w:r>
      <w:r>
        <w:rPr>
          <w:rFonts w:cs="宋体" w:asciiTheme="minorEastAsia" w:hAnsiTheme="minorEastAsia" w:eastAsiaTheme="minorEastAsia"/>
          <w:color w:val="auto"/>
          <w:szCs w:val="21"/>
          <w:highlight w:val="none"/>
        </w:rPr>
        <w:t>13条[变更与调整]的约定，经指示或批准对《发包人要求》或工程所做的改变。</w:t>
      </w:r>
    </w:p>
    <w:bookmarkEnd w:id="22"/>
    <w:p w14:paraId="4BFDBAC4">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3" w:name="_Ref509042101"/>
      <w:bookmarkStart w:id="34" w:name="_Toc54862179"/>
      <w:bookmarkStart w:id="35" w:name="_Ref509042104"/>
      <w:bookmarkStart w:id="36" w:name="_Ref522730349"/>
      <w:bookmarkStart w:id="37" w:name="_Ref522730353"/>
      <w:r>
        <w:rPr>
          <w:rFonts w:cs="宋体" w:asciiTheme="minorEastAsia" w:hAnsiTheme="minorEastAsia" w:eastAsiaTheme="minorEastAsia"/>
          <w:color w:val="auto"/>
          <w:szCs w:val="21"/>
          <w:highlight w:val="none"/>
        </w:rPr>
        <w:t xml:space="preserve">1.2 </w:t>
      </w:r>
      <w:r>
        <w:rPr>
          <w:rFonts w:hint="eastAsia" w:cs="宋体" w:asciiTheme="minorEastAsia" w:hAnsiTheme="minorEastAsia" w:eastAsiaTheme="minorEastAsia"/>
          <w:color w:val="auto"/>
          <w:szCs w:val="21"/>
          <w:highlight w:val="none"/>
        </w:rPr>
        <w:t>语言文字</w:t>
      </w:r>
      <w:bookmarkEnd w:id="33"/>
      <w:bookmarkEnd w:id="34"/>
      <w:bookmarkEnd w:id="35"/>
    </w:p>
    <w:p w14:paraId="2997755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合同文件以中国的汉语简体语言文字编写、解释和说明。专用术语使用外文的，应附有中文注释。合同当事人在专用合同条件约定使用两种及以上语言时，汉语为优先解释和说明合同的语言。</w:t>
      </w:r>
    </w:p>
    <w:p w14:paraId="5717563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与合同有关的联络应使用专用合同条件约定的语言。如没有约定，则应使用中国的汉语简体语言文字。</w:t>
      </w:r>
    </w:p>
    <w:p w14:paraId="208E5B94">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8" w:name="_Ref531949539"/>
      <w:bookmarkStart w:id="39" w:name="_Ref531949543"/>
      <w:bookmarkStart w:id="40" w:name="_Toc54862180"/>
      <w:r>
        <w:rPr>
          <w:rFonts w:cs="宋体" w:asciiTheme="minorEastAsia" w:hAnsiTheme="minorEastAsia" w:eastAsiaTheme="minorEastAsia"/>
          <w:color w:val="auto"/>
          <w:szCs w:val="21"/>
          <w:highlight w:val="none"/>
        </w:rPr>
        <w:t xml:space="preserve">1.3 </w:t>
      </w:r>
      <w:r>
        <w:rPr>
          <w:rFonts w:hint="eastAsia" w:cs="宋体" w:asciiTheme="minorEastAsia" w:hAnsiTheme="minorEastAsia" w:eastAsiaTheme="minorEastAsia"/>
          <w:color w:val="auto"/>
          <w:szCs w:val="21"/>
          <w:highlight w:val="none"/>
        </w:rPr>
        <w:t>法律</w:t>
      </w:r>
      <w:bookmarkEnd w:id="38"/>
      <w:bookmarkEnd w:id="39"/>
      <w:bookmarkEnd w:id="40"/>
    </w:p>
    <w:p w14:paraId="3FAFCB0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合同所称法律是指中华人民共和国法律、行政法规、部门规章，以及工程所在地的地方法规、自治条例、单行条例和地方政府规章等。</w:t>
      </w:r>
    </w:p>
    <w:p w14:paraId="2214915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合同当事人可以在专用合同条件中约定合同适用的其他规范性文件。</w:t>
      </w:r>
    </w:p>
    <w:p w14:paraId="79683426">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1" w:name="_Ref531949589"/>
      <w:bookmarkStart w:id="42" w:name="_Ref531949594"/>
      <w:bookmarkStart w:id="43" w:name="_Toc54862181"/>
      <w:r>
        <w:rPr>
          <w:rFonts w:cs="宋体" w:asciiTheme="minorEastAsia" w:hAnsiTheme="minorEastAsia" w:eastAsiaTheme="minorEastAsia"/>
          <w:color w:val="auto"/>
          <w:szCs w:val="21"/>
          <w:highlight w:val="none"/>
        </w:rPr>
        <w:t xml:space="preserve">1.4 </w:t>
      </w:r>
      <w:r>
        <w:rPr>
          <w:rFonts w:hint="eastAsia" w:cs="宋体" w:asciiTheme="minorEastAsia" w:hAnsiTheme="minorEastAsia" w:eastAsiaTheme="minorEastAsia"/>
          <w:color w:val="auto"/>
          <w:szCs w:val="21"/>
          <w:highlight w:val="none"/>
        </w:rPr>
        <w:t>标准和规范</w:t>
      </w:r>
      <w:bookmarkEnd w:id="41"/>
      <w:bookmarkEnd w:id="42"/>
      <w:bookmarkEnd w:id="43"/>
    </w:p>
    <w:p w14:paraId="1D2D2DF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4" w:name="_Ref4420991"/>
      <w:r>
        <w:rPr>
          <w:rFonts w:cs="宋体" w:asciiTheme="minorEastAsia" w:hAnsiTheme="minorEastAsia" w:eastAsiaTheme="minorEastAsia"/>
          <w:color w:val="auto"/>
          <w:szCs w:val="21"/>
          <w:highlight w:val="none"/>
        </w:rPr>
        <w:t xml:space="preserve">1.4.1 </w:t>
      </w:r>
      <w:r>
        <w:rPr>
          <w:rFonts w:hint="eastAsia" w:cs="宋体" w:asciiTheme="minorEastAsia" w:hAnsiTheme="minorEastAsia" w:eastAsiaTheme="minorEastAsia"/>
          <w:color w:val="auto"/>
          <w:szCs w:val="21"/>
          <w:highlight w:val="none"/>
        </w:rPr>
        <w:t>适用于工程的国家标准、行业标准、工程所在地的地方性标准，以及相应的规范、规程等，合同当事人有特别要求的，应在专用合同条件中约定。</w:t>
      </w:r>
      <w:bookmarkEnd w:id="44"/>
    </w:p>
    <w:p w14:paraId="1964D57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5" w:name="_Ref531949642"/>
      <w:r>
        <w:rPr>
          <w:rFonts w:cs="宋体" w:asciiTheme="minorEastAsia" w:hAnsiTheme="minorEastAsia" w:eastAsiaTheme="minorEastAsia"/>
          <w:color w:val="auto"/>
          <w:szCs w:val="21"/>
          <w:highlight w:val="none"/>
        </w:rPr>
        <w:t xml:space="preserve">1.4.2 </w:t>
      </w:r>
      <w:r>
        <w:rPr>
          <w:rFonts w:hint="eastAsia" w:cs="宋体" w:asciiTheme="minorEastAsia" w:hAnsiTheme="minorEastAsia" w:eastAsiaTheme="minorEastAsia"/>
          <w:color w:val="auto"/>
          <w:szCs w:val="21"/>
          <w:highlight w:val="none"/>
        </w:rPr>
        <w:t>发包人要求使用国外标准、规范的，发包人负责提供原文版本和中文译本，并在专用合同条件中约定提供标准规范的名称、份数和时间。</w:t>
      </w:r>
      <w:bookmarkEnd w:id="45"/>
    </w:p>
    <w:p w14:paraId="15B2C72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6" w:name="_Ref531949657"/>
      <w:r>
        <w:rPr>
          <w:rFonts w:cs="宋体" w:asciiTheme="minorEastAsia" w:hAnsiTheme="minorEastAsia" w:eastAsiaTheme="minorEastAsia"/>
          <w:color w:val="auto"/>
          <w:szCs w:val="21"/>
          <w:highlight w:val="none"/>
        </w:rPr>
        <w:t xml:space="preserve">1.4.3 </w:t>
      </w:r>
      <w:r>
        <w:rPr>
          <w:rFonts w:hint="eastAsia" w:cs="宋体" w:asciiTheme="minorEastAsia" w:hAnsiTheme="minorEastAsia" w:eastAsiaTheme="minorEastAsia"/>
          <w:color w:val="auto"/>
          <w:szCs w:val="21"/>
          <w:highlight w:val="none"/>
        </w:rPr>
        <w:t>没有相应成文规定的标准、规范时，由发包人在专用合同条件中约定的时间向承包人列明技术要求，承包人按约定的时间和技术要求提出实施方法，经发包人认可后执行。承包人需要对实施方法进行研发试验的，或须对项目人员进行特殊培训及其有特殊要求的，除签约合同价已包含此项费用外，双方应另行订立协议作为合同附件，其费用由发包人承担。</w:t>
      </w:r>
      <w:bookmarkEnd w:id="46"/>
    </w:p>
    <w:p w14:paraId="55D5C9C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7" w:name="_Ref4421272"/>
      <w:r>
        <w:rPr>
          <w:rFonts w:cs="宋体" w:asciiTheme="minorEastAsia" w:hAnsiTheme="minorEastAsia" w:eastAsiaTheme="minorEastAsia"/>
          <w:color w:val="auto"/>
          <w:szCs w:val="21"/>
          <w:highlight w:val="none"/>
        </w:rPr>
        <w:t xml:space="preserve">1.4.4 </w:t>
      </w:r>
      <w:r>
        <w:rPr>
          <w:rFonts w:hint="eastAsia" w:cs="宋体" w:asciiTheme="minorEastAsia" w:hAnsiTheme="minorEastAsia" w:eastAsiaTheme="minorEastAsia"/>
          <w:color w:val="auto"/>
          <w:szCs w:val="21"/>
          <w:highlight w:val="none"/>
        </w:rPr>
        <w:t>发包人对于工程的技术标准、功能要求高于或严于现行国家、行业或地方标准的，应当在《发包人要求》中予以明确。除专用合同条件另有约定外，应视为承包人在订立合同前已充分预见前述技术标准和功能要求的复杂程度，签约合同价中已包含由此产生的费用。</w:t>
      </w:r>
      <w:bookmarkEnd w:id="47"/>
    </w:p>
    <w:p w14:paraId="7A0069B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8" w:name="_Toc54862182"/>
      <w:bookmarkStart w:id="49" w:name="_Ref4421717"/>
      <w:r>
        <w:rPr>
          <w:rFonts w:cs="宋体" w:asciiTheme="minorEastAsia" w:hAnsiTheme="minorEastAsia" w:eastAsiaTheme="minorEastAsia"/>
          <w:color w:val="auto"/>
          <w:szCs w:val="21"/>
          <w:highlight w:val="none"/>
        </w:rPr>
        <w:t xml:space="preserve">1.5 </w:t>
      </w:r>
      <w:r>
        <w:rPr>
          <w:rFonts w:hint="eastAsia" w:cs="宋体" w:asciiTheme="minorEastAsia" w:hAnsiTheme="minorEastAsia" w:eastAsiaTheme="minorEastAsia"/>
          <w:color w:val="auto"/>
          <w:szCs w:val="21"/>
          <w:highlight w:val="none"/>
        </w:rPr>
        <w:t>合同文件的优先顺序</w:t>
      </w:r>
      <w:bookmarkEnd w:id="36"/>
      <w:bookmarkEnd w:id="37"/>
      <w:bookmarkEnd w:id="48"/>
      <w:bookmarkEnd w:id="49"/>
    </w:p>
    <w:p w14:paraId="15D42FF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0" w:name="_Ref531948776"/>
      <w:r>
        <w:rPr>
          <w:rFonts w:hint="eastAsia" w:cs="宋体" w:asciiTheme="minorEastAsia" w:hAnsiTheme="minorEastAsia" w:eastAsiaTheme="minorEastAsia"/>
          <w:color w:val="auto"/>
          <w:szCs w:val="21"/>
          <w:highlight w:val="none"/>
        </w:rPr>
        <w:t>组成合同的各项文件应互相解释，互为说明。除专用合同条件另有约定外，</w:t>
      </w:r>
      <w:bookmarkEnd w:id="50"/>
      <w:r>
        <w:rPr>
          <w:rFonts w:hint="eastAsia" w:cs="宋体" w:asciiTheme="minorEastAsia" w:hAnsiTheme="minorEastAsia" w:eastAsiaTheme="minorEastAsia"/>
          <w:color w:val="auto"/>
          <w:szCs w:val="21"/>
          <w:highlight w:val="none"/>
        </w:rPr>
        <w:t>解释合同文件的优先顺序如下：</w:t>
      </w:r>
    </w:p>
    <w:p w14:paraId="44A6752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1）合同协议书；</w:t>
      </w:r>
    </w:p>
    <w:p w14:paraId="33AF683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2）中标通知书（如果有）；</w:t>
      </w:r>
    </w:p>
    <w:p w14:paraId="549B6C5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3）投标函及投标函附录（如果有）；</w:t>
      </w:r>
    </w:p>
    <w:p w14:paraId="1DD6F1E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4）专用合同条件及《发包人要求》等附件；</w:t>
      </w:r>
    </w:p>
    <w:p w14:paraId="0EEF059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5）通用合同条件；</w:t>
      </w:r>
    </w:p>
    <w:p w14:paraId="18A70F5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6）承包人建议书；</w:t>
      </w:r>
    </w:p>
    <w:p w14:paraId="60CEBF3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7）价格清单；</w:t>
      </w:r>
    </w:p>
    <w:p w14:paraId="6912E9C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8）双方约定的其他合同文件。</w:t>
      </w:r>
    </w:p>
    <w:p w14:paraId="013891C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1" w:name="_Hlk18951547"/>
      <w:r>
        <w:rPr>
          <w:rFonts w:hint="eastAsia" w:cs="宋体" w:asciiTheme="minorEastAsia" w:hAnsiTheme="minorEastAsia" w:eastAsiaTheme="minorEastAsia"/>
          <w:color w:val="auto"/>
          <w:szCs w:val="21"/>
          <w:highlight w:val="none"/>
        </w:rPr>
        <w:t>上述各项合同文件包括合同当事人就该项合同文件所作出的补充和修改，属于同一类内容的文件，应以最新签署的为准</w:t>
      </w:r>
      <w:bookmarkEnd w:id="51"/>
      <w:r>
        <w:rPr>
          <w:rFonts w:hint="eastAsia" w:cs="宋体" w:asciiTheme="minorEastAsia" w:hAnsiTheme="minorEastAsia" w:eastAsiaTheme="minorEastAsia"/>
          <w:color w:val="auto"/>
          <w:szCs w:val="21"/>
          <w:highlight w:val="none"/>
        </w:rPr>
        <w:t>。</w:t>
      </w:r>
    </w:p>
    <w:p w14:paraId="367FBD7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在合同订立及履行过程中形成的与合同有关的文件均构成合同文件组成部分，并根据其性质确定优先解释顺序。</w:t>
      </w:r>
    </w:p>
    <w:p w14:paraId="6FC1B513">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52" w:name="_Ref4422060"/>
      <w:bookmarkStart w:id="53" w:name="_Ref11917818"/>
      <w:bookmarkStart w:id="54" w:name="_Toc54862183"/>
      <w:bookmarkStart w:id="55" w:name="_Ref531949822"/>
      <w:bookmarkStart w:id="56" w:name="_Ref531949803"/>
      <w:bookmarkStart w:id="57" w:name="_Ref531949807"/>
      <w:r>
        <w:rPr>
          <w:rFonts w:cs="宋体" w:asciiTheme="minorEastAsia" w:hAnsiTheme="minorEastAsia" w:eastAsiaTheme="minorEastAsia"/>
          <w:color w:val="auto"/>
          <w:szCs w:val="21"/>
          <w:highlight w:val="none"/>
        </w:rPr>
        <w:t xml:space="preserve">1.6 </w:t>
      </w:r>
      <w:r>
        <w:rPr>
          <w:rFonts w:hint="eastAsia" w:cs="宋体" w:asciiTheme="minorEastAsia" w:hAnsiTheme="minorEastAsia" w:eastAsiaTheme="minorEastAsia"/>
          <w:color w:val="auto"/>
          <w:szCs w:val="21"/>
          <w:highlight w:val="none"/>
        </w:rPr>
        <w:t>文件的提供和</w:t>
      </w:r>
      <w:bookmarkEnd w:id="52"/>
      <w:r>
        <w:rPr>
          <w:rFonts w:hint="eastAsia" w:cs="宋体" w:asciiTheme="minorEastAsia" w:hAnsiTheme="minorEastAsia" w:eastAsiaTheme="minorEastAsia"/>
          <w:color w:val="auto"/>
          <w:szCs w:val="21"/>
          <w:highlight w:val="none"/>
        </w:rPr>
        <w:t>照管</w:t>
      </w:r>
      <w:bookmarkEnd w:id="53"/>
      <w:bookmarkEnd w:id="54"/>
    </w:p>
    <w:p w14:paraId="06E5504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8" w:name="_Ref4421991"/>
      <w:r>
        <w:rPr>
          <w:rFonts w:cs="宋体" w:asciiTheme="minorEastAsia" w:hAnsiTheme="minorEastAsia" w:eastAsiaTheme="minorEastAsia"/>
          <w:color w:val="auto"/>
          <w:szCs w:val="21"/>
          <w:highlight w:val="none"/>
        </w:rPr>
        <w:t xml:space="preserve">1.6.1 </w:t>
      </w:r>
      <w:r>
        <w:rPr>
          <w:rFonts w:hint="eastAsia" w:cs="宋体" w:asciiTheme="minorEastAsia" w:hAnsiTheme="minorEastAsia" w:eastAsiaTheme="minorEastAsia"/>
          <w:color w:val="auto"/>
          <w:szCs w:val="21"/>
          <w:highlight w:val="none"/>
        </w:rPr>
        <w:t>发包人文件的提供</w:t>
      </w:r>
      <w:bookmarkEnd w:id="58"/>
    </w:p>
    <w:p w14:paraId="52BB129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应按照专用合同条件约定的期限、数量和形式向承包人免费提供前期工作相关资料、环境保护、气象水文、地质条件进行工程设计、现场施工等工程实施所需的文件。因发包人未按合同约定提供文件造成工期延误的，按照第</w:t>
      </w:r>
      <w:r>
        <w:rPr>
          <w:rFonts w:cs="宋体" w:asciiTheme="minorEastAsia" w:hAnsiTheme="minorEastAsia" w:eastAsiaTheme="minorEastAsia"/>
          <w:color w:val="auto"/>
          <w:szCs w:val="21"/>
          <w:highlight w:val="none"/>
        </w:rPr>
        <w:t>8.7.1项[因发包人原因导致工期延误]约定办理。</w:t>
      </w:r>
    </w:p>
    <w:p w14:paraId="5D04718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9" w:name="_Ref4422317"/>
      <w:r>
        <w:rPr>
          <w:rFonts w:cs="宋体" w:asciiTheme="minorEastAsia" w:hAnsiTheme="minorEastAsia" w:eastAsiaTheme="minorEastAsia"/>
          <w:color w:val="auto"/>
          <w:szCs w:val="21"/>
          <w:highlight w:val="none"/>
        </w:rPr>
        <w:t xml:space="preserve">1.6.2 </w:t>
      </w:r>
      <w:r>
        <w:rPr>
          <w:rFonts w:hint="eastAsia" w:cs="宋体" w:asciiTheme="minorEastAsia" w:hAnsiTheme="minorEastAsia" w:eastAsiaTheme="minorEastAsia"/>
          <w:color w:val="auto"/>
          <w:szCs w:val="21"/>
          <w:highlight w:val="none"/>
        </w:rPr>
        <w:t>承包人文件的提供</w:t>
      </w:r>
      <w:bookmarkEnd w:id="59"/>
    </w:p>
    <w:p w14:paraId="549CDFF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除专用合同条件另有约定外，承包人文件应包含下列内容，并用第</w:t>
      </w:r>
      <w:r>
        <w:rPr>
          <w:rFonts w:cs="宋体" w:asciiTheme="minorEastAsia" w:hAnsiTheme="minorEastAsia" w:eastAsiaTheme="minorEastAsia"/>
          <w:color w:val="auto"/>
          <w:szCs w:val="21"/>
          <w:highlight w:val="none"/>
        </w:rPr>
        <w:t>1.2款[语言文字]约定的语言制作：</w:t>
      </w:r>
    </w:p>
    <w:p w14:paraId="23D533F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1）《发包人要求》中规定的相关文件；</w:t>
      </w:r>
    </w:p>
    <w:p w14:paraId="497B667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2）满足工程相关行政审批手续所必须的应由承包人负责的相关文件；</w:t>
      </w:r>
    </w:p>
    <w:p w14:paraId="52A2312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3）第5.4款[竣工文件]与第5.5款[操作和维修手册]中要求的相关文件。</w:t>
      </w:r>
    </w:p>
    <w:p w14:paraId="672E34F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按照专用合同条件约定的期限、名称、数量和形式向工程师提供应当由承包人编制的与工程设计、现场施工等工程实施有关的承包人文件。工程师对承包人文件有异议的，承包人应予以修改，并重新报送工程师。合同约定承包人文件应经审查的，工程师应在合同约定的期限内审查完毕，但工程师的审查并不减轻或免除承包人根据合同约定应当承担的责任。承包人文件的提供和审查还应遵守第</w:t>
      </w:r>
      <w:r>
        <w:rPr>
          <w:rFonts w:cs="宋体" w:asciiTheme="minorEastAsia" w:hAnsiTheme="minorEastAsia" w:eastAsiaTheme="minorEastAsia"/>
          <w:color w:val="auto"/>
          <w:szCs w:val="21"/>
          <w:highlight w:val="none"/>
        </w:rPr>
        <w:t>5.2款[承包人文件审查]和第5.4款[竣工文件]的约定。</w:t>
      </w:r>
    </w:p>
    <w:p w14:paraId="06D5E8B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1.6.3 </w:t>
      </w:r>
      <w:r>
        <w:rPr>
          <w:rFonts w:hint="eastAsia" w:cs="宋体" w:asciiTheme="minorEastAsia" w:hAnsiTheme="minorEastAsia" w:eastAsiaTheme="minorEastAsia"/>
          <w:color w:val="auto"/>
          <w:szCs w:val="21"/>
          <w:highlight w:val="none"/>
        </w:rPr>
        <w:t>文件错误的通知</w:t>
      </w:r>
    </w:p>
    <w:p w14:paraId="7CF5780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任何一方发现文件中存在明显的错误或疏忽，应及时通知另一方。</w:t>
      </w:r>
    </w:p>
    <w:p w14:paraId="0BFDCCB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0" w:name="_Ref4678410"/>
      <w:bookmarkStart w:id="61" w:name="_Ref11957673"/>
      <w:r>
        <w:rPr>
          <w:rFonts w:cs="宋体" w:asciiTheme="minorEastAsia" w:hAnsiTheme="minorEastAsia" w:eastAsiaTheme="minorEastAsia"/>
          <w:color w:val="auto"/>
          <w:szCs w:val="21"/>
          <w:highlight w:val="none"/>
        </w:rPr>
        <w:t xml:space="preserve">1.6.4 </w:t>
      </w:r>
      <w:r>
        <w:rPr>
          <w:rFonts w:hint="eastAsia" w:cs="宋体" w:asciiTheme="minorEastAsia" w:hAnsiTheme="minorEastAsia" w:eastAsiaTheme="minorEastAsia"/>
          <w:color w:val="auto"/>
          <w:szCs w:val="21"/>
          <w:highlight w:val="none"/>
        </w:rPr>
        <w:t>文件的</w:t>
      </w:r>
      <w:bookmarkEnd w:id="60"/>
      <w:r>
        <w:rPr>
          <w:rFonts w:hint="eastAsia" w:cs="宋体" w:asciiTheme="minorEastAsia" w:hAnsiTheme="minorEastAsia" w:eastAsiaTheme="minorEastAsia"/>
          <w:color w:val="auto"/>
          <w:szCs w:val="21"/>
          <w:highlight w:val="none"/>
        </w:rPr>
        <w:t>照管</w:t>
      </w:r>
      <w:bookmarkEnd w:id="61"/>
    </w:p>
    <w:p w14:paraId="3025522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承包人应在现场保留一份合同、《发包人要求》中列出的所有文件、承包人文件、变更以及其他根据合同收发的往来信函。发包人和工程师有权在任何合理的时间查阅和使用上述所有文件。</w:t>
      </w:r>
    </w:p>
    <w:p w14:paraId="04E281DA">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2" w:name="_Ref4415170"/>
      <w:bookmarkStart w:id="63" w:name="_Toc54862184"/>
      <w:r>
        <w:rPr>
          <w:rFonts w:cs="宋体" w:asciiTheme="minorEastAsia" w:hAnsiTheme="minorEastAsia" w:eastAsiaTheme="minorEastAsia"/>
          <w:color w:val="auto"/>
          <w:szCs w:val="21"/>
          <w:highlight w:val="none"/>
        </w:rPr>
        <w:t xml:space="preserve">1.7 </w:t>
      </w:r>
      <w:r>
        <w:rPr>
          <w:rFonts w:hint="eastAsia" w:cs="宋体" w:asciiTheme="minorEastAsia" w:hAnsiTheme="minorEastAsia" w:eastAsiaTheme="minorEastAsia"/>
          <w:color w:val="auto"/>
          <w:szCs w:val="21"/>
          <w:highlight w:val="none"/>
        </w:rPr>
        <w:t>联络</w:t>
      </w:r>
      <w:bookmarkEnd w:id="62"/>
      <w:bookmarkEnd w:id="63"/>
    </w:p>
    <w:p w14:paraId="746C911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1.7.1 </w:t>
      </w:r>
      <w:r>
        <w:rPr>
          <w:rFonts w:hint="eastAsia" w:cs="宋体" w:asciiTheme="minorEastAsia" w:hAnsiTheme="minorEastAsia" w:eastAsiaTheme="minorEastAsia"/>
          <w:color w:val="auto"/>
          <w:szCs w:val="21"/>
          <w:highlight w:val="none"/>
        </w:rPr>
        <w:t>与合同有关的通知、批准、证明、证书、指示、指令、要求、请求、同意、意见、确定和决定等，均应采用书面形式，并应在合同约定的期限内（如无约定，应在合理期限内）通过特快专递或专人、挂号信、传真或双方商定的电子传输方式送达收件地址。</w:t>
      </w:r>
    </w:p>
    <w:p w14:paraId="4421B82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4" w:name="_Ref531949897"/>
      <w:r>
        <w:rPr>
          <w:rFonts w:cs="宋体" w:asciiTheme="minorEastAsia" w:hAnsiTheme="minorEastAsia" w:eastAsiaTheme="minorEastAsia"/>
          <w:color w:val="auto"/>
          <w:szCs w:val="21"/>
          <w:highlight w:val="none"/>
        </w:rPr>
        <w:t xml:space="preserve">1.7.2 </w:t>
      </w:r>
      <w:r>
        <w:rPr>
          <w:rFonts w:hint="eastAsia" w:cs="宋体" w:asciiTheme="minorEastAsia" w:hAnsiTheme="minorEastAsia" w:eastAsiaTheme="minorEastAsia"/>
          <w:color w:val="auto"/>
          <w:szCs w:val="21"/>
          <w:highlight w:val="none"/>
        </w:rPr>
        <w:t>发包人和承包人应在专用合同条件中约定各自的送达方式和收件地址。任何一方合同当事人指定的送达方式或收件地址发生变动的，应提前</w:t>
      </w:r>
      <w:r>
        <w:rPr>
          <w:rFonts w:cs="宋体" w:asciiTheme="minorEastAsia" w:hAnsiTheme="minorEastAsia" w:eastAsiaTheme="minorEastAsia"/>
          <w:color w:val="auto"/>
          <w:szCs w:val="21"/>
          <w:highlight w:val="none"/>
        </w:rPr>
        <w:t>3天以书面形式通知对方。</w:t>
      </w:r>
      <w:bookmarkEnd w:id="64"/>
    </w:p>
    <w:p w14:paraId="7FE960A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1.7.3 </w:t>
      </w:r>
      <w:r>
        <w:rPr>
          <w:rFonts w:hint="eastAsia" w:cs="宋体" w:asciiTheme="minorEastAsia" w:hAnsiTheme="minorEastAsia" w:eastAsiaTheme="minorEastAsia"/>
          <w:color w:val="auto"/>
          <w:szCs w:val="21"/>
          <w:highlight w:val="none"/>
        </w:rPr>
        <w:t>发包人和承包人应当及时签收另一方通过约定的送达方式送达至收件地址的来往文件。拒不签收的，由此增加的费用和（或）延误的工期由拒绝接收一方承担。</w:t>
      </w:r>
    </w:p>
    <w:p w14:paraId="00D45D4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1.7.4 </w:t>
      </w:r>
      <w:r>
        <w:rPr>
          <w:rFonts w:hint="eastAsia" w:cs="宋体" w:asciiTheme="minorEastAsia" w:hAnsiTheme="minorEastAsia" w:eastAsiaTheme="minorEastAsia"/>
          <w:color w:val="auto"/>
          <w:szCs w:val="21"/>
          <w:highlight w:val="none"/>
        </w:rPr>
        <w:t>对于工程师向承包人发出的任何通知，均应以书面形式由工程师或其代表签认后送交承包人实施，并抄送发包人；对于合同一方向另一方发出的任何通知，均应抄送工程师。对于由工程师审查后报发包人批准的事项，应由工程师向承包人出具经发包人签认的批准文件。</w:t>
      </w:r>
    </w:p>
    <w:p w14:paraId="143E4849">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5" w:name="_Toc54862185"/>
      <w:r>
        <w:rPr>
          <w:rFonts w:cs="宋体" w:asciiTheme="minorEastAsia" w:hAnsiTheme="minorEastAsia" w:eastAsiaTheme="minorEastAsia"/>
          <w:color w:val="auto"/>
          <w:szCs w:val="21"/>
          <w:highlight w:val="none"/>
        </w:rPr>
        <w:t xml:space="preserve">1.8 </w:t>
      </w:r>
      <w:r>
        <w:rPr>
          <w:rFonts w:hint="eastAsia" w:cs="宋体" w:asciiTheme="minorEastAsia" w:hAnsiTheme="minorEastAsia" w:eastAsiaTheme="minorEastAsia"/>
          <w:color w:val="auto"/>
          <w:szCs w:val="21"/>
          <w:highlight w:val="none"/>
        </w:rPr>
        <w:t>严禁贿赂</w:t>
      </w:r>
      <w:bookmarkEnd w:id="55"/>
      <w:bookmarkEnd w:id="56"/>
      <w:bookmarkEnd w:id="57"/>
      <w:bookmarkEnd w:id="65"/>
    </w:p>
    <w:p w14:paraId="08D1307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合同当事人不得以贿赂或变相贿赂的方式，谋取非法利益或损害对方权益。因一方合同当事人的贿赂造成对方损失的，应赔偿损失，并承担相应的法律责任。</w:t>
      </w:r>
    </w:p>
    <w:p w14:paraId="7FF8C32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承包人不得与工程师或发包人聘请的第三方串通损害发包人利益。未经发包人书面同意，承包人不得为工程师提供合同约定以外的通讯设备、交通工具及其他任何形式的利益，不得向工程师支付报酬。</w:t>
      </w:r>
    </w:p>
    <w:p w14:paraId="448A1764">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6" w:name="_Toc54862186"/>
      <w:r>
        <w:rPr>
          <w:rFonts w:cs="宋体" w:asciiTheme="minorEastAsia" w:hAnsiTheme="minorEastAsia" w:eastAsiaTheme="minorEastAsia"/>
          <w:color w:val="auto"/>
          <w:szCs w:val="21"/>
          <w:highlight w:val="none"/>
        </w:rPr>
        <w:t xml:space="preserve">1.9 </w:t>
      </w:r>
      <w:r>
        <w:rPr>
          <w:rFonts w:hint="eastAsia" w:cs="宋体" w:asciiTheme="minorEastAsia" w:hAnsiTheme="minorEastAsia" w:eastAsiaTheme="minorEastAsia"/>
          <w:color w:val="auto"/>
          <w:szCs w:val="21"/>
          <w:highlight w:val="none"/>
        </w:rPr>
        <w:t>化石、文物</w:t>
      </w:r>
      <w:bookmarkEnd w:id="66"/>
    </w:p>
    <w:p w14:paraId="5C319FA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施工现场发掘的所有文物、古迹以及具有地质研究或考古价值的其他遗迹、化石、钱币或物品属于国家所有。一旦发现上述文物，承包人应采取合理有效的保护措施，防止任何人员移动或损坏上述物品，并立即报告有关政府行政管理部门，同时通知工程师。</w:t>
      </w:r>
    </w:p>
    <w:p w14:paraId="0093DFF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发包人、工程师和承包人应按有关政府行政管理部门要求采取妥善的保护措施，由此增加的费用和（或）延误的工期由发包人承担。</w:t>
      </w:r>
    </w:p>
    <w:p w14:paraId="50FED4E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承包人发现文物后不及时报告或隐瞒不报，致使文物丢失或损坏的，应赔偿损失，并承担相应的法律责任。</w:t>
      </w:r>
    </w:p>
    <w:p w14:paraId="220A572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7" w:name="_Ref531949766"/>
      <w:bookmarkStart w:id="68" w:name="_Ref4423426"/>
      <w:bookmarkStart w:id="69" w:name="_Ref531949770"/>
      <w:bookmarkStart w:id="70" w:name="_Toc54862187"/>
      <w:bookmarkStart w:id="71" w:name="_Ref531949841"/>
      <w:bookmarkStart w:id="72" w:name="_Ref531949855"/>
      <w:bookmarkStart w:id="73" w:name="_Ref531949826"/>
      <w:r>
        <w:rPr>
          <w:rFonts w:cs="宋体" w:asciiTheme="minorEastAsia" w:hAnsiTheme="minorEastAsia" w:eastAsiaTheme="minorEastAsia"/>
          <w:color w:val="auto"/>
          <w:szCs w:val="21"/>
          <w:highlight w:val="none"/>
        </w:rPr>
        <w:t xml:space="preserve">1.10 </w:t>
      </w:r>
      <w:r>
        <w:rPr>
          <w:rFonts w:hint="eastAsia" w:cs="宋体" w:asciiTheme="minorEastAsia" w:hAnsiTheme="minorEastAsia" w:eastAsiaTheme="minorEastAsia"/>
          <w:color w:val="auto"/>
          <w:szCs w:val="21"/>
          <w:highlight w:val="none"/>
        </w:rPr>
        <w:t>知识产权</w:t>
      </w:r>
      <w:bookmarkEnd w:id="67"/>
      <w:bookmarkEnd w:id="68"/>
      <w:bookmarkEnd w:id="69"/>
      <w:bookmarkEnd w:id="70"/>
    </w:p>
    <w:p w14:paraId="34EB7BD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74" w:name="_Ref4423563"/>
      <w:r>
        <w:rPr>
          <w:rFonts w:cs="宋体" w:asciiTheme="minorEastAsia" w:hAnsiTheme="minorEastAsia" w:eastAsiaTheme="minorEastAsia"/>
          <w:color w:val="auto"/>
          <w:szCs w:val="21"/>
          <w:highlight w:val="none"/>
        </w:rPr>
        <w:t xml:space="preserve">1.10.1 </w:t>
      </w:r>
      <w:r>
        <w:rPr>
          <w:rFonts w:hint="eastAsia" w:cs="宋体" w:asciiTheme="minorEastAsia" w:hAnsiTheme="minorEastAsia" w:eastAsiaTheme="minorEastAsia"/>
          <w:color w:val="auto"/>
          <w:szCs w:val="21"/>
          <w:highlight w:val="none"/>
        </w:rPr>
        <w:t>除专用合同条件另有约定外，由发包人（或以发包人名义）编制的《发包人要求》和其他文件，就合同当事人之间而言，其著作权和其他知识产权应归发包人所有。承包人可以为实现合同目的而复制、使用此类文件，但不能用于与合同无关的其他事项。未经发包人书面同意，承包人不得为了合同以外的目的而复制、使用上述文件或将之提供给任何第三方。</w:t>
      </w:r>
      <w:bookmarkEnd w:id="74"/>
    </w:p>
    <w:p w14:paraId="2E90F7E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75" w:name="_Ref4423604"/>
      <w:r>
        <w:rPr>
          <w:rFonts w:cs="宋体" w:asciiTheme="minorEastAsia" w:hAnsiTheme="minorEastAsia" w:eastAsiaTheme="minorEastAsia"/>
          <w:color w:val="auto"/>
          <w:szCs w:val="21"/>
          <w:highlight w:val="none"/>
        </w:rPr>
        <w:t xml:space="preserve">1.10.2 </w:t>
      </w:r>
      <w:r>
        <w:rPr>
          <w:rFonts w:hint="eastAsia" w:cs="宋体" w:asciiTheme="minorEastAsia" w:hAnsiTheme="minorEastAsia" w:eastAsiaTheme="minorEastAsia"/>
          <w:color w:val="auto"/>
          <w:szCs w:val="21"/>
          <w:highlight w:val="none"/>
        </w:rPr>
        <w:t>除专用合同条件另有约定外，由承包人（或以承包人名义）为实施工程所编制的文件、承包人完成的设计工作成果和建造完成的建筑物，就合同当事人之间而言，其著作权和其他知识产权应归承包人享有。发包人可因实施工程的运行、调试、维修、改造等目的而复制、使用此类文件，但不能用于与合同无关的其他事项。未经承包人书面同意，发包人不得为了合同以外的目的而复制、使用上述文件或将之提供给任何第三方。</w:t>
      </w:r>
      <w:bookmarkEnd w:id="75"/>
    </w:p>
    <w:p w14:paraId="7607BA2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1.10.3 </w:t>
      </w:r>
      <w:r>
        <w:rPr>
          <w:rFonts w:hint="eastAsia" w:cs="宋体" w:asciiTheme="minorEastAsia" w:hAnsiTheme="minorEastAsia" w:eastAsiaTheme="minorEastAsia"/>
          <w:color w:val="auto"/>
          <w:szCs w:val="21"/>
          <w:highlight w:val="none"/>
        </w:rPr>
        <w:t>合同当事人保证在履行合同过程中不侵犯对方及第三方的知识产权。承包人在工程设计、使用材料、施工设备、工程设备或采用施工工艺时，因侵犯他人的专利权或其他知识产权所引起的责任，由承包人承担；因发包人提供的材料、施工设备、工程设备或施工工艺导致侵权的，由发包人承担责任。</w:t>
      </w:r>
    </w:p>
    <w:p w14:paraId="4AD5186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76" w:name="_Ref4423695"/>
      <w:r>
        <w:rPr>
          <w:rFonts w:cs="宋体" w:asciiTheme="minorEastAsia" w:hAnsiTheme="minorEastAsia" w:eastAsiaTheme="minorEastAsia"/>
          <w:color w:val="auto"/>
          <w:szCs w:val="21"/>
          <w:highlight w:val="none"/>
        </w:rPr>
        <w:t xml:space="preserve">1.10.4 </w:t>
      </w:r>
      <w:r>
        <w:rPr>
          <w:rFonts w:hint="eastAsia" w:cs="宋体" w:asciiTheme="minorEastAsia" w:hAnsiTheme="minorEastAsia" w:eastAsiaTheme="minorEastAsia"/>
          <w:color w:val="auto"/>
          <w:szCs w:val="21"/>
          <w:highlight w:val="none"/>
        </w:rPr>
        <w:t>除专用合同条件另有约定外，承包人在投标文件中采用的专利、专有技术、商业软件、技术秘密的使用费已包含在签约合同价中。</w:t>
      </w:r>
      <w:bookmarkEnd w:id="76"/>
    </w:p>
    <w:p w14:paraId="696EC55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1.10.5 </w:t>
      </w:r>
      <w:r>
        <w:rPr>
          <w:rFonts w:hint="eastAsia" w:cs="宋体" w:asciiTheme="minorEastAsia" w:hAnsiTheme="minorEastAsia" w:eastAsiaTheme="minorEastAsia"/>
          <w:color w:val="auto"/>
          <w:szCs w:val="21"/>
          <w:highlight w:val="none"/>
        </w:rPr>
        <w:t>合同当事人可就本合同涉及的合同一方、或合同双方（含一方或双方相关的专利商或第三方设计单位</w:t>
      </w:r>
      <w:r>
        <w:rPr>
          <w:rFonts w:cs="宋体" w:asciiTheme="minorEastAsia" w:hAnsiTheme="minorEastAsia" w:eastAsiaTheme="minorEastAsia"/>
          <w:color w:val="auto"/>
          <w:szCs w:val="21"/>
          <w:highlight w:val="none"/>
        </w:rPr>
        <w:t>)的技术专利、建筑设计方案、专有技术、设计文件著作权等知识产权，订立知识产权及保密协议，作为本合同的组成部分。</w:t>
      </w:r>
    </w:p>
    <w:p w14:paraId="15E8C0B1">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77" w:name="_Toc54862188"/>
      <w:bookmarkStart w:id="78" w:name="_Ref4423873"/>
      <w:bookmarkStart w:id="79" w:name="_Ref4423898"/>
      <w:r>
        <w:rPr>
          <w:rFonts w:cs="宋体" w:asciiTheme="minorEastAsia" w:hAnsiTheme="minorEastAsia" w:eastAsiaTheme="minorEastAsia"/>
          <w:color w:val="auto"/>
          <w:szCs w:val="21"/>
          <w:highlight w:val="none"/>
        </w:rPr>
        <w:t xml:space="preserve">1.11 </w:t>
      </w:r>
      <w:r>
        <w:rPr>
          <w:rFonts w:hint="eastAsia" w:cs="宋体" w:asciiTheme="minorEastAsia" w:hAnsiTheme="minorEastAsia" w:eastAsiaTheme="minorEastAsia"/>
          <w:color w:val="auto"/>
          <w:szCs w:val="21"/>
          <w:highlight w:val="none"/>
        </w:rPr>
        <w:t>保密</w:t>
      </w:r>
      <w:bookmarkEnd w:id="71"/>
      <w:bookmarkEnd w:id="72"/>
      <w:bookmarkEnd w:id="73"/>
      <w:bookmarkEnd w:id="77"/>
      <w:bookmarkEnd w:id="78"/>
      <w:bookmarkEnd w:id="79"/>
    </w:p>
    <w:p w14:paraId="4556B57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合同当事人一方对在订立和履行合同过程中知悉的另一方的商业秘密、技术秘密，以及任何一方明确要求保密的其它信息，负有保密责任。</w:t>
      </w:r>
    </w:p>
    <w:p w14:paraId="14A1BFE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除法律规定或合同另有约定外，未经对方同意，任何一方当事人不得将对方提供的文件、技术秘密以及声明需要保密的资料信息等商业秘密泄露给第三方或者用于本合同以外的目的。</w:t>
      </w:r>
    </w:p>
    <w:p w14:paraId="0A13CDA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一方泄露或者在本合同以外使用该商业秘密、技术秘密等保密信息给另一方造成损失的，应承担损害赔偿责任。当事人为履行合同所需要的信息，另一方应予以提供。当事人认为必要时，可订立保密协议，作为合同附件。</w:t>
      </w:r>
    </w:p>
    <w:p w14:paraId="30F04D8D">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80" w:name="_Ref532336812"/>
      <w:bookmarkStart w:id="81" w:name="_Toc54862189"/>
      <w:r>
        <w:rPr>
          <w:rFonts w:cs="宋体" w:asciiTheme="minorEastAsia" w:hAnsiTheme="minorEastAsia" w:eastAsiaTheme="minorEastAsia"/>
          <w:color w:val="auto"/>
          <w:szCs w:val="21"/>
          <w:highlight w:val="none"/>
        </w:rPr>
        <w:t xml:space="preserve">1.12 </w:t>
      </w:r>
      <w:bookmarkStart w:id="82" w:name="_Hlk55215423"/>
      <w:r>
        <w:rPr>
          <w:rFonts w:hint="eastAsia" w:cs="宋体" w:asciiTheme="minorEastAsia" w:hAnsiTheme="minorEastAsia" w:eastAsiaTheme="minorEastAsia"/>
          <w:color w:val="auto"/>
          <w:szCs w:val="21"/>
          <w:highlight w:val="none"/>
        </w:rPr>
        <w:t>《发包人要求》和基础资料中的错误</w:t>
      </w:r>
      <w:bookmarkEnd w:id="80"/>
      <w:bookmarkEnd w:id="81"/>
      <w:bookmarkEnd w:id="82"/>
    </w:p>
    <w:p w14:paraId="509E9F0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承包人应尽早认真阅读、复核《发包人要求》以及其提供的基础资料，发现错误的，应及时书面通知发包人补正。发包人作相应修改的，按照第</w:t>
      </w:r>
      <w:r>
        <w:rPr>
          <w:rFonts w:cs="宋体" w:asciiTheme="minorEastAsia" w:hAnsiTheme="minorEastAsia" w:eastAsiaTheme="minorEastAsia"/>
          <w:color w:val="auto"/>
          <w:szCs w:val="21"/>
          <w:highlight w:val="none"/>
        </w:rPr>
        <w:t>13条[变更与调整</w:t>
      </w:r>
      <w:bookmarkStart w:id="83" w:name="_Ref523403776"/>
      <w:bookmarkStart w:id="84" w:name="_Ref523403409"/>
      <w:r>
        <w:rPr>
          <w:rFonts w:cs="宋体" w:asciiTheme="minorEastAsia" w:hAnsiTheme="minorEastAsia" w:eastAsiaTheme="minorEastAsia"/>
          <w:color w:val="auto"/>
          <w:szCs w:val="21"/>
          <w:highlight w:val="none"/>
        </w:rPr>
        <w:t>]的约定处理。</w:t>
      </w:r>
    </w:p>
    <w:p w14:paraId="22B2240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《发包人要求》或其提供的基础资料中的错误导致承包人增加费用和（或）工期延误的，发包人应承担由此增加的费用和（或）工期延误，并向承包人支付合理利润。</w:t>
      </w:r>
    </w:p>
    <w:bookmarkEnd w:id="83"/>
    <w:bookmarkEnd w:id="84"/>
    <w:p w14:paraId="265B870D">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85" w:name="_Toc54862190"/>
      <w:bookmarkStart w:id="86" w:name="_Ref531949937"/>
      <w:bookmarkStart w:id="87" w:name="_Ref531949933"/>
      <w:r>
        <w:rPr>
          <w:rFonts w:cs="宋体" w:asciiTheme="minorEastAsia" w:hAnsiTheme="minorEastAsia" w:eastAsiaTheme="minorEastAsia"/>
          <w:color w:val="auto"/>
          <w:szCs w:val="21"/>
          <w:highlight w:val="none"/>
        </w:rPr>
        <w:t xml:space="preserve">1.13 </w:t>
      </w:r>
      <w:r>
        <w:rPr>
          <w:rFonts w:hint="eastAsia" w:cs="宋体" w:asciiTheme="minorEastAsia" w:hAnsiTheme="minorEastAsia" w:eastAsiaTheme="minorEastAsia"/>
          <w:color w:val="auto"/>
          <w:szCs w:val="21"/>
          <w:highlight w:val="none"/>
        </w:rPr>
        <w:t>责任限制</w:t>
      </w:r>
      <w:bookmarkEnd w:id="85"/>
      <w:bookmarkEnd w:id="86"/>
      <w:bookmarkEnd w:id="87"/>
    </w:p>
    <w:p w14:paraId="588FB0E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对发包人的赔偿责任不应超过专用合同条件约定的赔偿最高限额。若专用合同条件未约定，则承包人对发包人的赔偿责任不应超过签约合同价。但对于因欺诈、犯罪、故意、重大过失、人身伤害等不当行为造成的损失，赔偿的责任限度不受上述最高限额的限制。</w:t>
      </w:r>
    </w:p>
    <w:p w14:paraId="0573CD3D">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88" w:name="_Toc54862191"/>
      <w:bookmarkStart w:id="89" w:name="_Hlk51506160"/>
      <w:r>
        <w:rPr>
          <w:rFonts w:cs="宋体" w:asciiTheme="minorEastAsia" w:hAnsiTheme="minorEastAsia" w:eastAsiaTheme="minorEastAsia"/>
          <w:color w:val="auto"/>
          <w:szCs w:val="21"/>
          <w:highlight w:val="none"/>
        </w:rPr>
        <w:t xml:space="preserve">1.14 </w:t>
      </w:r>
      <w:r>
        <w:rPr>
          <w:rFonts w:hint="eastAsia" w:cs="宋体" w:asciiTheme="minorEastAsia" w:hAnsiTheme="minorEastAsia" w:eastAsiaTheme="minorEastAsia"/>
          <w:color w:val="auto"/>
          <w:szCs w:val="21"/>
          <w:highlight w:val="none"/>
        </w:rPr>
        <w:t>建筑信息模型技术的应用</w:t>
      </w:r>
      <w:bookmarkEnd w:id="88"/>
    </w:p>
    <w:bookmarkEnd w:id="89"/>
    <w:p w14:paraId="3CAF616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如果项目中拟采用建筑信息模型技术，合同双方应遵守国家现行相关标准的规定，并符合项目所在地的相关地方标准或指南。合同双方应在专用合同条件中就建筑信息模型的开发、使用、存储、传输、交付及费用等相关内容进行约定。除专用合同条件另有约定外，承包人应负责与本项目中其他使用方协商。</w:t>
      </w:r>
    </w:p>
    <w:p w14:paraId="1E13451C">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90" w:name="_Toc54862192"/>
      <w:bookmarkStart w:id="91" w:name="_Ref4796511"/>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2条 </w:t>
      </w:r>
      <w:r>
        <w:rPr>
          <w:rFonts w:hint="eastAsia" w:cs="宋体" w:asciiTheme="minorEastAsia" w:hAnsiTheme="minorEastAsia" w:eastAsiaTheme="minorEastAsia"/>
          <w:b/>
          <w:color w:val="auto"/>
          <w:szCs w:val="21"/>
          <w:highlight w:val="none"/>
        </w:rPr>
        <w:t>发包人</w:t>
      </w:r>
      <w:bookmarkEnd w:id="90"/>
      <w:bookmarkEnd w:id="91"/>
    </w:p>
    <w:p w14:paraId="51AC830A">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92" w:name="_Toc54862193"/>
      <w:r>
        <w:rPr>
          <w:rFonts w:cs="宋体" w:asciiTheme="minorEastAsia" w:hAnsiTheme="minorEastAsia" w:eastAsiaTheme="minorEastAsia"/>
          <w:color w:val="auto"/>
          <w:szCs w:val="21"/>
          <w:highlight w:val="none"/>
        </w:rPr>
        <w:t xml:space="preserve">2.1 </w:t>
      </w:r>
      <w:r>
        <w:rPr>
          <w:rFonts w:hint="eastAsia" w:cs="宋体" w:asciiTheme="minorEastAsia" w:hAnsiTheme="minorEastAsia" w:eastAsiaTheme="minorEastAsia"/>
          <w:color w:val="auto"/>
          <w:szCs w:val="21"/>
          <w:highlight w:val="none"/>
        </w:rPr>
        <w:t>遵守法律</w:t>
      </w:r>
      <w:bookmarkEnd w:id="92"/>
    </w:p>
    <w:p w14:paraId="471E037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在履行合同过程中应遵守法律，并承担因发包人违反法律给承包人造成的任何费用和损失。发包人不得以任何理由，要求承包人在工程实施过程中违反法律、行政法规以及建设工程质量、安全、环保标准，任意压缩合理工期或者降低工程质量。</w:t>
      </w:r>
    </w:p>
    <w:p w14:paraId="00F2F4FB">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93" w:name="_Toc54862194"/>
      <w:bookmarkStart w:id="94" w:name="_Ref11917995"/>
      <w:bookmarkStart w:id="95" w:name="_Ref11917977"/>
      <w:r>
        <w:rPr>
          <w:rFonts w:cs="宋体" w:asciiTheme="minorEastAsia" w:hAnsiTheme="minorEastAsia" w:eastAsiaTheme="minorEastAsia"/>
          <w:color w:val="auto"/>
          <w:szCs w:val="21"/>
          <w:highlight w:val="none"/>
        </w:rPr>
        <w:t xml:space="preserve">2.2 </w:t>
      </w:r>
      <w:r>
        <w:rPr>
          <w:rFonts w:hint="eastAsia" w:cs="宋体" w:asciiTheme="minorEastAsia" w:hAnsiTheme="minorEastAsia" w:eastAsiaTheme="minorEastAsia"/>
          <w:color w:val="auto"/>
          <w:szCs w:val="21"/>
          <w:highlight w:val="none"/>
        </w:rPr>
        <w:t>提供施工现场和工作条件</w:t>
      </w:r>
      <w:bookmarkEnd w:id="93"/>
      <w:bookmarkEnd w:id="94"/>
      <w:bookmarkEnd w:id="95"/>
      <w:bookmarkStart w:id="96" w:name="_Toc54862195"/>
      <w:bookmarkEnd w:id="96"/>
      <w:bookmarkStart w:id="97" w:name="_Toc54862197"/>
      <w:bookmarkEnd w:id="97"/>
      <w:bookmarkStart w:id="98" w:name="_Toc54862196"/>
      <w:bookmarkEnd w:id="98"/>
      <w:bookmarkStart w:id="99" w:name="_Toc51505125"/>
      <w:bookmarkEnd w:id="99"/>
      <w:bookmarkStart w:id="100" w:name="_Toc51505124"/>
      <w:bookmarkEnd w:id="100"/>
      <w:bookmarkStart w:id="101" w:name="_Toc51505123"/>
      <w:bookmarkEnd w:id="101"/>
      <w:bookmarkStart w:id="102" w:name="_Ref531950085"/>
    </w:p>
    <w:p w14:paraId="27C4862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2.2.1 </w:t>
      </w:r>
      <w:r>
        <w:rPr>
          <w:rFonts w:hint="eastAsia" w:cs="宋体" w:asciiTheme="minorEastAsia" w:hAnsiTheme="minorEastAsia" w:eastAsiaTheme="minorEastAsia"/>
          <w:color w:val="auto"/>
          <w:szCs w:val="21"/>
          <w:highlight w:val="none"/>
        </w:rPr>
        <w:t>提供施工</w:t>
      </w:r>
      <w:bookmarkEnd w:id="102"/>
      <w:r>
        <w:rPr>
          <w:rFonts w:hint="eastAsia" w:cs="宋体" w:asciiTheme="minorEastAsia" w:hAnsiTheme="minorEastAsia" w:eastAsiaTheme="minorEastAsia"/>
          <w:color w:val="auto"/>
          <w:szCs w:val="21"/>
          <w:highlight w:val="none"/>
        </w:rPr>
        <w:t>现场</w:t>
      </w:r>
    </w:p>
    <w:p w14:paraId="67542A7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应按专用合同条件约定向承包人移交施工现场，给承包人进入和占用施工现场各部分的权利，并明确与承包人的交接界面，上述进入和占用权可不为承包人独享。如专用合同条件没有约定移交时间的，则发包人应最迟于计划开始现场施工日期</w:t>
      </w:r>
      <w:r>
        <w:rPr>
          <w:rFonts w:cs="宋体" w:asciiTheme="minorEastAsia" w:hAnsiTheme="minorEastAsia" w:eastAsiaTheme="minorEastAsia"/>
          <w:color w:val="auto"/>
          <w:szCs w:val="21"/>
          <w:highlight w:val="none"/>
        </w:rPr>
        <w:t>7天前向承包人移交施工现场，但承包人未能按照第4.2款[履约担保]提供履约担保的除外。</w:t>
      </w:r>
    </w:p>
    <w:p w14:paraId="7797747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03" w:name="_Ref531950101"/>
      <w:r>
        <w:rPr>
          <w:rFonts w:cs="宋体" w:asciiTheme="minorEastAsia" w:hAnsiTheme="minorEastAsia" w:eastAsiaTheme="minorEastAsia"/>
          <w:color w:val="auto"/>
          <w:szCs w:val="21"/>
          <w:highlight w:val="none"/>
        </w:rPr>
        <w:t xml:space="preserve">2.2.2 </w:t>
      </w:r>
      <w:r>
        <w:rPr>
          <w:rFonts w:hint="eastAsia" w:cs="宋体" w:asciiTheme="minorEastAsia" w:hAnsiTheme="minorEastAsia" w:eastAsiaTheme="minorEastAsia"/>
          <w:color w:val="auto"/>
          <w:szCs w:val="21"/>
          <w:highlight w:val="none"/>
        </w:rPr>
        <w:t>提供工作条件</w:t>
      </w:r>
      <w:bookmarkEnd w:id="103"/>
    </w:p>
    <w:p w14:paraId="5752A85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发包人应按专用合同条件约定向承包人提供工作条件。专用合同条件对此没有约定的，发包人应负责提供开展本合同相关工作所需要的条件，包括：</w:t>
      </w:r>
    </w:p>
    <w:p w14:paraId="59E7413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1）将施工用水、电力、通讯线路等施工所必需的条件接至施工现场内；</w:t>
      </w:r>
    </w:p>
    <w:p w14:paraId="682FB3A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2）保证向承包人提供正常施工所需要的进入施工现场的交通条件；</w:t>
      </w:r>
    </w:p>
    <w:p w14:paraId="01E0837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3）协调处理施工现场周围地下管线和邻近建筑物、构筑物、古树名木、文物、化石及坟墓等的保护工作，并承担相关费用；</w:t>
      </w:r>
    </w:p>
    <w:p w14:paraId="61F66BD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对工程现场临近发包人正在使用、运行、或由发包人用于生产的建筑物、构筑物、生产装置、设施、设备等，设置隔离设施，竖立禁止入内、禁止动火的明显标志，并以书面形式通知承包人须遵守的安全规定和位置范围；</w:t>
      </w:r>
    </w:p>
    <w:p w14:paraId="463E81B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5）按照专用合同条件约定应提供的其他设施和条件。</w:t>
      </w:r>
    </w:p>
    <w:p w14:paraId="7BEFB1C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2.2.3 </w:t>
      </w:r>
      <w:r>
        <w:rPr>
          <w:rFonts w:hint="eastAsia" w:cs="宋体" w:asciiTheme="minorEastAsia" w:hAnsiTheme="minorEastAsia" w:eastAsiaTheme="minorEastAsia"/>
          <w:color w:val="auto"/>
          <w:szCs w:val="21"/>
          <w:highlight w:val="none"/>
        </w:rPr>
        <w:t>逾期提供的责任</w:t>
      </w:r>
    </w:p>
    <w:p w14:paraId="7E6597F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因发包人原因未能按合同约定及时向承包人提供施工现场和施工条件的，由发包人承担由此增加的费用和（或）延误的工期。</w:t>
      </w:r>
    </w:p>
    <w:p w14:paraId="2C53104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04" w:name="_Ref11918025"/>
      <w:bookmarkStart w:id="105" w:name="_Ref11956654"/>
      <w:bookmarkStart w:id="106" w:name="_Ref11956647"/>
      <w:bookmarkStart w:id="107" w:name="_Toc54862198"/>
      <w:bookmarkStart w:id="108" w:name="_Ref11918036"/>
      <w:r>
        <w:rPr>
          <w:rFonts w:cs="宋体" w:asciiTheme="minorEastAsia" w:hAnsiTheme="minorEastAsia" w:eastAsiaTheme="minorEastAsia"/>
          <w:color w:val="auto"/>
          <w:szCs w:val="21"/>
          <w:highlight w:val="none"/>
        </w:rPr>
        <w:t xml:space="preserve">2.3 </w:t>
      </w:r>
      <w:r>
        <w:rPr>
          <w:rFonts w:hint="eastAsia" w:cs="宋体" w:asciiTheme="minorEastAsia" w:hAnsiTheme="minorEastAsia" w:eastAsiaTheme="minorEastAsia"/>
          <w:color w:val="auto"/>
          <w:szCs w:val="21"/>
          <w:highlight w:val="none"/>
        </w:rPr>
        <w:t>提供基础资料</w:t>
      </w:r>
      <w:bookmarkEnd w:id="104"/>
      <w:bookmarkEnd w:id="105"/>
      <w:bookmarkEnd w:id="106"/>
      <w:bookmarkEnd w:id="107"/>
      <w:bookmarkEnd w:id="108"/>
    </w:p>
    <w:p w14:paraId="3204119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09" w:name="_Hlk51506429"/>
      <w:r>
        <w:rPr>
          <w:rFonts w:hint="eastAsia" w:cs="宋体" w:asciiTheme="minorEastAsia" w:hAnsiTheme="minorEastAsia" w:eastAsiaTheme="minorEastAsia"/>
          <w:color w:val="auto"/>
          <w:szCs w:val="21"/>
          <w:highlight w:val="none"/>
        </w:rPr>
        <w:t>发包人应按专用合同条件和《发包人要求》中的约定向承包人提供</w:t>
      </w:r>
      <w:bookmarkEnd w:id="109"/>
      <w:r>
        <w:rPr>
          <w:rFonts w:hint="eastAsia" w:cs="宋体" w:asciiTheme="minorEastAsia" w:hAnsiTheme="minorEastAsia" w:eastAsiaTheme="minorEastAsia"/>
          <w:color w:val="auto"/>
          <w:szCs w:val="21"/>
          <w:highlight w:val="none"/>
        </w:rPr>
        <w:t>施工现场及工程实施所必需的毗邻区域内的供水、排水、供电、供气、供热、通信、广播电视等地上、地下管线和设施资料，气象和水文观测资料，地质勘察资料，相邻建筑物、构筑物和地下工程等有关基础资料，并根据第</w:t>
      </w:r>
      <w:r>
        <w:rPr>
          <w:rFonts w:cs="宋体" w:asciiTheme="minorEastAsia" w:hAnsiTheme="minorEastAsia" w:eastAsiaTheme="minorEastAsia"/>
          <w:color w:val="auto"/>
          <w:szCs w:val="21"/>
          <w:highlight w:val="none"/>
        </w:rPr>
        <w:t>1.12款[《发包人要求》和基础资料中的错误]承担基础资料错误造成的责任。按照法律规定确需在开工后方能提供的基础资料，发包人应尽其努力及时地在相应工程实施前的合理期限内提供，合理期限应以不影响承包人的正常履约为限。因发包人原因未能在合理期限内提供相应基础资料的，由发包人承担由此增加的费用和延误的工期。</w:t>
      </w:r>
    </w:p>
    <w:p w14:paraId="3C20FCE6">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10" w:name="_Ref531950045"/>
      <w:bookmarkStart w:id="111" w:name="_Toc54862199"/>
      <w:bookmarkStart w:id="112" w:name="_Ref531950041"/>
      <w:r>
        <w:rPr>
          <w:rFonts w:cs="宋体" w:asciiTheme="minorEastAsia" w:hAnsiTheme="minorEastAsia" w:eastAsiaTheme="minorEastAsia"/>
          <w:color w:val="auto"/>
          <w:szCs w:val="21"/>
          <w:highlight w:val="none"/>
        </w:rPr>
        <w:t xml:space="preserve">2.4 </w:t>
      </w:r>
      <w:r>
        <w:rPr>
          <w:rFonts w:hint="eastAsia" w:cs="宋体" w:asciiTheme="minorEastAsia" w:hAnsiTheme="minorEastAsia" w:eastAsiaTheme="minorEastAsia"/>
          <w:color w:val="auto"/>
          <w:szCs w:val="21"/>
          <w:highlight w:val="none"/>
        </w:rPr>
        <w:t>办理许可和批准</w:t>
      </w:r>
      <w:bookmarkEnd w:id="110"/>
      <w:bookmarkEnd w:id="111"/>
      <w:bookmarkEnd w:id="112"/>
    </w:p>
    <w:p w14:paraId="4A18A69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13" w:name="_Toc51505128"/>
      <w:r>
        <w:rPr>
          <w:rFonts w:cs="宋体" w:asciiTheme="minorEastAsia" w:hAnsiTheme="minorEastAsia" w:eastAsiaTheme="minorEastAsia"/>
          <w:color w:val="auto"/>
          <w:szCs w:val="21"/>
          <w:highlight w:val="none"/>
        </w:rPr>
        <w:t xml:space="preserve">2.4.1 </w:t>
      </w:r>
      <w:r>
        <w:rPr>
          <w:rFonts w:hint="eastAsia" w:cs="宋体" w:asciiTheme="minorEastAsia" w:hAnsiTheme="minorEastAsia" w:eastAsiaTheme="minorEastAsia"/>
          <w:color w:val="auto"/>
          <w:szCs w:val="21"/>
          <w:highlight w:val="none"/>
        </w:rPr>
        <w:t>发包人在履行合同过程中应遵守法律，并办理法律规定或合同约定由其办理的许可、批准或备案，包括但不限于建设用地规划许可证、建设工程规划许可证、建设工程施工许可证等许可和批准。对于法律规定或合同约定由承包人负责的有关设计、施工证件、批件或备案，发包人应给予必要的协助。</w:t>
      </w:r>
      <w:bookmarkEnd w:id="113"/>
    </w:p>
    <w:p w14:paraId="1283DCB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14" w:name="_Toc51505129"/>
      <w:r>
        <w:rPr>
          <w:rFonts w:cs="宋体" w:asciiTheme="minorEastAsia" w:hAnsiTheme="minorEastAsia" w:eastAsiaTheme="minorEastAsia"/>
          <w:color w:val="auto"/>
          <w:szCs w:val="21"/>
          <w:highlight w:val="none"/>
        </w:rPr>
        <w:t xml:space="preserve">2.4.2 </w:t>
      </w:r>
      <w:r>
        <w:rPr>
          <w:rFonts w:hint="eastAsia" w:cs="宋体" w:asciiTheme="minorEastAsia" w:hAnsiTheme="minorEastAsia" w:eastAsiaTheme="minorEastAsia"/>
          <w:color w:val="auto"/>
          <w:szCs w:val="21"/>
          <w:highlight w:val="none"/>
        </w:rPr>
        <w:t>因发包人原因未能及时办理完毕前述许可、批准或备案，由发包人承担由此增加的费用和（或）延误的工期，并支付承包人合理的利润。</w:t>
      </w:r>
      <w:bookmarkEnd w:id="114"/>
    </w:p>
    <w:p w14:paraId="1C799DC4">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15" w:name="_Ref11956525"/>
      <w:bookmarkStart w:id="116" w:name="_Toc54862200"/>
      <w:bookmarkStart w:id="117" w:name="_Ref11918060"/>
      <w:bookmarkStart w:id="118" w:name="_Ref11918070"/>
      <w:bookmarkStart w:id="119" w:name="_Ref11956533"/>
      <w:r>
        <w:rPr>
          <w:rFonts w:cs="宋体" w:asciiTheme="minorEastAsia" w:hAnsiTheme="minorEastAsia" w:eastAsiaTheme="minorEastAsia"/>
          <w:color w:val="auto"/>
          <w:szCs w:val="21"/>
          <w:highlight w:val="none"/>
        </w:rPr>
        <w:t xml:space="preserve">2.5 </w:t>
      </w:r>
      <w:r>
        <w:rPr>
          <w:rFonts w:hint="eastAsia" w:cs="宋体" w:asciiTheme="minorEastAsia" w:hAnsiTheme="minorEastAsia" w:eastAsiaTheme="minorEastAsia"/>
          <w:color w:val="auto"/>
          <w:szCs w:val="21"/>
          <w:highlight w:val="none"/>
        </w:rPr>
        <w:t>支付合同价款</w:t>
      </w:r>
      <w:bookmarkEnd w:id="115"/>
      <w:bookmarkEnd w:id="116"/>
      <w:bookmarkEnd w:id="117"/>
      <w:bookmarkEnd w:id="118"/>
      <w:bookmarkEnd w:id="119"/>
    </w:p>
    <w:p w14:paraId="7B5419C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20" w:name="_Toc51505131"/>
      <w:bookmarkStart w:id="121" w:name="_Ref531950147"/>
      <w:r>
        <w:rPr>
          <w:rFonts w:cs="宋体" w:asciiTheme="minorEastAsia" w:hAnsiTheme="minorEastAsia" w:eastAsiaTheme="minorEastAsia"/>
          <w:color w:val="auto"/>
          <w:szCs w:val="21"/>
          <w:highlight w:val="none"/>
        </w:rPr>
        <w:t xml:space="preserve">2.5.1 </w:t>
      </w:r>
      <w:r>
        <w:rPr>
          <w:rFonts w:hint="eastAsia" w:cs="宋体" w:asciiTheme="minorEastAsia" w:hAnsiTheme="minorEastAsia" w:eastAsiaTheme="minorEastAsia"/>
          <w:color w:val="auto"/>
          <w:szCs w:val="21"/>
          <w:highlight w:val="none"/>
        </w:rPr>
        <w:t>发包人应按合同约定向承包人及时支付合同价款。</w:t>
      </w:r>
      <w:bookmarkEnd w:id="120"/>
    </w:p>
    <w:bookmarkEnd w:id="121"/>
    <w:p w14:paraId="5FF87AC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22" w:name="_Toc51505132"/>
      <w:r>
        <w:rPr>
          <w:rFonts w:cs="宋体" w:asciiTheme="minorEastAsia" w:hAnsiTheme="minorEastAsia" w:eastAsiaTheme="minorEastAsia"/>
          <w:color w:val="auto"/>
          <w:szCs w:val="21"/>
          <w:highlight w:val="none"/>
        </w:rPr>
        <w:t xml:space="preserve">2.5.2 </w:t>
      </w:r>
      <w:r>
        <w:rPr>
          <w:rFonts w:hint="eastAsia" w:cs="宋体" w:asciiTheme="minorEastAsia" w:hAnsiTheme="minorEastAsia" w:eastAsiaTheme="minorEastAsia"/>
          <w:color w:val="auto"/>
          <w:szCs w:val="21"/>
          <w:highlight w:val="none"/>
        </w:rPr>
        <w:t>发包人应当制定资金安排计划，除专用合同条件另有约定外，如发包人拟对资金安排做任何重要变更，应将变更的详细情况通知承包人。如发生承包人收到价格大于签约合同价</w:t>
      </w:r>
      <w:r>
        <w:rPr>
          <w:rFonts w:cs="宋体" w:asciiTheme="minorEastAsia" w:hAnsiTheme="minorEastAsia" w:eastAsiaTheme="minorEastAsia"/>
          <w:color w:val="auto"/>
          <w:szCs w:val="21"/>
          <w:highlight w:val="none"/>
        </w:rPr>
        <w:t>10%的变更指示或累计变更的总价超过签约合同价30%；或承包人未能根据第14条[合同价格与支付]收到付款，或承包人得知发包人的资金安排发生重要变更但并未收到发包人上述重要变更通知的情况，则承包人可随时要求发包人在28天内补充提供能够按照合同约定支付合同价款的相应资金来源证明。</w:t>
      </w:r>
      <w:bookmarkEnd w:id="122"/>
    </w:p>
    <w:p w14:paraId="51D40B4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23" w:name="_Ref531950161"/>
      <w:bookmarkStart w:id="124" w:name="_Toc51505133"/>
      <w:r>
        <w:rPr>
          <w:rFonts w:cs="宋体" w:asciiTheme="minorEastAsia" w:hAnsiTheme="minorEastAsia" w:eastAsiaTheme="minorEastAsia"/>
          <w:color w:val="auto"/>
          <w:szCs w:val="21"/>
          <w:highlight w:val="none"/>
        </w:rPr>
        <w:t xml:space="preserve">2.5.3 </w:t>
      </w:r>
      <w:r>
        <w:rPr>
          <w:rFonts w:hint="eastAsia" w:cs="宋体" w:asciiTheme="minorEastAsia" w:hAnsiTheme="minorEastAsia" w:eastAsiaTheme="minorEastAsia"/>
          <w:color w:val="auto"/>
          <w:szCs w:val="21"/>
          <w:highlight w:val="none"/>
        </w:rPr>
        <w:t>发包人应当向承包人提供支付担保的。支付担保可以采用银行保函或担保公司担保等形式，具体由合同当事人在专用合同条件中约定。</w:t>
      </w:r>
      <w:bookmarkEnd w:id="123"/>
      <w:bookmarkEnd w:id="124"/>
    </w:p>
    <w:p w14:paraId="4F881226">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25" w:name="_Toc54862201"/>
      <w:r>
        <w:rPr>
          <w:rFonts w:cs="宋体" w:asciiTheme="minorEastAsia" w:hAnsiTheme="minorEastAsia" w:eastAsiaTheme="minorEastAsia"/>
          <w:color w:val="auto"/>
          <w:szCs w:val="21"/>
          <w:highlight w:val="none"/>
        </w:rPr>
        <w:t xml:space="preserve">2.6 </w:t>
      </w:r>
      <w:r>
        <w:rPr>
          <w:rFonts w:hint="eastAsia" w:cs="宋体" w:asciiTheme="minorEastAsia" w:hAnsiTheme="minorEastAsia" w:eastAsiaTheme="minorEastAsia"/>
          <w:color w:val="auto"/>
          <w:szCs w:val="21"/>
          <w:highlight w:val="none"/>
        </w:rPr>
        <w:t>现场管理配合</w:t>
      </w:r>
      <w:bookmarkEnd w:id="125"/>
    </w:p>
    <w:p w14:paraId="7DF2FEF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发包人应负责保证在现场或现场附近的发包人人员和发包人的其他承包人（如有）：</w:t>
      </w:r>
    </w:p>
    <w:p w14:paraId="54EC629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1）根据第7.3款[现场合作]的约定，与承包人进行合作；</w:t>
      </w:r>
    </w:p>
    <w:p w14:paraId="2B385B7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2）遵守第7.5款[现场劳动用工]、第7.6款[安全文明施工]、第7.7款[职业健康</w:t>
      </w:r>
      <w:bookmarkStart w:id="126" w:name="_Ref531952756"/>
      <w:bookmarkStart w:id="127" w:name="_Ref531952761"/>
      <w:r>
        <w:rPr>
          <w:rFonts w:cs="宋体" w:asciiTheme="minorEastAsia" w:hAnsiTheme="minorEastAsia" w:eastAsiaTheme="minorEastAsia"/>
          <w:color w:val="auto"/>
          <w:szCs w:val="21"/>
          <w:highlight w:val="none"/>
        </w:rPr>
        <w:t>]和第7.8款[环境保护]的相关约定。</w:t>
      </w:r>
    </w:p>
    <w:p w14:paraId="42DE6B2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发包人应与承包人、由发包人直接发包的其他承包人（如有）订立施工现场统一管理协议，明确各方的权利义务。</w:t>
      </w:r>
    </w:p>
    <w:p w14:paraId="015CD052">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28" w:name="_Ref11959372"/>
      <w:bookmarkStart w:id="129" w:name="_Ref11959376"/>
      <w:bookmarkStart w:id="130" w:name="_Toc54862202"/>
      <w:r>
        <w:rPr>
          <w:rFonts w:cs="宋体" w:asciiTheme="minorEastAsia" w:hAnsiTheme="minorEastAsia" w:eastAsiaTheme="minorEastAsia"/>
          <w:color w:val="auto"/>
          <w:szCs w:val="21"/>
          <w:highlight w:val="none"/>
        </w:rPr>
        <w:t xml:space="preserve">2.7 </w:t>
      </w:r>
      <w:r>
        <w:rPr>
          <w:rFonts w:hint="eastAsia" w:cs="宋体" w:asciiTheme="minorEastAsia" w:hAnsiTheme="minorEastAsia" w:eastAsiaTheme="minorEastAsia"/>
          <w:color w:val="auto"/>
          <w:szCs w:val="21"/>
          <w:highlight w:val="none"/>
        </w:rPr>
        <w:t>其他义务</w:t>
      </w:r>
      <w:bookmarkEnd w:id="128"/>
      <w:bookmarkEnd w:id="129"/>
      <w:bookmarkEnd w:id="130"/>
    </w:p>
    <w:p w14:paraId="1B611F6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发包人应履行合同约定的其他义务，双方可在专用合同条件内对发包人应履行的其他义务进行补充约定。</w:t>
      </w:r>
    </w:p>
    <w:bookmarkEnd w:id="126"/>
    <w:bookmarkEnd w:id="127"/>
    <w:p w14:paraId="17CBF251">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131" w:name="_Toc54862203"/>
      <w:bookmarkStart w:id="132" w:name="_Ref531952791"/>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3条 </w:t>
      </w:r>
      <w:r>
        <w:rPr>
          <w:rFonts w:hint="eastAsia" w:cs="宋体" w:asciiTheme="minorEastAsia" w:hAnsiTheme="minorEastAsia" w:eastAsiaTheme="minorEastAsia"/>
          <w:b/>
          <w:color w:val="auto"/>
          <w:szCs w:val="21"/>
          <w:highlight w:val="none"/>
        </w:rPr>
        <w:t>发包人的管理</w:t>
      </w:r>
      <w:bookmarkEnd w:id="131"/>
      <w:bookmarkEnd w:id="132"/>
    </w:p>
    <w:p w14:paraId="7B440567">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33" w:name="_Ref522810094"/>
      <w:bookmarkStart w:id="134" w:name="_Ref522810097"/>
      <w:bookmarkStart w:id="135" w:name="_Ref531951533"/>
      <w:bookmarkStart w:id="136" w:name="_Ref531951538"/>
      <w:bookmarkStart w:id="137" w:name="_Toc54862204"/>
      <w:r>
        <w:rPr>
          <w:rFonts w:cs="宋体" w:asciiTheme="minorEastAsia" w:hAnsiTheme="minorEastAsia" w:eastAsiaTheme="minorEastAsia"/>
          <w:color w:val="auto"/>
          <w:szCs w:val="21"/>
          <w:highlight w:val="none"/>
        </w:rPr>
        <w:t xml:space="preserve">3.1 </w:t>
      </w:r>
      <w:r>
        <w:rPr>
          <w:rFonts w:hint="eastAsia" w:cs="宋体" w:asciiTheme="minorEastAsia" w:hAnsiTheme="minorEastAsia" w:eastAsiaTheme="minorEastAsia"/>
          <w:color w:val="auto"/>
          <w:szCs w:val="21"/>
          <w:highlight w:val="none"/>
        </w:rPr>
        <w:t>发包人</w:t>
      </w:r>
      <w:bookmarkEnd w:id="133"/>
      <w:bookmarkEnd w:id="134"/>
      <w:r>
        <w:rPr>
          <w:rFonts w:hint="eastAsia" w:cs="宋体" w:asciiTheme="minorEastAsia" w:hAnsiTheme="minorEastAsia" w:eastAsiaTheme="minorEastAsia"/>
          <w:color w:val="auto"/>
          <w:szCs w:val="21"/>
          <w:highlight w:val="none"/>
        </w:rPr>
        <w:t>代表</w:t>
      </w:r>
      <w:bookmarkEnd w:id="135"/>
      <w:bookmarkEnd w:id="136"/>
      <w:bookmarkEnd w:id="137"/>
    </w:p>
    <w:p w14:paraId="3BC5B61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应任命发包人代表，并在专用合同条件中明确发包人代表的姓名、职务、联系方式及授权范围等事项。发包人代表应在发包人的授权范围内，负责处理合同履行过程中与发包人有关的具体事宜。发包人代表在授权范围内的行为由发包人承担法律责任。</w:t>
      </w:r>
    </w:p>
    <w:p w14:paraId="4229B41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除非发包人另行通知承包人，发包人代表应被授予并且被认为具有发包人在授权范围内享有的相应权利，涉及第</w:t>
      </w:r>
      <w:r>
        <w:rPr>
          <w:rFonts w:cs="宋体" w:asciiTheme="minorEastAsia" w:hAnsiTheme="minorEastAsia" w:eastAsiaTheme="minorEastAsia"/>
          <w:color w:val="auto"/>
          <w:szCs w:val="21"/>
          <w:highlight w:val="none"/>
        </w:rPr>
        <w:t>16.1款[由发包人解除合同]的权利除外。</w:t>
      </w:r>
    </w:p>
    <w:p w14:paraId="601A41B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发包人代表（或者在其为法人的情况下，被任命代表其行事的自然人）应：</w:t>
      </w:r>
    </w:p>
    <w:p w14:paraId="6F419F7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1）履行指派给其的职责，行使发包人托付给的权利；</w:t>
      </w:r>
    </w:p>
    <w:p w14:paraId="36032A9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2）具备履行这些职责、行使这些权利的能力；</w:t>
      </w:r>
    </w:p>
    <w:p w14:paraId="2F62C7B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3）作为熟练的专业人员行事。</w:t>
      </w:r>
    </w:p>
    <w:p w14:paraId="548EE80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如果发包人代表为法人且在签订本合同时未能确定授权代表的，发包人代表应在本合同签订之日起</w:t>
      </w:r>
      <w:r>
        <w:rPr>
          <w:rFonts w:cs="宋体" w:asciiTheme="minorEastAsia" w:hAnsiTheme="minorEastAsia" w:eastAsiaTheme="minorEastAsia"/>
          <w:color w:val="auto"/>
          <w:szCs w:val="21"/>
          <w:highlight w:val="none"/>
        </w:rPr>
        <w:t>3日内向双方发出书面通知，告知被任命和授权的自然人以及任何替代人员。此授权在双方收到本通知后生效。发包人代表撤销该授权或者变更授权代表时也应同样发出该通知。</w:t>
      </w:r>
    </w:p>
    <w:p w14:paraId="4F3A095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发包人更换发包人代表的，应提前</w:t>
      </w:r>
      <w:r>
        <w:rPr>
          <w:rFonts w:cs="宋体" w:asciiTheme="minorEastAsia" w:hAnsiTheme="minorEastAsia" w:eastAsiaTheme="minorEastAsia"/>
          <w:color w:val="auto"/>
          <w:szCs w:val="21"/>
          <w:highlight w:val="none"/>
        </w:rPr>
        <w:t>14天将更换人的姓名、地址、任务和权利、以及任命的日期书面通知承包人。发包人不得将发包人代表更换为承包人根据本款发出通知提出合理反对意见的人员，不论是法人还是自然人。</w:t>
      </w:r>
    </w:p>
    <w:p w14:paraId="35D7331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发包人代表不能按照合同约定履行其职责及义务，并导致合同无法继续正常履行的，承包人可以要求发包人撤换发包人代表。</w:t>
      </w:r>
    </w:p>
    <w:p w14:paraId="11A0CD48">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38" w:name="_Toc54862205"/>
      <w:bookmarkStart w:id="139" w:name="_Ref531951553"/>
      <w:bookmarkStart w:id="140" w:name="_Ref531951557"/>
      <w:r>
        <w:rPr>
          <w:rFonts w:cs="宋体" w:asciiTheme="minorEastAsia" w:hAnsiTheme="minorEastAsia" w:eastAsiaTheme="minorEastAsia"/>
          <w:color w:val="auto"/>
          <w:szCs w:val="21"/>
          <w:highlight w:val="none"/>
        </w:rPr>
        <w:t xml:space="preserve">3.2 </w:t>
      </w:r>
      <w:r>
        <w:rPr>
          <w:rFonts w:hint="eastAsia" w:cs="宋体" w:asciiTheme="minorEastAsia" w:hAnsiTheme="minorEastAsia" w:eastAsiaTheme="minorEastAsia"/>
          <w:color w:val="auto"/>
          <w:szCs w:val="21"/>
          <w:highlight w:val="none"/>
        </w:rPr>
        <w:t>发包人人员</w:t>
      </w:r>
      <w:bookmarkEnd w:id="138"/>
      <w:bookmarkEnd w:id="139"/>
      <w:bookmarkEnd w:id="140"/>
    </w:p>
    <w:p w14:paraId="3DC79FF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人员包括发包人代表、工程师及其他由发包人派驻施工现场的人员，发包人可以在专用合同条件中明确发包人人员的姓名、职务及职责等事项。发包人或发包人代表可随时对一些助手指派和托付一定的任务和权利，也可撤销这些指派和托付。这些助手可包括驻地工程师或担任检验、试验各项工程设备和材料的独立检查员。这些助手应具有适当的资质、履行其任务和权利的能力。以上指派、托付或撤销，在承包人收到通知后生效。承包人对于可能影响正常履约或工程安全质量的发包人人员保有随时提出沟通的权利。</w:t>
      </w:r>
    </w:p>
    <w:p w14:paraId="14CBAC8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发包人应要求在施工现场的发包人人员遵守法律及有关安全、质量、环境保护、文明施工等规定，因发包人人员未遵守上述要求给承包人造成的损失和责任由发包人承担。</w:t>
      </w:r>
    </w:p>
    <w:p w14:paraId="1ADCB86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41" w:name="_Toc54862206"/>
      <w:r>
        <w:rPr>
          <w:rFonts w:cs="宋体" w:asciiTheme="minorEastAsia" w:hAnsiTheme="minorEastAsia" w:eastAsiaTheme="minorEastAsia"/>
          <w:color w:val="auto"/>
          <w:szCs w:val="21"/>
          <w:highlight w:val="none"/>
        </w:rPr>
        <w:t xml:space="preserve">3.3 </w:t>
      </w:r>
      <w:r>
        <w:rPr>
          <w:rFonts w:hint="eastAsia" w:cs="宋体" w:asciiTheme="minorEastAsia" w:hAnsiTheme="minorEastAsia" w:eastAsiaTheme="minorEastAsia"/>
          <w:color w:val="auto"/>
          <w:szCs w:val="21"/>
          <w:highlight w:val="none"/>
        </w:rPr>
        <w:t>工程师</w:t>
      </w:r>
      <w:bookmarkEnd w:id="141"/>
    </w:p>
    <w:p w14:paraId="671A57B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3.3.1 </w:t>
      </w:r>
      <w:r>
        <w:rPr>
          <w:rFonts w:hint="eastAsia" w:cs="宋体" w:asciiTheme="minorEastAsia" w:hAnsiTheme="minorEastAsia" w:eastAsiaTheme="minorEastAsia"/>
          <w:color w:val="auto"/>
          <w:szCs w:val="21"/>
          <w:highlight w:val="none"/>
        </w:rPr>
        <w:t>发包人需对承包人的设计、采购、施工、服务等工作过程或过程节点实施监督管理的，有权委任工程师。工程师的名称、监督管理范围、内容和权限在专用合同条件中写明。根据国家相关法律法规规定，如本合同工程属于强制监理项目的，由工程师履行法定的监理相关职责，但发包人另行授权第三方进行监理的除外。</w:t>
      </w:r>
    </w:p>
    <w:p w14:paraId="0CF5247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3.3.2 </w:t>
      </w:r>
      <w:r>
        <w:rPr>
          <w:rFonts w:hint="eastAsia" w:cs="宋体" w:asciiTheme="minorEastAsia" w:hAnsiTheme="minorEastAsia" w:eastAsiaTheme="minorEastAsia"/>
          <w:color w:val="auto"/>
          <w:szCs w:val="21"/>
          <w:highlight w:val="none"/>
        </w:rPr>
        <w:t>工程师按发包人委托的范围、内容、职权和权限，代表发包人对承包人实施监督管理。若承包人认为工程师行使的职权不在发包人委托的授权范围之内的，则其有权拒绝执行工程师的相关指示，同时应及时通知发包人，发包人书面确认工程师相关指示的，承包人应遵照执行。</w:t>
      </w:r>
    </w:p>
    <w:p w14:paraId="7E035D3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3.3.3 </w:t>
      </w:r>
      <w:r>
        <w:rPr>
          <w:rFonts w:hint="eastAsia" w:cs="宋体" w:asciiTheme="minorEastAsia" w:hAnsiTheme="minorEastAsia" w:eastAsiaTheme="minorEastAsia"/>
          <w:color w:val="auto"/>
          <w:szCs w:val="21"/>
          <w:highlight w:val="none"/>
        </w:rPr>
        <w:t>在发包人和承包人之间提供证明、行使决定权或处理权时，工程师应作为独立专业的第三方，根据自己的专业技能和判断进行工作。但工程师或其人员均无权修改合同，且无权减轻或免除合同当事人的任何责任与义务。</w:t>
      </w:r>
    </w:p>
    <w:p w14:paraId="61C0111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3.3.4 </w:t>
      </w:r>
      <w:r>
        <w:rPr>
          <w:rFonts w:hint="eastAsia" w:cs="宋体" w:asciiTheme="minorEastAsia" w:hAnsiTheme="minorEastAsia" w:eastAsiaTheme="minorEastAsia"/>
          <w:color w:val="auto"/>
          <w:szCs w:val="21"/>
          <w:highlight w:val="none"/>
        </w:rPr>
        <w:t>通用合同条件中约定由工程师行使的职权如不在发包人对工程师的授权范围内的，则视为没有取得授权，该职权应由发包人或发包人指定的其他人员行使。若承包人认为工程师的职权与发包人（包括其人员）的职权相重叠或不明确时，应及时通知发包人，由发包人予以协调和明确并以书面形式通知承包人。</w:t>
      </w:r>
    </w:p>
    <w:p w14:paraId="41D5EF34">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42" w:name="_Toc54862207"/>
      <w:bookmarkStart w:id="143" w:name="_Ref531951597"/>
      <w:bookmarkStart w:id="144" w:name="_Ref531951594"/>
      <w:r>
        <w:rPr>
          <w:rFonts w:cs="宋体" w:asciiTheme="minorEastAsia" w:hAnsiTheme="minorEastAsia" w:eastAsiaTheme="minorEastAsia"/>
          <w:color w:val="auto"/>
          <w:szCs w:val="21"/>
          <w:highlight w:val="none"/>
        </w:rPr>
        <w:t xml:space="preserve">3.4 </w:t>
      </w:r>
      <w:r>
        <w:rPr>
          <w:rFonts w:hint="eastAsia" w:cs="宋体" w:asciiTheme="minorEastAsia" w:hAnsiTheme="minorEastAsia" w:eastAsiaTheme="minorEastAsia"/>
          <w:color w:val="auto"/>
          <w:szCs w:val="21"/>
          <w:highlight w:val="none"/>
        </w:rPr>
        <w:t>任命和授权</w:t>
      </w:r>
      <w:bookmarkEnd w:id="142"/>
    </w:p>
    <w:p w14:paraId="29134B4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3.4.1 </w:t>
      </w:r>
      <w:r>
        <w:rPr>
          <w:rFonts w:hint="eastAsia" w:cs="宋体" w:asciiTheme="minorEastAsia" w:hAnsiTheme="minorEastAsia" w:eastAsiaTheme="minorEastAsia"/>
          <w:color w:val="auto"/>
          <w:szCs w:val="21"/>
          <w:highlight w:val="none"/>
        </w:rPr>
        <w:t>发包人应在发出开始工作通知前将工程师的任命通知承包人。更换工程师的，发包人应提前</w:t>
      </w:r>
      <w:r>
        <w:rPr>
          <w:rFonts w:cs="宋体" w:asciiTheme="minorEastAsia" w:hAnsiTheme="minorEastAsia" w:eastAsiaTheme="minorEastAsia"/>
          <w:color w:val="auto"/>
          <w:szCs w:val="21"/>
          <w:highlight w:val="none"/>
        </w:rPr>
        <w:t>7天以书面形式通知承包人，并在通知中写明替换者的姓名、职务、职权、权限和任命时间。工程师超过2天不能履行职责的，应委派代表代行其职责，并通知承包人。</w:t>
      </w:r>
    </w:p>
    <w:p w14:paraId="2543E32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3.4.2 </w:t>
      </w:r>
      <w:r>
        <w:rPr>
          <w:rFonts w:hint="eastAsia" w:cs="宋体" w:asciiTheme="minorEastAsia" w:hAnsiTheme="minorEastAsia" w:eastAsiaTheme="minorEastAsia"/>
          <w:color w:val="auto"/>
          <w:szCs w:val="21"/>
          <w:highlight w:val="none"/>
        </w:rPr>
        <w:t>工程师可以授权其他人员负责执行其指派的一项或多项工作，但第</w:t>
      </w:r>
      <w:r>
        <w:rPr>
          <w:rFonts w:cs="宋体" w:asciiTheme="minorEastAsia" w:hAnsiTheme="minorEastAsia" w:eastAsiaTheme="minorEastAsia"/>
          <w:color w:val="auto"/>
          <w:szCs w:val="21"/>
          <w:highlight w:val="none"/>
        </w:rPr>
        <w:t>3.6款[商定或确定]下的权利除外。工程师应将被授权人员的姓名及其授权范围通知承包人。被授权的人员在授权范围内发出的指示视为已得到工程师的同意，与工程师发出的指示具有同等效力。工程师撤销某项授权时，应将撤销授权的决定及时通知承包人。</w:t>
      </w:r>
    </w:p>
    <w:p w14:paraId="25FA9615">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45" w:name="_Toc54862208"/>
      <w:bookmarkStart w:id="146" w:name="_Ref20165400"/>
      <w:r>
        <w:rPr>
          <w:rFonts w:cs="宋体" w:asciiTheme="minorEastAsia" w:hAnsiTheme="minorEastAsia" w:eastAsiaTheme="minorEastAsia"/>
          <w:color w:val="auto"/>
          <w:szCs w:val="21"/>
          <w:highlight w:val="none"/>
        </w:rPr>
        <w:t xml:space="preserve">3.5 </w:t>
      </w:r>
      <w:r>
        <w:rPr>
          <w:rFonts w:hint="eastAsia" w:cs="宋体" w:asciiTheme="minorEastAsia" w:hAnsiTheme="minorEastAsia" w:eastAsiaTheme="minorEastAsia"/>
          <w:color w:val="auto"/>
          <w:szCs w:val="21"/>
          <w:highlight w:val="none"/>
        </w:rPr>
        <w:t>指示</w:t>
      </w:r>
      <w:bookmarkEnd w:id="143"/>
      <w:bookmarkEnd w:id="144"/>
      <w:bookmarkEnd w:id="145"/>
      <w:bookmarkEnd w:id="146"/>
    </w:p>
    <w:p w14:paraId="5354B1B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3.5.1 </w:t>
      </w:r>
      <w:r>
        <w:rPr>
          <w:rFonts w:hint="eastAsia" w:cs="宋体" w:asciiTheme="minorEastAsia" w:hAnsiTheme="minorEastAsia" w:eastAsiaTheme="minorEastAsia"/>
          <w:color w:val="auto"/>
          <w:szCs w:val="21"/>
          <w:highlight w:val="none"/>
        </w:rPr>
        <w:t>工程师应按照发包人的授权发出指示。工程师的指示应采用书面形式，盖有工程师授权的项目管理机构章，并由工程师的授权人员签字。在紧急情况下，工程师的授权人员可以口头形式发出指示或当场签发临时书面指示，承包人应遵照执行。工程师应在授权人员发出口头指示或临时书面指示后</w:t>
      </w:r>
      <w:r>
        <w:rPr>
          <w:rFonts w:cs="宋体" w:asciiTheme="minorEastAsia" w:hAnsiTheme="minorEastAsia" w:eastAsiaTheme="minorEastAsia"/>
          <w:color w:val="auto"/>
          <w:szCs w:val="21"/>
          <w:highlight w:val="none"/>
        </w:rPr>
        <w:t>24小时内发出书面确认函，在24小时内未发出书面确认函的，该口头指示或临时书面指示应被视为工程师的正式指示。</w:t>
      </w:r>
    </w:p>
    <w:p w14:paraId="567D7AB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3.5.2 </w:t>
      </w:r>
      <w:r>
        <w:rPr>
          <w:rFonts w:hint="eastAsia" w:cs="宋体" w:asciiTheme="minorEastAsia" w:hAnsiTheme="minorEastAsia" w:eastAsiaTheme="minorEastAsia"/>
          <w:color w:val="auto"/>
          <w:szCs w:val="21"/>
          <w:highlight w:val="none"/>
        </w:rPr>
        <w:t>承包人收到工程师作出的指示后应遵照执行。如果任何此类指示构成一项变更时，应按照第</w:t>
      </w:r>
      <w:r>
        <w:rPr>
          <w:rFonts w:cs="宋体" w:asciiTheme="minorEastAsia" w:hAnsiTheme="minorEastAsia" w:eastAsiaTheme="minorEastAsia"/>
          <w:color w:val="auto"/>
          <w:szCs w:val="21"/>
          <w:highlight w:val="none"/>
        </w:rPr>
        <w:t>13条[变更与调整]的约定办理。</w:t>
      </w:r>
    </w:p>
    <w:p w14:paraId="4EF9A1B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3.5.3 </w:t>
      </w:r>
      <w:r>
        <w:rPr>
          <w:rFonts w:hint="eastAsia" w:cs="宋体" w:asciiTheme="minorEastAsia" w:hAnsiTheme="minorEastAsia" w:eastAsiaTheme="minorEastAsia"/>
          <w:color w:val="auto"/>
          <w:szCs w:val="21"/>
          <w:highlight w:val="none"/>
        </w:rPr>
        <w:t>由于工程师未能按合同约定发出指示、指示延误或指示错误而导致承包人费用增加和（或）工期延误的，发包人应承担由此增加的费用和（或）工期延误，并向承包人支付合理利润。</w:t>
      </w:r>
    </w:p>
    <w:p w14:paraId="15F65576">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47" w:name="_Toc54862209"/>
      <w:bookmarkStart w:id="148" w:name="_Ref531951611"/>
      <w:bookmarkStart w:id="149" w:name="_Ref531951609"/>
      <w:r>
        <w:rPr>
          <w:rFonts w:cs="宋体" w:asciiTheme="minorEastAsia" w:hAnsiTheme="minorEastAsia" w:eastAsiaTheme="minorEastAsia"/>
          <w:color w:val="auto"/>
          <w:szCs w:val="21"/>
          <w:highlight w:val="none"/>
        </w:rPr>
        <w:t xml:space="preserve">3.6 </w:t>
      </w:r>
      <w:r>
        <w:rPr>
          <w:rFonts w:hint="eastAsia" w:cs="宋体" w:asciiTheme="minorEastAsia" w:hAnsiTheme="minorEastAsia" w:eastAsiaTheme="minorEastAsia"/>
          <w:color w:val="auto"/>
          <w:szCs w:val="21"/>
          <w:highlight w:val="none"/>
        </w:rPr>
        <w:t>商定或确定</w:t>
      </w:r>
      <w:bookmarkEnd w:id="147"/>
      <w:bookmarkEnd w:id="148"/>
      <w:bookmarkEnd w:id="149"/>
    </w:p>
    <w:p w14:paraId="4980EFA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3.6.1 </w:t>
      </w:r>
      <w:r>
        <w:rPr>
          <w:rFonts w:hint="eastAsia" w:cs="宋体" w:asciiTheme="minorEastAsia" w:hAnsiTheme="minorEastAsia" w:eastAsiaTheme="minorEastAsia"/>
          <w:color w:val="auto"/>
          <w:szCs w:val="21"/>
          <w:highlight w:val="none"/>
        </w:rPr>
        <w:t>合同约定工程师应按照本款对任何事项进行商定或确定时，工程师应及时与合同当事人协商，尽量达成一致。工程师应将商定的结果以书面形式通知发包人和承包人，并由双方签署确认。</w:t>
      </w:r>
    </w:p>
    <w:p w14:paraId="19BD87F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3.6.2 </w:t>
      </w:r>
      <w:r>
        <w:rPr>
          <w:rFonts w:hint="eastAsia" w:cs="宋体" w:asciiTheme="minorEastAsia" w:hAnsiTheme="minorEastAsia" w:eastAsiaTheme="minorEastAsia"/>
          <w:color w:val="auto"/>
          <w:szCs w:val="21"/>
          <w:highlight w:val="none"/>
        </w:rPr>
        <w:t>除专用合同条件另有约定外，商定的期限应为工程师收到任何一方就商定事由发出的通知后</w:t>
      </w:r>
      <w:r>
        <w:rPr>
          <w:rFonts w:cs="宋体" w:asciiTheme="minorEastAsia" w:hAnsiTheme="minorEastAsia" w:eastAsiaTheme="minorEastAsia"/>
          <w:color w:val="auto"/>
          <w:szCs w:val="21"/>
          <w:highlight w:val="none"/>
        </w:rPr>
        <w:t>42天内或工程师提出并经双方同意的其他期限。未能在该期限内达成一致的，由工程师按照合同约定审慎做出公正的确定。确定的期限应为商定的期限届满后42天内或工程师提出并经双方同意的其他期限。工程师应将确定的结果以书面形式通知发包人和承包人，并附详细依据。</w:t>
      </w:r>
    </w:p>
    <w:p w14:paraId="3C4611E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50" w:name="_Ref532287856"/>
      <w:r>
        <w:rPr>
          <w:rFonts w:cs="宋体" w:asciiTheme="minorEastAsia" w:hAnsiTheme="minorEastAsia" w:eastAsiaTheme="minorEastAsia"/>
          <w:color w:val="auto"/>
          <w:szCs w:val="21"/>
          <w:highlight w:val="none"/>
        </w:rPr>
        <w:t xml:space="preserve">3.6.3 </w:t>
      </w:r>
      <w:r>
        <w:rPr>
          <w:rFonts w:hint="eastAsia" w:cs="宋体" w:asciiTheme="minorEastAsia" w:hAnsiTheme="minorEastAsia" w:eastAsiaTheme="minorEastAsia"/>
          <w:color w:val="auto"/>
          <w:szCs w:val="21"/>
          <w:highlight w:val="none"/>
        </w:rPr>
        <w:t>任何一方对工程师的确定有异议的，应在收到确定的结果后</w:t>
      </w:r>
      <w:r>
        <w:rPr>
          <w:rFonts w:cs="宋体" w:asciiTheme="minorEastAsia" w:hAnsiTheme="minorEastAsia" w:eastAsiaTheme="minorEastAsia"/>
          <w:color w:val="auto"/>
          <w:szCs w:val="21"/>
          <w:highlight w:val="none"/>
        </w:rPr>
        <w:t>28天内向另一方发出书面异议通知并抄送工程师。除第19.2款[承包人索赔的处理程序]另有约定外，工程师未能在确定的期限内发出确定的结果通知的，或者任何一方发出对确定的结果有异议的通知的，则构成争议并应按照第20条[争议解决]的约定处理。如未在28天内发出上述通知的，工程师的确定应被视为已被双方接受并对双方具有约束力，但专用合同条件另有约定的除外。</w:t>
      </w:r>
      <w:bookmarkEnd w:id="150"/>
    </w:p>
    <w:p w14:paraId="5B7CF61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3.6.4 </w:t>
      </w:r>
      <w:r>
        <w:rPr>
          <w:rFonts w:hint="eastAsia" w:cs="宋体" w:asciiTheme="minorEastAsia" w:hAnsiTheme="minorEastAsia" w:eastAsiaTheme="minorEastAsia"/>
          <w:color w:val="auto"/>
          <w:szCs w:val="21"/>
          <w:highlight w:val="none"/>
        </w:rPr>
        <w:t>在该争议解决前，双方应暂按工程师的确定执行。按照第</w:t>
      </w:r>
      <w:r>
        <w:rPr>
          <w:rFonts w:cs="宋体" w:asciiTheme="minorEastAsia" w:hAnsiTheme="minorEastAsia" w:eastAsiaTheme="minorEastAsia"/>
          <w:color w:val="auto"/>
          <w:szCs w:val="21"/>
          <w:highlight w:val="none"/>
        </w:rPr>
        <w:t>20条[争议解决]的约定对工程师的确定作出修改的，按修改后的结果执行，由此导致承包人增加的费用和延误的工期由责任方承担。</w:t>
      </w:r>
    </w:p>
    <w:p w14:paraId="68D04EF0">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51" w:name="_Ref531951749"/>
      <w:bookmarkStart w:id="152" w:name="_Toc54862210"/>
      <w:bookmarkStart w:id="153" w:name="_Ref531951747"/>
      <w:r>
        <w:rPr>
          <w:rFonts w:cs="宋体" w:asciiTheme="minorEastAsia" w:hAnsiTheme="minorEastAsia" w:eastAsiaTheme="minorEastAsia"/>
          <w:color w:val="auto"/>
          <w:szCs w:val="21"/>
          <w:highlight w:val="none"/>
        </w:rPr>
        <w:t xml:space="preserve">3.7 </w:t>
      </w:r>
      <w:r>
        <w:rPr>
          <w:rFonts w:hint="eastAsia" w:cs="宋体" w:asciiTheme="minorEastAsia" w:hAnsiTheme="minorEastAsia" w:eastAsiaTheme="minorEastAsia"/>
          <w:color w:val="auto"/>
          <w:szCs w:val="21"/>
          <w:highlight w:val="none"/>
        </w:rPr>
        <w:t>会议</w:t>
      </w:r>
      <w:bookmarkEnd w:id="151"/>
      <w:bookmarkEnd w:id="152"/>
      <w:bookmarkEnd w:id="153"/>
    </w:p>
    <w:p w14:paraId="5183911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3.7.1 </w:t>
      </w:r>
      <w:r>
        <w:rPr>
          <w:rFonts w:hint="eastAsia" w:cs="宋体" w:asciiTheme="minorEastAsia" w:hAnsiTheme="minorEastAsia" w:eastAsiaTheme="minorEastAsia"/>
          <w:color w:val="auto"/>
          <w:szCs w:val="21"/>
          <w:highlight w:val="none"/>
        </w:rPr>
        <w:t>除专用合同条件另有约定外，任何一方可向另一方发出通知，要求另一方出席会议，讨论工程的实施安排或与本合同履行有关的其他事项。发包人的其他承包人、承包人的分包人和其他第三方可应任何一方的请求出席任何此类会议。</w:t>
      </w:r>
    </w:p>
    <w:p w14:paraId="32F6463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3.7.2 </w:t>
      </w:r>
      <w:r>
        <w:rPr>
          <w:rFonts w:hint="eastAsia" w:cs="宋体" w:asciiTheme="minorEastAsia" w:hAnsiTheme="minorEastAsia" w:eastAsiaTheme="minorEastAsia"/>
          <w:color w:val="auto"/>
          <w:szCs w:val="21"/>
          <w:highlight w:val="none"/>
        </w:rPr>
        <w:t>除专用合同条件另有约定外，发包人应保存每次会议参加人签名的记录，并将会议纪要提供给出席会议的人员。任何根据此类会议以及会议纪要采取的行动应符合本合同的约定。</w:t>
      </w:r>
    </w:p>
    <w:p w14:paraId="471F55B8">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154" w:name="_Ref531952805"/>
      <w:bookmarkStart w:id="155" w:name="_Toc54862211"/>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4条 </w:t>
      </w:r>
      <w:r>
        <w:rPr>
          <w:rFonts w:hint="eastAsia" w:cs="宋体" w:asciiTheme="minorEastAsia" w:hAnsiTheme="minorEastAsia" w:eastAsiaTheme="minorEastAsia"/>
          <w:b/>
          <w:color w:val="auto"/>
          <w:szCs w:val="21"/>
          <w:highlight w:val="none"/>
        </w:rPr>
        <w:t>承包人</w:t>
      </w:r>
      <w:bookmarkEnd w:id="154"/>
      <w:bookmarkEnd w:id="155"/>
    </w:p>
    <w:p w14:paraId="1B0CC867">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56" w:name="_Ref531951958"/>
      <w:bookmarkStart w:id="157" w:name="_Ref531951961"/>
      <w:bookmarkStart w:id="158" w:name="_Ref531951945"/>
      <w:bookmarkStart w:id="159" w:name="_Toc54862212"/>
      <w:bookmarkStart w:id="160" w:name="_Ref531951941"/>
      <w:bookmarkStart w:id="161" w:name="_Ref531951975"/>
      <w:r>
        <w:rPr>
          <w:rFonts w:cs="宋体" w:asciiTheme="minorEastAsia" w:hAnsiTheme="minorEastAsia" w:eastAsiaTheme="minorEastAsia"/>
          <w:color w:val="auto"/>
          <w:szCs w:val="21"/>
          <w:highlight w:val="none"/>
        </w:rPr>
        <w:t xml:space="preserve">4.1 </w:t>
      </w:r>
      <w:r>
        <w:rPr>
          <w:rFonts w:hint="eastAsia" w:cs="宋体" w:asciiTheme="minorEastAsia" w:hAnsiTheme="minorEastAsia" w:eastAsiaTheme="minorEastAsia"/>
          <w:color w:val="auto"/>
          <w:szCs w:val="21"/>
          <w:highlight w:val="none"/>
        </w:rPr>
        <w:t>承包人的一般义务</w:t>
      </w:r>
      <w:bookmarkEnd w:id="156"/>
      <w:bookmarkEnd w:id="157"/>
      <w:bookmarkEnd w:id="158"/>
      <w:bookmarkEnd w:id="159"/>
      <w:bookmarkEnd w:id="160"/>
      <w:bookmarkEnd w:id="161"/>
    </w:p>
    <w:p w14:paraId="421B6A9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62" w:name="_Ref509046929"/>
      <w:r>
        <w:rPr>
          <w:rFonts w:hint="eastAsia" w:cs="宋体" w:asciiTheme="minorEastAsia" w:hAnsiTheme="minorEastAsia" w:eastAsiaTheme="minorEastAsia"/>
          <w:color w:val="auto"/>
          <w:szCs w:val="21"/>
          <w:highlight w:val="none"/>
        </w:rPr>
        <w:t>除专用合同条件另有约定外，承包人在履行合同过程中应遵守法律和工程建设标准规范，并履行以下义务：</w:t>
      </w:r>
    </w:p>
    <w:p w14:paraId="1195F59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1）办理法律规定和合同约定由承包人办理的许可和批准，将办理结果书面报送发包人留存，并承担因承包人违反法律或合同约定给发包人造成的任何费用和损失；</w:t>
      </w:r>
    </w:p>
    <w:p w14:paraId="3D6B0D3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2）按合同约定完成全部工作并在缺陷责任期和缺陷责任期内承担缺陷保证责任和保修义务，对工作中的任何缺陷进行整改、完善和修补，使其满足合同约定的目的；</w:t>
      </w:r>
    </w:p>
    <w:p w14:paraId="055498D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3）提供合同约定的工程设备和承包人文件，以及为完成合同工作所需的劳务、材料、施工设备和其他物品，并按合同约定负责临时设施的设计、施工、运行、维护、管理和拆除；</w:t>
      </w:r>
    </w:p>
    <w:p w14:paraId="01A9C13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4）按合同约定的工作内容和进度要求，编制设计、施工的组织和实施计划，保证项目进度计划的实现，并对所有设计、施工作业和施工方法，以及全部工程的完备性和安全可靠性负责；</w:t>
      </w:r>
    </w:p>
    <w:p w14:paraId="4D7F1FF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5）按法律规定和合同约定采取安全文明施工、职业健康和环境保护措施，办理员工工伤保险等相关保险，确保工程及人员、材料、设备和设施的安全，防止因工程实施造成的人身伤害和财产损失；</w:t>
      </w:r>
    </w:p>
    <w:p w14:paraId="0102F8B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6）将发包人按合同约定支付的各项价款专用于合同工程，且应及时支付其雇用人员（包括建筑工人）工资，并及时向分包人支付合同价款；</w:t>
      </w:r>
    </w:p>
    <w:p w14:paraId="760AE57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7）在进行合同约定的各项工作时，不得侵害发包人与他人使用公用道路、水源、市政管网等公共设施的权利，避免对邻近的公共设施产生干扰。</w:t>
      </w:r>
    </w:p>
    <w:p w14:paraId="2680CDA7">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63" w:name="_Toc54862213"/>
      <w:bookmarkStart w:id="164" w:name="_Ref4426803"/>
      <w:bookmarkStart w:id="165" w:name="_Ref4428418"/>
      <w:r>
        <w:rPr>
          <w:rFonts w:cs="宋体" w:asciiTheme="minorEastAsia" w:hAnsiTheme="minorEastAsia" w:eastAsiaTheme="minorEastAsia"/>
          <w:color w:val="auto"/>
          <w:szCs w:val="21"/>
          <w:highlight w:val="none"/>
        </w:rPr>
        <w:t xml:space="preserve">4.2 </w:t>
      </w:r>
      <w:r>
        <w:rPr>
          <w:rFonts w:hint="eastAsia" w:cs="宋体" w:asciiTheme="minorEastAsia" w:hAnsiTheme="minorEastAsia" w:eastAsiaTheme="minorEastAsia"/>
          <w:color w:val="auto"/>
          <w:szCs w:val="21"/>
          <w:highlight w:val="none"/>
        </w:rPr>
        <w:t>履约担保</w:t>
      </w:r>
      <w:bookmarkEnd w:id="163"/>
      <w:bookmarkEnd w:id="164"/>
    </w:p>
    <w:p w14:paraId="708F694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发包人需要承包人提供履约担保的，由合同当事人在专用合同条件中约定履约担保的方式、金额及提交的时间等，并应符合第</w:t>
      </w:r>
      <w:r>
        <w:rPr>
          <w:rFonts w:cs="宋体" w:asciiTheme="minorEastAsia" w:hAnsiTheme="minorEastAsia" w:eastAsiaTheme="minorEastAsia"/>
          <w:color w:val="auto"/>
          <w:szCs w:val="21"/>
          <w:highlight w:val="none"/>
        </w:rPr>
        <w:t>2.5款[支付合同价款]的规定。履约担保可以采用银行保函或担保公司担保等形式，承包人为联合体的，其履约担保由联合体各方或者联合体中牵头人的名义代表联合体提交，具体由合同当事人在专用合同条件中约定。</w:t>
      </w:r>
    </w:p>
    <w:p w14:paraId="5152E24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承包人应保证其履约担保在发包人竣工验收前一直有效，发包人应在竣工验收合格后</w:t>
      </w:r>
      <w:r>
        <w:rPr>
          <w:rFonts w:cs="宋体" w:asciiTheme="minorEastAsia" w:hAnsiTheme="minorEastAsia" w:eastAsiaTheme="minorEastAsia"/>
          <w:color w:val="auto"/>
          <w:szCs w:val="21"/>
          <w:highlight w:val="none"/>
        </w:rPr>
        <w:t>7天内将履约担保款项退还给承包人或者解除履约担保。</w:t>
      </w:r>
    </w:p>
    <w:p w14:paraId="22690B6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因承包人原因导致工期延长的，继续提供履约担保所增加的费用由承包人承担；非因承包人原因导致工期延长的，继续提供履约担保所增加的费用由发包人承担。</w:t>
      </w:r>
    </w:p>
    <w:bookmarkEnd w:id="162"/>
    <w:bookmarkEnd w:id="165"/>
    <w:p w14:paraId="356B8E9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66" w:name="_Toc54862214"/>
      <w:bookmarkStart w:id="167" w:name="_Ref532689105"/>
      <w:bookmarkStart w:id="168" w:name="_Ref532689108"/>
      <w:r>
        <w:rPr>
          <w:rFonts w:cs="宋体" w:asciiTheme="minorEastAsia" w:hAnsiTheme="minorEastAsia" w:eastAsiaTheme="minorEastAsia"/>
          <w:color w:val="auto"/>
          <w:szCs w:val="21"/>
          <w:highlight w:val="none"/>
        </w:rPr>
        <w:t xml:space="preserve">4.3 </w:t>
      </w:r>
      <w:r>
        <w:rPr>
          <w:rFonts w:hint="eastAsia" w:cs="宋体" w:asciiTheme="minorEastAsia" w:hAnsiTheme="minorEastAsia" w:eastAsiaTheme="minorEastAsia"/>
          <w:color w:val="auto"/>
          <w:szCs w:val="21"/>
          <w:highlight w:val="none"/>
        </w:rPr>
        <w:t>工程总承包项目经理</w:t>
      </w:r>
      <w:bookmarkEnd w:id="166"/>
      <w:bookmarkEnd w:id="167"/>
      <w:bookmarkEnd w:id="168"/>
    </w:p>
    <w:p w14:paraId="10AC35C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69" w:name="_Ref532351726"/>
      <w:r>
        <w:rPr>
          <w:rFonts w:cs="宋体" w:asciiTheme="minorEastAsia" w:hAnsiTheme="minorEastAsia" w:eastAsiaTheme="minorEastAsia"/>
          <w:color w:val="auto"/>
          <w:szCs w:val="21"/>
          <w:highlight w:val="none"/>
        </w:rPr>
        <w:t xml:space="preserve">4.3.1 </w:t>
      </w:r>
      <w:r>
        <w:rPr>
          <w:rFonts w:hint="eastAsia" w:cs="宋体" w:asciiTheme="minorEastAsia" w:hAnsiTheme="minorEastAsia" w:eastAsiaTheme="minorEastAsia"/>
          <w:color w:val="auto"/>
          <w:szCs w:val="21"/>
          <w:highlight w:val="none"/>
        </w:rPr>
        <w:t>工程总承包项目经理应为合同当事人所确认的人选，并在专用合同条件中明确工程总承包项目经理的姓名、注册执业资格或职称、联系方式及授权范围等事项。工程总承包项目经理应具备履行其职责所需的资格、经验和能力，并为承包人正式聘用的员工，承包人应向发包人提交工程总承包项目经理与承包人之间的劳动合同，以及承包人为工程总承包项目经理缴纳社会保险的有效证明。承包人不提交上述文件的，工程总承包项目经理无权履行职责，发包人有权要求更换工程总承包项目经理，由此增加的费用和（或）延误的工期由承包人承担。同时，发包人有权根据专用合同条件约定要求承包人承担违约责任。</w:t>
      </w:r>
      <w:bookmarkEnd w:id="169"/>
    </w:p>
    <w:p w14:paraId="5BB44EA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70" w:name="_Ref532689263"/>
      <w:r>
        <w:rPr>
          <w:rFonts w:cs="宋体" w:asciiTheme="minorEastAsia" w:hAnsiTheme="minorEastAsia" w:eastAsiaTheme="minorEastAsia"/>
          <w:color w:val="auto"/>
          <w:szCs w:val="21"/>
          <w:highlight w:val="none"/>
        </w:rPr>
        <w:t xml:space="preserve">4.3.2 </w:t>
      </w:r>
      <w:r>
        <w:rPr>
          <w:rFonts w:hint="eastAsia" w:cs="宋体" w:asciiTheme="minorEastAsia" w:hAnsiTheme="minorEastAsia" w:eastAsiaTheme="minorEastAsia"/>
          <w:color w:val="auto"/>
          <w:szCs w:val="21"/>
          <w:highlight w:val="none"/>
        </w:rPr>
        <w:t>承包人应按合同协议书的约定指派工程总承包项目经理，并在约定的期限内到职。工程总承包项目经理不得同时担任其他工程项目的工程总承包项目经理或施工工程总承包项目经理（含施工总承包工程、专业承包工程）。工程在现场实施的全部时间内，工程总承包项目经理每月在施工现场时间不得少于专用合同条件约定的天数。工程总承包项目经理确需离开施工现场时，应事先通知工程师，并取得发包人的书面同意。工程总承包项目经理未经批准擅自离开施工现场的，承包人应按照专用合同条件的约定承担违约责任。工程总承包项目经理的通知中应当载明临时代行其职责的人员的注册执业资格、管理经验等资料，该人员应具备履行相应职责的资格、经验和能力。</w:t>
      </w:r>
      <w:bookmarkEnd w:id="170"/>
    </w:p>
    <w:p w14:paraId="3874698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71" w:name="_Ref532689178"/>
      <w:bookmarkStart w:id="172" w:name="_Ref531952112"/>
      <w:r>
        <w:rPr>
          <w:rFonts w:cs="宋体" w:asciiTheme="minorEastAsia" w:hAnsiTheme="minorEastAsia" w:eastAsiaTheme="minorEastAsia"/>
          <w:color w:val="auto"/>
          <w:szCs w:val="21"/>
          <w:highlight w:val="none"/>
        </w:rPr>
        <w:t xml:space="preserve">4.3.3 </w:t>
      </w:r>
      <w:r>
        <w:rPr>
          <w:rFonts w:hint="eastAsia" w:cs="宋体" w:asciiTheme="minorEastAsia" w:hAnsiTheme="minorEastAsia" w:eastAsiaTheme="minorEastAsia"/>
          <w:color w:val="auto"/>
          <w:szCs w:val="21"/>
          <w:highlight w:val="none"/>
        </w:rPr>
        <w:t>承包人应根据本合同的约定授予工程总承包项目经理代表承包人履行合同所需的权利，工程总承包项目经理权限以专用合同条件中约定的权限为准。经承包人授权后，工程总承包项目经理应按合同约定以及工程师按第</w:t>
      </w:r>
      <w:r>
        <w:rPr>
          <w:rFonts w:cs="宋体" w:asciiTheme="minorEastAsia" w:hAnsiTheme="minorEastAsia" w:eastAsiaTheme="minorEastAsia"/>
          <w:color w:val="auto"/>
          <w:szCs w:val="21"/>
          <w:highlight w:val="none"/>
        </w:rPr>
        <w:t>3.5款[指示]作出的指示，代表承包人负责组织合同的实施。在紧急情况下，且无法与发包人和工程师取得联系时，工程总承包项目经理有权采取必要的措施保证人身、工程和财产的安全，但须在事后48小时内向工程师送交书面报告。</w:t>
      </w:r>
      <w:bookmarkEnd w:id="171"/>
    </w:p>
    <w:bookmarkEnd w:id="172"/>
    <w:p w14:paraId="5EEFE6F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73" w:name="_Ref4426412"/>
      <w:r>
        <w:rPr>
          <w:rFonts w:cs="宋体" w:asciiTheme="minorEastAsia" w:hAnsiTheme="minorEastAsia" w:eastAsiaTheme="minorEastAsia"/>
          <w:color w:val="auto"/>
          <w:szCs w:val="21"/>
          <w:highlight w:val="none"/>
        </w:rPr>
        <w:t xml:space="preserve">4.3.4 </w:t>
      </w:r>
      <w:r>
        <w:rPr>
          <w:rFonts w:hint="eastAsia" w:cs="宋体" w:asciiTheme="minorEastAsia" w:hAnsiTheme="minorEastAsia" w:eastAsiaTheme="minorEastAsia"/>
          <w:color w:val="auto"/>
          <w:szCs w:val="21"/>
          <w:highlight w:val="none"/>
        </w:rPr>
        <w:t>承包人需要更换工程总承包项目经理的，应提前</w:t>
      </w:r>
      <w:r>
        <w:rPr>
          <w:rFonts w:cs="宋体" w:asciiTheme="minorEastAsia" w:hAnsiTheme="minorEastAsia" w:eastAsiaTheme="minorEastAsia"/>
          <w:color w:val="auto"/>
          <w:szCs w:val="21"/>
          <w:highlight w:val="none"/>
        </w:rPr>
        <w:t>14天书面通知发包人并抄送工程师，征得发包人书面同意。通知中应当载明继任工程总承包项目经理的注册执业资格、管理经验等资料，继任工程总承包项目经理继续履行本合同约定的职责。未经发包人书面同意，承包人不得擅自更换工程总承包项目经理，在发包人未予以书面回复期间内，工程总承包项目经理将继续履行其职责。工程总承包项目经理突发丧失履行职务能力的，承包人应当及时委派一位具有相应资格能力的人员担任临时工程总承包项目经理，履行工程总承包项目经理的职责，临时工程总承包项目经理将履行职责直至发包人同意新的工程总承包项目经理的任命之日止。承包人擅自更换工程总承包项目经理的，</w:t>
      </w:r>
      <w:bookmarkStart w:id="174" w:name="_Hlk55056591"/>
      <w:r>
        <w:rPr>
          <w:rFonts w:hint="eastAsia" w:cs="宋体" w:asciiTheme="minorEastAsia" w:hAnsiTheme="minorEastAsia" w:eastAsiaTheme="minorEastAsia"/>
          <w:color w:val="auto"/>
          <w:szCs w:val="21"/>
          <w:highlight w:val="none"/>
        </w:rPr>
        <w:t>应按照专用合同条件的约定承担违约责任。</w:t>
      </w:r>
      <w:bookmarkEnd w:id="173"/>
      <w:bookmarkEnd w:id="174"/>
    </w:p>
    <w:p w14:paraId="2E8DCD4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75" w:name="_Ref531952137"/>
      <w:r>
        <w:rPr>
          <w:rFonts w:cs="宋体" w:asciiTheme="minorEastAsia" w:hAnsiTheme="minorEastAsia" w:eastAsiaTheme="minorEastAsia"/>
          <w:color w:val="auto"/>
          <w:szCs w:val="21"/>
          <w:highlight w:val="none"/>
        </w:rPr>
        <w:t xml:space="preserve">4.3.5 </w:t>
      </w:r>
      <w:r>
        <w:rPr>
          <w:rFonts w:hint="eastAsia" w:cs="宋体" w:asciiTheme="minorEastAsia" w:hAnsiTheme="minorEastAsia" w:eastAsiaTheme="minorEastAsia"/>
          <w:color w:val="auto"/>
          <w:szCs w:val="21"/>
          <w:highlight w:val="none"/>
        </w:rPr>
        <w:t>发包人有权书面通知承包人要求更换其认为不称职的工程总承包项目经理，通知中应当载明要求更换的理由。承包人应在接到更换通知后</w:t>
      </w:r>
      <w:r>
        <w:rPr>
          <w:rFonts w:cs="宋体" w:asciiTheme="minorEastAsia" w:hAnsiTheme="minorEastAsia" w:eastAsiaTheme="minorEastAsia"/>
          <w:color w:val="auto"/>
          <w:szCs w:val="21"/>
          <w:highlight w:val="none"/>
        </w:rPr>
        <w:t>14天内向发包人提出书面的改进报告。如承包人没有提出改进报告，应在收到更换通知后28天内更换项目经理。发包人收到改进报告后仍要求更换的，承包人应在接到第二次更换通知的28天内进行更换，并将新任命的工程总承包项目经理的注册执业资格、管理经验等资料书面通知发包人。继任工程总承包项目经理继续履行本合同约定的职责。承包人无正当理由拒绝更换工程总承包项目经理的，应按照专用合同条件的约定承担违约责任。</w:t>
      </w:r>
      <w:bookmarkEnd w:id="175"/>
    </w:p>
    <w:p w14:paraId="65521B9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76" w:name="_Ref122620"/>
      <w:r>
        <w:rPr>
          <w:rFonts w:cs="宋体" w:asciiTheme="minorEastAsia" w:hAnsiTheme="minorEastAsia" w:eastAsiaTheme="minorEastAsia"/>
          <w:color w:val="auto"/>
          <w:szCs w:val="21"/>
          <w:highlight w:val="none"/>
        </w:rPr>
        <w:t xml:space="preserve">4.3.6 </w:t>
      </w:r>
      <w:r>
        <w:rPr>
          <w:rFonts w:hint="eastAsia" w:cs="宋体" w:asciiTheme="minorEastAsia" w:hAnsiTheme="minorEastAsia" w:eastAsiaTheme="minorEastAsia"/>
          <w:color w:val="auto"/>
          <w:szCs w:val="21"/>
          <w:highlight w:val="none"/>
        </w:rPr>
        <w:t>工程总承包项目经理因特殊情况授权其下属人员履行其某项工作职责的，该下属人员应具备履行相应职责的能力，并应事先将上述人员的姓名、注册执业资格、管理经验等信息和授权范围书面通知发包人并抄送工程师，征得发包人书面同意。</w:t>
      </w:r>
      <w:bookmarkEnd w:id="176"/>
    </w:p>
    <w:p w14:paraId="04052709">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77" w:name="_Toc54862215"/>
      <w:bookmarkStart w:id="178" w:name="_Ref531952175"/>
      <w:bookmarkStart w:id="179" w:name="_Ref531952172"/>
      <w:r>
        <w:rPr>
          <w:rFonts w:cs="宋体" w:asciiTheme="minorEastAsia" w:hAnsiTheme="minorEastAsia" w:eastAsiaTheme="minorEastAsia"/>
          <w:color w:val="auto"/>
          <w:szCs w:val="21"/>
          <w:highlight w:val="none"/>
        </w:rPr>
        <w:t xml:space="preserve">4.4 </w:t>
      </w:r>
      <w:r>
        <w:rPr>
          <w:rFonts w:hint="eastAsia" w:cs="宋体" w:asciiTheme="minorEastAsia" w:hAnsiTheme="minorEastAsia" w:eastAsiaTheme="minorEastAsia"/>
          <w:color w:val="auto"/>
          <w:szCs w:val="21"/>
          <w:highlight w:val="none"/>
        </w:rPr>
        <w:t>承包人人员</w:t>
      </w:r>
      <w:bookmarkEnd w:id="177"/>
      <w:bookmarkEnd w:id="178"/>
      <w:bookmarkEnd w:id="179"/>
    </w:p>
    <w:p w14:paraId="1B64577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80" w:name="_Ref531952185"/>
      <w:r>
        <w:rPr>
          <w:rFonts w:cs="宋体" w:asciiTheme="minorEastAsia" w:hAnsiTheme="minorEastAsia" w:eastAsiaTheme="minorEastAsia"/>
          <w:color w:val="auto"/>
          <w:szCs w:val="21"/>
          <w:highlight w:val="none"/>
        </w:rPr>
        <w:t xml:space="preserve">4.4.1 </w:t>
      </w:r>
      <w:r>
        <w:rPr>
          <w:rFonts w:hint="eastAsia" w:cs="宋体" w:asciiTheme="minorEastAsia" w:hAnsiTheme="minorEastAsia" w:eastAsiaTheme="minorEastAsia"/>
          <w:color w:val="auto"/>
          <w:szCs w:val="21"/>
          <w:highlight w:val="none"/>
        </w:rPr>
        <w:t>人员安排</w:t>
      </w:r>
      <w:bookmarkEnd w:id="180"/>
    </w:p>
    <w:p w14:paraId="046B59F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承包人人员的资质、数量、配置和管理应能满足工程实施的需要。除专用合同条件另有约定外，承包人应在接到开始工作通知之日起</w:t>
      </w:r>
      <w:r>
        <w:rPr>
          <w:rFonts w:cs="宋体" w:asciiTheme="minorEastAsia" w:hAnsiTheme="minorEastAsia" w:eastAsiaTheme="minorEastAsia"/>
          <w:color w:val="auto"/>
          <w:szCs w:val="21"/>
          <w:highlight w:val="none"/>
        </w:rPr>
        <w:t>14天内，向工程师提交承包人的项目管理机构以及人员安排的报告，其内容应包括管理机构的设置、各主要岗位的关键人员名单及注册执业资格等证明其具备担任关键人员能力的相关文件，以及设计人员和各工种技术负责人的安排状况。</w:t>
      </w:r>
    </w:p>
    <w:p w14:paraId="5E497E0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关键人员</w:t>
      </w:r>
      <w:bookmarkStart w:id="181" w:name="_Hlk16210335"/>
      <w:r>
        <w:rPr>
          <w:rFonts w:hint="eastAsia" w:cs="宋体" w:asciiTheme="minorEastAsia" w:hAnsiTheme="minorEastAsia" w:eastAsiaTheme="minorEastAsia"/>
          <w:color w:val="auto"/>
          <w:szCs w:val="21"/>
          <w:highlight w:val="none"/>
        </w:rPr>
        <w:t>是发包人及承包人一致认为对工程建设起重要作用的承包人主要管理人员或技术人员。关键人员的具体范围由发包人及承包人在附件</w:t>
      </w:r>
      <w:r>
        <w:rPr>
          <w:rFonts w:cs="宋体" w:asciiTheme="minorEastAsia" w:hAnsiTheme="minorEastAsia" w:eastAsiaTheme="minorEastAsia"/>
          <w:color w:val="auto"/>
          <w:szCs w:val="21"/>
          <w:highlight w:val="none"/>
        </w:rPr>
        <w:t>[承包人主要管理人员表]中另行约定。</w:t>
      </w:r>
    </w:p>
    <w:bookmarkEnd w:id="181"/>
    <w:p w14:paraId="315AF1E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82" w:name="_Ref531952211"/>
      <w:bookmarkStart w:id="183" w:name="_Ref4426641"/>
      <w:r>
        <w:rPr>
          <w:rFonts w:cs="宋体" w:asciiTheme="minorEastAsia" w:hAnsiTheme="minorEastAsia" w:eastAsiaTheme="minorEastAsia"/>
          <w:color w:val="auto"/>
          <w:szCs w:val="21"/>
          <w:highlight w:val="none"/>
        </w:rPr>
        <w:t xml:space="preserve">4.4.2 </w:t>
      </w:r>
      <w:r>
        <w:rPr>
          <w:rFonts w:hint="eastAsia" w:cs="宋体" w:asciiTheme="minorEastAsia" w:hAnsiTheme="minorEastAsia" w:eastAsiaTheme="minorEastAsia"/>
          <w:color w:val="auto"/>
          <w:szCs w:val="21"/>
          <w:highlight w:val="none"/>
        </w:rPr>
        <w:t>关键人员更换</w:t>
      </w:r>
      <w:bookmarkEnd w:id="182"/>
      <w:bookmarkEnd w:id="183"/>
    </w:p>
    <w:p w14:paraId="092E1BC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承包人派驻到施工现场的关键人员应相对稳定。承包人更换关键人员时，应提前</w:t>
      </w:r>
      <w:r>
        <w:rPr>
          <w:rFonts w:cs="宋体" w:asciiTheme="minorEastAsia" w:hAnsiTheme="minorEastAsia" w:eastAsiaTheme="minorEastAsia"/>
          <w:color w:val="auto"/>
          <w:szCs w:val="21"/>
          <w:highlight w:val="none"/>
        </w:rPr>
        <w:t>14天将继任关键人员信息及相关证明文件提交给工程师，并由工程师报发包人征求同意。在发包人未予以书面回复期间内，关键人员将继续履行其职务。关键人员突发丧失履行职务能力的，承包人应当及时委派一位具有相应资格能力的人员临时继任该关键人员职位，履行该关键人员职责，临时继任关键人员将履行职责直至发包人同意新的关键人员任命之日止。承包人擅自更换关键人员，应按照专用合同条件约定承担违约责任。</w:t>
      </w:r>
    </w:p>
    <w:p w14:paraId="7D11AF5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师对于承包人关键人员的资格或能力有异议的，承包人应提供资料证明被质疑人员有能力完成其岗位工作或不存在工程师所质疑的情形。工程师指示撤换不能按照合同约定履行职责及义务的主要施工管理人员的，承包人应当撤换。承包人无正当理由拒绝撤换的，应按照专用合同条件的约定承担违约责任。</w:t>
      </w:r>
    </w:p>
    <w:p w14:paraId="49EB570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84" w:name="_Ref531952227"/>
      <w:r>
        <w:rPr>
          <w:rFonts w:cs="宋体" w:asciiTheme="minorEastAsia" w:hAnsiTheme="minorEastAsia" w:eastAsiaTheme="minorEastAsia"/>
          <w:color w:val="auto"/>
          <w:szCs w:val="21"/>
          <w:highlight w:val="none"/>
        </w:rPr>
        <w:t xml:space="preserve">4.4.3 </w:t>
      </w:r>
      <w:r>
        <w:rPr>
          <w:rFonts w:hint="eastAsia" w:cs="宋体" w:asciiTheme="minorEastAsia" w:hAnsiTheme="minorEastAsia" w:eastAsiaTheme="minorEastAsia"/>
          <w:color w:val="auto"/>
          <w:szCs w:val="21"/>
          <w:highlight w:val="none"/>
        </w:rPr>
        <w:t>现场管理关键人员在岗要求</w:t>
      </w:r>
      <w:bookmarkEnd w:id="184"/>
    </w:p>
    <w:p w14:paraId="523BF84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除专用合同条件另有约定外，承包人的现场管理关键人员离开施工现场每月累计不超过</w:t>
      </w:r>
      <w:r>
        <w:rPr>
          <w:rFonts w:cs="宋体" w:asciiTheme="minorEastAsia" w:hAnsiTheme="minorEastAsia" w:eastAsiaTheme="minorEastAsia"/>
          <w:color w:val="auto"/>
          <w:szCs w:val="21"/>
          <w:highlight w:val="none"/>
        </w:rPr>
        <w:t>7天的，应报工程师同意；离开施工现场每月累计超过7天的，应书面通知发包人并抄送工程师，征得发包人书面同意。现场管理关键人员因故离开施工现场的，可授权有经验的人员临时代行其职责，但承包人应将被授权人员信息及授权范围书面通知发包人并取得其同意。现场管理关键人员未经工程师或发包人同意擅自离开施工现场的，应按照专用合同条件约定承担违约责任。</w:t>
      </w:r>
    </w:p>
    <w:p w14:paraId="306D2799">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85" w:name="_Toc54862216"/>
      <w:bookmarkStart w:id="186" w:name="_Ref531952262"/>
      <w:bookmarkStart w:id="187" w:name="_Ref531952259"/>
      <w:r>
        <w:rPr>
          <w:rFonts w:cs="宋体" w:asciiTheme="minorEastAsia" w:hAnsiTheme="minorEastAsia" w:eastAsiaTheme="minorEastAsia"/>
          <w:color w:val="auto"/>
          <w:szCs w:val="21"/>
          <w:highlight w:val="none"/>
        </w:rPr>
        <w:t xml:space="preserve">4.5 </w:t>
      </w:r>
      <w:r>
        <w:rPr>
          <w:rFonts w:hint="eastAsia" w:cs="宋体" w:asciiTheme="minorEastAsia" w:hAnsiTheme="minorEastAsia" w:eastAsiaTheme="minorEastAsia"/>
          <w:color w:val="auto"/>
          <w:szCs w:val="21"/>
          <w:highlight w:val="none"/>
        </w:rPr>
        <w:t>分包</w:t>
      </w:r>
      <w:bookmarkEnd w:id="185"/>
      <w:bookmarkEnd w:id="186"/>
      <w:bookmarkEnd w:id="187"/>
    </w:p>
    <w:p w14:paraId="63842A6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88" w:name="_Ref531952273"/>
      <w:r>
        <w:rPr>
          <w:rFonts w:cs="宋体" w:asciiTheme="minorEastAsia" w:hAnsiTheme="minorEastAsia" w:eastAsiaTheme="minorEastAsia"/>
          <w:color w:val="auto"/>
          <w:szCs w:val="21"/>
          <w:highlight w:val="none"/>
        </w:rPr>
        <w:t xml:space="preserve">4.5.1 </w:t>
      </w:r>
      <w:r>
        <w:rPr>
          <w:rFonts w:hint="eastAsia" w:cs="宋体" w:asciiTheme="minorEastAsia" w:hAnsiTheme="minorEastAsia" w:eastAsiaTheme="minorEastAsia"/>
          <w:color w:val="auto"/>
          <w:szCs w:val="21"/>
          <w:highlight w:val="none"/>
        </w:rPr>
        <w:t>一般约定</w:t>
      </w:r>
      <w:bookmarkEnd w:id="188"/>
    </w:p>
    <w:p w14:paraId="0F381F6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不得将其承包的全部工程转包给第三人，或将其承包的全部工程支解后以分包的名义转包给第三人。承包人不得将法律或专用合同条件中禁止分包的工作事项分包给第三人，不得以劳务分包的名义转包或违法分包工程。</w:t>
      </w:r>
    </w:p>
    <w:p w14:paraId="30F98AB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89" w:name="_Ref531952286"/>
      <w:r>
        <w:rPr>
          <w:rFonts w:cs="宋体" w:asciiTheme="minorEastAsia" w:hAnsiTheme="minorEastAsia" w:eastAsiaTheme="minorEastAsia"/>
          <w:color w:val="auto"/>
          <w:szCs w:val="21"/>
          <w:highlight w:val="none"/>
        </w:rPr>
        <w:t xml:space="preserve">4.5.2 </w:t>
      </w:r>
      <w:r>
        <w:rPr>
          <w:rFonts w:hint="eastAsia" w:cs="宋体" w:asciiTheme="minorEastAsia" w:hAnsiTheme="minorEastAsia" w:eastAsiaTheme="minorEastAsia"/>
          <w:color w:val="auto"/>
          <w:szCs w:val="21"/>
          <w:highlight w:val="none"/>
        </w:rPr>
        <w:t>分包的确定</w:t>
      </w:r>
      <w:bookmarkEnd w:id="189"/>
    </w:p>
    <w:p w14:paraId="045666A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承包人应按照专用合同条件约定对工作事项进行分包，确定分包人。</w:t>
      </w:r>
    </w:p>
    <w:p w14:paraId="1E84000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专用合同条件未列出的分包事项，承包人可在工程实施阶段分批分期就分包事项向发包人提交申请，发包人在接到分包事项申请后的</w:t>
      </w:r>
      <w:r>
        <w:rPr>
          <w:rFonts w:cs="宋体" w:asciiTheme="minorEastAsia" w:hAnsiTheme="minorEastAsia" w:eastAsiaTheme="minorEastAsia"/>
          <w:color w:val="auto"/>
          <w:szCs w:val="21"/>
          <w:highlight w:val="none"/>
        </w:rPr>
        <w:t>14天内，予以批准或提出意见。未经发包人同意，承包人不得将提出的拟分包事项对外分包。发包人未能在14天内批准亦未提出意见的，承包人有权将提出的拟分包事项对外分包，但应在分包人确定后通知发包人。</w:t>
      </w:r>
    </w:p>
    <w:p w14:paraId="7A512E3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4.5.3 </w:t>
      </w:r>
      <w:r>
        <w:rPr>
          <w:rFonts w:hint="eastAsia" w:cs="宋体" w:asciiTheme="minorEastAsia" w:hAnsiTheme="minorEastAsia" w:eastAsiaTheme="minorEastAsia"/>
          <w:color w:val="auto"/>
          <w:szCs w:val="21"/>
          <w:highlight w:val="none"/>
        </w:rPr>
        <w:t>分包人资质</w:t>
      </w:r>
    </w:p>
    <w:p w14:paraId="433FC40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分包人应符合国家法律规定的资质等级，否则不能作为分包人。承包人有义务对分包人的资质进行审查。</w:t>
      </w:r>
    </w:p>
    <w:p w14:paraId="7B44406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4.5.4 </w:t>
      </w:r>
      <w:r>
        <w:rPr>
          <w:rFonts w:hint="eastAsia" w:cs="宋体" w:asciiTheme="minorEastAsia" w:hAnsiTheme="minorEastAsia" w:eastAsiaTheme="minorEastAsia"/>
          <w:color w:val="auto"/>
          <w:szCs w:val="21"/>
          <w:highlight w:val="none"/>
        </w:rPr>
        <w:t>分包管理</w:t>
      </w:r>
    </w:p>
    <w:p w14:paraId="0B82014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当对分包人的工作进行必要的协调与管理，确保分包人严格执行国家有关分包事项的管理规定。承包人应向工程师提交分包人的主要管理人员表，并对分包人的工作人员进行实名制管理，包括但不限于进出场管理、登记造册以及各种证照的办理。</w:t>
      </w:r>
    </w:p>
    <w:p w14:paraId="6926186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90" w:name="_Ref531952298"/>
      <w:r>
        <w:rPr>
          <w:rFonts w:cs="宋体" w:asciiTheme="minorEastAsia" w:hAnsiTheme="minorEastAsia" w:eastAsiaTheme="minorEastAsia"/>
          <w:color w:val="auto"/>
          <w:szCs w:val="21"/>
          <w:highlight w:val="none"/>
        </w:rPr>
        <w:t xml:space="preserve">4.5.5 </w:t>
      </w:r>
      <w:r>
        <w:rPr>
          <w:rFonts w:hint="eastAsia" w:cs="宋体" w:asciiTheme="minorEastAsia" w:hAnsiTheme="minorEastAsia" w:eastAsiaTheme="minorEastAsia"/>
          <w:color w:val="auto"/>
          <w:szCs w:val="21"/>
          <w:highlight w:val="none"/>
        </w:rPr>
        <w:t>分包合同价款支付</w:t>
      </w:r>
      <w:bookmarkEnd w:id="190"/>
    </w:p>
    <w:p w14:paraId="0A7B6DE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1）除本项第（2）目约定的情况或专用合同条件另有约定外，分包合同价款由承包人与分包人结算，未经承包人同意，发包人不得向分包人支付分包合同价款；</w:t>
      </w:r>
    </w:p>
    <w:p w14:paraId="42E8370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91" w:name="_Ref4613798"/>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2）生效法律文书要求发包人向分包人支付分包合同价款的，发包人有权从应付承包人工程款中扣除该部分款项</w:t>
      </w:r>
      <w:bookmarkEnd w:id="191"/>
      <w:r>
        <w:rPr>
          <w:rFonts w:hint="eastAsia" w:cs="宋体" w:asciiTheme="minorEastAsia" w:hAnsiTheme="minorEastAsia" w:eastAsiaTheme="minorEastAsia"/>
          <w:color w:val="auto"/>
          <w:szCs w:val="21"/>
          <w:highlight w:val="none"/>
        </w:rPr>
        <w:t>，将扣款直接支付给分包人，并书面通知承包人。</w:t>
      </w:r>
    </w:p>
    <w:p w14:paraId="34844B4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4.5.6 </w:t>
      </w:r>
      <w:r>
        <w:rPr>
          <w:rFonts w:hint="eastAsia" w:cs="宋体" w:asciiTheme="minorEastAsia" w:hAnsiTheme="minorEastAsia" w:eastAsiaTheme="minorEastAsia"/>
          <w:color w:val="auto"/>
          <w:szCs w:val="21"/>
          <w:highlight w:val="none"/>
        </w:rPr>
        <w:t>责任承担</w:t>
      </w:r>
    </w:p>
    <w:p w14:paraId="6688740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承包人对分包人的行为向发包人负责，承包人和分包人就分包工作向发包人承担连带责任。</w:t>
      </w:r>
    </w:p>
    <w:p w14:paraId="7F515619">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92" w:name="_Ref4426916"/>
      <w:bookmarkStart w:id="193" w:name="_Toc54862217"/>
      <w:bookmarkStart w:id="194" w:name="_Ref531952317"/>
      <w:bookmarkStart w:id="195" w:name="_Ref4768805"/>
      <w:bookmarkStart w:id="196" w:name="_Ref531952321"/>
      <w:r>
        <w:rPr>
          <w:rFonts w:cs="宋体" w:asciiTheme="minorEastAsia" w:hAnsiTheme="minorEastAsia" w:eastAsiaTheme="minorEastAsia"/>
          <w:color w:val="auto"/>
          <w:szCs w:val="21"/>
          <w:highlight w:val="none"/>
        </w:rPr>
        <w:t xml:space="preserve">4.6 </w:t>
      </w:r>
      <w:r>
        <w:rPr>
          <w:rFonts w:hint="eastAsia" w:cs="宋体" w:asciiTheme="minorEastAsia" w:hAnsiTheme="minorEastAsia" w:eastAsiaTheme="minorEastAsia"/>
          <w:color w:val="auto"/>
          <w:szCs w:val="21"/>
          <w:highlight w:val="none"/>
        </w:rPr>
        <w:t>联合体</w:t>
      </w:r>
      <w:bookmarkEnd w:id="192"/>
      <w:bookmarkEnd w:id="193"/>
    </w:p>
    <w:p w14:paraId="6FBB37F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197" w:name="_Hlk16235129"/>
      <w:r>
        <w:rPr>
          <w:rFonts w:cs="宋体" w:asciiTheme="minorEastAsia" w:hAnsiTheme="minorEastAsia" w:eastAsiaTheme="minorEastAsia"/>
          <w:color w:val="auto"/>
          <w:szCs w:val="21"/>
          <w:highlight w:val="none"/>
        </w:rPr>
        <w:t xml:space="preserve">4.6.1 </w:t>
      </w:r>
      <w:r>
        <w:rPr>
          <w:rFonts w:hint="eastAsia" w:cs="宋体" w:asciiTheme="minorEastAsia" w:hAnsiTheme="minorEastAsia" w:eastAsiaTheme="minorEastAsia"/>
          <w:color w:val="auto"/>
          <w:szCs w:val="21"/>
          <w:highlight w:val="none"/>
        </w:rPr>
        <w:t>经发包人同意，</w:t>
      </w:r>
      <w:bookmarkEnd w:id="197"/>
      <w:r>
        <w:rPr>
          <w:rFonts w:hint="eastAsia" w:cs="宋体" w:asciiTheme="minorEastAsia" w:hAnsiTheme="minorEastAsia" w:eastAsiaTheme="minorEastAsia"/>
          <w:color w:val="auto"/>
          <w:szCs w:val="21"/>
          <w:highlight w:val="none"/>
        </w:rPr>
        <w:t>以联合体方式承包工程的，联合体各方应共同与发包人订立合同协议书。联合体各方应为履行合同向发包人承担连带责任。</w:t>
      </w:r>
    </w:p>
    <w:p w14:paraId="641B7DC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4.6.2 </w:t>
      </w:r>
      <w:r>
        <w:rPr>
          <w:rFonts w:hint="eastAsia" w:cs="宋体" w:asciiTheme="minorEastAsia" w:hAnsiTheme="minorEastAsia" w:eastAsiaTheme="minorEastAsia"/>
          <w:color w:val="auto"/>
          <w:szCs w:val="21"/>
          <w:highlight w:val="none"/>
        </w:rPr>
        <w:t>承包人应在专用合同条件中明确联合体各成员的分工、费用收取、发票开具等事项。联合体各成员分工承担的工作内容必须与适用法律规定的该成员的资质资格相适应，并应具有相应的项目管理体系和项目管理能力，且不应根据其就承包工作的分工而减免对发包人的任何合同责任。</w:t>
      </w:r>
    </w:p>
    <w:p w14:paraId="37AC986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4.6.3 </w:t>
      </w:r>
      <w:r>
        <w:rPr>
          <w:rFonts w:hint="eastAsia" w:cs="宋体" w:asciiTheme="minorEastAsia" w:hAnsiTheme="minorEastAsia" w:eastAsiaTheme="minorEastAsia"/>
          <w:color w:val="auto"/>
          <w:szCs w:val="21"/>
          <w:highlight w:val="none"/>
        </w:rPr>
        <w:t>联合体协议经发包人确认后作为合同附件。在履行合同过程中，未经发包人同意，不得变更联合体成员和其负责的工作范围，或者修改联合体协议中与本合同履行相关的内容。</w:t>
      </w:r>
    </w:p>
    <w:p w14:paraId="4FA3FF35">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198" w:name="_Ref11926629"/>
      <w:bookmarkStart w:id="199" w:name="_Ref11926631"/>
      <w:bookmarkStart w:id="200" w:name="_Toc54862218"/>
      <w:r>
        <w:rPr>
          <w:rFonts w:cs="宋体" w:asciiTheme="minorEastAsia" w:hAnsiTheme="minorEastAsia" w:eastAsiaTheme="minorEastAsia"/>
          <w:color w:val="auto"/>
          <w:szCs w:val="21"/>
          <w:highlight w:val="none"/>
        </w:rPr>
        <w:t xml:space="preserve">4.7 </w:t>
      </w:r>
      <w:r>
        <w:rPr>
          <w:rFonts w:hint="eastAsia" w:cs="宋体" w:asciiTheme="minorEastAsia" w:hAnsiTheme="minorEastAsia" w:eastAsiaTheme="minorEastAsia"/>
          <w:color w:val="auto"/>
          <w:szCs w:val="21"/>
          <w:highlight w:val="none"/>
        </w:rPr>
        <w:t>承包人现场查勘</w:t>
      </w:r>
      <w:bookmarkEnd w:id="198"/>
      <w:bookmarkEnd w:id="199"/>
      <w:bookmarkEnd w:id="200"/>
    </w:p>
    <w:p w14:paraId="1D7218E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4.7.1 </w:t>
      </w:r>
      <w:r>
        <w:rPr>
          <w:rFonts w:hint="eastAsia" w:cs="宋体" w:asciiTheme="minorEastAsia" w:hAnsiTheme="minorEastAsia" w:eastAsiaTheme="minorEastAsia"/>
          <w:color w:val="auto"/>
          <w:szCs w:val="21"/>
          <w:highlight w:val="none"/>
        </w:rPr>
        <w:t>除专用合同条件另有约定外，承包人应对基于发包人提交的基础资料所做出的解释和推断负责，因基础资料存在错误、遗漏导致承包人解释或推断失实的，按照第</w:t>
      </w:r>
      <w:r>
        <w:rPr>
          <w:rFonts w:cs="宋体" w:asciiTheme="minorEastAsia" w:hAnsiTheme="minorEastAsia" w:eastAsiaTheme="minorEastAsia"/>
          <w:color w:val="auto"/>
          <w:szCs w:val="21"/>
          <w:highlight w:val="none"/>
        </w:rPr>
        <w:t>2.3项[提供基础资料]的规定承担责任。承包人发现基础资料中存在明显错误或疏忽的，应及时书面通知发包人。</w:t>
      </w:r>
    </w:p>
    <w:p w14:paraId="351652D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4.7.2 </w:t>
      </w:r>
      <w:r>
        <w:rPr>
          <w:rFonts w:hint="eastAsia" w:cs="宋体" w:asciiTheme="minorEastAsia" w:hAnsiTheme="minorEastAsia" w:eastAsiaTheme="minorEastAsia"/>
          <w:color w:val="auto"/>
          <w:szCs w:val="21"/>
          <w:highlight w:val="none"/>
        </w:rPr>
        <w:t>承包人应对现场和工程实施条件进行查勘，并充分了解工程所在地的气象条件、交通条件、风俗习惯以及其他与完成合同工作有关的其他资料。承包人提交投标文件，视为承包人已对施工现场及周围环境进行了踏勘，并已充分了解评估施工现场及周围环境对工程可能产生的影响，自愿承担相应风险与责任。在全部合同工作中，视为承包人已充分估计了应承担的责任和风险，但属于</w:t>
      </w:r>
      <w:r>
        <w:rPr>
          <w:rFonts w:cs="宋体" w:asciiTheme="minorEastAsia" w:hAnsiTheme="minorEastAsia" w:eastAsiaTheme="minorEastAsia"/>
          <w:color w:val="auto"/>
          <w:szCs w:val="21"/>
          <w:highlight w:val="none"/>
        </w:rPr>
        <w:t>4.8款[不可预见的困难]约定的情形除外。</w:t>
      </w:r>
    </w:p>
    <w:p w14:paraId="2CC60B16">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01" w:name="_Toc54862219"/>
      <w:bookmarkStart w:id="202" w:name="_Ref11918789"/>
      <w:bookmarkStart w:id="203" w:name="_Ref11918626"/>
      <w:bookmarkStart w:id="204" w:name="_Ref11918693"/>
      <w:bookmarkStart w:id="205" w:name="不可预见的困难"/>
      <w:r>
        <w:rPr>
          <w:rFonts w:cs="宋体" w:asciiTheme="minorEastAsia" w:hAnsiTheme="minorEastAsia" w:eastAsiaTheme="minorEastAsia"/>
          <w:color w:val="auto"/>
          <w:szCs w:val="21"/>
          <w:highlight w:val="none"/>
        </w:rPr>
        <w:t xml:space="preserve">4.8 </w:t>
      </w:r>
      <w:r>
        <w:rPr>
          <w:rFonts w:hint="eastAsia" w:cs="宋体" w:asciiTheme="minorEastAsia" w:hAnsiTheme="minorEastAsia" w:eastAsiaTheme="minorEastAsia"/>
          <w:color w:val="auto"/>
          <w:szCs w:val="21"/>
          <w:highlight w:val="none"/>
        </w:rPr>
        <w:t>不可预见的困难</w:t>
      </w:r>
      <w:bookmarkEnd w:id="194"/>
      <w:bookmarkEnd w:id="195"/>
      <w:bookmarkEnd w:id="196"/>
      <w:bookmarkEnd w:id="201"/>
      <w:bookmarkEnd w:id="202"/>
      <w:bookmarkEnd w:id="203"/>
      <w:bookmarkEnd w:id="204"/>
      <w:bookmarkEnd w:id="205"/>
    </w:p>
    <w:p w14:paraId="4548EA1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不可预见的困难是指有经验的承包人在施工现场遇到的不可预见的自然物质条件、非自然的物质障碍和污染物，包括地表以下物质条件和水文条件以及专用合同条件约定的其他情形，但不包括气候条件。</w:t>
      </w:r>
    </w:p>
    <w:p w14:paraId="463F63D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遇到不可预见的困难时，应采取克服不可预见的困难的合理措施继续施工，并及时通知工程师并抄送发包人。通知应载明不可预见的困难的内容、承包人认为不可预见的理由以及承包人制定的处理方案。工程师应当及时发出指示，指示构成变更的，按第</w:t>
      </w:r>
      <w:r>
        <w:rPr>
          <w:rFonts w:cs="宋体" w:asciiTheme="minorEastAsia" w:hAnsiTheme="minorEastAsia" w:eastAsiaTheme="minorEastAsia"/>
          <w:color w:val="auto"/>
          <w:szCs w:val="21"/>
          <w:highlight w:val="none"/>
        </w:rPr>
        <w:t>13条[变更与调整]约定执行。承包人因采取合理措施而增加的费用和（或）延误的工期由发包人承担。</w:t>
      </w:r>
    </w:p>
    <w:p w14:paraId="316E0521">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06" w:name="_Toc54862220"/>
      <w:bookmarkStart w:id="207" w:name="_Ref11926570"/>
      <w:bookmarkStart w:id="208" w:name="_Ref11926566"/>
      <w:r>
        <w:rPr>
          <w:rFonts w:cs="宋体" w:asciiTheme="minorEastAsia" w:hAnsiTheme="minorEastAsia" w:eastAsiaTheme="minorEastAsia"/>
          <w:color w:val="auto"/>
          <w:szCs w:val="21"/>
          <w:highlight w:val="none"/>
        </w:rPr>
        <w:t xml:space="preserve">4.9 </w:t>
      </w:r>
      <w:r>
        <w:rPr>
          <w:rFonts w:hint="eastAsia" w:cs="宋体" w:asciiTheme="minorEastAsia" w:hAnsiTheme="minorEastAsia" w:eastAsiaTheme="minorEastAsia"/>
          <w:color w:val="auto"/>
          <w:szCs w:val="21"/>
          <w:highlight w:val="none"/>
        </w:rPr>
        <w:t>工程质量管理</w:t>
      </w:r>
      <w:bookmarkEnd w:id="206"/>
      <w:bookmarkEnd w:id="207"/>
      <w:bookmarkEnd w:id="208"/>
    </w:p>
    <w:p w14:paraId="6DCC207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4.9.1 </w:t>
      </w:r>
      <w:r>
        <w:rPr>
          <w:rFonts w:hint="eastAsia" w:cs="宋体" w:asciiTheme="minorEastAsia" w:hAnsiTheme="minorEastAsia" w:eastAsiaTheme="minorEastAsia"/>
          <w:color w:val="auto"/>
          <w:szCs w:val="21"/>
          <w:highlight w:val="none"/>
        </w:rPr>
        <w:t>承包人应按合同约定的质量标准规范，建立有效的质量管理系统，确保设计、采购、加工制造、施工、竣工试验等各项工作的质量，并按照国家有关规定，通过质量保修责任书的形式约定保修范围、缺陷责任期限和保修责任。</w:t>
      </w:r>
    </w:p>
    <w:p w14:paraId="364BF5B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4.9.2 </w:t>
      </w:r>
      <w:r>
        <w:rPr>
          <w:rFonts w:hint="eastAsia" w:cs="宋体" w:asciiTheme="minorEastAsia" w:hAnsiTheme="minorEastAsia" w:eastAsiaTheme="minorEastAsia"/>
          <w:color w:val="auto"/>
          <w:szCs w:val="21"/>
          <w:highlight w:val="none"/>
        </w:rPr>
        <w:t>承包人按照第</w:t>
      </w:r>
      <w:r>
        <w:rPr>
          <w:rFonts w:cs="宋体" w:asciiTheme="minorEastAsia" w:hAnsiTheme="minorEastAsia" w:eastAsiaTheme="minorEastAsia"/>
          <w:color w:val="auto"/>
          <w:szCs w:val="21"/>
          <w:highlight w:val="none"/>
        </w:rPr>
        <w:t>8.4款[项目进度计划]约定向工程师提交工程质量保证体系及措施文件，建立完善的质量检查制度，并提交相应的工程质量文件。对于发包人和工程师违反法律规定和合同约定的错误指示，承包人有权拒绝实施。</w:t>
      </w:r>
    </w:p>
    <w:p w14:paraId="7D60C15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4.9.3 </w:t>
      </w:r>
      <w:r>
        <w:rPr>
          <w:rFonts w:hint="eastAsia" w:cs="宋体" w:asciiTheme="minorEastAsia" w:hAnsiTheme="minorEastAsia" w:eastAsiaTheme="minorEastAsia"/>
          <w:color w:val="auto"/>
          <w:szCs w:val="21"/>
          <w:highlight w:val="none"/>
        </w:rPr>
        <w:t>承包人应对其人员进行质量教育和技术培训，定期考核人员的劳动技能，严格执行相关规范和操作规程。</w:t>
      </w:r>
    </w:p>
    <w:p w14:paraId="0B1D76E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4.9.4 </w:t>
      </w:r>
      <w:r>
        <w:rPr>
          <w:rFonts w:hint="eastAsia" w:cs="宋体" w:asciiTheme="minorEastAsia" w:hAnsiTheme="minorEastAsia" w:eastAsiaTheme="minorEastAsia"/>
          <w:color w:val="auto"/>
          <w:szCs w:val="21"/>
          <w:highlight w:val="none"/>
        </w:rPr>
        <w:t>承包人应按照法律规定和合同约定，对设计、材料、工程设备以及全部工程内容及其施工工艺进行全过程的质量检查和检验，并作详细记录，编制工程质量报表，报送工程师审查。此外，承包人还应按照法律规定和合同约定，进行施工现场取样试验、工程复核测量和设备性能检测，提供试验样品、提交试验报告和测量成果以及其他工作。</w:t>
      </w:r>
    </w:p>
    <w:p w14:paraId="42D59E90">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209" w:name="_Toc54862221"/>
      <w:bookmarkStart w:id="210" w:name="_Ref531952837"/>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5条 </w:t>
      </w:r>
      <w:r>
        <w:rPr>
          <w:rFonts w:hint="eastAsia" w:cs="宋体" w:asciiTheme="minorEastAsia" w:hAnsiTheme="minorEastAsia" w:eastAsiaTheme="minorEastAsia"/>
          <w:b/>
          <w:color w:val="auto"/>
          <w:szCs w:val="21"/>
          <w:highlight w:val="none"/>
        </w:rPr>
        <w:t>设计</w:t>
      </w:r>
      <w:bookmarkEnd w:id="209"/>
      <w:bookmarkEnd w:id="210"/>
    </w:p>
    <w:p w14:paraId="10C160B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5.1承包人义务</w:t>
      </w:r>
    </w:p>
    <w:p w14:paraId="01C6952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11" w:name="_Ref531953761"/>
      <w:bookmarkStart w:id="212" w:name="_Ref531953765"/>
      <w:bookmarkStart w:id="213" w:name="_Toc54862228"/>
      <w:r>
        <w:rPr>
          <w:rFonts w:cs="宋体" w:asciiTheme="minorEastAsia" w:hAnsiTheme="minorEastAsia" w:eastAsiaTheme="minorEastAsia"/>
          <w:color w:val="auto"/>
          <w:szCs w:val="21"/>
          <w:highlight w:val="none"/>
        </w:rPr>
        <w:t>5.1.1承包人应根据项目投资估算限额、设计任务书要求及国家法律法规规定进行限额设计。</w:t>
      </w:r>
    </w:p>
    <w:p w14:paraId="15C3A0B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图纸设计完成后，承包人应协助配合发包人及时办理施工图审批相关的所有手续。施工图审批完成后，承包人应及时编制施工图预算，并报发包人进行审核。审核后的施工图预算，将作为本项目建安工程费用进度款支付依据。</w:t>
      </w:r>
    </w:p>
    <w:p w14:paraId="2A70711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承包人应保证设计概算小于投资估算（其中设计概算中的设计费</w:t>
      </w:r>
      <w:r>
        <w:rPr>
          <w:rFonts w:cs="宋体" w:asciiTheme="minorEastAsia" w:hAnsiTheme="minorEastAsia" w:eastAsiaTheme="minorEastAsia"/>
          <w:color w:val="auto"/>
          <w:szCs w:val="21"/>
          <w:highlight w:val="none"/>
        </w:rPr>
        <w:t>+建安工程费小于合同暂定总价）。施工图预算小于设计概算中的建安工程费。施工图预算如超过经审批的设计概算中的建安工程费，承包人应在满足设计任务书要求的前提下自行优化施工图，直至施工图预算造价符合要求为止。</w:t>
      </w:r>
    </w:p>
    <w:p w14:paraId="43FE0A9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承包人应按工程进度及施工现场需求提供符合要求的施工图纸。</w:t>
      </w:r>
    </w:p>
    <w:p w14:paraId="064354B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5.2.2承包人应在限定期限内提供符合设计任务书要求的各项设计方案。如承包人不能在限定期限内提供符合要求时，发包人有权另行委托设计单位进行，所产生的设计费用由承包人支付，承包人应按发包人确定的设计要求组织施工图设计及施工。</w:t>
      </w:r>
    </w:p>
    <w:p w14:paraId="46C4CD8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5.1.3承包人向发包人提供施工图纸纸质版（16</w:t>
      </w:r>
      <w:r>
        <w:rPr>
          <w:rFonts w:hint="eastAsia" w:cs="宋体" w:asciiTheme="minorEastAsia" w:hAnsiTheme="minorEastAsia" w:eastAsiaTheme="minorEastAsia"/>
          <w:color w:val="auto"/>
          <w:szCs w:val="21"/>
          <w:highlight w:val="none"/>
        </w:rPr>
        <w:t>份），同时提供上述资料的原格式电子版文件。</w:t>
      </w:r>
    </w:p>
    <w:p w14:paraId="1DC6902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5.1.4承包人必须无偿提供本项目各个设计阶段的电子版图纸等成果文件。</w:t>
      </w:r>
    </w:p>
    <w:p w14:paraId="5FE0AE2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5.1.5 </w:t>
      </w:r>
      <w:r>
        <w:rPr>
          <w:rFonts w:hint="eastAsia" w:cs="宋体" w:asciiTheme="minorEastAsia" w:hAnsiTheme="minorEastAsia" w:eastAsiaTheme="minorEastAsia"/>
          <w:color w:val="auto"/>
          <w:szCs w:val="21"/>
          <w:highlight w:val="none"/>
        </w:rPr>
        <w:t>设计文件的份数和提交时间</w:t>
      </w:r>
    </w:p>
    <w:p w14:paraId="1AFF3A4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初步设计阶段设计文件的份数和提交时间：以发包人要求为准。</w:t>
      </w:r>
    </w:p>
    <w:p w14:paraId="13C7842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施工图设计阶段设计文件的份数和提交时间：承包人将经审查合格后的施工图设计图纸报发包人，经发包人确认后作为施工依据，提供图纸的份数以发包人要求为准，图纸费用包含在设计费中。</w:t>
      </w:r>
    </w:p>
    <w:p w14:paraId="04508F8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承包人除向发包人提交纸板设计资料及文件外，还应提交所有资料最终版电子文件</w:t>
      </w:r>
      <w:r>
        <w:rPr>
          <w:rFonts w:cs="宋体" w:asciiTheme="minorEastAsia" w:hAnsiTheme="minorEastAsia" w:eastAsiaTheme="minorEastAsia"/>
          <w:color w:val="auto"/>
          <w:szCs w:val="21"/>
          <w:highlight w:val="none"/>
        </w:rPr>
        <w:t>2份（除效果图外，图纸格式为dwg及PDF格式）。</w:t>
      </w:r>
    </w:p>
    <w:p w14:paraId="2B78A2A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以上所有设计成果应在发包人所在地或指定的其他地点交付。</w:t>
      </w:r>
    </w:p>
    <w:p w14:paraId="53B809C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5.2 </w:t>
      </w:r>
      <w:r>
        <w:rPr>
          <w:rFonts w:hint="eastAsia" w:cs="宋体" w:asciiTheme="minorEastAsia" w:hAnsiTheme="minorEastAsia" w:eastAsiaTheme="minorEastAsia"/>
          <w:color w:val="auto"/>
          <w:szCs w:val="21"/>
          <w:highlight w:val="none"/>
        </w:rPr>
        <w:t>承包人文件审查</w:t>
      </w:r>
    </w:p>
    <w:p w14:paraId="2FA31D2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5.2.1   </w:t>
      </w:r>
      <w:r>
        <w:rPr>
          <w:rFonts w:hint="eastAsia" w:cs="宋体" w:asciiTheme="minorEastAsia" w:hAnsiTheme="minorEastAsia" w:eastAsiaTheme="minorEastAsia"/>
          <w:color w:val="auto"/>
          <w:szCs w:val="21"/>
          <w:highlight w:val="none"/>
        </w:rPr>
        <w:t>设计审查阶段及审查会议时间</w:t>
      </w:r>
    </w:p>
    <w:p w14:paraId="0943724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本工程的设计阶段（名称）：初步设计（含概算编制）、施工图设计。</w:t>
      </w:r>
    </w:p>
    <w:p w14:paraId="69627FC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5.2.2</w:t>
      </w:r>
    </w:p>
    <w:p w14:paraId="3A71FA6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1）承包人应积极配合施工图设计审查单位进行审查工作，提供开展审查所需要的资料。</w:t>
      </w:r>
    </w:p>
    <w:p w14:paraId="20A8F3D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2）发包人可委托其聘请的咨询公司或组织由有关专家和技术人员组成审查小组，对承包人完成的各阶段设计文件进行审查，承包人应积极配合。</w:t>
      </w:r>
    </w:p>
    <w:p w14:paraId="46E06EA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3）发包人组织的专家审查意见仅供承包人参考，承包人并不能因专家的审查意见而豁免其应承担的设计责任。</w:t>
      </w:r>
    </w:p>
    <w:p w14:paraId="2E4979B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5.2.3设计文件需要政府部门审批的，由发包人牵头负责报送，承包人协助。承包人应配合发包人将设计文件报送规划、建设、环保、消防、人防等主管部门审查，承包人并按其审查意见修改完善设计，时间由承包人自行计划，政府审批时间已包含在项目合同工期中。</w:t>
      </w:r>
    </w:p>
    <w:p w14:paraId="59B564B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5.3 </w:t>
      </w:r>
      <w:r>
        <w:rPr>
          <w:rFonts w:hint="eastAsia" w:cs="宋体" w:asciiTheme="minorEastAsia" w:hAnsiTheme="minorEastAsia" w:eastAsiaTheme="minorEastAsia"/>
          <w:color w:val="auto"/>
          <w:szCs w:val="21"/>
          <w:highlight w:val="none"/>
        </w:rPr>
        <w:t>培训</w:t>
      </w:r>
    </w:p>
    <w:p w14:paraId="69336BB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培训的时长为</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，承包人应为培训提供的人员、设施和其它必要条件为</w:t>
      </w:r>
      <w:r>
        <w:rPr>
          <w:rFonts w:hint="eastAsia" w:cs="宋体" w:asciiTheme="minorEastAsia" w:hAnsiTheme="minorEastAsia" w:eastAsiaTheme="minorEastAsia"/>
          <w:color w:val="auto"/>
          <w:szCs w:val="21"/>
          <w:highlight w:val="none"/>
          <w:u w:val="single"/>
        </w:rPr>
        <w:t>承包人应对发包人提供的培训人员免费培训，并且达到培训人员完全使用熟悉操作为止。</w:t>
      </w:r>
      <w:r>
        <w:rPr>
          <w:rFonts w:hint="eastAsia" w:cs="宋体" w:asciiTheme="minorEastAsia" w:hAnsiTheme="minorEastAsia" w:eastAsiaTheme="minorEastAsia"/>
          <w:color w:val="auto"/>
          <w:szCs w:val="21"/>
          <w:highlight w:val="none"/>
        </w:rPr>
        <w:t>。</w:t>
      </w:r>
    </w:p>
    <w:p w14:paraId="636CD99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5.4 </w:t>
      </w:r>
      <w:r>
        <w:rPr>
          <w:rFonts w:hint="eastAsia" w:cs="宋体" w:asciiTheme="minorEastAsia" w:hAnsiTheme="minorEastAsia" w:eastAsiaTheme="minorEastAsia"/>
          <w:color w:val="auto"/>
          <w:szCs w:val="21"/>
          <w:highlight w:val="none"/>
        </w:rPr>
        <w:t>竣工文件</w:t>
      </w:r>
    </w:p>
    <w:p w14:paraId="44F3A35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5.4.1 </w:t>
      </w:r>
      <w:r>
        <w:rPr>
          <w:rFonts w:hint="eastAsia" w:cs="宋体" w:asciiTheme="minorEastAsia" w:hAnsiTheme="minorEastAsia" w:eastAsiaTheme="minorEastAsia"/>
          <w:color w:val="auto"/>
          <w:szCs w:val="21"/>
          <w:highlight w:val="none"/>
        </w:rPr>
        <w:t>竣工文件的形式、提供的份数、技术标准以及其它相关要求：</w:t>
      </w:r>
      <w:r>
        <w:rPr>
          <w:rFonts w:hint="eastAsia" w:cs="宋体" w:asciiTheme="minorEastAsia" w:hAnsiTheme="minorEastAsia" w:eastAsiaTheme="minorEastAsia"/>
          <w:color w:val="auto"/>
          <w:szCs w:val="21"/>
          <w:highlight w:val="none"/>
          <w:u w:val="single"/>
        </w:rPr>
        <w:t>承包人向发包人提交</w:t>
      </w:r>
      <w:r>
        <w:rPr>
          <w:rFonts w:cs="宋体" w:asciiTheme="minorEastAsia" w:hAnsiTheme="minorEastAsia" w:eastAsiaTheme="minorEastAsia"/>
          <w:color w:val="auto"/>
          <w:szCs w:val="21"/>
          <w:highlight w:val="none"/>
          <w:u w:val="single"/>
        </w:rPr>
        <w:t>6套竣工资料及竣工报告，格式按国家相关规定实行</w:t>
      </w:r>
      <w:r>
        <w:rPr>
          <w:rFonts w:hint="eastAsia" w:cs="宋体" w:asciiTheme="minorEastAsia" w:hAnsiTheme="minorEastAsia" w:eastAsiaTheme="minorEastAsia"/>
          <w:color w:val="auto"/>
          <w:szCs w:val="21"/>
          <w:highlight w:val="none"/>
        </w:rPr>
        <w:t>。</w:t>
      </w:r>
    </w:p>
    <w:p w14:paraId="72B934A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5.4.3 </w:t>
      </w:r>
      <w:r>
        <w:rPr>
          <w:rFonts w:hint="eastAsia" w:cs="宋体" w:asciiTheme="minorEastAsia" w:hAnsiTheme="minorEastAsia" w:eastAsiaTheme="minorEastAsia"/>
          <w:color w:val="auto"/>
          <w:szCs w:val="21"/>
          <w:highlight w:val="none"/>
        </w:rPr>
        <w:t>关于竣工文件的其他约定：</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51C36E7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5.5 </w:t>
      </w:r>
      <w:r>
        <w:rPr>
          <w:rFonts w:hint="eastAsia" w:cs="宋体" w:asciiTheme="minorEastAsia" w:hAnsiTheme="minorEastAsia" w:eastAsiaTheme="minorEastAsia"/>
          <w:color w:val="auto"/>
          <w:szCs w:val="21"/>
          <w:highlight w:val="none"/>
        </w:rPr>
        <w:t>操作和维修手册</w:t>
      </w:r>
    </w:p>
    <w:p w14:paraId="18F8A58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5.5.3 </w:t>
      </w:r>
      <w:r>
        <w:rPr>
          <w:rFonts w:hint="eastAsia" w:cs="宋体" w:asciiTheme="minorEastAsia" w:hAnsiTheme="minorEastAsia" w:eastAsiaTheme="minorEastAsia"/>
          <w:color w:val="auto"/>
          <w:szCs w:val="21"/>
          <w:highlight w:val="none"/>
        </w:rPr>
        <w:t>对最终操作和维修手册的约定：</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061399F2">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6条 </w:t>
      </w:r>
      <w:r>
        <w:rPr>
          <w:rFonts w:hint="eastAsia" w:cs="宋体" w:asciiTheme="minorEastAsia" w:hAnsiTheme="minorEastAsia" w:eastAsiaTheme="minorEastAsia"/>
          <w:b/>
          <w:color w:val="auto"/>
          <w:szCs w:val="21"/>
          <w:highlight w:val="none"/>
        </w:rPr>
        <w:t>材料、工程设备</w:t>
      </w:r>
      <w:bookmarkEnd w:id="211"/>
      <w:bookmarkEnd w:id="212"/>
      <w:bookmarkEnd w:id="213"/>
    </w:p>
    <w:p w14:paraId="30608996">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14" w:name="_Ref531953832"/>
      <w:bookmarkStart w:id="215" w:name="_Ref531953828"/>
      <w:bookmarkStart w:id="216" w:name="_Toc54862229"/>
      <w:r>
        <w:rPr>
          <w:rFonts w:cs="宋体" w:asciiTheme="minorEastAsia" w:hAnsiTheme="minorEastAsia" w:eastAsiaTheme="minorEastAsia"/>
          <w:color w:val="auto"/>
          <w:szCs w:val="21"/>
          <w:highlight w:val="none"/>
        </w:rPr>
        <w:t xml:space="preserve">6.1 </w:t>
      </w:r>
      <w:r>
        <w:rPr>
          <w:rFonts w:hint="eastAsia" w:cs="宋体" w:asciiTheme="minorEastAsia" w:hAnsiTheme="minorEastAsia" w:eastAsiaTheme="minorEastAsia"/>
          <w:color w:val="auto"/>
          <w:szCs w:val="21"/>
          <w:highlight w:val="none"/>
        </w:rPr>
        <w:t>实施方法</w:t>
      </w:r>
      <w:bookmarkEnd w:id="214"/>
      <w:bookmarkEnd w:id="215"/>
      <w:bookmarkEnd w:id="216"/>
    </w:p>
    <w:p w14:paraId="0511AB2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承包人应按以下方法进行材料的加工、工程设备的采购、制造和安装、以及工程的所有其他实施作业：</w:t>
      </w:r>
    </w:p>
    <w:p w14:paraId="42B15C4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17" w:name="_Ref531953847"/>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1）按照法律规定和合同约定的方法；</w:t>
      </w:r>
      <w:bookmarkEnd w:id="217"/>
    </w:p>
    <w:p w14:paraId="0F77714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2）按照公认的良好行业习惯，使用恰当、审慎、先进的方法；</w:t>
      </w:r>
    </w:p>
    <w:p w14:paraId="25BE975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3）除专用合同条件另有规定外，应使用适当配备的实施方法、设备、设施和无危险的材料。</w:t>
      </w:r>
    </w:p>
    <w:p w14:paraId="6ED30364">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18" w:name="_Ref11926422"/>
      <w:bookmarkStart w:id="219" w:name="_Toc54862230"/>
      <w:bookmarkStart w:id="220" w:name="_Ref4427594"/>
      <w:r>
        <w:rPr>
          <w:rFonts w:cs="宋体" w:asciiTheme="minorEastAsia" w:hAnsiTheme="minorEastAsia" w:eastAsiaTheme="minorEastAsia"/>
          <w:color w:val="auto"/>
          <w:szCs w:val="21"/>
          <w:highlight w:val="none"/>
        </w:rPr>
        <w:t xml:space="preserve">6.2 </w:t>
      </w:r>
      <w:r>
        <w:rPr>
          <w:rFonts w:hint="eastAsia" w:cs="宋体" w:asciiTheme="minorEastAsia" w:hAnsiTheme="minorEastAsia" w:eastAsiaTheme="minorEastAsia"/>
          <w:color w:val="auto"/>
          <w:szCs w:val="21"/>
          <w:highlight w:val="none"/>
        </w:rPr>
        <w:t>材料和工程设备</w:t>
      </w:r>
      <w:bookmarkEnd w:id="218"/>
      <w:bookmarkEnd w:id="219"/>
    </w:p>
    <w:p w14:paraId="735EEBF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21" w:name="_Ref11960295"/>
      <w:r>
        <w:rPr>
          <w:rFonts w:cs="宋体" w:asciiTheme="minorEastAsia" w:hAnsiTheme="minorEastAsia" w:eastAsiaTheme="minorEastAsia"/>
          <w:color w:val="auto"/>
          <w:szCs w:val="21"/>
          <w:highlight w:val="none"/>
        </w:rPr>
        <w:t xml:space="preserve">6.2.1 </w:t>
      </w:r>
      <w:r>
        <w:rPr>
          <w:rFonts w:hint="eastAsia" w:cs="宋体" w:asciiTheme="minorEastAsia" w:hAnsiTheme="minorEastAsia" w:eastAsiaTheme="minorEastAsia"/>
          <w:color w:val="auto"/>
          <w:szCs w:val="21"/>
          <w:highlight w:val="none"/>
        </w:rPr>
        <w:t>发包人提供的材料和工程设备</w:t>
      </w:r>
      <w:bookmarkEnd w:id="220"/>
      <w:bookmarkEnd w:id="221"/>
    </w:p>
    <w:p w14:paraId="5C3ED5E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发包人自行供应材料、工程设备的，应在订立合同时在专用合同条件的附件《发包人供应材料设备一览表》中明确材料、工程设备的品种、规格、型号、主要参数、数量、单价、质量等级和交接地点等。</w:t>
      </w:r>
    </w:p>
    <w:p w14:paraId="4C5CF19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承包人应根据项目进度计划的安排，提前</w:t>
      </w:r>
      <w:r>
        <w:rPr>
          <w:rFonts w:cs="宋体" w:asciiTheme="minorEastAsia" w:hAnsiTheme="minorEastAsia" w:eastAsiaTheme="minorEastAsia"/>
          <w:color w:val="auto"/>
          <w:szCs w:val="21"/>
          <w:highlight w:val="none"/>
        </w:rPr>
        <w:t>28天以书面形式通知工程师供应材料与工程设备的进场计划。承包人按照第8.4款[项目进度计划]约定修订项目进度计划时，需同时提交经修订后的发包人供应材料与工程设备的进场计划。发包人应按照上述进场计划，向承包人提交材料和工程设备。</w:t>
      </w:r>
    </w:p>
    <w:p w14:paraId="5807821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发包人应在材料和工程设备到货</w:t>
      </w:r>
      <w:r>
        <w:rPr>
          <w:rFonts w:cs="宋体" w:asciiTheme="minorEastAsia" w:hAnsiTheme="minorEastAsia" w:eastAsiaTheme="minorEastAsia"/>
          <w:color w:val="auto"/>
          <w:szCs w:val="21"/>
          <w:highlight w:val="none"/>
        </w:rPr>
        <w:t>7天前通知承包人，承包人应会同工程师在约定的时间内，赴交货地点共同进行验收。除专用合同条件另有约定外，发包人提供的材料和工程设备验收后，由承包人负责接收、运输和保管。</w:t>
      </w:r>
    </w:p>
    <w:p w14:paraId="3756477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发包人需要对进场计划进行变更的，承包人不得拒绝，应根据第</w:t>
      </w:r>
      <w:r>
        <w:rPr>
          <w:rFonts w:cs="宋体" w:asciiTheme="minorEastAsia" w:hAnsiTheme="minorEastAsia" w:eastAsiaTheme="minorEastAsia"/>
          <w:color w:val="auto"/>
          <w:szCs w:val="21"/>
          <w:highlight w:val="none"/>
        </w:rPr>
        <w:t>13条[变更与调整]的规定执行，并由发包人承担承包人由此增加的费用，以及引起的工期延误。承包人需要对进场计划进行变更的，应事先报请工程师批准，由此增加的费用和（或）工期延误由承包人承担。</w:t>
      </w:r>
    </w:p>
    <w:p w14:paraId="628F6C6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发包人提供的材料和工程设备的规格、数量或质量不符合合同要求，或由于发包人原因发生交货日期延误及交货地点变更等情况的，发包人应承担由此增加的费用和（或）工期延误，并向承包人支付合理利润。</w:t>
      </w:r>
    </w:p>
    <w:p w14:paraId="207B7A8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22" w:name="_Ref531953918"/>
      <w:r>
        <w:rPr>
          <w:rFonts w:cs="宋体" w:asciiTheme="minorEastAsia" w:hAnsiTheme="minorEastAsia" w:eastAsiaTheme="minorEastAsia"/>
          <w:color w:val="auto"/>
          <w:szCs w:val="21"/>
          <w:highlight w:val="none"/>
        </w:rPr>
        <w:t xml:space="preserve">6.2.2 </w:t>
      </w:r>
      <w:r>
        <w:rPr>
          <w:rFonts w:hint="eastAsia" w:cs="宋体" w:asciiTheme="minorEastAsia" w:hAnsiTheme="minorEastAsia" w:eastAsiaTheme="minorEastAsia"/>
          <w:color w:val="auto"/>
          <w:szCs w:val="21"/>
          <w:highlight w:val="none"/>
        </w:rPr>
        <w:t>承包人提供的材料和工程设备</w:t>
      </w:r>
      <w:bookmarkEnd w:id="222"/>
    </w:p>
    <w:p w14:paraId="5AF84EE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按照专用合同条件的约定，将各项材料和工程设备的供货人及品种、技术要求、规格、数量和供货时间等报送工程师批准。承包人应向工程师提交其负责提供的材料和工程设备的质量证明文件，并根据合同约定的质量标准，对材料、工程设备质量负责。</w:t>
      </w:r>
    </w:p>
    <w:p w14:paraId="4AE55EF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承包人应按照已被批准的第</w:t>
      </w:r>
      <w:r>
        <w:rPr>
          <w:rFonts w:cs="宋体" w:asciiTheme="minorEastAsia" w:hAnsiTheme="minorEastAsia" w:eastAsiaTheme="minorEastAsia"/>
          <w:color w:val="auto"/>
          <w:szCs w:val="21"/>
          <w:highlight w:val="none"/>
        </w:rPr>
        <w:t>8.4款[项目进度计划]规定的数量要求及时间要求，负责组织材料和工程设备采购（包括备品备件、专用工具及厂商提供的技术文件），负责运抵现场。合同约定由承包人采购的材料、工程设备，除专用合同条件另有约定外，发包人不得指定生产厂家或供应商，发包人违反本款约定指定生产厂家或供应商的，承包人有权拒绝，并由发包人承担相应责任。</w:t>
      </w:r>
    </w:p>
    <w:p w14:paraId="3908D5A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承包人提供的材料和工程设备，承包人应会同工程师进行检验和交货验收，查验材料合格证明和产品合格证书，并按合同约定和工程师指示，进行材料的抽样检验和工程设备的检验测试，检验和测试结果应提交工程师，所需费用由承包人承担。</w:t>
      </w:r>
    </w:p>
    <w:p w14:paraId="787A83F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承包人提供的材料和工程设备不符合国家强制性标准、规范的规定或合同约定的标准、规范，所造成的质量缺陷，由承包人自费修复，竣工日期不予延长。在履行合同过程中，由于国家新颁布的强制性标准、规范，造成承包人负责提供的材料和工程设备，虽符合合同约定的标准，但不符合新颁布的强制性标准时，由承包人负责修复或重新订货，相关费用支出及导致的工期延长由发包人负责。</w:t>
      </w:r>
    </w:p>
    <w:p w14:paraId="39947DA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23" w:name="_Ref531953991"/>
      <w:bookmarkStart w:id="224" w:name="_Ref531953999"/>
      <w:r>
        <w:rPr>
          <w:rFonts w:cs="宋体" w:asciiTheme="minorEastAsia" w:hAnsiTheme="minorEastAsia" w:eastAsiaTheme="minorEastAsia"/>
          <w:color w:val="auto"/>
          <w:szCs w:val="21"/>
          <w:highlight w:val="none"/>
        </w:rPr>
        <w:t xml:space="preserve">6.2.3 </w:t>
      </w:r>
      <w:r>
        <w:rPr>
          <w:rFonts w:hint="eastAsia" w:cs="宋体" w:asciiTheme="minorEastAsia" w:hAnsiTheme="minorEastAsia" w:eastAsiaTheme="minorEastAsia"/>
          <w:color w:val="auto"/>
          <w:szCs w:val="21"/>
          <w:highlight w:val="none"/>
        </w:rPr>
        <w:t>材料和工程设备的保管</w:t>
      </w:r>
      <w:bookmarkEnd w:id="223"/>
      <w:bookmarkEnd w:id="224"/>
    </w:p>
    <w:p w14:paraId="61FE930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1）发包人供应材料与工程设备的保管与使用</w:t>
      </w:r>
    </w:p>
    <w:p w14:paraId="48E4D80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发包人供应的材料和工程设备，承包人清点并接收后由承包人妥善保管，保管费用由承包人承担，但专用合同条件另有约定除外。因承包人原因发生丢失毁损的，由承包人负责赔偿。</w:t>
      </w:r>
    </w:p>
    <w:p w14:paraId="3CC9170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发包人供应的材料和工程设备使用前，由承包人负责必要的检验，检验费用由发包人承担，不合格的不得使用。</w:t>
      </w:r>
    </w:p>
    <w:p w14:paraId="5AE4100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2）承包人采购材料与工程设备的保管与使用</w:t>
      </w:r>
    </w:p>
    <w:p w14:paraId="1258061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采购的材料和工程设备由承包人妥善保管，保管费用由承包人承担。合同约定或法律规定材料和工程设备使用前必须进行检验或试验的，承包人应按工程师的指示进行检验或试验，检验或试验费用由承包人承担，不合格的不得使用。</w:t>
      </w:r>
    </w:p>
    <w:p w14:paraId="0E6DEB8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工程师发现承包人使用不符合设计或有关标准要求的材料和工程设备时，有权要求承包人进行修复、拆除或重新采购，由此增加的费用和（或）延误的工期，由承包人承担。</w:t>
      </w:r>
    </w:p>
    <w:p w14:paraId="229DC7E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6.2.4 </w:t>
      </w:r>
      <w:r>
        <w:rPr>
          <w:rFonts w:hint="eastAsia" w:cs="宋体" w:asciiTheme="minorEastAsia" w:hAnsiTheme="minorEastAsia" w:eastAsiaTheme="minorEastAsia"/>
          <w:color w:val="auto"/>
          <w:szCs w:val="21"/>
          <w:highlight w:val="none"/>
        </w:rPr>
        <w:t>材料和工程设备的所有权</w:t>
      </w:r>
    </w:p>
    <w:p w14:paraId="0923B07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除本合同另有约定外，承包人根据第</w:t>
      </w:r>
      <w:r>
        <w:rPr>
          <w:rFonts w:cs="宋体" w:asciiTheme="minorEastAsia" w:hAnsiTheme="minorEastAsia" w:eastAsiaTheme="minorEastAsia"/>
          <w:color w:val="auto"/>
          <w:szCs w:val="21"/>
          <w:highlight w:val="none"/>
        </w:rPr>
        <w:t>6.2.2项[承包人提供的材料和工程设备]约定提供的材料和工程设备后，材料及工程设备的价款应列入第14.3.1项第（2）目的进度款金额中，发包人支付当期进度款之后，其所有权转为发包人所有（周转性材料除外）；在发包人接收工程前，承包人有义务对材料和工程设备进行保管、维护和保养，未经发包人批准不得运出现场。</w:t>
      </w:r>
    </w:p>
    <w:p w14:paraId="14EE05C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承包人按第</w:t>
      </w:r>
      <w:r>
        <w:rPr>
          <w:rFonts w:cs="宋体" w:asciiTheme="minorEastAsia" w:hAnsiTheme="minorEastAsia" w:eastAsiaTheme="minorEastAsia"/>
          <w:color w:val="auto"/>
          <w:szCs w:val="21"/>
          <w:highlight w:val="none"/>
        </w:rPr>
        <w:t>6.2.2项提供的材料和工程设备，承包人应确保发包人取得无权利负担的材料及工程设备所有权，因承包人与第三人的物权争议导致的增加的费用和（或）延误的工期，由承包人承担。</w:t>
      </w:r>
    </w:p>
    <w:p w14:paraId="682A80DC">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25" w:name="_Toc54862231"/>
      <w:bookmarkStart w:id="226" w:name="_Ref4428239"/>
      <w:bookmarkStart w:id="227" w:name="_Toc351203565"/>
      <w:bookmarkStart w:id="228" w:name="_Toc337558785"/>
      <w:r>
        <w:rPr>
          <w:rFonts w:cs="宋体" w:asciiTheme="minorEastAsia" w:hAnsiTheme="minorEastAsia" w:eastAsiaTheme="minorEastAsia"/>
          <w:color w:val="auto"/>
          <w:szCs w:val="21"/>
          <w:highlight w:val="none"/>
        </w:rPr>
        <w:t xml:space="preserve">6.3 </w:t>
      </w:r>
      <w:r>
        <w:rPr>
          <w:rFonts w:hint="eastAsia" w:cs="宋体" w:asciiTheme="minorEastAsia" w:hAnsiTheme="minorEastAsia" w:eastAsiaTheme="minorEastAsia"/>
          <w:color w:val="auto"/>
          <w:szCs w:val="21"/>
          <w:highlight w:val="none"/>
        </w:rPr>
        <w:t>样品</w:t>
      </w:r>
      <w:bookmarkEnd w:id="225"/>
      <w:bookmarkEnd w:id="226"/>
    </w:p>
    <w:p w14:paraId="525EDCF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6.3.1 </w:t>
      </w:r>
      <w:r>
        <w:rPr>
          <w:rFonts w:hint="eastAsia" w:cs="宋体" w:asciiTheme="minorEastAsia" w:hAnsiTheme="minorEastAsia" w:eastAsiaTheme="minorEastAsia"/>
          <w:color w:val="auto"/>
          <w:szCs w:val="21"/>
          <w:highlight w:val="none"/>
        </w:rPr>
        <w:t>样品的报送与封存</w:t>
      </w:r>
    </w:p>
    <w:p w14:paraId="5D327D5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需要承包人报送样品的材料或工程设备，样品的种类、名称、规格、数量等要求均应在专用合同条件中约定。样品的报送程序如下：</w:t>
      </w:r>
    </w:p>
    <w:p w14:paraId="6C1DA8F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承包人应在计划采购前28天向工程师报送样品。承包人报送的样品均应来自供应材料的实际生产地，且提供的样品的规格、数量足以表明材料或工程设备的质量、型号、颜色、表面处理、质地、误差和其他要求的特征。</w:t>
      </w:r>
    </w:p>
    <w:p w14:paraId="6F11925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每次报送样品时应随附申报单，申报单应载明报送样品的相关数据和资料，并标明每件样品对应的图纸号，预留工程师审批意见栏。工程师应在收到承包人报送的样品后7天向承包人回复经发包人签认的样品审批意见。</w:t>
      </w:r>
    </w:p>
    <w:p w14:paraId="4F8DD75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3）经工程师审批确认的样品应按约定的方法封样，封存的样品作为检验工程相关部分的标准之一。承包人在施工过程中不得使用与样品不符的材料或工程设备。</w:t>
      </w:r>
    </w:p>
    <w:p w14:paraId="6549423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工程师对样品的审批确认仅为确认相关材料或工程设备的特征或用途，不得被理解为对合同的修改或改变，也并不减轻或免除承包人任何的责任和义务。如果封存的样品修改或改变了合同约定，合同当事人应当以书面协议予以确认。</w:t>
      </w:r>
    </w:p>
    <w:p w14:paraId="5158AAD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6.3.2 </w:t>
      </w:r>
      <w:r>
        <w:rPr>
          <w:rFonts w:hint="eastAsia" w:cs="宋体" w:asciiTheme="minorEastAsia" w:hAnsiTheme="minorEastAsia" w:eastAsiaTheme="minorEastAsia"/>
          <w:color w:val="auto"/>
          <w:szCs w:val="21"/>
          <w:highlight w:val="none"/>
        </w:rPr>
        <w:t>样品的保管</w:t>
      </w:r>
    </w:p>
    <w:p w14:paraId="18134CA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经批准的样品应由工程师负责封存于现场，承包人应在现场为保存样品提供适当和固定的场所并保持适当和良好的存储环境条件。</w:t>
      </w:r>
    </w:p>
    <w:p w14:paraId="1FA6206D">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29" w:name="_Ref11959204"/>
      <w:bookmarkStart w:id="230" w:name="_Toc54862232"/>
      <w:bookmarkStart w:id="231" w:name="_Ref11959210"/>
      <w:r>
        <w:rPr>
          <w:rFonts w:cs="宋体" w:asciiTheme="minorEastAsia" w:hAnsiTheme="minorEastAsia" w:eastAsiaTheme="minorEastAsia"/>
          <w:color w:val="auto"/>
          <w:szCs w:val="21"/>
          <w:highlight w:val="none"/>
        </w:rPr>
        <w:t xml:space="preserve">6.4 </w:t>
      </w:r>
      <w:r>
        <w:rPr>
          <w:rFonts w:hint="eastAsia" w:cs="宋体" w:asciiTheme="minorEastAsia" w:hAnsiTheme="minorEastAsia" w:eastAsiaTheme="minorEastAsia"/>
          <w:color w:val="auto"/>
          <w:szCs w:val="21"/>
          <w:highlight w:val="none"/>
        </w:rPr>
        <w:t>质量检查</w:t>
      </w:r>
      <w:bookmarkEnd w:id="229"/>
      <w:bookmarkEnd w:id="230"/>
      <w:bookmarkEnd w:id="231"/>
    </w:p>
    <w:p w14:paraId="361CBEC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32" w:name="_Ref18990699"/>
      <w:r>
        <w:rPr>
          <w:rFonts w:cs="宋体" w:asciiTheme="minorEastAsia" w:hAnsiTheme="minorEastAsia" w:eastAsiaTheme="minorEastAsia"/>
          <w:color w:val="auto"/>
          <w:szCs w:val="21"/>
          <w:highlight w:val="none"/>
        </w:rPr>
        <w:t xml:space="preserve">6.4.1 </w:t>
      </w:r>
      <w:r>
        <w:rPr>
          <w:rFonts w:hint="eastAsia" w:cs="宋体" w:asciiTheme="minorEastAsia" w:hAnsiTheme="minorEastAsia" w:eastAsiaTheme="minorEastAsia"/>
          <w:color w:val="auto"/>
          <w:szCs w:val="21"/>
          <w:highlight w:val="none"/>
        </w:rPr>
        <w:t>工程质量要求</w:t>
      </w:r>
      <w:bookmarkEnd w:id="232"/>
    </w:p>
    <w:p w14:paraId="61D65C5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工程质量标准必须符合现行国家有关工程施工质量验收规范和标准的要求。有关工程质量的特殊标准或要求由合同当事人在专用合同条件中约定。</w:t>
      </w:r>
    </w:p>
    <w:p w14:paraId="47BAF6E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承包人原因造成工程质量未达到合同约定标准的，发包人有权要求承包人返工直至工程质量达到合同约定的标准为止，并由承包人承担由此增加的费用和（或）延误的工期。因发包人原因造成工程质量未达到合同约定标准的，由发包人承担由此增加的费用和（或）延误的工期，并支付承包人合理的利润。</w:t>
      </w:r>
    </w:p>
    <w:p w14:paraId="3931B01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33" w:name="_Ref18990717"/>
      <w:r>
        <w:rPr>
          <w:rFonts w:cs="宋体" w:asciiTheme="minorEastAsia" w:hAnsiTheme="minorEastAsia" w:eastAsiaTheme="minorEastAsia"/>
          <w:color w:val="auto"/>
          <w:szCs w:val="21"/>
          <w:highlight w:val="none"/>
        </w:rPr>
        <w:t xml:space="preserve">6.4.2 </w:t>
      </w:r>
      <w:r>
        <w:rPr>
          <w:rFonts w:hint="eastAsia" w:cs="宋体" w:asciiTheme="minorEastAsia" w:hAnsiTheme="minorEastAsia" w:eastAsiaTheme="minorEastAsia"/>
          <w:color w:val="auto"/>
          <w:szCs w:val="21"/>
          <w:highlight w:val="none"/>
        </w:rPr>
        <w:t>质量检查</w:t>
      </w:r>
      <w:bookmarkEnd w:id="233"/>
    </w:p>
    <w:p w14:paraId="387F09E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有权通过工程师或自行对全部工程内容及其施工工艺、材料和工程设备进行检查和检验。承包人应为工程师或发包人的检查和检验提供方便，包括到施工现场，或制造、加工地点，或专用合同条件约定的其他地方进行察看和查阅施工原始记录。承包人还应按工程师或发包人指示，进行施工现场的取样试验，工程复核测量和设备性能检测，提供试验样品、提交试验报告和测量成果以及工程师或发包人指示进行的其他工作。工程师或发包人的检查和检验，不免除承包人按合同约定应负的责任。</w:t>
      </w:r>
    </w:p>
    <w:p w14:paraId="389275E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34" w:name="_Ref11959222"/>
      <w:r>
        <w:rPr>
          <w:rFonts w:cs="宋体" w:asciiTheme="minorEastAsia" w:hAnsiTheme="minorEastAsia" w:eastAsiaTheme="minorEastAsia"/>
          <w:color w:val="auto"/>
          <w:szCs w:val="21"/>
          <w:highlight w:val="none"/>
        </w:rPr>
        <w:t xml:space="preserve">6.4.3 </w:t>
      </w:r>
      <w:r>
        <w:rPr>
          <w:rFonts w:hint="eastAsia" w:cs="宋体" w:asciiTheme="minorEastAsia" w:hAnsiTheme="minorEastAsia" w:eastAsiaTheme="minorEastAsia"/>
          <w:color w:val="auto"/>
          <w:szCs w:val="21"/>
          <w:highlight w:val="none"/>
        </w:rPr>
        <w:t>隐蔽工程检查</w:t>
      </w:r>
      <w:bookmarkEnd w:id="234"/>
    </w:p>
    <w:p w14:paraId="1B33FC6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除专用合同条件另有约定外，工程隐蔽部位经承包人自检确认具备覆盖条件的，承包人应书面通知工程师在约定的期限内检查，通知中应载明隐蔽检查的内容、时间和地点，并应附有自检记录和必要的检查资料。</w:t>
      </w:r>
    </w:p>
    <w:p w14:paraId="1DA3C30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师应按时到场并对隐蔽工程及其施工工艺、材料和工程设备进行检查。经工程师检查确认质量符合隐蔽要求，并在验收记录上签字后，承包人才能进行覆盖。经工程师检查质量不合格的，承包人应在工程师指示的时间内完成修复，并由工程师重新检查，由此增加的费用和（或）延误的工期由承包人承担。</w:t>
      </w:r>
    </w:p>
    <w:p w14:paraId="4377ADA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除专用合同条件另有约定外，工程师不能按时进行检查的，应提前向承包人提交书面延期要求，顺延时间不得超过</w:t>
      </w:r>
      <w:r>
        <w:rPr>
          <w:rFonts w:cs="宋体" w:asciiTheme="minorEastAsia" w:hAnsiTheme="minorEastAsia" w:eastAsiaTheme="minorEastAsia"/>
          <w:color w:val="auto"/>
          <w:szCs w:val="21"/>
          <w:highlight w:val="none"/>
        </w:rPr>
        <w:t>48小时，由此导致工期延误的，工期应予以顺延，顺延超过48小时的，由此导致的工期延误及费用增加由发包人承担。工程师未按时进行检查，也未提出延期要求的，视为隐蔽工程检查合格，承包人可自行完成覆盖工作，并作相应记录报送工程师，工程师应签字确认。工程师事后对检查记录有疑问的，可按下列约定重新检查。</w:t>
      </w:r>
    </w:p>
    <w:p w14:paraId="707869D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覆盖工程隐蔽部位后，工程师对质量有疑问的，可要求承包人对已覆盖的部位进行钻孔探测或揭开重新检查，承包人应遵照执行，并在检查后重新覆盖恢复原状。经检查证明工程质量符合合同要求的，由发包人承担由此增加的费用和（或）延误的工期，并支付承包人合理的利润；经检查证明工程质量不符合合同要求的，由此增加的费用和（或）延误的工期由承包人承担。</w:t>
      </w:r>
    </w:p>
    <w:p w14:paraId="7D8FC43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承包人未通知工程师到场检查，私自将工程隐蔽部位覆盖的，工程师有权指示承包人钻孔探测或揭开检查，无论工程隐蔽部位质量是否合格，由此增加的费用和（或）延误的工期均由承包人承担。</w:t>
      </w:r>
    </w:p>
    <w:bookmarkEnd w:id="227"/>
    <w:p w14:paraId="512DA4E1">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35" w:name="_Ref11927389"/>
      <w:bookmarkStart w:id="236" w:name="_Ref11927398"/>
      <w:bookmarkStart w:id="237" w:name="_Ref11927403"/>
      <w:bookmarkStart w:id="238" w:name="_Toc54862233"/>
      <w:bookmarkStart w:id="239" w:name="_Ref11959158"/>
      <w:bookmarkStart w:id="240" w:name="_Ref11959175"/>
      <w:r>
        <w:rPr>
          <w:rFonts w:cs="宋体" w:asciiTheme="minorEastAsia" w:hAnsiTheme="minorEastAsia" w:eastAsiaTheme="minorEastAsia"/>
          <w:color w:val="auto"/>
          <w:szCs w:val="21"/>
          <w:highlight w:val="none"/>
        </w:rPr>
        <w:t xml:space="preserve">6.5 </w:t>
      </w:r>
      <w:r>
        <w:rPr>
          <w:rFonts w:hint="eastAsia" w:cs="宋体" w:asciiTheme="minorEastAsia" w:hAnsiTheme="minorEastAsia" w:eastAsiaTheme="minorEastAsia"/>
          <w:color w:val="auto"/>
          <w:szCs w:val="21"/>
          <w:highlight w:val="none"/>
        </w:rPr>
        <w:t>由承包人试验</w:t>
      </w:r>
      <w:bookmarkEnd w:id="235"/>
      <w:bookmarkEnd w:id="236"/>
      <w:bookmarkEnd w:id="237"/>
      <w:r>
        <w:rPr>
          <w:rFonts w:hint="eastAsia" w:cs="宋体" w:asciiTheme="minorEastAsia" w:hAnsiTheme="minorEastAsia" w:eastAsiaTheme="minorEastAsia"/>
          <w:color w:val="auto"/>
          <w:szCs w:val="21"/>
          <w:highlight w:val="none"/>
        </w:rPr>
        <w:t>和检验</w:t>
      </w:r>
      <w:bookmarkEnd w:id="238"/>
      <w:bookmarkEnd w:id="239"/>
      <w:bookmarkEnd w:id="240"/>
    </w:p>
    <w:bookmarkEnd w:id="228"/>
    <w:p w14:paraId="50B1F06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6.5.1 </w:t>
      </w:r>
      <w:r>
        <w:rPr>
          <w:rFonts w:hint="eastAsia" w:cs="宋体" w:asciiTheme="minorEastAsia" w:hAnsiTheme="minorEastAsia" w:eastAsiaTheme="minorEastAsia"/>
          <w:color w:val="auto"/>
          <w:szCs w:val="21"/>
          <w:highlight w:val="none"/>
        </w:rPr>
        <w:t>试验设备与试验人员</w:t>
      </w:r>
    </w:p>
    <w:p w14:paraId="058A7AD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承包人根据合同约定或工程师指示进行的现场材料试验，应由承包人提供试验场所、试验人员、试验设备以及其他必要的试验条件。工程师在必要时可以使用承包人提供的试验场所、试验设备以及其他试验条件，进行以工程质量检查为目的的材料复核试验，承包人应予以协助。</w:t>
      </w:r>
    </w:p>
    <w:p w14:paraId="38C6A65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2）承包人应按专用合同条件约定的试验内容、时间和地点提供试验设备、取样装置、试验场所和试验条件，并向工程师提交相应进场计划表。</w:t>
      </w:r>
    </w:p>
    <w:p w14:paraId="17A1476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承包人配置的试验设备要符合相应试验规程的要求并经过具有资质的检测单位检测，且在正式使用该试验设备前，需要经过工程师与承包人共同校定。</w:t>
      </w:r>
    </w:p>
    <w:p w14:paraId="5F39A91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3）承包人应向工程师提交试验人员的名单及其岗位、资格等证明资料，试验人员必须能够熟练进行相应的检测试验，承包人对试验人员的试验程序和试验结果的正确性负责。</w:t>
      </w:r>
    </w:p>
    <w:p w14:paraId="785E4C5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6.5.2 </w:t>
      </w:r>
      <w:r>
        <w:rPr>
          <w:rFonts w:hint="eastAsia" w:cs="宋体" w:asciiTheme="minorEastAsia" w:hAnsiTheme="minorEastAsia" w:eastAsiaTheme="minorEastAsia"/>
          <w:color w:val="auto"/>
          <w:szCs w:val="21"/>
          <w:highlight w:val="none"/>
        </w:rPr>
        <w:t>取样</w:t>
      </w:r>
    </w:p>
    <w:p w14:paraId="6245B6F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试验属于自检性质的，承包人可以单独取样。试验属于工程师抽检性质的，可由工程师取样，也可由承包人的试验人员在工程师的监督下取样。</w:t>
      </w:r>
    </w:p>
    <w:p w14:paraId="2B6FF74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6.5.3 </w:t>
      </w:r>
      <w:r>
        <w:rPr>
          <w:rFonts w:hint="eastAsia" w:cs="宋体" w:asciiTheme="minorEastAsia" w:hAnsiTheme="minorEastAsia" w:eastAsiaTheme="minorEastAsia"/>
          <w:color w:val="auto"/>
          <w:szCs w:val="21"/>
          <w:highlight w:val="none"/>
        </w:rPr>
        <w:t>材料、工程设备和工程的试验和检验</w:t>
      </w:r>
    </w:p>
    <w:p w14:paraId="30C43F5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承包人应按合同约定进行材料和工程设备的试验和检验，并为工程师对上述材料、工程设备和工程的质量检查提供必要的试验资料和原始记录。按合同约定应由工程师与承包人共同进行试验和检验的，由承包人负责提供必要的试验资料和原始记录。</w:t>
      </w:r>
    </w:p>
    <w:p w14:paraId="5185E47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试验属于自检性质的，承包人可以单独进行试验。试验属于工程师抽检性质的，工程师可以单独进行试验，也可由承包人与工程师共同进行。承包人对由工程师单独进行的试验结果有异议的，可以申请重新共同进行试验。约定共同进行试验的，工程师未按照约定参加试验的，承包人可自行试验，并将试验结果报送工程师，工程师应承认该试验结果。</w:t>
      </w:r>
    </w:p>
    <w:p w14:paraId="7C465DE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工程师对承包人的试验和检验结果有异议的，或为查清承包人试验和检验成果的可靠性要求承包人重新试验和检验的，可由工程师与承包人共同进行。重新试验和检验的结果证明该项材料、工程设备或工程的质量不符合合同要求的，由此增加的费用和（或）延误的工期由承包人承担；重新试验和检验结果证明该项材料、工程设备和工程符合合同要求的，由此增加的费用和（或）延误的工期由发包人承担。</w:t>
      </w:r>
    </w:p>
    <w:p w14:paraId="21C970B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41" w:name="_Toc351203566"/>
      <w:bookmarkStart w:id="242" w:name="_Toc337558786"/>
      <w:r>
        <w:rPr>
          <w:rFonts w:cs="宋体" w:asciiTheme="minorEastAsia" w:hAnsiTheme="minorEastAsia" w:eastAsiaTheme="minorEastAsia"/>
          <w:color w:val="auto"/>
          <w:szCs w:val="21"/>
          <w:highlight w:val="none"/>
        </w:rPr>
        <w:t xml:space="preserve">6.5.4 </w:t>
      </w:r>
      <w:r>
        <w:rPr>
          <w:rFonts w:hint="eastAsia" w:cs="宋体" w:asciiTheme="minorEastAsia" w:hAnsiTheme="minorEastAsia" w:eastAsiaTheme="minorEastAsia"/>
          <w:color w:val="auto"/>
          <w:szCs w:val="21"/>
          <w:highlight w:val="none"/>
        </w:rPr>
        <w:t>现场工艺试验</w:t>
      </w:r>
      <w:bookmarkEnd w:id="241"/>
    </w:p>
    <w:bookmarkEnd w:id="242"/>
    <w:p w14:paraId="3CCB668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承包人应按合同约定进行现场工艺试验。对大型的现场工艺试验，发包人认为必要时，承包人应根据发包人提出的工艺试验要求，编制工艺试验措施计划，报送发包人审查。</w:t>
      </w:r>
    </w:p>
    <w:p w14:paraId="1569FBB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43" w:name="_Toc54862234"/>
      <w:bookmarkStart w:id="244" w:name="_Ref532592787"/>
      <w:bookmarkStart w:id="245" w:name="_Ref532592784"/>
      <w:r>
        <w:rPr>
          <w:rFonts w:cs="宋体" w:asciiTheme="minorEastAsia" w:hAnsiTheme="minorEastAsia" w:eastAsiaTheme="minorEastAsia"/>
          <w:color w:val="auto"/>
          <w:szCs w:val="21"/>
          <w:highlight w:val="none"/>
        </w:rPr>
        <w:t xml:space="preserve">6.6 </w:t>
      </w:r>
      <w:r>
        <w:rPr>
          <w:rFonts w:hint="eastAsia" w:cs="宋体" w:asciiTheme="minorEastAsia" w:hAnsiTheme="minorEastAsia" w:eastAsiaTheme="minorEastAsia"/>
          <w:color w:val="auto"/>
          <w:szCs w:val="21"/>
          <w:highlight w:val="none"/>
        </w:rPr>
        <w:t>缺陷和修补</w:t>
      </w:r>
      <w:bookmarkEnd w:id="243"/>
      <w:bookmarkEnd w:id="244"/>
      <w:bookmarkEnd w:id="245"/>
    </w:p>
    <w:p w14:paraId="6330757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46" w:name="_Ref16875551"/>
      <w:r>
        <w:rPr>
          <w:rFonts w:cs="宋体" w:asciiTheme="minorEastAsia" w:hAnsiTheme="minorEastAsia" w:eastAsiaTheme="minorEastAsia"/>
          <w:color w:val="auto"/>
          <w:szCs w:val="21"/>
          <w:highlight w:val="none"/>
        </w:rPr>
        <w:t xml:space="preserve">6.6.1 </w:t>
      </w:r>
      <w:r>
        <w:rPr>
          <w:rFonts w:hint="eastAsia" w:cs="宋体" w:asciiTheme="minorEastAsia" w:hAnsiTheme="minorEastAsia" w:eastAsiaTheme="minorEastAsia"/>
          <w:color w:val="auto"/>
          <w:szCs w:val="21"/>
          <w:highlight w:val="none"/>
        </w:rPr>
        <w:t>发包人可在颁发接收证书前随时指示承包人：</w:t>
      </w:r>
      <w:bookmarkEnd w:id="246"/>
    </w:p>
    <w:p w14:paraId="0EE896A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1）对不符合合同要求的任何工程设备或材料进行修补，或者将其移出现场并进行更换；</w:t>
      </w:r>
    </w:p>
    <w:p w14:paraId="1922D98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2）对不符合合同的其他工作进行修补，或者将其去除并重新实施；</w:t>
      </w:r>
    </w:p>
    <w:p w14:paraId="73406F0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47" w:name="_Ref4708991"/>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3）实施因意外、不可预见的事件或其他原因引起的、为工程的安全迫切需要的任何修补工作。</w:t>
      </w:r>
      <w:bookmarkEnd w:id="247"/>
    </w:p>
    <w:p w14:paraId="0143F93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48" w:name="_Ref11956964"/>
      <w:r>
        <w:rPr>
          <w:rFonts w:cs="宋体" w:asciiTheme="minorEastAsia" w:hAnsiTheme="minorEastAsia" w:eastAsiaTheme="minorEastAsia"/>
          <w:color w:val="auto"/>
          <w:szCs w:val="21"/>
          <w:highlight w:val="none"/>
        </w:rPr>
        <w:t xml:space="preserve">6.6.2 </w:t>
      </w:r>
      <w:r>
        <w:rPr>
          <w:rFonts w:hint="eastAsia" w:cs="宋体" w:asciiTheme="minorEastAsia" w:hAnsiTheme="minorEastAsia" w:eastAsiaTheme="minorEastAsia"/>
          <w:color w:val="auto"/>
          <w:szCs w:val="21"/>
          <w:highlight w:val="none"/>
        </w:rPr>
        <w:t>承包人应遵守第</w:t>
      </w:r>
      <w:r>
        <w:rPr>
          <w:rFonts w:cs="宋体" w:asciiTheme="minorEastAsia" w:hAnsiTheme="minorEastAsia" w:eastAsiaTheme="minorEastAsia"/>
          <w:color w:val="auto"/>
          <w:szCs w:val="21"/>
          <w:highlight w:val="none"/>
        </w:rPr>
        <w:t>6.6.1项下指示，并在合理可行的情况下，根据上述指示中规定的时间完成修补工作。除因下列原因引起的第6.6.1项第（3）目下的情形外，承包人应承担所有修补工作的费用：</w:t>
      </w:r>
      <w:bookmarkEnd w:id="248"/>
    </w:p>
    <w:p w14:paraId="664732A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1）因发包人或其人员的任何行为导致的情形，且在此情况下发包人应承担因此引起的工期延误和承包人费用损失，并向承包人支付合理的利润。</w:t>
      </w:r>
    </w:p>
    <w:p w14:paraId="1330588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2）第17.4款[不可抗力后果的承担]中适用的不可抗力事件的情形。</w:t>
      </w:r>
    </w:p>
    <w:p w14:paraId="4F9534E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6.6.3 </w:t>
      </w:r>
      <w:r>
        <w:rPr>
          <w:rFonts w:hint="eastAsia" w:cs="宋体" w:asciiTheme="minorEastAsia" w:hAnsiTheme="minorEastAsia" w:eastAsiaTheme="minorEastAsia"/>
          <w:color w:val="auto"/>
          <w:szCs w:val="21"/>
          <w:highlight w:val="none"/>
        </w:rPr>
        <w:t>如果承包人未能遵守发包人的指示，发包人可以自行决定请第三方完成上述修补工作，并有权要求承包人支付因未履行指示而产生的所有费用，但承包人根据第</w:t>
      </w:r>
      <w:r>
        <w:rPr>
          <w:rFonts w:cs="宋体" w:asciiTheme="minorEastAsia" w:hAnsiTheme="minorEastAsia" w:eastAsiaTheme="minorEastAsia"/>
          <w:color w:val="auto"/>
          <w:szCs w:val="21"/>
          <w:highlight w:val="none"/>
        </w:rPr>
        <w:t>6.6.2项有权就修补工作获得支付的情况除外。</w:t>
      </w:r>
    </w:p>
    <w:p w14:paraId="7F68FF6B">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249" w:name="_Toc54862235"/>
      <w:bookmarkStart w:id="250" w:name="_Ref531954214"/>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7条 </w:t>
      </w:r>
      <w:r>
        <w:rPr>
          <w:rFonts w:hint="eastAsia" w:cs="宋体" w:asciiTheme="minorEastAsia" w:hAnsiTheme="minorEastAsia" w:eastAsiaTheme="minorEastAsia"/>
          <w:b/>
          <w:color w:val="auto"/>
          <w:szCs w:val="21"/>
          <w:highlight w:val="none"/>
        </w:rPr>
        <w:t>施工</w:t>
      </w:r>
      <w:bookmarkEnd w:id="249"/>
      <w:bookmarkEnd w:id="250"/>
    </w:p>
    <w:p w14:paraId="0E79F567">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51" w:name="_Ref531954276"/>
      <w:bookmarkStart w:id="252" w:name="_Ref531954272"/>
      <w:bookmarkStart w:id="253" w:name="_Toc54862236"/>
      <w:bookmarkStart w:id="254" w:name="_Ref531954260"/>
      <w:bookmarkStart w:id="255" w:name="_Ref531954246"/>
      <w:r>
        <w:rPr>
          <w:rFonts w:cs="宋体" w:asciiTheme="minorEastAsia" w:hAnsiTheme="minorEastAsia" w:eastAsiaTheme="minorEastAsia"/>
          <w:color w:val="auto"/>
          <w:szCs w:val="21"/>
          <w:highlight w:val="none"/>
        </w:rPr>
        <w:t xml:space="preserve">7.1 </w:t>
      </w:r>
      <w:r>
        <w:rPr>
          <w:rFonts w:hint="eastAsia" w:cs="宋体" w:asciiTheme="minorEastAsia" w:hAnsiTheme="minorEastAsia" w:eastAsiaTheme="minorEastAsia"/>
          <w:color w:val="auto"/>
          <w:szCs w:val="21"/>
          <w:highlight w:val="none"/>
        </w:rPr>
        <w:t>交通运输</w:t>
      </w:r>
      <w:bookmarkEnd w:id="251"/>
      <w:bookmarkEnd w:id="252"/>
      <w:bookmarkEnd w:id="253"/>
    </w:p>
    <w:p w14:paraId="29CC173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56" w:name="_Ref4422645"/>
      <w:r>
        <w:rPr>
          <w:rFonts w:cs="宋体" w:asciiTheme="minorEastAsia" w:hAnsiTheme="minorEastAsia" w:eastAsiaTheme="minorEastAsia"/>
          <w:color w:val="auto"/>
          <w:szCs w:val="21"/>
          <w:highlight w:val="none"/>
        </w:rPr>
        <w:t xml:space="preserve">7.1.1 </w:t>
      </w:r>
      <w:r>
        <w:rPr>
          <w:rFonts w:hint="eastAsia" w:cs="宋体" w:asciiTheme="minorEastAsia" w:hAnsiTheme="minorEastAsia" w:eastAsiaTheme="minorEastAsia"/>
          <w:color w:val="auto"/>
          <w:szCs w:val="21"/>
          <w:highlight w:val="none"/>
        </w:rPr>
        <w:t>出入现场的权利</w:t>
      </w:r>
      <w:bookmarkEnd w:id="256"/>
    </w:p>
    <w:p w14:paraId="45FD8AE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发包人应根据工程实施需要，负责取得出入施工现场所需的批准手续和全部权利，以及取得因工程实施所需修建道路、桥梁以及其他基础设施的权利，并承担相关手续费用和建设费用。承包人应协助发包人办理修建场内外道路、桥梁以及其他基础设施的手续。</w:t>
      </w:r>
    </w:p>
    <w:p w14:paraId="51FD075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57" w:name="_Ref18957045"/>
      <w:r>
        <w:rPr>
          <w:rFonts w:cs="宋体" w:asciiTheme="minorEastAsia" w:hAnsiTheme="minorEastAsia" w:eastAsiaTheme="minorEastAsia"/>
          <w:color w:val="auto"/>
          <w:szCs w:val="21"/>
          <w:highlight w:val="none"/>
        </w:rPr>
        <w:t xml:space="preserve">7.1.2 </w:t>
      </w:r>
      <w:r>
        <w:rPr>
          <w:rFonts w:hint="eastAsia" w:cs="宋体" w:asciiTheme="minorEastAsia" w:hAnsiTheme="minorEastAsia" w:eastAsiaTheme="minorEastAsia"/>
          <w:color w:val="auto"/>
          <w:szCs w:val="21"/>
          <w:highlight w:val="none"/>
        </w:rPr>
        <w:t>场外交通</w:t>
      </w:r>
      <w:bookmarkEnd w:id="257"/>
    </w:p>
    <w:p w14:paraId="1F66A41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发包人应提供场外交通设施的技术参数和具体条件，场外交通设施无法满足工程施工需要的，由发包人负责承担由此产生的相关费用。承包人应遵守有关交通法规，严格按照道路和桥梁的限制荷载行驶，执行有关道路限速、限行、禁止超载的规定，并配合交通管理部门的监督和检查。承包人车辆外出行驶所需的场外公共道路的通行费、养路费和税款等由承包人承担。</w:t>
      </w:r>
    </w:p>
    <w:p w14:paraId="1D4EB25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58" w:name="_Ref4622358"/>
      <w:r>
        <w:rPr>
          <w:rFonts w:cs="宋体" w:asciiTheme="minorEastAsia" w:hAnsiTheme="minorEastAsia" w:eastAsiaTheme="minorEastAsia"/>
          <w:color w:val="auto"/>
          <w:szCs w:val="21"/>
          <w:highlight w:val="none"/>
        </w:rPr>
        <w:t xml:space="preserve">7.1.3 </w:t>
      </w:r>
      <w:r>
        <w:rPr>
          <w:rFonts w:hint="eastAsia" w:cs="宋体" w:asciiTheme="minorEastAsia" w:hAnsiTheme="minorEastAsia" w:eastAsiaTheme="minorEastAsia"/>
          <w:color w:val="auto"/>
          <w:szCs w:val="21"/>
          <w:highlight w:val="none"/>
        </w:rPr>
        <w:t>场内交通</w:t>
      </w:r>
      <w:bookmarkEnd w:id="258"/>
    </w:p>
    <w:p w14:paraId="30894FC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承包人应负责修建、维修、养护和管理施工所需的临时道路和交通设施，包括维修、养护和管理发包人提供的道路和交通设施，并承担相应费用。承包人修建的临时道路和交通设施应免费提供发包人和工程师为实现合同目的使用。场内交通与场外交通的边界由合同当事人在专用合同条件中约定。</w:t>
      </w:r>
    </w:p>
    <w:p w14:paraId="6BCE894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59" w:name="_Ref4622376"/>
      <w:r>
        <w:rPr>
          <w:rFonts w:cs="宋体" w:asciiTheme="minorEastAsia" w:hAnsiTheme="minorEastAsia" w:eastAsiaTheme="minorEastAsia"/>
          <w:color w:val="auto"/>
          <w:szCs w:val="21"/>
          <w:highlight w:val="none"/>
        </w:rPr>
        <w:t xml:space="preserve">7.1.4 </w:t>
      </w:r>
      <w:r>
        <w:rPr>
          <w:rFonts w:hint="eastAsia" w:cs="宋体" w:asciiTheme="minorEastAsia" w:hAnsiTheme="minorEastAsia" w:eastAsiaTheme="minorEastAsia"/>
          <w:color w:val="auto"/>
          <w:szCs w:val="21"/>
          <w:highlight w:val="none"/>
        </w:rPr>
        <w:t>超大件和超重件的运输</w:t>
      </w:r>
      <w:bookmarkEnd w:id="259"/>
    </w:p>
    <w:p w14:paraId="7ECC0D8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由承包人负责运输的超大件或超重件，应由承包人负责向交通管理部门办理申请手续，发包人给予协助。运输超大件或超重件所需的道路和桥梁临时加固改造费用和其他有关费用，由承包人承担，但专用合同条件另有约定的除外。</w:t>
      </w:r>
    </w:p>
    <w:p w14:paraId="2B8DAEC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7.1.5 </w:t>
      </w:r>
      <w:r>
        <w:rPr>
          <w:rFonts w:hint="eastAsia" w:cs="宋体" w:asciiTheme="minorEastAsia" w:hAnsiTheme="minorEastAsia" w:eastAsiaTheme="minorEastAsia"/>
          <w:color w:val="auto"/>
          <w:szCs w:val="21"/>
          <w:highlight w:val="none"/>
        </w:rPr>
        <w:t>道路和桥梁的损坏责任</w:t>
      </w:r>
    </w:p>
    <w:p w14:paraId="6274A01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因承包人运输造成施工现场内外公共道路和桥梁损坏的，由承包人承担修复损坏的全部费用和可能引起的赔偿。</w:t>
      </w:r>
    </w:p>
    <w:p w14:paraId="2492915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7.1.6 </w:t>
      </w:r>
      <w:r>
        <w:rPr>
          <w:rFonts w:hint="eastAsia" w:cs="宋体" w:asciiTheme="minorEastAsia" w:hAnsiTheme="minorEastAsia" w:eastAsiaTheme="minorEastAsia"/>
          <w:color w:val="auto"/>
          <w:szCs w:val="21"/>
          <w:highlight w:val="none"/>
        </w:rPr>
        <w:t>水路和航空运输</w:t>
      </w:r>
    </w:p>
    <w:p w14:paraId="5A0DE63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本条上述各款的内容适用于水路运输和航空运输，其中“道路”一词的涵义包括河道、航线、船闸、机场、码头、堤防以及水路或航空运输中其他相似结构物；“车辆”一词的涵义包括船舶和飞机等。</w:t>
      </w:r>
    </w:p>
    <w:p w14:paraId="72EA6572">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60" w:name="_Ref11919459"/>
      <w:bookmarkStart w:id="261" w:name="_Toc54862237"/>
      <w:bookmarkStart w:id="262" w:name="_Ref11919294"/>
      <w:r>
        <w:rPr>
          <w:rFonts w:cs="宋体" w:asciiTheme="minorEastAsia" w:hAnsiTheme="minorEastAsia" w:eastAsiaTheme="minorEastAsia"/>
          <w:color w:val="auto"/>
          <w:szCs w:val="21"/>
          <w:highlight w:val="none"/>
        </w:rPr>
        <w:t xml:space="preserve">7.2 </w:t>
      </w:r>
      <w:r>
        <w:rPr>
          <w:rFonts w:hint="eastAsia" w:cs="宋体" w:asciiTheme="minorEastAsia" w:hAnsiTheme="minorEastAsia" w:eastAsiaTheme="minorEastAsia"/>
          <w:color w:val="auto"/>
          <w:szCs w:val="21"/>
          <w:highlight w:val="none"/>
        </w:rPr>
        <w:t>施工设备和临时设施</w:t>
      </w:r>
      <w:bookmarkEnd w:id="254"/>
      <w:bookmarkEnd w:id="255"/>
      <w:bookmarkEnd w:id="260"/>
      <w:bookmarkEnd w:id="261"/>
      <w:bookmarkEnd w:id="262"/>
    </w:p>
    <w:p w14:paraId="3411E68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63" w:name="_Ref18990767"/>
      <w:bookmarkStart w:id="264" w:name="_Ref509043186"/>
      <w:r>
        <w:rPr>
          <w:rFonts w:cs="宋体" w:asciiTheme="minorEastAsia" w:hAnsiTheme="minorEastAsia" w:eastAsiaTheme="minorEastAsia"/>
          <w:color w:val="auto"/>
          <w:szCs w:val="21"/>
          <w:highlight w:val="none"/>
        </w:rPr>
        <w:t xml:space="preserve">7.2.1 </w:t>
      </w:r>
      <w:r>
        <w:rPr>
          <w:rFonts w:hint="eastAsia" w:cs="宋体" w:asciiTheme="minorEastAsia" w:hAnsiTheme="minorEastAsia" w:eastAsiaTheme="minorEastAsia"/>
          <w:color w:val="auto"/>
          <w:szCs w:val="21"/>
          <w:highlight w:val="none"/>
        </w:rPr>
        <w:t>承包人提供的施工设备和临时设施</w:t>
      </w:r>
      <w:bookmarkEnd w:id="263"/>
    </w:p>
    <w:p w14:paraId="58340EF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承包人应按项目进度计划的要求，及时配置施工设备和修建临时设施。进入施工现场的承包人提供的施工设备需经工程师核查后才能投入使用。承包人更换合同约定由承包人提供的施工设备的，应报工程师批准。</w:t>
      </w:r>
    </w:p>
    <w:p w14:paraId="2186F36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除专用合同条件另有约定外，承包人应自行承担修建临时设施的费用，需要临时占地的，应由发包人办理申请手续并承担相应费用。承包人应在专用合同条件</w:t>
      </w:r>
      <w:r>
        <w:rPr>
          <w:rFonts w:cs="宋体" w:asciiTheme="minorEastAsia" w:hAnsiTheme="minorEastAsia" w:eastAsiaTheme="minorEastAsia"/>
          <w:color w:val="auto"/>
          <w:szCs w:val="21"/>
          <w:highlight w:val="none"/>
        </w:rPr>
        <w:t>7.2款约定的时间内向发包人提交临时占地资料，因承包人未能按时提交资料，导致工期延误的，由此增加的费用和（或）竣工日期延误，由承包人负责。</w:t>
      </w:r>
    </w:p>
    <w:bookmarkEnd w:id="264"/>
    <w:p w14:paraId="0BD1AC2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65" w:name="_Ref18990784"/>
      <w:r>
        <w:rPr>
          <w:rFonts w:cs="宋体" w:asciiTheme="minorEastAsia" w:hAnsiTheme="minorEastAsia" w:eastAsiaTheme="minorEastAsia"/>
          <w:color w:val="auto"/>
          <w:szCs w:val="21"/>
          <w:highlight w:val="none"/>
        </w:rPr>
        <w:t xml:space="preserve">7.2.2 </w:t>
      </w:r>
      <w:r>
        <w:rPr>
          <w:rFonts w:hint="eastAsia" w:cs="宋体" w:asciiTheme="minorEastAsia" w:hAnsiTheme="minorEastAsia" w:eastAsiaTheme="minorEastAsia"/>
          <w:color w:val="auto"/>
          <w:szCs w:val="21"/>
          <w:highlight w:val="none"/>
        </w:rPr>
        <w:t>发包人提供的施工设备和临时设施</w:t>
      </w:r>
      <w:bookmarkEnd w:id="265"/>
    </w:p>
    <w:p w14:paraId="26BD97D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发包人提供的施工设备或临时设施在专用合同条件中约定。</w:t>
      </w:r>
    </w:p>
    <w:p w14:paraId="62CF41D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7.2.3 </w:t>
      </w:r>
      <w:r>
        <w:rPr>
          <w:rFonts w:hint="eastAsia" w:cs="宋体" w:asciiTheme="minorEastAsia" w:hAnsiTheme="minorEastAsia" w:eastAsiaTheme="minorEastAsia"/>
          <w:color w:val="auto"/>
          <w:szCs w:val="21"/>
          <w:highlight w:val="none"/>
        </w:rPr>
        <w:t>要求承包人增加或更换施工设备</w:t>
      </w:r>
    </w:p>
    <w:p w14:paraId="2AF18D9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承包人使用的施工设备不能满足项目进度计划和（或）质量要求时，工程师有权要求承包人增加或更换施工设备，承包人应及时增加或更换，由此增加的费用和（或）延误的工期由承包人承担。</w:t>
      </w:r>
    </w:p>
    <w:p w14:paraId="62EC066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7.2.4 </w:t>
      </w:r>
      <w:r>
        <w:rPr>
          <w:rFonts w:hint="eastAsia" w:cs="宋体" w:asciiTheme="minorEastAsia" w:hAnsiTheme="minorEastAsia" w:eastAsiaTheme="minorEastAsia"/>
          <w:color w:val="auto"/>
          <w:szCs w:val="21"/>
          <w:highlight w:val="none"/>
        </w:rPr>
        <w:t>施工设备和临时设施专用于合同工程</w:t>
      </w:r>
    </w:p>
    <w:p w14:paraId="455C7B7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运入施工现场的施工设备以及在施工现场建设的临时设施必须专用于工程。未经发包人批准，承包人不得运出施工现场或挪作他用；经发包人批准，承包人可以根据施工进度计划撤走闲置的施工设备和其他物品。</w:t>
      </w:r>
    </w:p>
    <w:p w14:paraId="002B3B80">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66" w:name="_Toc54862238"/>
      <w:bookmarkStart w:id="267" w:name="_Ref11874352"/>
      <w:r>
        <w:rPr>
          <w:rFonts w:cs="宋体" w:asciiTheme="minorEastAsia" w:hAnsiTheme="minorEastAsia" w:eastAsiaTheme="minorEastAsia"/>
          <w:color w:val="auto"/>
          <w:szCs w:val="21"/>
          <w:highlight w:val="none"/>
        </w:rPr>
        <w:t xml:space="preserve">7.3 </w:t>
      </w:r>
      <w:r>
        <w:rPr>
          <w:rFonts w:hint="eastAsia" w:cs="宋体" w:asciiTheme="minorEastAsia" w:hAnsiTheme="minorEastAsia" w:eastAsiaTheme="minorEastAsia"/>
          <w:color w:val="auto"/>
          <w:szCs w:val="21"/>
          <w:highlight w:val="none"/>
        </w:rPr>
        <w:t>现场合作</w:t>
      </w:r>
      <w:bookmarkEnd w:id="266"/>
      <w:bookmarkEnd w:id="267"/>
    </w:p>
    <w:p w14:paraId="0202AB2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承包人应按合同约定或发包人的指示，与发包人人员、发包人的其他承包人等人员就在现场或附近实施与工程有关的各项工作进行合作并提供适当条件，包括使用承包人设备、临时工程或进入现场等。</w:t>
      </w:r>
    </w:p>
    <w:p w14:paraId="770205D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承包人应对其在现场的施工活动负责，并应尽合理努力按合同约定或发包人的指示，协调自身与发包人人员、发包人的其他承包人等人员的活动。</w:t>
      </w:r>
    </w:p>
    <w:p w14:paraId="149EFF8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如果承包人提供上述合作、条件或协调在考虑到《发包人要求》所列内容的情况下是不可预见的，则承包人有权就额外费用和合理利润从发包人处获得支付，且因此延误的工期应相应顺延。</w:t>
      </w:r>
    </w:p>
    <w:p w14:paraId="1B33EE34">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68" w:name="_Ref531954287"/>
      <w:bookmarkStart w:id="269" w:name="_Ref531954285"/>
      <w:bookmarkStart w:id="270" w:name="_Toc54862239"/>
      <w:r>
        <w:rPr>
          <w:rFonts w:cs="宋体" w:asciiTheme="minorEastAsia" w:hAnsiTheme="minorEastAsia" w:eastAsiaTheme="minorEastAsia"/>
          <w:color w:val="auto"/>
          <w:szCs w:val="21"/>
          <w:highlight w:val="none"/>
        </w:rPr>
        <w:t xml:space="preserve">7.4 </w:t>
      </w:r>
      <w:r>
        <w:rPr>
          <w:rFonts w:hint="eastAsia" w:cs="宋体" w:asciiTheme="minorEastAsia" w:hAnsiTheme="minorEastAsia" w:eastAsiaTheme="minorEastAsia"/>
          <w:color w:val="auto"/>
          <w:szCs w:val="21"/>
          <w:highlight w:val="none"/>
        </w:rPr>
        <w:t>测量放线</w:t>
      </w:r>
      <w:bookmarkEnd w:id="268"/>
      <w:bookmarkEnd w:id="269"/>
      <w:bookmarkEnd w:id="270"/>
    </w:p>
    <w:p w14:paraId="3955ED2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7.4.1 </w:t>
      </w:r>
      <w:r>
        <w:rPr>
          <w:rFonts w:hint="eastAsia" w:cs="宋体" w:asciiTheme="minorEastAsia" w:hAnsiTheme="minorEastAsia" w:eastAsiaTheme="minorEastAsia"/>
          <w:color w:val="auto"/>
          <w:szCs w:val="21"/>
          <w:highlight w:val="none"/>
        </w:rPr>
        <w:t>除专用合同条件另有约定外，承包人应根据国家测绘基准、测绘系统和工程测量技术规范，按基准点（线）以及合同工程精度要求，测设施工控制网，并在专用合同条件约定的期限内，将施工控制网资料报送工程师。</w:t>
      </w:r>
    </w:p>
    <w:p w14:paraId="5DD44E4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7.4.2 </w:t>
      </w:r>
      <w:r>
        <w:rPr>
          <w:rFonts w:hint="eastAsia" w:cs="宋体" w:asciiTheme="minorEastAsia" w:hAnsiTheme="minorEastAsia" w:eastAsiaTheme="minorEastAsia"/>
          <w:color w:val="auto"/>
          <w:szCs w:val="21"/>
          <w:highlight w:val="none"/>
        </w:rPr>
        <w:t>承包人应负责管理施工控制网点。施工控制网点丢失或损坏的，承包人应及时修复。承包人应承担施工控制网点的管理与修复费用，并在工程竣工后将施工控制网点移交发包人。承包人负责对工程、单位</w:t>
      </w:r>
      <w:r>
        <w:rPr>
          <w:rFonts w:cs="宋体" w:asciiTheme="minorEastAsia" w:hAnsiTheme="minorEastAsia" w:eastAsiaTheme="minorEastAsia"/>
          <w:color w:val="auto"/>
          <w:szCs w:val="21"/>
          <w:highlight w:val="none"/>
        </w:rPr>
        <w:t>/区段工程、施工部位放线，并对放线的准确性负责。</w:t>
      </w:r>
    </w:p>
    <w:p w14:paraId="482DC07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7.4.3 </w:t>
      </w:r>
      <w:r>
        <w:rPr>
          <w:rFonts w:hint="eastAsia" w:cs="宋体" w:asciiTheme="minorEastAsia" w:hAnsiTheme="minorEastAsia" w:eastAsiaTheme="minorEastAsia"/>
          <w:color w:val="auto"/>
          <w:szCs w:val="21"/>
          <w:highlight w:val="none"/>
        </w:rPr>
        <w:t>承包人负责施工过程中的全部施工测量放线工作，并配置具有相应资质的人员、合格的仪器、设备和其他物品。承包人应矫正工程的位置、标高、尺寸或基准线中出现的任何差错，并对工程各部分的定位负责。施工过程中对施工现场内水准点等测量标志物的保护工作由承包人负责。</w:t>
      </w:r>
    </w:p>
    <w:p w14:paraId="2826CE2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71" w:name="_Toc54862240"/>
      <w:bookmarkStart w:id="272" w:name="_Ref531954323"/>
      <w:bookmarkStart w:id="273" w:name="_Ref4770992"/>
      <w:bookmarkStart w:id="274" w:name="_Ref531954329"/>
      <w:r>
        <w:rPr>
          <w:rFonts w:cs="宋体" w:asciiTheme="minorEastAsia" w:hAnsiTheme="minorEastAsia" w:eastAsiaTheme="minorEastAsia"/>
          <w:color w:val="auto"/>
          <w:szCs w:val="21"/>
          <w:highlight w:val="none"/>
        </w:rPr>
        <w:t xml:space="preserve">7.5 </w:t>
      </w:r>
      <w:r>
        <w:rPr>
          <w:rFonts w:hint="eastAsia" w:cs="宋体" w:asciiTheme="minorEastAsia" w:hAnsiTheme="minorEastAsia" w:eastAsiaTheme="minorEastAsia"/>
          <w:color w:val="auto"/>
          <w:szCs w:val="21"/>
          <w:highlight w:val="none"/>
        </w:rPr>
        <w:t>现场劳动用工</w:t>
      </w:r>
      <w:bookmarkEnd w:id="271"/>
    </w:p>
    <w:p w14:paraId="487758E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7.5.1 </w:t>
      </w:r>
      <w:r>
        <w:rPr>
          <w:rFonts w:hint="eastAsia" w:cs="宋体" w:asciiTheme="minorEastAsia" w:hAnsiTheme="minorEastAsia" w:eastAsiaTheme="minorEastAsia"/>
          <w:color w:val="auto"/>
          <w:szCs w:val="21"/>
          <w:highlight w:val="none"/>
        </w:rPr>
        <w:t>承包人及其分包人招用建筑工人的，应当依法与所招用的建筑工人订立劳动合同，实行建筑工人劳动用工实名制管理，承包人应当按照有关规定开设建筑工人工资专用账户、存储工资保证金，专项用于支付和保障该工程建设项目建筑工人工资。</w:t>
      </w:r>
    </w:p>
    <w:p w14:paraId="4D8FF85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7.5.2 </w:t>
      </w:r>
      <w:r>
        <w:rPr>
          <w:rFonts w:hint="eastAsia" w:cs="宋体" w:asciiTheme="minorEastAsia" w:hAnsiTheme="minorEastAsia" w:eastAsiaTheme="minorEastAsia"/>
          <w:color w:val="auto"/>
          <w:szCs w:val="21"/>
          <w:highlight w:val="none"/>
        </w:rPr>
        <w:t>承包人应当在工程项目部配备劳资专管员，对分包单位劳动用工及工资发放实施监督管理。承包人拖欠建筑工人工资的</w:t>
      </w:r>
      <w:r>
        <w:rPr>
          <w:rFonts w:cs="宋体" w:asciiTheme="minorEastAsia" w:hAnsiTheme="minorEastAsia" w:eastAsiaTheme="minorEastAsia"/>
          <w:color w:val="auto"/>
          <w:szCs w:val="21"/>
          <w:highlight w:val="none"/>
        </w:rPr>
        <w:t>,应当依法予以清偿。分包人拖欠建筑工人工资的,由承包人先行清偿,再依法进行追偿。因发包人未按照合同约定及时拨付工程款导致建筑工人工资拖欠的，发包人应当以未结清的工程款为限先行垫付被拖欠的建筑工人工资。合同当事人可在专用合同条件中约定具体的清偿事宜和违约责任。</w:t>
      </w:r>
    </w:p>
    <w:p w14:paraId="3D10C87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7.5.3 </w:t>
      </w:r>
      <w:r>
        <w:rPr>
          <w:rFonts w:hint="eastAsia" w:cs="宋体" w:asciiTheme="minorEastAsia" w:hAnsiTheme="minorEastAsia" w:eastAsiaTheme="minorEastAsia"/>
          <w:color w:val="auto"/>
          <w:szCs w:val="21"/>
          <w:highlight w:val="none"/>
        </w:rPr>
        <w:t>承包人应当按照相关法律法规的要求，进行劳动用工管理和建筑工人工资支付。</w:t>
      </w:r>
    </w:p>
    <w:p w14:paraId="76C5DE09">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75" w:name="_Toc54862241"/>
      <w:bookmarkStart w:id="276" w:name="_Ref41554059"/>
      <w:r>
        <w:rPr>
          <w:rFonts w:cs="宋体" w:asciiTheme="minorEastAsia" w:hAnsiTheme="minorEastAsia" w:eastAsiaTheme="minorEastAsia"/>
          <w:color w:val="auto"/>
          <w:szCs w:val="21"/>
          <w:highlight w:val="none"/>
        </w:rPr>
        <w:t xml:space="preserve">7.6 </w:t>
      </w:r>
      <w:r>
        <w:rPr>
          <w:rFonts w:hint="eastAsia" w:cs="宋体" w:asciiTheme="minorEastAsia" w:hAnsiTheme="minorEastAsia" w:eastAsiaTheme="minorEastAsia"/>
          <w:color w:val="auto"/>
          <w:szCs w:val="21"/>
          <w:highlight w:val="none"/>
        </w:rPr>
        <w:t>安全文明施工</w:t>
      </w:r>
      <w:bookmarkEnd w:id="272"/>
      <w:bookmarkEnd w:id="273"/>
      <w:bookmarkEnd w:id="274"/>
      <w:bookmarkEnd w:id="275"/>
      <w:bookmarkEnd w:id="276"/>
    </w:p>
    <w:p w14:paraId="1498549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77" w:name="_Ref18990822"/>
      <w:r>
        <w:rPr>
          <w:rFonts w:cs="宋体" w:asciiTheme="minorEastAsia" w:hAnsiTheme="minorEastAsia" w:eastAsiaTheme="minorEastAsia"/>
          <w:color w:val="auto"/>
          <w:szCs w:val="21"/>
          <w:highlight w:val="none"/>
        </w:rPr>
        <w:t xml:space="preserve">7.6.1 </w:t>
      </w:r>
      <w:r>
        <w:rPr>
          <w:rFonts w:hint="eastAsia" w:cs="宋体" w:asciiTheme="minorEastAsia" w:hAnsiTheme="minorEastAsia" w:eastAsiaTheme="minorEastAsia"/>
          <w:color w:val="auto"/>
          <w:szCs w:val="21"/>
          <w:highlight w:val="none"/>
        </w:rPr>
        <w:t>安全生产要求</w:t>
      </w:r>
      <w:bookmarkEnd w:id="277"/>
    </w:p>
    <w:p w14:paraId="01BEFC5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履行期间，合同当事人均应当遵守国家和工程所在地有关安全生产的要求，合同当事人有特别要求的，应在专用合同条件中明确安全生产标准化目标及相应事项。承包人有权拒绝发包人及工程师强令承包人违章作业、冒险施工的任何指示。</w:t>
      </w:r>
    </w:p>
    <w:p w14:paraId="66C2532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工程实施过程中，如遇到突发的地质变动、事先未知的地下施工障碍等影响施工安全的紧急情况，承包人应及时报告工程师和发包人，发包人应当及时下令停工并采取应急措施，按照相关法律法规的要求需上报政府有关行政管理部门的，应依法上报。</w:t>
      </w:r>
    </w:p>
    <w:p w14:paraId="05691ED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因安全生产需要暂停施工的，按照第</w:t>
      </w:r>
      <w:r>
        <w:rPr>
          <w:rFonts w:cs="宋体" w:asciiTheme="minorEastAsia" w:hAnsiTheme="minorEastAsia" w:eastAsiaTheme="minorEastAsia"/>
          <w:color w:val="auto"/>
          <w:szCs w:val="21"/>
          <w:highlight w:val="none"/>
        </w:rPr>
        <w:t>8.9款[暂停工作]的约定执行。</w:t>
      </w:r>
    </w:p>
    <w:p w14:paraId="2DADD25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7.6.2 </w:t>
      </w:r>
      <w:r>
        <w:rPr>
          <w:rFonts w:hint="eastAsia" w:cs="宋体" w:asciiTheme="minorEastAsia" w:hAnsiTheme="minorEastAsia" w:eastAsiaTheme="minorEastAsia"/>
          <w:color w:val="auto"/>
          <w:szCs w:val="21"/>
          <w:highlight w:val="none"/>
        </w:rPr>
        <w:t>安全生产保证措施</w:t>
      </w:r>
    </w:p>
    <w:p w14:paraId="78DACA8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承包人应当按照法律、法规和工程建设强制性标准进行设计、在设计文件中注明涉及施工安全的重点部位和环节，提出保障施工作业人员和预防安全事故的措施建议，防止因设计不合理导致生产安全事故的发生。</w:t>
      </w:r>
    </w:p>
    <w:p w14:paraId="62FCF9B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当按照有关规定编制安全技术措施或者专项施工方案，建立安全生产责任制度、治安保卫制度及安全生产教育培训制度，并按安全生产法律规定及合同约定履行安全职责，如实编制工程安全生产的有关记录，接受发包人、工程师及政府安全监督部门的检查与监督。</w:t>
      </w:r>
    </w:p>
    <w:p w14:paraId="1C6C832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按照法律规定进行施工，开工前做好安全技术交底工作，施工过程中做好各项安全防护措施。承包人为实施合同而雇用的特殊工种的人员应受过专门的培训并已取得政府有关管理机构颁发的上岗证书。承包人应加强施工作业安全管理，特别应加强对于易燃、易爆材料、火工器材、有毒与腐蚀性材料和其他危险品的管理，以及对爆破作业和地下工程施工等危险作业的管理。</w:t>
      </w:r>
    </w:p>
    <w:p w14:paraId="6C6BCF9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278" w:name="_Ref18990840"/>
      <w:r>
        <w:rPr>
          <w:rFonts w:cs="宋体" w:asciiTheme="minorEastAsia" w:hAnsiTheme="minorEastAsia" w:eastAsiaTheme="minorEastAsia"/>
          <w:color w:val="auto"/>
          <w:szCs w:val="21"/>
          <w:highlight w:val="none"/>
        </w:rPr>
        <w:t xml:space="preserve">7.6.3 </w:t>
      </w:r>
      <w:r>
        <w:rPr>
          <w:rFonts w:hint="eastAsia" w:cs="宋体" w:asciiTheme="minorEastAsia" w:hAnsiTheme="minorEastAsia" w:eastAsiaTheme="minorEastAsia"/>
          <w:color w:val="auto"/>
          <w:szCs w:val="21"/>
          <w:highlight w:val="none"/>
        </w:rPr>
        <w:t>文明施工</w:t>
      </w:r>
      <w:bookmarkEnd w:id="278"/>
    </w:p>
    <w:p w14:paraId="24770FC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承包人在工程施工期间，应当采取措施保持施工现场平整，物料堆放整齐。工程所在地有关政府行政管理部门有特殊要求的，按照其要求执行。合同当事人对文明施工有其他要求的，可以在专用合同条件中明确。</w:t>
      </w:r>
    </w:p>
    <w:p w14:paraId="5DEB672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工程移交之前，承包人应当从施工现场清除承包人的全部工程设备、多余材料、垃圾和各种临时工程，并保持施工现场清洁整齐。经发包人书面同意，承包人可在发包人指定的地点保留承包人履行缺陷责任期内的各项义务所需要的材料、施工设备和临时工程。</w:t>
      </w:r>
    </w:p>
    <w:p w14:paraId="11F29F0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7.6.4 </w:t>
      </w:r>
      <w:r>
        <w:rPr>
          <w:rFonts w:hint="eastAsia" w:cs="宋体" w:asciiTheme="minorEastAsia" w:hAnsiTheme="minorEastAsia" w:eastAsiaTheme="minorEastAsia"/>
          <w:color w:val="auto"/>
          <w:szCs w:val="21"/>
          <w:highlight w:val="none"/>
        </w:rPr>
        <w:t>事故处理</w:t>
      </w:r>
    </w:p>
    <w:p w14:paraId="05A6EF3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实施过程中发生事故的，承包人应立即通知工程师。发包人和承包人应立即组织人员和设备进行紧急抢救和抢修，减少人员伤亡和财产损失，防止事故扩大，并保护事故现场。需要移动现场物品时，应作出标记和书面记录，妥善保管有关证据。发包人和承包人应按国家有关规定，及时如实地向有关部门报告事故发生的情况，以及正在采取的紧急措施等。</w:t>
      </w:r>
    </w:p>
    <w:p w14:paraId="08F8288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工程实施期间或缺陷责任期内发生危及工程安全的事件，工程师通知承包人进行抢救和抢修，承包人声明无能力或不愿立即执行的，发包人有权雇佣其他人员进行抢救和抢修。此类抢救和抢修按合同约定属于承包人义务的，由此增加的费用和（或）延误的工期由承包人承担。</w:t>
      </w:r>
    </w:p>
    <w:p w14:paraId="353B310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7.6.5 </w:t>
      </w:r>
      <w:r>
        <w:rPr>
          <w:rFonts w:hint="eastAsia" w:cs="宋体" w:asciiTheme="minorEastAsia" w:hAnsiTheme="minorEastAsia" w:eastAsiaTheme="minorEastAsia"/>
          <w:color w:val="auto"/>
          <w:szCs w:val="21"/>
          <w:highlight w:val="none"/>
        </w:rPr>
        <w:t>安全生产责任</w:t>
      </w:r>
    </w:p>
    <w:p w14:paraId="77C2DBB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发包人应负责赔偿以下各种情况造成的损失：</w:t>
      </w:r>
    </w:p>
    <w:p w14:paraId="235CA4F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1）工程或工程的任何部分对土地的占用所造成的第三者财产损失；</w:t>
      </w:r>
    </w:p>
    <w:p w14:paraId="7D30A2E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2）由于发包人原因在施工现场及其毗邻地带、履行合同工作中造成的第三者人身伤亡和财产损失；</w:t>
      </w:r>
    </w:p>
    <w:p w14:paraId="4903D3E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3）由于发包人原因对发包人自身、承包人、工程师造成的人身伤害和财产损失。</w:t>
      </w:r>
    </w:p>
    <w:p w14:paraId="7560B83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承包人应负责赔偿由于承包人原因在施工现场及其毗邻地带、履行合同工作中造成的第三者人身伤亡和财产损失。</w:t>
      </w:r>
    </w:p>
    <w:p w14:paraId="2B9E856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如果上述损失是由于发包人和承包人共同原因导致的，则双方应根据过错情况按比例承担。</w:t>
      </w:r>
    </w:p>
    <w:p w14:paraId="6B86FD43">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79" w:name="_Toc54862242"/>
      <w:bookmarkStart w:id="280" w:name="_Ref41554069"/>
      <w:bookmarkStart w:id="281" w:name="_Ref11874562"/>
      <w:r>
        <w:rPr>
          <w:rFonts w:cs="宋体" w:asciiTheme="minorEastAsia" w:hAnsiTheme="minorEastAsia" w:eastAsiaTheme="minorEastAsia"/>
          <w:color w:val="auto"/>
          <w:szCs w:val="21"/>
          <w:highlight w:val="none"/>
        </w:rPr>
        <w:t xml:space="preserve">7.7 </w:t>
      </w:r>
      <w:r>
        <w:rPr>
          <w:rFonts w:hint="eastAsia" w:cs="宋体" w:asciiTheme="minorEastAsia" w:hAnsiTheme="minorEastAsia" w:eastAsiaTheme="minorEastAsia"/>
          <w:color w:val="auto"/>
          <w:szCs w:val="21"/>
          <w:highlight w:val="none"/>
        </w:rPr>
        <w:t>职业健康</w:t>
      </w:r>
      <w:bookmarkEnd w:id="279"/>
      <w:bookmarkEnd w:id="280"/>
      <w:bookmarkEnd w:id="281"/>
    </w:p>
    <w:p w14:paraId="707674A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承包人应遵守适用的职业健康的法律和合同约定（包括对雇用、职业健康、安全、福利等方面的规定），负责现场实施过程中其人员的职业健康和保护，包括：</w:t>
      </w:r>
    </w:p>
    <w:p w14:paraId="796C2CF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承包人应遵守适用的劳动法规，保护承包人员工及承包人聘用的第三方人员的合法休假权等合法权益，按照法律规定安排现场施工人员的劳动和休息时间，保障劳动者的休息时间，并支付合理的报酬和费用。因工程施工的特殊需要占用休假日或延长工作时间的，应不超过法律规定的限度，并按法律规定给予补休或酬劳。</w:t>
      </w:r>
    </w:p>
    <w:p w14:paraId="5089E54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2）承包人应依法为承包人</w:t>
      </w:r>
      <w:bookmarkStart w:id="282" w:name="_Hlk46339538"/>
      <w:r>
        <w:rPr>
          <w:rFonts w:hint="eastAsia" w:cs="宋体" w:asciiTheme="minorEastAsia" w:hAnsiTheme="minorEastAsia" w:eastAsiaTheme="minorEastAsia"/>
          <w:color w:val="auto"/>
          <w:szCs w:val="21"/>
          <w:highlight w:val="none"/>
        </w:rPr>
        <w:t>员工及承包人聘用的第三方人员</w:t>
      </w:r>
      <w:bookmarkEnd w:id="282"/>
      <w:r>
        <w:rPr>
          <w:rFonts w:hint="eastAsia" w:cs="宋体" w:asciiTheme="minorEastAsia" w:hAnsiTheme="minorEastAsia" w:eastAsiaTheme="minorEastAsia"/>
          <w:color w:val="auto"/>
          <w:szCs w:val="21"/>
          <w:highlight w:val="none"/>
        </w:rPr>
        <w:t>办理必要的证件、许可、保险和注册等，承包人应督促其分包人为分包人员工及分包人聘用的第三方人员办理必要的证件、许可、保险和注册等。承包人应为其履行合同所雇用的人员提供必要的膳宿条件和生活环境，必要的现场食宿条件。</w:t>
      </w:r>
    </w:p>
    <w:p w14:paraId="0EA17C1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承包人应对其施工人员进行相关作业的职业健康知识培训、危险及危害因素交底、安全操作规程交底、采取有效措施，按有关规定为其现场人员提供劳动保护用品、防护器具、防暑降温用品和安全生产设施。采取有效的防止粉尘、降低噪声、控制有害气体和保障高温、高寒、高空作业安全等劳动保护措施。</w:t>
      </w:r>
    </w:p>
    <w:p w14:paraId="3863ED3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承包人应在有毒有害作业区域设置警示标志和说明，对有毒有害岗位进行防治检查，对不合格的防护设施、器具、搭设等及时整改，消除危害职业健康的隐患。发包人人员和工程师人员未经承包人允许、未配备相关保护器具，进入该作业区域所造成的伤害，由发包人承担责任和费用。</w:t>
      </w:r>
    </w:p>
    <w:p w14:paraId="49F13FD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 xml:space="preserve">5）承包人应采取有效措施预防传染病，保持食堂的饮食卫生，保证施工人员的健康，并定期对施工现场、施工人员生活基地和工程进行防疫和卫生的专业检查和处理, </w:t>
      </w:r>
      <w:r>
        <w:rPr>
          <w:rFonts w:hint="eastAsia" w:cs="宋体" w:asciiTheme="minorEastAsia" w:hAnsiTheme="minorEastAsia" w:eastAsiaTheme="minorEastAsia"/>
          <w:color w:val="auto"/>
          <w:szCs w:val="21"/>
          <w:highlight w:val="none"/>
        </w:rPr>
        <w:t>在远离城镇的施工现场，还应配备必要的伤病防治和急救的医务人员与医疗设施。承包人雇佣人员在施工中受到伤害的，</w:t>
      </w:r>
    </w:p>
    <w:p w14:paraId="4358DF0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承包人应立即采取有效措施进行抢救和治疗。</w:t>
      </w:r>
    </w:p>
    <w:p w14:paraId="4BB70423">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83" w:name="_Ref11874570"/>
      <w:bookmarkStart w:id="284" w:name="_Toc54862243"/>
      <w:r>
        <w:rPr>
          <w:rFonts w:cs="宋体" w:asciiTheme="minorEastAsia" w:hAnsiTheme="minorEastAsia" w:eastAsiaTheme="minorEastAsia"/>
          <w:color w:val="auto"/>
          <w:szCs w:val="21"/>
          <w:highlight w:val="none"/>
        </w:rPr>
        <w:t xml:space="preserve">7.8 </w:t>
      </w:r>
      <w:r>
        <w:rPr>
          <w:rFonts w:hint="eastAsia" w:cs="宋体" w:asciiTheme="minorEastAsia" w:hAnsiTheme="minorEastAsia" w:eastAsiaTheme="minorEastAsia"/>
          <w:color w:val="auto"/>
          <w:szCs w:val="21"/>
          <w:highlight w:val="none"/>
        </w:rPr>
        <w:t>环境保护</w:t>
      </w:r>
      <w:bookmarkEnd w:id="283"/>
      <w:bookmarkEnd w:id="284"/>
    </w:p>
    <w:p w14:paraId="2475612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7.8.1 </w:t>
      </w:r>
      <w:r>
        <w:rPr>
          <w:rFonts w:hint="eastAsia" w:cs="宋体" w:asciiTheme="minorEastAsia" w:hAnsiTheme="minorEastAsia" w:eastAsiaTheme="minorEastAsia"/>
          <w:color w:val="auto"/>
          <w:szCs w:val="21"/>
          <w:highlight w:val="none"/>
        </w:rPr>
        <w:t>承包人负责在现场施工过程中对现场周围的建筑物、构筑物、文物建筑、古树、名木，及地下管线、线缆、构筑物、文物、化石和坟墓等进行保护。因承包人未能通知发包人，并在未能得到发包人进一步指示的情况下，所造成的损害、损失、赔偿等费用增加，和（或）竣工日期延误，由承包人负责。如承包人已及时通知发包人，发包人未能及时作出指示的，所造成的损害、损失、赔偿等费用增加，和（或）竣工日期延误，由发包人负责。</w:t>
      </w:r>
    </w:p>
    <w:p w14:paraId="108ED9F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7.8.2 </w:t>
      </w:r>
      <w:r>
        <w:rPr>
          <w:rFonts w:hint="eastAsia" w:cs="宋体" w:asciiTheme="minorEastAsia" w:hAnsiTheme="minorEastAsia" w:eastAsiaTheme="minorEastAsia"/>
          <w:color w:val="auto"/>
          <w:szCs w:val="21"/>
          <w:highlight w:val="none"/>
        </w:rPr>
        <w:t>承包人应采取措施，并负责控制和（或）处理现场的粉尘、废气、废水、固体废物和噪声对环境的污染和危害。因此发生的伤害、赔偿、罚款等费用增加，和（或）竣工日期延误，由承包人负责。</w:t>
      </w:r>
    </w:p>
    <w:p w14:paraId="7CF5411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7.8.3 </w:t>
      </w:r>
      <w:r>
        <w:rPr>
          <w:rFonts w:hint="eastAsia" w:cs="宋体" w:asciiTheme="minorEastAsia" w:hAnsiTheme="minorEastAsia" w:eastAsiaTheme="minorEastAsia"/>
          <w:color w:val="auto"/>
          <w:szCs w:val="21"/>
          <w:highlight w:val="none"/>
        </w:rPr>
        <w:t>承包人及时或定期将施工现场残留、废弃的垃圾分类后运到发包人或当地有关行政部门指定的地点，防止对周围环境的污染及对作业的影响。承包人应当承担因其原因引起的环境污染侵权损害赔偿责任，因违反上述约定导致当地行政部门的罚款、赔偿等增加的费用，由承包人承担；因上述环境污染引起纠纷而导致暂停施工的，由此增加的费用和（或）延误的工期由承包人承担。</w:t>
      </w:r>
    </w:p>
    <w:p w14:paraId="2CDED8B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85" w:name="_Ref531954344"/>
      <w:bookmarkStart w:id="286" w:name="_Ref531954340"/>
      <w:bookmarkStart w:id="287" w:name="_Ref4771116"/>
      <w:bookmarkStart w:id="288" w:name="_Toc54862244"/>
      <w:r>
        <w:rPr>
          <w:rFonts w:cs="宋体" w:asciiTheme="minorEastAsia" w:hAnsiTheme="minorEastAsia" w:eastAsiaTheme="minorEastAsia"/>
          <w:color w:val="auto"/>
          <w:szCs w:val="21"/>
          <w:highlight w:val="none"/>
        </w:rPr>
        <w:t xml:space="preserve">7.9 </w:t>
      </w:r>
      <w:r>
        <w:rPr>
          <w:rFonts w:hint="eastAsia" w:cs="宋体" w:asciiTheme="minorEastAsia" w:hAnsiTheme="minorEastAsia" w:eastAsiaTheme="minorEastAsia"/>
          <w:color w:val="auto"/>
          <w:szCs w:val="21"/>
          <w:highlight w:val="none"/>
        </w:rPr>
        <w:t>临时性公用设施</w:t>
      </w:r>
      <w:bookmarkEnd w:id="285"/>
      <w:bookmarkEnd w:id="286"/>
      <w:bookmarkEnd w:id="287"/>
      <w:bookmarkEnd w:id="288"/>
    </w:p>
    <w:p w14:paraId="715B911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7.9.1 </w:t>
      </w:r>
      <w:r>
        <w:rPr>
          <w:rFonts w:hint="eastAsia" w:cs="宋体" w:asciiTheme="minorEastAsia" w:hAnsiTheme="minorEastAsia" w:eastAsiaTheme="minorEastAsia"/>
          <w:color w:val="auto"/>
          <w:szCs w:val="21"/>
          <w:highlight w:val="none"/>
        </w:rPr>
        <w:t>提供临时用水、用电等和节点铺设</w:t>
      </w:r>
    </w:p>
    <w:p w14:paraId="365533B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发包人应在承包人进场前将施工临时用水、用电等接至约定的节点位置，并保证其需要。上述临时使用的水、电等的类别、取费单价在专用合同条件中约定，发包人按实际计量结果收费。发包人无法提供的水、电等在专用合同条件中约定，相关费用由承包人纳入报价并承担相关责任。</w:t>
      </w:r>
    </w:p>
    <w:p w14:paraId="2733966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未能按约定的类别和时间完成节点铺设，使开工时间延误，竣工日期相应顺延。未能按约定的品质、数量和时间提供水、电等，给承包人造成的损失由发包人承担，导致工程关键路径延误的，竣工日期相应顺延。</w:t>
      </w:r>
    </w:p>
    <w:p w14:paraId="0790E19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7.9.2 </w:t>
      </w:r>
      <w:r>
        <w:rPr>
          <w:rFonts w:hint="eastAsia" w:cs="宋体" w:asciiTheme="minorEastAsia" w:hAnsiTheme="minorEastAsia" w:eastAsiaTheme="minorEastAsia"/>
          <w:color w:val="auto"/>
          <w:szCs w:val="21"/>
          <w:highlight w:val="none"/>
        </w:rPr>
        <w:t>临时用水、用电等</w:t>
      </w:r>
    </w:p>
    <w:p w14:paraId="3B7FFDD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承包人应在计划开始现场施工日期</w:t>
      </w:r>
      <w:r>
        <w:rPr>
          <w:rFonts w:cs="宋体" w:asciiTheme="minorEastAsia" w:hAnsiTheme="minorEastAsia" w:eastAsiaTheme="minorEastAsia"/>
          <w:color w:val="auto"/>
          <w:szCs w:val="21"/>
          <w:highlight w:val="none"/>
        </w:rPr>
        <w:t>28天前或双方约定的其它时间，按专用合同条件中约定的发包人能够提供的临时用水、用电等类别，向发包人提交施工（含工程物资保管）所需的临时用水、用电等的品质、正常用量、高峰用量、使用时间和节点位置等资料。承包人自费负责计量仪器的购买、安装和维护，并依据专用合同条件中约定的单价向发包人交费，合同当事人另有约定时除外。</w:t>
      </w:r>
    </w:p>
    <w:p w14:paraId="15371CF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因承包人未能按合同约定提交上述资料，造成发包人费用增加和竣工日期延误时，由承包人负责。</w:t>
      </w:r>
      <w:bookmarkStart w:id="289" w:name="_Ref508893743"/>
    </w:p>
    <w:p w14:paraId="55628043">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90" w:name="_Ref531952248"/>
      <w:bookmarkStart w:id="291" w:name="_Toc54862245"/>
      <w:bookmarkStart w:id="292" w:name="_Ref531952239"/>
      <w:r>
        <w:rPr>
          <w:rFonts w:cs="宋体" w:asciiTheme="minorEastAsia" w:hAnsiTheme="minorEastAsia" w:eastAsiaTheme="minorEastAsia"/>
          <w:color w:val="auto"/>
          <w:szCs w:val="21"/>
          <w:highlight w:val="none"/>
        </w:rPr>
        <w:t xml:space="preserve">7.10 </w:t>
      </w:r>
      <w:r>
        <w:rPr>
          <w:rFonts w:hint="eastAsia" w:cs="宋体" w:asciiTheme="minorEastAsia" w:hAnsiTheme="minorEastAsia" w:eastAsiaTheme="minorEastAsia"/>
          <w:color w:val="auto"/>
          <w:szCs w:val="21"/>
          <w:highlight w:val="none"/>
        </w:rPr>
        <w:t>现场安保</w:t>
      </w:r>
      <w:bookmarkEnd w:id="290"/>
      <w:bookmarkEnd w:id="291"/>
      <w:bookmarkEnd w:id="292"/>
    </w:p>
    <w:p w14:paraId="4DCD811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承包人承担自发包人向其移交施工现场、进入占有施工现场至发包人接收单位</w:t>
      </w:r>
      <w:r>
        <w:rPr>
          <w:rFonts w:cs="宋体" w:asciiTheme="minorEastAsia" w:hAnsiTheme="minorEastAsia" w:eastAsiaTheme="minorEastAsia"/>
          <w:color w:val="auto"/>
          <w:szCs w:val="21"/>
          <w:highlight w:val="none"/>
        </w:rPr>
        <w:t>/区段工程或（和）工程之前的现场安保责任，并负责编制相关的安保制度、责任制度和报告制度，提交给发包人。除专用合同条件另有约定外，承包人的该等义务不因其与他人共同合法占有施工现场而减免。承包人有权要求发包人负责协调他人就共同合法占有现场的安保事宜接受承包人的管理。</w:t>
      </w:r>
    </w:p>
    <w:p w14:paraId="5672978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承包人应将其作业限制在现场区域、合同约定的区域或为履行合同所需的区域内。承包人应采取一切必要的预防措施，以保持承包人的设备和人员处于现场区域内，避免其进入邻近地区。</w:t>
      </w:r>
    </w:p>
    <w:p w14:paraId="6C79EE3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承包人为履行合同义务而占用的其他场所（如预制加工场所、办公及生活营区）的安保适用本款前述关于现场安保的规定。</w:t>
      </w:r>
    </w:p>
    <w:p w14:paraId="0F8D5CFA">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93" w:name="_Toc54862246"/>
      <w:r>
        <w:rPr>
          <w:rFonts w:cs="宋体" w:asciiTheme="minorEastAsia" w:hAnsiTheme="minorEastAsia" w:eastAsiaTheme="minorEastAsia"/>
          <w:color w:val="auto"/>
          <w:szCs w:val="21"/>
          <w:highlight w:val="none"/>
        </w:rPr>
        <w:t xml:space="preserve">7.11 </w:t>
      </w:r>
      <w:r>
        <w:rPr>
          <w:rFonts w:hint="eastAsia" w:cs="宋体" w:asciiTheme="minorEastAsia" w:hAnsiTheme="minorEastAsia" w:eastAsiaTheme="minorEastAsia"/>
          <w:color w:val="auto"/>
          <w:szCs w:val="21"/>
          <w:highlight w:val="none"/>
        </w:rPr>
        <w:t>工程照管</w:t>
      </w:r>
      <w:bookmarkEnd w:id="293"/>
    </w:p>
    <w:p w14:paraId="5FCE5D6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自开始现场施工日期起至发包人应当接收工程之日止，承包人应承担工程现场、材料、设备及承包人文件的照管和维护工作。</w:t>
      </w:r>
    </w:p>
    <w:p w14:paraId="09D42C5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如部分工程于竣工验收前提前交付发包人的，则自交付之日起，该部分工程照管及维护职责由发包人承担。</w:t>
      </w:r>
    </w:p>
    <w:p w14:paraId="2A5C801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如发包人及承包人进行竣工验收时尚有部分未竣工工程的，承包人应负责该未竣工工程的照管和维护工作，直至竣工后移交给发包人。</w:t>
      </w:r>
    </w:p>
    <w:p w14:paraId="51D5A07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如合同解除或终止的，承包人自合同解除或终止之日起不再对工程承担照管和维护义务。</w:t>
      </w:r>
    </w:p>
    <w:p w14:paraId="2C6F0A27">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294" w:name="_Ref508998009"/>
      <w:bookmarkStart w:id="295" w:name="_Toc54862247"/>
      <w:bookmarkStart w:id="296" w:name="_Ref531954505"/>
      <w:bookmarkStart w:id="297" w:name="_Ref531954518"/>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8条 </w:t>
      </w:r>
      <w:r>
        <w:rPr>
          <w:rFonts w:hint="eastAsia" w:cs="宋体" w:asciiTheme="minorEastAsia" w:hAnsiTheme="minorEastAsia" w:eastAsiaTheme="minorEastAsia"/>
          <w:b/>
          <w:color w:val="auto"/>
          <w:szCs w:val="21"/>
          <w:highlight w:val="none"/>
        </w:rPr>
        <w:t>工期和进度</w:t>
      </w:r>
      <w:bookmarkEnd w:id="294"/>
      <w:bookmarkEnd w:id="295"/>
    </w:p>
    <w:p w14:paraId="21C0A522">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298" w:name="_Toc54862248"/>
      <w:bookmarkStart w:id="299" w:name="_Ref532362075"/>
      <w:bookmarkStart w:id="300" w:name="_Ref532362072"/>
      <w:bookmarkStart w:id="301" w:name="_Ref532362777"/>
      <w:bookmarkStart w:id="302" w:name="_Ref532362774"/>
      <w:r>
        <w:rPr>
          <w:rFonts w:cs="宋体" w:asciiTheme="minorEastAsia" w:hAnsiTheme="minorEastAsia" w:eastAsiaTheme="minorEastAsia"/>
          <w:color w:val="auto"/>
          <w:szCs w:val="21"/>
          <w:highlight w:val="none"/>
        </w:rPr>
        <w:t xml:space="preserve">8.1 </w:t>
      </w:r>
      <w:r>
        <w:rPr>
          <w:rFonts w:hint="eastAsia" w:cs="宋体" w:asciiTheme="minorEastAsia" w:hAnsiTheme="minorEastAsia" w:eastAsiaTheme="minorEastAsia"/>
          <w:color w:val="auto"/>
          <w:szCs w:val="21"/>
          <w:highlight w:val="none"/>
        </w:rPr>
        <w:t>开始工作</w:t>
      </w:r>
      <w:bookmarkEnd w:id="298"/>
      <w:bookmarkEnd w:id="299"/>
      <w:bookmarkEnd w:id="300"/>
      <w:bookmarkEnd w:id="301"/>
      <w:bookmarkEnd w:id="302"/>
    </w:p>
    <w:p w14:paraId="28A95DE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03" w:name="_Ref4428890"/>
      <w:r>
        <w:rPr>
          <w:rFonts w:cs="宋体" w:asciiTheme="minorEastAsia" w:hAnsiTheme="minorEastAsia" w:eastAsiaTheme="minorEastAsia"/>
          <w:color w:val="auto"/>
          <w:szCs w:val="21"/>
          <w:highlight w:val="none"/>
        </w:rPr>
        <w:t xml:space="preserve">8.1.1 </w:t>
      </w:r>
      <w:r>
        <w:rPr>
          <w:rFonts w:hint="eastAsia" w:cs="宋体" w:asciiTheme="minorEastAsia" w:hAnsiTheme="minorEastAsia" w:eastAsiaTheme="minorEastAsia"/>
          <w:color w:val="auto"/>
          <w:szCs w:val="21"/>
          <w:highlight w:val="none"/>
        </w:rPr>
        <w:t>开始工作准备</w:t>
      </w:r>
      <w:bookmarkEnd w:id="303"/>
    </w:p>
    <w:p w14:paraId="40FCBF8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合同当事人应按专用合同条件约定完成开始工作准备工作。</w:t>
      </w:r>
    </w:p>
    <w:p w14:paraId="1F83F35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04" w:name="_Ref536790534"/>
      <w:bookmarkStart w:id="305" w:name="_Hlk51506490"/>
      <w:r>
        <w:rPr>
          <w:rFonts w:cs="宋体" w:asciiTheme="minorEastAsia" w:hAnsiTheme="minorEastAsia" w:eastAsiaTheme="minorEastAsia"/>
          <w:color w:val="auto"/>
          <w:szCs w:val="21"/>
          <w:highlight w:val="none"/>
        </w:rPr>
        <w:t xml:space="preserve">8.1.2 </w:t>
      </w:r>
      <w:r>
        <w:rPr>
          <w:rFonts w:hint="eastAsia" w:cs="宋体" w:asciiTheme="minorEastAsia" w:hAnsiTheme="minorEastAsia" w:eastAsiaTheme="minorEastAsia"/>
          <w:color w:val="auto"/>
          <w:szCs w:val="21"/>
          <w:highlight w:val="none"/>
        </w:rPr>
        <w:t>开始工作通知</w:t>
      </w:r>
      <w:bookmarkEnd w:id="304"/>
    </w:p>
    <w:bookmarkEnd w:id="305"/>
    <w:p w14:paraId="2BC300D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经发包人同意后，工程师应提前</w:t>
      </w:r>
      <w:r>
        <w:rPr>
          <w:rFonts w:cs="宋体" w:asciiTheme="minorEastAsia" w:hAnsiTheme="minorEastAsia" w:eastAsiaTheme="minorEastAsia"/>
          <w:color w:val="auto"/>
          <w:szCs w:val="21"/>
          <w:highlight w:val="none"/>
        </w:rPr>
        <w:t>7天向承包人发出经发包人签认的开始工作通知，工期自开始工作通知中载明的开始工作日期起算。</w:t>
      </w:r>
    </w:p>
    <w:p w14:paraId="7410902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除专用合同条件另有约定外，因发包人原因造成实际开始现场施工日期迟于</w:t>
      </w:r>
      <w:bookmarkStart w:id="306" w:name="_Hlk51506566"/>
      <w:r>
        <w:rPr>
          <w:rFonts w:hint="eastAsia" w:cs="宋体" w:asciiTheme="minorEastAsia" w:hAnsiTheme="minorEastAsia" w:eastAsiaTheme="minorEastAsia"/>
          <w:color w:val="auto"/>
          <w:szCs w:val="21"/>
          <w:highlight w:val="none"/>
        </w:rPr>
        <w:t>计划开始现场施工日期</w:t>
      </w:r>
      <w:bookmarkEnd w:id="306"/>
      <w:r>
        <w:rPr>
          <w:rFonts w:hint="eastAsia" w:cs="宋体" w:asciiTheme="minorEastAsia" w:hAnsiTheme="minorEastAsia" w:eastAsiaTheme="minorEastAsia"/>
          <w:color w:val="auto"/>
          <w:szCs w:val="21"/>
          <w:highlight w:val="none"/>
        </w:rPr>
        <w:t>后第</w:t>
      </w:r>
      <w:r>
        <w:rPr>
          <w:rFonts w:cs="宋体" w:asciiTheme="minorEastAsia" w:hAnsiTheme="minorEastAsia" w:eastAsiaTheme="minorEastAsia"/>
          <w:color w:val="auto"/>
          <w:szCs w:val="21"/>
          <w:highlight w:val="none"/>
        </w:rPr>
        <w:t>84天的，承包人有权提出价格调整要求，或者解除合同。发包人应当承担由此增加的费用和（或）延误的工期，并向承包人支付合理利润。</w:t>
      </w:r>
    </w:p>
    <w:p w14:paraId="7A7E75C3">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07" w:name="_Ref532362124"/>
      <w:bookmarkStart w:id="308" w:name="_Toc54862249"/>
      <w:r>
        <w:rPr>
          <w:rFonts w:cs="宋体" w:asciiTheme="minorEastAsia" w:hAnsiTheme="minorEastAsia" w:eastAsiaTheme="minorEastAsia"/>
          <w:color w:val="auto"/>
          <w:szCs w:val="21"/>
          <w:highlight w:val="none"/>
        </w:rPr>
        <w:t xml:space="preserve">8.2 </w:t>
      </w:r>
      <w:r>
        <w:rPr>
          <w:rFonts w:hint="eastAsia" w:cs="宋体" w:asciiTheme="minorEastAsia" w:hAnsiTheme="minorEastAsia" w:eastAsiaTheme="minorEastAsia"/>
          <w:color w:val="auto"/>
          <w:szCs w:val="21"/>
          <w:highlight w:val="none"/>
        </w:rPr>
        <w:t>竣工日期</w:t>
      </w:r>
      <w:bookmarkEnd w:id="307"/>
      <w:bookmarkEnd w:id="308"/>
    </w:p>
    <w:p w14:paraId="77DF4C4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承包人应在合同协议书约定的工期内完成合同工作。除专用合同条件另有约定外，工程的竣工日期以第</w:t>
      </w:r>
      <w:r>
        <w:rPr>
          <w:rFonts w:cs="宋体" w:asciiTheme="minorEastAsia" w:hAnsiTheme="minorEastAsia" w:eastAsiaTheme="minorEastAsia"/>
          <w:color w:val="auto"/>
          <w:szCs w:val="21"/>
          <w:highlight w:val="none"/>
        </w:rPr>
        <w:t>10.1条[竣工验收]的约定为准，并在工程接收证书中写明。</w:t>
      </w:r>
    </w:p>
    <w:p w14:paraId="4D7BE1C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因发包人原因，在工程师收到承包人竣工验收申请报告</w:t>
      </w:r>
      <w:r>
        <w:rPr>
          <w:rFonts w:cs="宋体" w:asciiTheme="minorEastAsia" w:hAnsiTheme="minorEastAsia" w:eastAsiaTheme="minorEastAsia"/>
          <w:color w:val="auto"/>
          <w:szCs w:val="21"/>
          <w:highlight w:val="none"/>
        </w:rPr>
        <w:t>42天后未进行验收的，视为验收合格，实际竣工日期以提交竣工验收申请报告的日期为准，但发包人由于不可抗力不能进行验收的除外。</w:t>
      </w:r>
    </w:p>
    <w:p w14:paraId="2C69BF71">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09" w:name="_Ref11863334"/>
      <w:bookmarkStart w:id="310" w:name="_Toc54862250"/>
      <w:bookmarkStart w:id="311" w:name="_Ref532352856"/>
      <w:bookmarkStart w:id="312" w:name="_Ref532362207"/>
      <w:bookmarkStart w:id="313" w:name="_Ref532352853"/>
      <w:bookmarkStart w:id="314" w:name="_Ref532362204"/>
      <w:r>
        <w:rPr>
          <w:rFonts w:cs="宋体" w:asciiTheme="minorEastAsia" w:hAnsiTheme="minorEastAsia" w:eastAsiaTheme="minorEastAsia"/>
          <w:color w:val="auto"/>
          <w:szCs w:val="21"/>
          <w:highlight w:val="none"/>
        </w:rPr>
        <w:t xml:space="preserve">8.3 </w:t>
      </w:r>
      <w:r>
        <w:rPr>
          <w:rFonts w:hint="eastAsia" w:cs="宋体" w:asciiTheme="minorEastAsia" w:hAnsiTheme="minorEastAsia" w:eastAsiaTheme="minorEastAsia"/>
          <w:color w:val="auto"/>
          <w:szCs w:val="21"/>
          <w:highlight w:val="none"/>
        </w:rPr>
        <w:t>项目实施计划</w:t>
      </w:r>
      <w:bookmarkEnd w:id="309"/>
      <w:bookmarkEnd w:id="310"/>
    </w:p>
    <w:p w14:paraId="67B6D1F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15" w:name="_Ref18990904"/>
      <w:r>
        <w:rPr>
          <w:rFonts w:cs="宋体" w:asciiTheme="minorEastAsia" w:hAnsiTheme="minorEastAsia" w:eastAsiaTheme="minorEastAsia"/>
          <w:color w:val="auto"/>
          <w:szCs w:val="21"/>
          <w:highlight w:val="none"/>
        </w:rPr>
        <w:t xml:space="preserve">8.3.1 </w:t>
      </w:r>
      <w:r>
        <w:rPr>
          <w:rFonts w:hint="eastAsia" w:cs="宋体" w:asciiTheme="minorEastAsia" w:hAnsiTheme="minorEastAsia" w:eastAsiaTheme="minorEastAsia"/>
          <w:color w:val="auto"/>
          <w:szCs w:val="21"/>
          <w:highlight w:val="none"/>
        </w:rPr>
        <w:t>项目实施计划的内容</w:t>
      </w:r>
      <w:bookmarkEnd w:id="315"/>
    </w:p>
    <w:p w14:paraId="43524E5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实施计划是依据合同和经批准的项目管理计划进行编制并用于对项目实施进行管理和控制的文件，应包含概述、总体实施方案、项目实施要点、项目初步进度计划以及合同当事人在专用合同条件中约定的其他内容。</w:t>
      </w:r>
    </w:p>
    <w:p w14:paraId="5C5E6E3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16" w:name="_Ref18990921"/>
      <w:r>
        <w:rPr>
          <w:rFonts w:cs="宋体" w:asciiTheme="minorEastAsia" w:hAnsiTheme="minorEastAsia" w:eastAsiaTheme="minorEastAsia"/>
          <w:color w:val="auto"/>
          <w:szCs w:val="21"/>
          <w:highlight w:val="none"/>
        </w:rPr>
        <w:t xml:space="preserve">8.3.2 </w:t>
      </w:r>
      <w:r>
        <w:rPr>
          <w:rFonts w:hint="eastAsia" w:cs="宋体" w:asciiTheme="minorEastAsia" w:hAnsiTheme="minorEastAsia" w:eastAsiaTheme="minorEastAsia"/>
          <w:color w:val="auto"/>
          <w:szCs w:val="21"/>
          <w:highlight w:val="none"/>
        </w:rPr>
        <w:t>项目实施计划的提交和修改</w:t>
      </w:r>
      <w:bookmarkEnd w:id="316"/>
    </w:p>
    <w:p w14:paraId="7BA4707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除专用合同条件另有约定外，承包人应在合同订立后</w:t>
      </w:r>
      <w:r>
        <w:rPr>
          <w:rFonts w:cs="宋体" w:asciiTheme="minorEastAsia" w:hAnsiTheme="minorEastAsia" w:eastAsiaTheme="minorEastAsia"/>
          <w:color w:val="auto"/>
          <w:szCs w:val="21"/>
          <w:highlight w:val="none"/>
        </w:rPr>
        <w:t>14天内，向工程师提交项目实施计划，工程师应在收到项目实施计划后21天内确认或提出修改意见。对工程师提出的合理意见和要求，承包人应自费修改完善。根据工程实施的实际情况需要修改项目实施计划的，承包人应向工程师提交修改后的项目实施计划。</w:t>
      </w:r>
    </w:p>
    <w:p w14:paraId="403D697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项目进度计划的编制和修改按照第</w:t>
      </w:r>
      <w:r>
        <w:rPr>
          <w:rFonts w:cs="宋体" w:asciiTheme="minorEastAsia" w:hAnsiTheme="minorEastAsia" w:eastAsiaTheme="minorEastAsia"/>
          <w:color w:val="auto"/>
          <w:szCs w:val="21"/>
          <w:highlight w:val="none"/>
        </w:rPr>
        <w:t>8.4款[项目进度计划]执行。</w:t>
      </w:r>
    </w:p>
    <w:p w14:paraId="0A3445E0">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17" w:name="_Toc54862251"/>
      <w:bookmarkStart w:id="318" w:name="_Ref11865507"/>
      <w:r>
        <w:rPr>
          <w:rFonts w:cs="宋体" w:asciiTheme="minorEastAsia" w:hAnsiTheme="minorEastAsia" w:eastAsiaTheme="minorEastAsia"/>
          <w:color w:val="auto"/>
          <w:szCs w:val="21"/>
          <w:highlight w:val="none"/>
        </w:rPr>
        <w:t xml:space="preserve">8.4 </w:t>
      </w:r>
      <w:r>
        <w:rPr>
          <w:rFonts w:hint="eastAsia" w:cs="宋体" w:asciiTheme="minorEastAsia" w:hAnsiTheme="minorEastAsia" w:eastAsiaTheme="minorEastAsia"/>
          <w:color w:val="auto"/>
          <w:szCs w:val="21"/>
          <w:highlight w:val="none"/>
        </w:rPr>
        <w:t>项目进度计划</w:t>
      </w:r>
      <w:bookmarkEnd w:id="311"/>
      <w:bookmarkEnd w:id="312"/>
      <w:bookmarkEnd w:id="313"/>
      <w:bookmarkEnd w:id="314"/>
      <w:bookmarkEnd w:id="317"/>
      <w:bookmarkEnd w:id="318"/>
    </w:p>
    <w:p w14:paraId="589B31F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19" w:name="_Ref4681217"/>
      <w:r>
        <w:rPr>
          <w:rFonts w:cs="宋体" w:asciiTheme="minorEastAsia" w:hAnsiTheme="minorEastAsia" w:eastAsiaTheme="minorEastAsia"/>
          <w:color w:val="auto"/>
          <w:szCs w:val="21"/>
          <w:highlight w:val="none"/>
        </w:rPr>
        <w:t xml:space="preserve">8.4.1 </w:t>
      </w:r>
      <w:r>
        <w:rPr>
          <w:rFonts w:hint="eastAsia" w:cs="宋体" w:asciiTheme="minorEastAsia" w:hAnsiTheme="minorEastAsia" w:eastAsiaTheme="minorEastAsia"/>
          <w:color w:val="auto"/>
          <w:szCs w:val="21"/>
          <w:highlight w:val="none"/>
        </w:rPr>
        <w:t>项目进度计划的提交和修改</w:t>
      </w:r>
      <w:bookmarkEnd w:id="319"/>
    </w:p>
    <w:p w14:paraId="02851D5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承包人应按照第</w:t>
      </w:r>
      <w:r>
        <w:rPr>
          <w:rFonts w:cs="宋体" w:asciiTheme="minorEastAsia" w:hAnsiTheme="minorEastAsia" w:eastAsiaTheme="minorEastAsia"/>
          <w:color w:val="auto"/>
          <w:szCs w:val="21"/>
          <w:highlight w:val="none"/>
        </w:rPr>
        <w:t>8.3款[项目实施计划]约定编制并向工程师提交项目初步进度计划，经工程师批准后实施。除专用合同条件另有约定外，工程师应在21天内批复或提出修改意见，否则该项目初步进度计划视为已得到批准。对工程师提出的合理意见和要求，承包人应自费修改完善。</w:t>
      </w:r>
    </w:p>
    <w:p w14:paraId="08C1FA8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经工程师批准的项目初步进度计划称为项目进度计划，是控制合同工程进度的依据，工程师有权按照进度计划检查工程进度情况。承包人还应根据项目进度计划，编制更为详细的分阶段或分项的进度计划，由工程师批准。</w:t>
      </w:r>
    </w:p>
    <w:p w14:paraId="3E6430F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20" w:name="_Ref4429079"/>
      <w:r>
        <w:rPr>
          <w:rFonts w:cs="宋体" w:asciiTheme="minorEastAsia" w:hAnsiTheme="minorEastAsia" w:eastAsiaTheme="minorEastAsia"/>
          <w:color w:val="auto"/>
          <w:szCs w:val="21"/>
          <w:highlight w:val="none"/>
        </w:rPr>
        <w:t xml:space="preserve">8.4.2 </w:t>
      </w:r>
      <w:r>
        <w:rPr>
          <w:rFonts w:hint="eastAsia" w:cs="宋体" w:asciiTheme="minorEastAsia" w:hAnsiTheme="minorEastAsia" w:eastAsiaTheme="minorEastAsia"/>
          <w:color w:val="auto"/>
          <w:szCs w:val="21"/>
          <w:highlight w:val="none"/>
        </w:rPr>
        <w:t>项目进度计划的内容</w:t>
      </w:r>
      <w:bookmarkEnd w:id="320"/>
    </w:p>
    <w:p w14:paraId="00DDF73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进度计划应当包括设计、承包人文件提交、采购、制造、检验、运达现场、施工、安装、试验的各个阶段的预期时间以及设计和施工组织方案说明等，其编制应当符合国家法律规定和一般工程实践惯例。项目进度计划的具体要求、关键路径及关键路径变化的确定原则、承包人提交的份数和时间等，在专用合同条件约定。</w:t>
      </w:r>
    </w:p>
    <w:p w14:paraId="15DC9D2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21" w:name="_Ref3848203"/>
      <w:r>
        <w:rPr>
          <w:rFonts w:cs="宋体" w:asciiTheme="minorEastAsia" w:hAnsiTheme="minorEastAsia" w:eastAsiaTheme="minorEastAsia"/>
          <w:color w:val="auto"/>
          <w:szCs w:val="21"/>
          <w:highlight w:val="none"/>
        </w:rPr>
        <w:t xml:space="preserve">8.4.3 </w:t>
      </w:r>
      <w:r>
        <w:rPr>
          <w:rFonts w:hint="eastAsia" w:cs="宋体" w:asciiTheme="minorEastAsia" w:hAnsiTheme="minorEastAsia" w:eastAsiaTheme="minorEastAsia"/>
          <w:color w:val="auto"/>
          <w:szCs w:val="21"/>
          <w:highlight w:val="none"/>
        </w:rPr>
        <w:t>项目进度计划的修订</w:t>
      </w:r>
      <w:bookmarkEnd w:id="321"/>
    </w:p>
    <w:p w14:paraId="66ABEAC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进度计划不符合合同要求或与工程的实际进度不一致的，承包人应向工程师提交修订的项目进度计划，并附具有关措施和相关资料。工程师也可以直接向承包人发出修订项目进度计划的通知，承包人如接受，应按该通知修订项目进度计划，报工程师批准。承包人如不接受，应当在</w:t>
      </w:r>
      <w:r>
        <w:rPr>
          <w:rFonts w:cs="宋体" w:asciiTheme="minorEastAsia" w:hAnsiTheme="minorEastAsia" w:eastAsiaTheme="minorEastAsia"/>
          <w:color w:val="auto"/>
          <w:szCs w:val="21"/>
          <w:highlight w:val="none"/>
        </w:rPr>
        <w:t>14天内答复，如未按时答复视作已接受修订项目进度计划通知中的内容。</w:t>
      </w:r>
    </w:p>
    <w:p w14:paraId="59C048C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除专用合同条件另有约定外，工程师应在收到修订的项目进度计划后</w:t>
      </w:r>
      <w:r>
        <w:rPr>
          <w:rFonts w:cs="宋体" w:asciiTheme="minorEastAsia" w:hAnsiTheme="minorEastAsia" w:eastAsiaTheme="minorEastAsia"/>
          <w:color w:val="auto"/>
          <w:szCs w:val="21"/>
          <w:highlight w:val="none"/>
        </w:rPr>
        <w:t>14天内完成审批或提出修改意见，如未按时答复视作已批准承包人修订后的项目进度计划。工程师对承包人提交的项目进度计划的确认，不能减轻或免除承包人根据法律规定和合同约定应承担的任何责任或义务。</w:t>
      </w:r>
    </w:p>
    <w:p w14:paraId="0060D8D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除合同当事人另有约定外，项目进度计划的修订并不能减轻或者免除双方按第</w:t>
      </w:r>
      <w:r>
        <w:rPr>
          <w:rFonts w:cs="宋体" w:asciiTheme="minorEastAsia" w:hAnsiTheme="minorEastAsia" w:eastAsiaTheme="minorEastAsia"/>
          <w:color w:val="auto"/>
          <w:szCs w:val="21"/>
          <w:highlight w:val="none"/>
        </w:rPr>
        <w:t>8.7款[工期延误]、第8.8款[工期提前]、第8.9款[暂停工作]应承担的合同责任。</w:t>
      </w:r>
    </w:p>
    <w:p w14:paraId="7F249133">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22" w:name="_Ref532362278"/>
      <w:bookmarkStart w:id="323" w:name="_Toc54862252"/>
      <w:bookmarkStart w:id="324" w:name="_Ref532362276"/>
      <w:r>
        <w:rPr>
          <w:rFonts w:cs="宋体" w:asciiTheme="minorEastAsia" w:hAnsiTheme="minorEastAsia" w:eastAsiaTheme="minorEastAsia"/>
          <w:color w:val="auto"/>
          <w:szCs w:val="21"/>
          <w:highlight w:val="none"/>
        </w:rPr>
        <w:t xml:space="preserve">8.5 </w:t>
      </w:r>
      <w:r>
        <w:rPr>
          <w:rFonts w:hint="eastAsia" w:cs="宋体" w:asciiTheme="minorEastAsia" w:hAnsiTheme="minorEastAsia" w:eastAsiaTheme="minorEastAsia"/>
          <w:color w:val="auto"/>
          <w:szCs w:val="21"/>
          <w:highlight w:val="none"/>
        </w:rPr>
        <w:t>进度报告</w:t>
      </w:r>
      <w:bookmarkEnd w:id="322"/>
      <w:bookmarkEnd w:id="323"/>
      <w:bookmarkEnd w:id="324"/>
    </w:p>
    <w:p w14:paraId="744ECC9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项目实施过程中，承包人应进行实际进度记录，并根据工程师的要求编制月进度报告，并提交给工程师。进度报告应包含以下主要内容：</w:t>
      </w:r>
    </w:p>
    <w:p w14:paraId="28C7309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1）工程设计、采购、施工等各个工作内容的进展报告；</w:t>
      </w:r>
    </w:p>
    <w:p w14:paraId="3151F42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2）工程施工方法的一般说明；</w:t>
      </w:r>
    </w:p>
    <w:p w14:paraId="31AFD51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3）当月工程实施介入的项目人员、设备和材料的预估明细报告；</w:t>
      </w:r>
    </w:p>
    <w:p w14:paraId="17624E3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4）当月实际进度与进度计划对比分析，以及提出未来可能引起工期延误的情形，同时提出应对措施；需要修订项目进度计划的，应对项目进度计划的修订部分进行说明；</w:t>
      </w:r>
    </w:p>
    <w:p w14:paraId="5833ED1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5）承包人对于解决工期延误所提出的建议；</w:t>
      </w:r>
    </w:p>
    <w:p w14:paraId="33DAAB1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6）其他与工程有关的重大事项。</w:t>
      </w:r>
    </w:p>
    <w:p w14:paraId="49F9CD7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进度报告的具体要求等，在专用合同条件约定。</w:t>
      </w:r>
    </w:p>
    <w:p w14:paraId="4BAFAC4D">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25" w:name="_Toc54862253"/>
      <w:r>
        <w:rPr>
          <w:rFonts w:cs="宋体" w:asciiTheme="minorEastAsia" w:hAnsiTheme="minorEastAsia" w:eastAsiaTheme="minorEastAsia"/>
          <w:color w:val="auto"/>
          <w:szCs w:val="21"/>
          <w:highlight w:val="none"/>
        </w:rPr>
        <w:t xml:space="preserve">8.6 </w:t>
      </w:r>
      <w:r>
        <w:rPr>
          <w:rFonts w:hint="eastAsia" w:cs="宋体" w:asciiTheme="minorEastAsia" w:hAnsiTheme="minorEastAsia" w:eastAsiaTheme="minorEastAsia"/>
          <w:color w:val="auto"/>
          <w:szCs w:val="21"/>
          <w:highlight w:val="none"/>
        </w:rPr>
        <w:t>提前预警</w:t>
      </w:r>
      <w:bookmarkEnd w:id="325"/>
    </w:p>
    <w:p w14:paraId="363695E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任何一方应当在下列情形发生时尽快书面通知另一方：</w:t>
      </w:r>
    </w:p>
    <w:p w14:paraId="1FEB503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1）该情形可能对合同的履行或实现合同目的产生不利影响；</w:t>
      </w:r>
    </w:p>
    <w:p w14:paraId="07FE2A4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2）该情形可能对工程完成后的使用产生不利影响；</w:t>
      </w:r>
    </w:p>
    <w:p w14:paraId="2D461F9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3）该情形可能导致合同价款增加；</w:t>
      </w:r>
    </w:p>
    <w:p w14:paraId="5214821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4）该情形可能导致整个工程或单位/区段工程的工期延长。</w:t>
      </w:r>
    </w:p>
    <w:p w14:paraId="19AA5AC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发包人有权要求承包人根据第</w:t>
      </w:r>
      <w:r>
        <w:rPr>
          <w:rFonts w:cs="宋体" w:asciiTheme="minorEastAsia" w:hAnsiTheme="minorEastAsia" w:eastAsiaTheme="minorEastAsia"/>
          <w:color w:val="auto"/>
          <w:szCs w:val="21"/>
          <w:highlight w:val="none"/>
        </w:rPr>
        <w:t>13.2款[承包人的合理化建议]的约定提交变更建议，采取措施尽量避免或最小化上述情形的发生或影响。</w:t>
      </w:r>
    </w:p>
    <w:p w14:paraId="2431964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26" w:name="_Toc4784159"/>
      <w:bookmarkEnd w:id="326"/>
      <w:bookmarkStart w:id="327" w:name="_Toc4784162"/>
      <w:bookmarkEnd w:id="327"/>
      <w:bookmarkStart w:id="328" w:name="_Toc4784164"/>
      <w:bookmarkEnd w:id="328"/>
      <w:bookmarkStart w:id="329" w:name="_Toc4784168"/>
      <w:bookmarkEnd w:id="329"/>
      <w:bookmarkStart w:id="330" w:name="_Toc4784173"/>
      <w:bookmarkEnd w:id="330"/>
      <w:bookmarkStart w:id="331" w:name="_Toc4784157"/>
      <w:bookmarkEnd w:id="331"/>
      <w:bookmarkStart w:id="332" w:name="_Toc4784175"/>
      <w:bookmarkEnd w:id="332"/>
      <w:bookmarkStart w:id="333" w:name="_Toc4784172"/>
      <w:bookmarkEnd w:id="333"/>
      <w:bookmarkStart w:id="334" w:name="_Toc4784174"/>
      <w:bookmarkEnd w:id="334"/>
      <w:bookmarkStart w:id="335" w:name="_Toc4784169"/>
      <w:bookmarkEnd w:id="335"/>
      <w:bookmarkStart w:id="336" w:name="_Toc4784170"/>
      <w:bookmarkEnd w:id="336"/>
      <w:bookmarkStart w:id="337" w:name="_Toc4784160"/>
      <w:bookmarkEnd w:id="337"/>
      <w:bookmarkStart w:id="338" w:name="_Toc4784161"/>
      <w:bookmarkEnd w:id="338"/>
      <w:bookmarkStart w:id="339" w:name="_Toc4784156"/>
      <w:bookmarkEnd w:id="339"/>
      <w:bookmarkStart w:id="340" w:name="_Toc4784166"/>
      <w:bookmarkEnd w:id="340"/>
      <w:bookmarkStart w:id="341" w:name="_Toc4784155"/>
      <w:bookmarkEnd w:id="341"/>
      <w:bookmarkStart w:id="342" w:name="_Toc4784167"/>
      <w:bookmarkEnd w:id="342"/>
      <w:bookmarkStart w:id="343" w:name="_Toc4784158"/>
      <w:bookmarkEnd w:id="343"/>
      <w:bookmarkStart w:id="344" w:name="_Toc4784171"/>
      <w:bookmarkEnd w:id="344"/>
      <w:bookmarkStart w:id="345" w:name="_Toc4784154"/>
      <w:bookmarkEnd w:id="345"/>
      <w:bookmarkStart w:id="346" w:name="_Toc4784163"/>
      <w:bookmarkEnd w:id="346"/>
      <w:bookmarkStart w:id="347" w:name="_Toc4784165"/>
      <w:bookmarkEnd w:id="347"/>
      <w:bookmarkStart w:id="348" w:name="_Ref4770106"/>
      <w:bookmarkStart w:id="349" w:name="_Toc54862254"/>
      <w:bookmarkStart w:id="350" w:name="_Ref532362356"/>
      <w:bookmarkStart w:id="351" w:name="_Ref532362359"/>
      <w:r>
        <w:rPr>
          <w:rFonts w:cs="宋体" w:asciiTheme="minorEastAsia" w:hAnsiTheme="minorEastAsia" w:eastAsiaTheme="minorEastAsia"/>
          <w:color w:val="auto"/>
          <w:szCs w:val="21"/>
          <w:highlight w:val="none"/>
        </w:rPr>
        <w:t xml:space="preserve">8.7 </w:t>
      </w:r>
      <w:r>
        <w:rPr>
          <w:rFonts w:hint="eastAsia" w:cs="宋体" w:asciiTheme="minorEastAsia" w:hAnsiTheme="minorEastAsia" w:eastAsiaTheme="minorEastAsia"/>
          <w:color w:val="auto"/>
          <w:szCs w:val="21"/>
          <w:highlight w:val="none"/>
        </w:rPr>
        <w:t>工期延误</w:t>
      </w:r>
      <w:bookmarkEnd w:id="348"/>
      <w:bookmarkEnd w:id="349"/>
    </w:p>
    <w:p w14:paraId="6D18BCF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52" w:name="_Ref4796050"/>
      <w:r>
        <w:rPr>
          <w:rFonts w:cs="宋体" w:asciiTheme="minorEastAsia" w:hAnsiTheme="minorEastAsia" w:eastAsiaTheme="minorEastAsia"/>
          <w:color w:val="auto"/>
          <w:szCs w:val="21"/>
          <w:highlight w:val="none"/>
        </w:rPr>
        <w:t xml:space="preserve">8.7.1 </w:t>
      </w:r>
      <w:r>
        <w:rPr>
          <w:rFonts w:hint="eastAsia" w:cs="宋体" w:asciiTheme="minorEastAsia" w:hAnsiTheme="minorEastAsia" w:eastAsiaTheme="minorEastAsia"/>
          <w:color w:val="auto"/>
          <w:szCs w:val="21"/>
          <w:highlight w:val="none"/>
        </w:rPr>
        <w:t>因发包人原因导致工期延误</w:t>
      </w:r>
      <w:bookmarkEnd w:id="352"/>
    </w:p>
    <w:p w14:paraId="08093D4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在合同履行过程中，因下列情况导致工期延误和（或）费用增加的，由发包人承担由此延误的工期和（或）增加的费用，且发包人应支付承包人合理的利润：</w:t>
      </w:r>
    </w:p>
    <w:p w14:paraId="046C5BD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1）根据第13条[变更与调整]的约定构成一项变更的；</w:t>
      </w:r>
    </w:p>
    <w:p w14:paraId="765CB4C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2）发包人违反本合同约定，导致工期延误和（或）费用增加的；</w:t>
      </w:r>
    </w:p>
    <w:p w14:paraId="46E0E3E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3）发包人、发包人代表、工程师或发包人聘请的任意第三方造成或引起的任何延误、妨碍和阻碍；</w:t>
      </w:r>
    </w:p>
    <w:p w14:paraId="19EF20E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4）发包人未能依据第6.2.1项[发包人提供的材料和工程设备]的约定提供材料和工程设备导致工期延误和（或）费用增加的；</w:t>
      </w:r>
    </w:p>
    <w:p w14:paraId="7D34EB4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5）因发包人原因导致的暂停施工；</w:t>
      </w:r>
    </w:p>
    <w:p w14:paraId="195C85D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6）发包人未及时履行相关合同义务，造成工期延误的其他原因。</w:t>
      </w:r>
    </w:p>
    <w:p w14:paraId="6DF43C0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53" w:name="_Ref4770209"/>
      <w:r>
        <w:rPr>
          <w:rFonts w:cs="宋体" w:asciiTheme="minorEastAsia" w:hAnsiTheme="minorEastAsia" w:eastAsiaTheme="minorEastAsia"/>
          <w:color w:val="auto"/>
          <w:szCs w:val="21"/>
          <w:highlight w:val="none"/>
        </w:rPr>
        <w:t xml:space="preserve">8.7.2 </w:t>
      </w:r>
      <w:r>
        <w:rPr>
          <w:rFonts w:hint="eastAsia" w:cs="宋体" w:asciiTheme="minorEastAsia" w:hAnsiTheme="minorEastAsia" w:eastAsiaTheme="minorEastAsia"/>
          <w:color w:val="auto"/>
          <w:szCs w:val="21"/>
          <w:highlight w:val="none"/>
        </w:rPr>
        <w:t>因承包人原因导致工期延误</w:t>
      </w:r>
      <w:bookmarkEnd w:id="353"/>
    </w:p>
    <w:p w14:paraId="09254D7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由于承包人的原因，未能按项目进度计划完成工作，承包人应采取措施加快进度，并承担加快进度所增加的费用。</w:t>
      </w:r>
    </w:p>
    <w:p w14:paraId="542E942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由于承包人原因造成工期延误并导致逾期竣工的，承包人应支付逾期竣工违约金。逾期竣工违约金的计算方法和最高限额在专用合同条件中约定。承包人支付逾期竣工违约金，不免除承包人完成工作及修补缺陷的义务，且发包人有权从工程进度款、竣工结算款或约定提交的履约担保中扣除相当于逾期竣工违约金的金额。</w:t>
      </w:r>
    </w:p>
    <w:p w14:paraId="34633B3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54" w:name="_Ref4770872"/>
      <w:r>
        <w:rPr>
          <w:rFonts w:cs="宋体" w:asciiTheme="minorEastAsia" w:hAnsiTheme="minorEastAsia" w:eastAsiaTheme="minorEastAsia"/>
          <w:color w:val="auto"/>
          <w:szCs w:val="21"/>
          <w:highlight w:val="none"/>
        </w:rPr>
        <w:t xml:space="preserve">8.7.3 </w:t>
      </w:r>
      <w:r>
        <w:rPr>
          <w:rFonts w:hint="eastAsia" w:cs="宋体" w:asciiTheme="minorEastAsia" w:hAnsiTheme="minorEastAsia" w:eastAsiaTheme="minorEastAsia"/>
          <w:color w:val="auto"/>
          <w:szCs w:val="21"/>
          <w:highlight w:val="none"/>
        </w:rPr>
        <w:t>行政审批迟延</w:t>
      </w:r>
      <w:bookmarkEnd w:id="354"/>
    </w:p>
    <w:p w14:paraId="22FDA9A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约定范围内的工作需国家有关部门审批的，发包人和（或）承包人应按照专用合同条件约定的职责分工完成行政审批报送。因国家有关部门审批迟延造成工期延误的，竣工日期相应顺延。造成费用增加的，由双方在负责的范围内各自承担。</w:t>
      </w:r>
    </w:p>
    <w:p w14:paraId="767FDE4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55" w:name="_Ref4770933"/>
      <w:r>
        <w:rPr>
          <w:rFonts w:cs="宋体" w:asciiTheme="minorEastAsia" w:hAnsiTheme="minorEastAsia" w:eastAsiaTheme="minorEastAsia"/>
          <w:color w:val="auto"/>
          <w:szCs w:val="21"/>
          <w:highlight w:val="none"/>
        </w:rPr>
        <w:t xml:space="preserve">8.7.4 </w:t>
      </w:r>
      <w:r>
        <w:rPr>
          <w:rFonts w:hint="eastAsia" w:cs="宋体" w:asciiTheme="minorEastAsia" w:hAnsiTheme="minorEastAsia" w:eastAsiaTheme="minorEastAsia"/>
          <w:color w:val="auto"/>
          <w:szCs w:val="21"/>
          <w:highlight w:val="none"/>
        </w:rPr>
        <w:t>异常恶劣的气候条件</w:t>
      </w:r>
      <w:bookmarkEnd w:id="355"/>
    </w:p>
    <w:p w14:paraId="255775B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异常恶劣的气候条件是指在施工过程中遇到的，有经验的承包人在订立合同时不可预见的，对合同履行造成实质性影响的，但尚未构成不可抗力事件的恶劣气候条件。合同当事人可以在专用合同条件中约定异常恶劣的气候条件的具体情形。</w:t>
      </w:r>
    </w:p>
    <w:p w14:paraId="39F3E9F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承包人应采取克服异常恶劣的气候条件的合理措施继续施工，并及时通知工程师。工程师应当及时发出指示，指示构成变更的，按第</w:t>
      </w:r>
      <w:r>
        <w:rPr>
          <w:rFonts w:cs="宋体" w:asciiTheme="minorEastAsia" w:hAnsiTheme="minorEastAsia" w:eastAsiaTheme="minorEastAsia"/>
          <w:color w:val="auto"/>
          <w:szCs w:val="21"/>
          <w:highlight w:val="none"/>
        </w:rPr>
        <w:t>13条[变更与调整]约定办理。承包人因采取合理措施而延误的工期由发包人承担。</w:t>
      </w:r>
    </w:p>
    <w:p w14:paraId="6F531F8E">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56" w:name="_Toc54862255"/>
      <w:bookmarkStart w:id="357" w:name="_Ref4781828"/>
      <w:r>
        <w:rPr>
          <w:rFonts w:cs="宋体" w:asciiTheme="minorEastAsia" w:hAnsiTheme="minorEastAsia" w:eastAsiaTheme="minorEastAsia"/>
          <w:color w:val="auto"/>
          <w:szCs w:val="21"/>
          <w:highlight w:val="none"/>
        </w:rPr>
        <w:t xml:space="preserve">8.8 </w:t>
      </w:r>
      <w:r>
        <w:rPr>
          <w:rFonts w:hint="eastAsia" w:cs="宋体" w:asciiTheme="minorEastAsia" w:hAnsiTheme="minorEastAsia" w:eastAsiaTheme="minorEastAsia"/>
          <w:color w:val="auto"/>
          <w:szCs w:val="21"/>
          <w:highlight w:val="none"/>
        </w:rPr>
        <w:t>工期提前</w:t>
      </w:r>
      <w:bookmarkEnd w:id="350"/>
      <w:bookmarkEnd w:id="351"/>
      <w:bookmarkEnd w:id="356"/>
      <w:bookmarkEnd w:id="357"/>
    </w:p>
    <w:p w14:paraId="4757322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8.8.1 </w:t>
      </w:r>
      <w:r>
        <w:rPr>
          <w:rFonts w:hint="eastAsia" w:cs="宋体" w:asciiTheme="minorEastAsia" w:hAnsiTheme="minorEastAsia" w:eastAsiaTheme="minorEastAsia"/>
          <w:color w:val="auto"/>
          <w:szCs w:val="21"/>
          <w:highlight w:val="none"/>
        </w:rPr>
        <w:t>发包人指示承包人提前竣工且被承包人接受的，应与承包人共同协商采取加快工程进度的措施和修订项目进度计划。发包人应承担承包人由此增加的费用，增加的费用按第</w:t>
      </w:r>
      <w:r>
        <w:rPr>
          <w:rFonts w:cs="宋体" w:asciiTheme="minorEastAsia" w:hAnsiTheme="minorEastAsia" w:eastAsiaTheme="minorEastAsia"/>
          <w:color w:val="auto"/>
          <w:szCs w:val="21"/>
          <w:highlight w:val="none"/>
        </w:rPr>
        <w:t>13条[变更与调整]的约定执行；发包人不得以任何理由要求承包人超过合理限度压缩工期。承包人有权不接受提前竣工的指示，工期按照合同约定执行。</w:t>
      </w:r>
    </w:p>
    <w:p w14:paraId="58C7FC9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58" w:name="_Ref4429347"/>
      <w:r>
        <w:rPr>
          <w:rFonts w:cs="宋体" w:asciiTheme="minorEastAsia" w:hAnsiTheme="minorEastAsia" w:eastAsiaTheme="minorEastAsia"/>
          <w:color w:val="auto"/>
          <w:szCs w:val="21"/>
          <w:highlight w:val="none"/>
        </w:rPr>
        <w:t xml:space="preserve">8.8.2 </w:t>
      </w:r>
      <w:r>
        <w:rPr>
          <w:rFonts w:hint="eastAsia" w:cs="宋体" w:asciiTheme="minorEastAsia" w:hAnsiTheme="minorEastAsia" w:eastAsiaTheme="minorEastAsia"/>
          <w:color w:val="auto"/>
          <w:szCs w:val="21"/>
          <w:highlight w:val="none"/>
        </w:rPr>
        <w:t>承包人提出提前竣工的建议且发包人接受的，应与发包人共同协商采取加快工程进度的措施和修订项目进度计划。发包人应承担承包人由此增加的费用，增加的费用按第</w:t>
      </w:r>
      <w:r>
        <w:rPr>
          <w:rFonts w:cs="宋体" w:asciiTheme="minorEastAsia" w:hAnsiTheme="minorEastAsia" w:eastAsiaTheme="minorEastAsia"/>
          <w:color w:val="auto"/>
          <w:szCs w:val="21"/>
          <w:highlight w:val="none"/>
        </w:rPr>
        <w:t>13条[变更与调整]的约定执行，并向承包人支付专用合同条件约定的相应奖励金。</w:t>
      </w:r>
      <w:bookmarkEnd w:id="358"/>
    </w:p>
    <w:p w14:paraId="2906C4DD">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59" w:name="_Ref4615040"/>
      <w:bookmarkStart w:id="360" w:name="_Ref4615031"/>
      <w:bookmarkStart w:id="361" w:name="_Toc54862256"/>
      <w:r>
        <w:rPr>
          <w:rFonts w:cs="宋体" w:asciiTheme="minorEastAsia" w:hAnsiTheme="minorEastAsia" w:eastAsiaTheme="minorEastAsia"/>
          <w:color w:val="auto"/>
          <w:szCs w:val="21"/>
          <w:highlight w:val="none"/>
        </w:rPr>
        <w:t xml:space="preserve">8.9 </w:t>
      </w:r>
      <w:r>
        <w:rPr>
          <w:rFonts w:hint="eastAsia" w:cs="宋体" w:asciiTheme="minorEastAsia" w:hAnsiTheme="minorEastAsia" w:eastAsiaTheme="minorEastAsia"/>
          <w:color w:val="auto"/>
          <w:szCs w:val="21"/>
          <w:highlight w:val="none"/>
        </w:rPr>
        <w:t>暂停工作</w:t>
      </w:r>
      <w:bookmarkEnd w:id="359"/>
      <w:bookmarkEnd w:id="360"/>
      <w:bookmarkEnd w:id="361"/>
    </w:p>
    <w:p w14:paraId="33E9433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62" w:name="_Ref4709151"/>
      <w:r>
        <w:rPr>
          <w:rFonts w:cs="宋体" w:asciiTheme="minorEastAsia" w:hAnsiTheme="minorEastAsia" w:eastAsiaTheme="minorEastAsia"/>
          <w:color w:val="auto"/>
          <w:szCs w:val="21"/>
          <w:highlight w:val="none"/>
        </w:rPr>
        <w:t xml:space="preserve">8.9.1 </w:t>
      </w:r>
      <w:r>
        <w:rPr>
          <w:rFonts w:hint="eastAsia" w:cs="宋体" w:asciiTheme="minorEastAsia" w:hAnsiTheme="minorEastAsia" w:eastAsiaTheme="minorEastAsia"/>
          <w:color w:val="auto"/>
          <w:szCs w:val="21"/>
          <w:highlight w:val="none"/>
        </w:rPr>
        <w:t>由发包人暂停工作</w:t>
      </w:r>
      <w:bookmarkEnd w:id="362"/>
    </w:p>
    <w:p w14:paraId="3BB659F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发包人认为必要时，可通过工程师向承包人发出经发包人签认的暂停工作通知，应列明暂停原因、暂停的日期及预计暂停的期限。承包人应按该通知暂停工作。</w:t>
      </w:r>
      <w:bookmarkStart w:id="363" w:name="_Ref4709233"/>
    </w:p>
    <w:p w14:paraId="6CC968B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承包人因执行暂停工作通知而造成费用的增加和（或）工期延误由发包人承担，并有权要求发包人支付合理利润，但</w:t>
      </w:r>
      <w:bookmarkEnd w:id="363"/>
      <w:r>
        <w:rPr>
          <w:rFonts w:hint="eastAsia" w:cs="宋体" w:asciiTheme="minorEastAsia" w:hAnsiTheme="minorEastAsia" w:eastAsiaTheme="minorEastAsia"/>
          <w:color w:val="auto"/>
          <w:szCs w:val="21"/>
          <w:highlight w:val="none"/>
        </w:rPr>
        <w:t>由于承包人原因造成发包人暂停工作的除外。</w:t>
      </w:r>
    </w:p>
    <w:p w14:paraId="2DE8F6A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64" w:name="_Ref18972173"/>
      <w:r>
        <w:rPr>
          <w:rFonts w:cs="宋体" w:asciiTheme="minorEastAsia" w:hAnsiTheme="minorEastAsia" w:eastAsiaTheme="minorEastAsia"/>
          <w:color w:val="auto"/>
          <w:szCs w:val="21"/>
          <w:highlight w:val="none"/>
        </w:rPr>
        <w:t xml:space="preserve">8.9.2 </w:t>
      </w:r>
      <w:r>
        <w:rPr>
          <w:rFonts w:hint="eastAsia" w:cs="宋体" w:asciiTheme="minorEastAsia" w:hAnsiTheme="minorEastAsia" w:eastAsiaTheme="minorEastAsia"/>
          <w:color w:val="auto"/>
          <w:szCs w:val="21"/>
          <w:highlight w:val="none"/>
        </w:rPr>
        <w:t>由承包人暂停工作</w:t>
      </w:r>
      <w:bookmarkEnd w:id="364"/>
    </w:p>
    <w:p w14:paraId="0C7ED8A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因承包人原因所造成部分或全部工程的暂停，承包人应采取措施尽快复工并赶上进度，由此造成费用的增加或工期延误由承包人承担。因此造成逾期竣工的，承包人应按第</w:t>
      </w:r>
      <w:r>
        <w:rPr>
          <w:rFonts w:cs="宋体" w:asciiTheme="minorEastAsia" w:hAnsiTheme="minorEastAsia" w:eastAsiaTheme="minorEastAsia"/>
          <w:color w:val="auto"/>
          <w:szCs w:val="21"/>
          <w:highlight w:val="none"/>
        </w:rPr>
        <w:t>8.7.2项[因承包人原因导致工期延误]承担逾期竣工违约责任。</w:t>
      </w:r>
    </w:p>
    <w:p w14:paraId="4F9E4B9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合同履行过程中发生下列情形之一的，承包人可向发包人发出通知，要求发包人采取有效措施予以纠正。发包人收到承包人通知后的</w:t>
      </w:r>
      <w:r>
        <w:rPr>
          <w:rFonts w:cs="宋体" w:asciiTheme="minorEastAsia" w:hAnsiTheme="minorEastAsia" w:eastAsiaTheme="minorEastAsia"/>
          <w:color w:val="auto"/>
          <w:szCs w:val="21"/>
          <w:highlight w:val="none"/>
        </w:rPr>
        <w:t>28天内仍不予以纠正，承包人有权暂停施工，并通知工程师。承包人有权要求发包人延长工期和（或）增加费用，并支付合理利润：</w:t>
      </w:r>
    </w:p>
    <w:p w14:paraId="5C6051B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65" w:name="_Ref4709224"/>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1）发包人拖延、拒绝批准付款申请和支付证书，或未能按合同约定支付价款，导致付款延误的；</w:t>
      </w:r>
      <w:bookmarkEnd w:id="365"/>
    </w:p>
    <w:p w14:paraId="6EFE991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2）发包人未按约定履行合同其他义务导致承包人无法继续履行合同的，或者发包人明确表示暂停或实质上已暂停履行合同的。</w:t>
      </w:r>
    </w:p>
    <w:p w14:paraId="1A5A91D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8.9.3 </w:t>
      </w:r>
      <w:r>
        <w:rPr>
          <w:rFonts w:hint="eastAsia" w:cs="宋体" w:asciiTheme="minorEastAsia" w:hAnsiTheme="minorEastAsia" w:eastAsiaTheme="minorEastAsia"/>
          <w:color w:val="auto"/>
          <w:szCs w:val="21"/>
          <w:highlight w:val="none"/>
        </w:rPr>
        <w:t>除上述原因以外的暂停工作，双方应遵守第</w:t>
      </w:r>
      <w:r>
        <w:rPr>
          <w:rFonts w:cs="宋体" w:asciiTheme="minorEastAsia" w:hAnsiTheme="minorEastAsia" w:eastAsiaTheme="minorEastAsia"/>
          <w:color w:val="auto"/>
          <w:szCs w:val="21"/>
          <w:highlight w:val="none"/>
        </w:rPr>
        <w:t>17条[不可抗力]的相关约定。</w:t>
      </w:r>
    </w:p>
    <w:p w14:paraId="4C364F1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66" w:name="_Ref4709158"/>
      <w:r>
        <w:rPr>
          <w:rFonts w:cs="宋体" w:asciiTheme="minorEastAsia" w:hAnsiTheme="minorEastAsia" w:eastAsiaTheme="minorEastAsia"/>
          <w:color w:val="auto"/>
          <w:szCs w:val="21"/>
          <w:highlight w:val="none"/>
        </w:rPr>
        <w:t xml:space="preserve">8.9.4 </w:t>
      </w:r>
      <w:r>
        <w:rPr>
          <w:rFonts w:hint="eastAsia" w:cs="宋体" w:asciiTheme="minorEastAsia" w:hAnsiTheme="minorEastAsia" w:eastAsiaTheme="minorEastAsia"/>
          <w:color w:val="auto"/>
          <w:szCs w:val="21"/>
          <w:highlight w:val="none"/>
        </w:rPr>
        <w:t>暂停工作期间的工程照管</w:t>
      </w:r>
      <w:bookmarkEnd w:id="366"/>
    </w:p>
    <w:p w14:paraId="4BEFF07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不论由于何种原因引起暂停工作的，暂停工作期间，承包人应负责对工程、工程物资及文件等进行照管和保护，并提供安全保障，由此增加的费用按第</w:t>
      </w:r>
      <w:r>
        <w:rPr>
          <w:rFonts w:cs="宋体" w:asciiTheme="minorEastAsia" w:hAnsiTheme="minorEastAsia" w:eastAsiaTheme="minorEastAsia"/>
          <w:color w:val="auto"/>
          <w:szCs w:val="21"/>
          <w:highlight w:val="none"/>
        </w:rPr>
        <w:t>8.9.1项[由发包人暂停工作]和第8.9.2项[由承包人暂停工作]的约定承担。</w:t>
      </w:r>
    </w:p>
    <w:p w14:paraId="066934E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因承包人未能尽到照管、保护的责任造成损失的，使发包人的费用增加，（或）竣工日期延误的，由承包人按本合同约定承担责任。</w:t>
      </w:r>
    </w:p>
    <w:p w14:paraId="07C5F21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8.9.5 </w:t>
      </w:r>
      <w:r>
        <w:rPr>
          <w:rFonts w:hint="eastAsia" w:cs="宋体" w:asciiTheme="minorEastAsia" w:hAnsiTheme="minorEastAsia" w:eastAsiaTheme="minorEastAsia"/>
          <w:color w:val="auto"/>
          <w:szCs w:val="21"/>
          <w:highlight w:val="none"/>
        </w:rPr>
        <w:t>拖长的暂停</w:t>
      </w:r>
    </w:p>
    <w:p w14:paraId="1EADC9C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根据第</w:t>
      </w:r>
      <w:r>
        <w:rPr>
          <w:rFonts w:cs="宋体" w:asciiTheme="minorEastAsia" w:hAnsiTheme="minorEastAsia" w:eastAsiaTheme="minorEastAsia"/>
          <w:color w:val="auto"/>
          <w:szCs w:val="21"/>
          <w:highlight w:val="none"/>
        </w:rPr>
        <w:t>8.9.1项[由发包人暂停工作]暂停工作持续超过56天的，承包人可向发包人发出要求复工的通知。如果发包人没有在收到书面通知后28天内准许已暂停工作的全部或部分继续工作，承包人有权根据第13条[变更与调整]的约定，要求以变更方式调减受暂停影响的部分工程。发包人的暂停超过56天且暂停影响到整个工程的，承包人有权根据第16.2款[由承包人解除合同]的约定，发出解除合同的通知。</w:t>
      </w:r>
    </w:p>
    <w:p w14:paraId="67CE37EB">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67" w:name="_Toc54862257"/>
      <w:r>
        <w:rPr>
          <w:rFonts w:cs="宋体" w:asciiTheme="minorEastAsia" w:hAnsiTheme="minorEastAsia" w:eastAsiaTheme="minorEastAsia"/>
          <w:color w:val="auto"/>
          <w:szCs w:val="21"/>
          <w:highlight w:val="none"/>
        </w:rPr>
        <w:t xml:space="preserve">8.10 </w:t>
      </w:r>
      <w:r>
        <w:rPr>
          <w:rFonts w:hint="eastAsia" w:cs="宋体" w:asciiTheme="minorEastAsia" w:hAnsiTheme="minorEastAsia" w:eastAsiaTheme="minorEastAsia"/>
          <w:color w:val="auto"/>
          <w:szCs w:val="21"/>
          <w:highlight w:val="none"/>
        </w:rPr>
        <w:t>复工</w:t>
      </w:r>
      <w:bookmarkEnd w:id="367"/>
    </w:p>
    <w:p w14:paraId="47436C5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8.10.1 </w:t>
      </w:r>
      <w:r>
        <w:rPr>
          <w:rFonts w:hint="eastAsia" w:cs="宋体" w:asciiTheme="minorEastAsia" w:hAnsiTheme="minorEastAsia" w:eastAsiaTheme="minorEastAsia"/>
          <w:color w:val="auto"/>
          <w:szCs w:val="21"/>
          <w:highlight w:val="none"/>
        </w:rPr>
        <w:t>收到发包人的复工通知后，承包人应按通知时间复工；发包人通知的复工时间应当给予承包人必要的准备复工时间。</w:t>
      </w:r>
    </w:p>
    <w:p w14:paraId="38BB249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8.10.2 </w:t>
      </w:r>
      <w:r>
        <w:rPr>
          <w:rFonts w:hint="eastAsia" w:cs="宋体" w:asciiTheme="minorEastAsia" w:hAnsiTheme="minorEastAsia" w:eastAsiaTheme="minorEastAsia"/>
          <w:color w:val="auto"/>
          <w:szCs w:val="21"/>
          <w:highlight w:val="none"/>
        </w:rPr>
        <w:t>不论由于何种原因引起暂停工作，双方均可要求对方一同对受暂停影响的工程、工程设备和工程物资进行检查，承包人应将检查结果及需要恢复、修复的内容和估算通知发包人。</w:t>
      </w:r>
    </w:p>
    <w:p w14:paraId="264E674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8.10.3 </w:t>
      </w:r>
      <w:r>
        <w:rPr>
          <w:rFonts w:hint="eastAsia" w:cs="宋体" w:asciiTheme="minorEastAsia" w:hAnsiTheme="minorEastAsia" w:eastAsiaTheme="minorEastAsia"/>
          <w:color w:val="auto"/>
          <w:szCs w:val="21"/>
          <w:highlight w:val="none"/>
        </w:rPr>
        <w:t>除第</w:t>
      </w:r>
      <w:r>
        <w:rPr>
          <w:rFonts w:cs="宋体" w:asciiTheme="minorEastAsia" w:hAnsiTheme="minorEastAsia" w:eastAsiaTheme="minorEastAsia"/>
          <w:color w:val="auto"/>
          <w:szCs w:val="21"/>
          <w:highlight w:val="none"/>
        </w:rPr>
        <w:t>17条[不可抗力]另有约定外，发生的恢复、修复价款及工期延误的后果由责任方承担。</w:t>
      </w:r>
    </w:p>
    <w:p w14:paraId="1F233C46">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368" w:name="_Ref4621041"/>
      <w:bookmarkStart w:id="369" w:name="_Ref4621029"/>
      <w:bookmarkStart w:id="370" w:name="_Toc54862258"/>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9条 </w:t>
      </w:r>
      <w:r>
        <w:rPr>
          <w:rFonts w:hint="eastAsia" w:cs="宋体" w:asciiTheme="minorEastAsia" w:hAnsiTheme="minorEastAsia" w:eastAsiaTheme="minorEastAsia"/>
          <w:b/>
          <w:color w:val="auto"/>
          <w:szCs w:val="21"/>
          <w:highlight w:val="none"/>
        </w:rPr>
        <w:t>竣工试验</w:t>
      </w:r>
      <w:bookmarkEnd w:id="296"/>
      <w:bookmarkEnd w:id="368"/>
      <w:bookmarkEnd w:id="369"/>
      <w:bookmarkEnd w:id="370"/>
    </w:p>
    <w:p w14:paraId="7A589934">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71" w:name="_Ref532586251"/>
      <w:bookmarkStart w:id="372" w:name="_Ref532586248"/>
      <w:bookmarkStart w:id="373" w:name="_Toc54862259"/>
      <w:r>
        <w:rPr>
          <w:rFonts w:cs="宋体" w:asciiTheme="minorEastAsia" w:hAnsiTheme="minorEastAsia" w:eastAsiaTheme="minorEastAsia"/>
          <w:color w:val="auto"/>
          <w:szCs w:val="21"/>
          <w:highlight w:val="none"/>
        </w:rPr>
        <w:t xml:space="preserve">9.1 </w:t>
      </w:r>
      <w:r>
        <w:rPr>
          <w:rFonts w:hint="eastAsia" w:cs="宋体" w:asciiTheme="minorEastAsia" w:hAnsiTheme="minorEastAsia" w:eastAsiaTheme="minorEastAsia"/>
          <w:color w:val="auto"/>
          <w:szCs w:val="21"/>
          <w:highlight w:val="none"/>
        </w:rPr>
        <w:t>竣工试验的义务</w:t>
      </w:r>
      <w:bookmarkEnd w:id="371"/>
      <w:bookmarkEnd w:id="372"/>
      <w:bookmarkEnd w:id="373"/>
    </w:p>
    <w:p w14:paraId="6E1A780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9.1.1 </w:t>
      </w:r>
      <w:r>
        <w:rPr>
          <w:rFonts w:hint="eastAsia" w:cs="宋体" w:asciiTheme="minorEastAsia" w:hAnsiTheme="minorEastAsia" w:eastAsiaTheme="minorEastAsia"/>
          <w:color w:val="auto"/>
          <w:szCs w:val="21"/>
          <w:highlight w:val="none"/>
        </w:rPr>
        <w:t>承包人完成工程或区段工程进行竣工试验所需的作业，并根据第</w:t>
      </w:r>
      <w:r>
        <w:rPr>
          <w:rFonts w:cs="宋体" w:asciiTheme="minorEastAsia" w:hAnsiTheme="minorEastAsia" w:eastAsiaTheme="minorEastAsia"/>
          <w:color w:val="auto"/>
          <w:szCs w:val="21"/>
          <w:highlight w:val="none"/>
        </w:rPr>
        <w:t>5.4款[竣工文件]和第5.5款[操作和维修手册]提交文件后，进行竣工试验。</w:t>
      </w:r>
      <w:bookmarkStart w:id="374" w:name="_Ref532586608"/>
    </w:p>
    <w:p w14:paraId="1BC67A4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75" w:name="_Ref11919920"/>
      <w:r>
        <w:rPr>
          <w:rFonts w:cs="宋体" w:asciiTheme="minorEastAsia" w:hAnsiTheme="minorEastAsia" w:eastAsiaTheme="minorEastAsia"/>
          <w:color w:val="auto"/>
          <w:szCs w:val="21"/>
          <w:highlight w:val="none"/>
        </w:rPr>
        <w:t xml:space="preserve">9.1.2 </w:t>
      </w:r>
      <w:r>
        <w:rPr>
          <w:rFonts w:hint="eastAsia" w:cs="宋体" w:asciiTheme="minorEastAsia" w:hAnsiTheme="minorEastAsia" w:eastAsiaTheme="minorEastAsia"/>
          <w:color w:val="auto"/>
          <w:szCs w:val="21"/>
          <w:highlight w:val="none"/>
        </w:rPr>
        <w:t>承包人应在进行竣工试验之前，至少提前</w:t>
      </w:r>
      <w:r>
        <w:rPr>
          <w:rFonts w:cs="宋体" w:asciiTheme="minorEastAsia" w:hAnsiTheme="minorEastAsia" w:eastAsiaTheme="minorEastAsia"/>
          <w:color w:val="auto"/>
          <w:szCs w:val="21"/>
          <w:highlight w:val="none"/>
        </w:rPr>
        <w:t>42天向工程师提交详细的竣工试验计划，该计划应载明竣工试验的内容、地点、拟开展时间和需要发包人提供的资源条件。</w:t>
      </w:r>
      <w:bookmarkEnd w:id="374"/>
      <w:r>
        <w:rPr>
          <w:rFonts w:hint="eastAsia" w:cs="宋体" w:asciiTheme="minorEastAsia" w:hAnsiTheme="minorEastAsia" w:eastAsiaTheme="minorEastAsia"/>
          <w:color w:val="auto"/>
          <w:szCs w:val="21"/>
          <w:highlight w:val="none"/>
        </w:rPr>
        <w:t>工程师应在收到计划后的</w:t>
      </w:r>
      <w:r>
        <w:rPr>
          <w:rFonts w:cs="宋体" w:asciiTheme="minorEastAsia" w:hAnsiTheme="minorEastAsia" w:eastAsiaTheme="minorEastAsia"/>
          <w:color w:val="auto"/>
          <w:szCs w:val="21"/>
          <w:highlight w:val="none"/>
        </w:rPr>
        <w:t>14天内进行审查，并就该计划不符合合同的部分提出意见，承包人应在收到意见后的14天内自费对计划进行修正。工程师逾期未提出意见的，视为竣工试验计划已得到确认。除提交竣工试验计划外，承包人还应提前21天将可以开始进行各项竣工试验的日期通知工程师，并在该日期后的14天内或工程师指示的日期进行竣工试验。</w:t>
      </w:r>
      <w:bookmarkEnd w:id="375"/>
    </w:p>
    <w:p w14:paraId="6BA7412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76" w:name="_Ref532688147"/>
      <w:r>
        <w:rPr>
          <w:rFonts w:cs="宋体" w:asciiTheme="minorEastAsia" w:hAnsiTheme="minorEastAsia" w:eastAsiaTheme="minorEastAsia"/>
          <w:color w:val="auto"/>
          <w:szCs w:val="21"/>
          <w:highlight w:val="none"/>
        </w:rPr>
        <w:t xml:space="preserve">9.1.3 </w:t>
      </w:r>
      <w:r>
        <w:rPr>
          <w:rFonts w:hint="eastAsia" w:cs="宋体" w:asciiTheme="minorEastAsia" w:hAnsiTheme="minorEastAsia" w:eastAsiaTheme="minorEastAsia"/>
          <w:color w:val="auto"/>
          <w:szCs w:val="21"/>
          <w:highlight w:val="none"/>
        </w:rPr>
        <w:t>承包人应根据经确认的竣工试验计划以及第</w:t>
      </w:r>
      <w:r>
        <w:rPr>
          <w:rFonts w:cs="宋体" w:asciiTheme="minorEastAsia" w:hAnsiTheme="minorEastAsia" w:eastAsiaTheme="minorEastAsia"/>
          <w:color w:val="auto"/>
          <w:szCs w:val="21"/>
          <w:highlight w:val="none"/>
        </w:rPr>
        <w:t>6.5款[由承包人试验和检验]进行竣工试验。除《发包人要求》中另有说明外，竣工试验应按以下顺序分阶段进行，即只有在工程或区段工程已通过上一阶段试验的情况下，才可进行下一阶段试验：</w:t>
      </w:r>
      <w:bookmarkEnd w:id="376"/>
    </w:p>
    <w:p w14:paraId="681EDC3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1）承包人进行启动前试验，包括适当的检查和功能性试验，以证明工程或区段工程的每一部分均能够安全地承受下一阶段试验；</w:t>
      </w:r>
    </w:p>
    <w:p w14:paraId="6F1D3F7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2）承包人进行启动试验，以证明工程或区段工程能够在所有可利用的操作条件下安全运行，并按照专用合同条件和《发包人要求》中的规定操作；</w:t>
      </w:r>
    </w:p>
    <w:p w14:paraId="6AD6521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3）承包人进行试运行试验。当工程或区段工程能稳定安全运行时，承包人应通知工程师，可以进行其他竣工试验，包括各种性能测试，以证明工程或区段工程符合《发包人要求》中列明的性能保证指标。</w:t>
      </w:r>
    </w:p>
    <w:p w14:paraId="152DC37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进行上述试验不应构成第</w:t>
      </w:r>
      <w:r>
        <w:rPr>
          <w:rFonts w:cs="宋体" w:asciiTheme="minorEastAsia" w:hAnsiTheme="minorEastAsia" w:eastAsiaTheme="minorEastAsia"/>
          <w:color w:val="auto"/>
          <w:szCs w:val="21"/>
          <w:highlight w:val="none"/>
        </w:rPr>
        <w:t>10条[验收和工程接收]规定的接收，但试验所产生的任何产品或其他收益均应归属于发包人。</w:t>
      </w:r>
    </w:p>
    <w:p w14:paraId="28C2E8C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9.1.4 </w:t>
      </w:r>
      <w:r>
        <w:rPr>
          <w:rFonts w:hint="eastAsia" w:cs="宋体" w:asciiTheme="minorEastAsia" w:hAnsiTheme="minorEastAsia" w:eastAsiaTheme="minorEastAsia"/>
          <w:color w:val="auto"/>
          <w:szCs w:val="21"/>
          <w:highlight w:val="none"/>
        </w:rPr>
        <w:t>完成上述各阶段竣工试验后，承包人应向工程师提交试验结果报告，试验结果须符合约定的标准、规范和数据。工程师应在收到报告后</w:t>
      </w:r>
      <w:r>
        <w:rPr>
          <w:rFonts w:cs="宋体" w:asciiTheme="minorEastAsia" w:hAnsiTheme="minorEastAsia" w:eastAsiaTheme="minorEastAsia"/>
          <w:color w:val="auto"/>
          <w:szCs w:val="21"/>
          <w:highlight w:val="none"/>
        </w:rPr>
        <w:t>14天内予以回复，逾期未回复的，视为认可竣工试验结果。但在考虑工程或区段工程是否通过竣工试验时，应适当考虑发包人对工程或其任何部分的使用，对工程或区段工程的性能、特性和试验结果产生的影响。</w:t>
      </w:r>
    </w:p>
    <w:p w14:paraId="4F1D2E6C">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77" w:name="_Toc54862260"/>
      <w:r>
        <w:rPr>
          <w:rFonts w:cs="宋体" w:asciiTheme="minorEastAsia" w:hAnsiTheme="minorEastAsia" w:eastAsiaTheme="minorEastAsia"/>
          <w:color w:val="auto"/>
          <w:szCs w:val="21"/>
          <w:highlight w:val="none"/>
        </w:rPr>
        <w:t xml:space="preserve">9.2 </w:t>
      </w:r>
      <w:r>
        <w:rPr>
          <w:rFonts w:hint="eastAsia" w:cs="宋体" w:asciiTheme="minorEastAsia" w:hAnsiTheme="minorEastAsia" w:eastAsiaTheme="minorEastAsia"/>
          <w:color w:val="auto"/>
          <w:szCs w:val="21"/>
          <w:highlight w:val="none"/>
        </w:rPr>
        <w:t>延误的试验</w:t>
      </w:r>
      <w:bookmarkEnd w:id="377"/>
    </w:p>
    <w:p w14:paraId="3B4DC4E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9.2.1 </w:t>
      </w:r>
      <w:r>
        <w:rPr>
          <w:rFonts w:hint="eastAsia" w:cs="宋体" w:asciiTheme="minorEastAsia" w:hAnsiTheme="minorEastAsia" w:eastAsiaTheme="minorEastAsia"/>
          <w:color w:val="auto"/>
          <w:szCs w:val="21"/>
          <w:highlight w:val="none"/>
        </w:rPr>
        <w:t>如果承包人已根据第</w:t>
      </w:r>
      <w:r>
        <w:rPr>
          <w:rFonts w:cs="宋体" w:asciiTheme="minorEastAsia" w:hAnsiTheme="minorEastAsia" w:eastAsiaTheme="minorEastAsia"/>
          <w:color w:val="auto"/>
          <w:szCs w:val="21"/>
          <w:highlight w:val="none"/>
        </w:rPr>
        <w:t>9.1款[竣工试验的义务]就可以开始进行各项竣工试验的日期通知工程师，但该等试验因发包人原因被延误14天以上的，发包人应承担由此增加的费用和工期延误，并支付承包人合理利润。同时，承包人应在合理可行的情况下尽快进行竣工试验。</w:t>
      </w:r>
    </w:p>
    <w:p w14:paraId="7F9B329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9.2.2 </w:t>
      </w:r>
      <w:r>
        <w:rPr>
          <w:rFonts w:hint="eastAsia" w:cs="宋体" w:asciiTheme="minorEastAsia" w:hAnsiTheme="minorEastAsia" w:eastAsiaTheme="minorEastAsia"/>
          <w:color w:val="auto"/>
          <w:szCs w:val="21"/>
          <w:highlight w:val="none"/>
        </w:rPr>
        <w:t>承包人无正当理由延误进行竣工试验的，工程师可向其发出通知，要求其在收到通知后的</w:t>
      </w:r>
      <w:r>
        <w:rPr>
          <w:rFonts w:cs="宋体" w:asciiTheme="minorEastAsia" w:hAnsiTheme="minorEastAsia" w:eastAsiaTheme="minorEastAsia"/>
          <w:color w:val="auto"/>
          <w:szCs w:val="21"/>
          <w:highlight w:val="none"/>
        </w:rPr>
        <w:t>21天内进行该项竣工试验。承包人应在该21天的期限内确定进行试验的日期，并至少提前7天通知工程师。</w:t>
      </w:r>
    </w:p>
    <w:p w14:paraId="1943CB2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9.2.3 </w:t>
      </w:r>
      <w:r>
        <w:rPr>
          <w:rFonts w:hint="eastAsia" w:cs="宋体" w:asciiTheme="minorEastAsia" w:hAnsiTheme="minorEastAsia" w:eastAsiaTheme="minorEastAsia"/>
          <w:color w:val="auto"/>
          <w:szCs w:val="21"/>
          <w:highlight w:val="none"/>
        </w:rPr>
        <w:t>如果承包人未在该期限内进行竣工试验，则发包人有权自行组织该项竣工试验，由此产生的合理费用由承包人承担。发包人应在试验完成后</w:t>
      </w:r>
      <w:r>
        <w:rPr>
          <w:rFonts w:cs="宋体" w:asciiTheme="minorEastAsia" w:hAnsiTheme="minorEastAsia" w:eastAsiaTheme="minorEastAsia"/>
          <w:color w:val="auto"/>
          <w:szCs w:val="21"/>
          <w:highlight w:val="none"/>
        </w:rPr>
        <w:t>28天内向承包人发送试验结果。</w:t>
      </w:r>
    </w:p>
    <w:p w14:paraId="15090D27">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78" w:name="_Ref532594588"/>
      <w:bookmarkStart w:id="379" w:name="_Ref532594592"/>
      <w:bookmarkStart w:id="380" w:name="_Toc54862261"/>
      <w:r>
        <w:rPr>
          <w:rFonts w:cs="宋体" w:asciiTheme="minorEastAsia" w:hAnsiTheme="minorEastAsia" w:eastAsiaTheme="minorEastAsia"/>
          <w:color w:val="auto"/>
          <w:szCs w:val="21"/>
          <w:highlight w:val="none"/>
        </w:rPr>
        <w:t xml:space="preserve">9.3 </w:t>
      </w:r>
      <w:r>
        <w:rPr>
          <w:rFonts w:hint="eastAsia" w:cs="宋体" w:asciiTheme="minorEastAsia" w:hAnsiTheme="minorEastAsia" w:eastAsiaTheme="minorEastAsia"/>
          <w:color w:val="auto"/>
          <w:szCs w:val="21"/>
          <w:highlight w:val="none"/>
        </w:rPr>
        <w:t>重新试验</w:t>
      </w:r>
      <w:bookmarkEnd w:id="378"/>
      <w:bookmarkEnd w:id="379"/>
      <w:bookmarkEnd w:id="380"/>
    </w:p>
    <w:p w14:paraId="2BFB375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如果工程或区段工程未能通过竣工试验，则承包人应根据第</w:t>
      </w:r>
      <w:r>
        <w:rPr>
          <w:rFonts w:cs="宋体" w:asciiTheme="minorEastAsia" w:hAnsiTheme="minorEastAsia" w:eastAsiaTheme="minorEastAsia"/>
          <w:color w:val="auto"/>
          <w:szCs w:val="21"/>
          <w:highlight w:val="none"/>
        </w:rPr>
        <w:t>6.6款[缺陷和修补]修补缺陷。发包人或承包人可要求按相同的条件，重新进行未通过的试验以及相关工程或区段工程的竣工试验。该等重新进行的试验仍应适用本条对于竣工试验的规定。</w:t>
      </w:r>
    </w:p>
    <w:p w14:paraId="6C3308A1">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81" w:name="_Toc54862262"/>
      <w:bookmarkStart w:id="382" w:name="_Ref532688221"/>
      <w:bookmarkStart w:id="383" w:name="_Ref532688226"/>
      <w:r>
        <w:rPr>
          <w:rFonts w:cs="宋体" w:asciiTheme="minorEastAsia" w:hAnsiTheme="minorEastAsia" w:eastAsiaTheme="minorEastAsia"/>
          <w:color w:val="auto"/>
          <w:szCs w:val="21"/>
          <w:highlight w:val="none"/>
        </w:rPr>
        <w:t xml:space="preserve">9.4 </w:t>
      </w:r>
      <w:r>
        <w:rPr>
          <w:rFonts w:hint="eastAsia" w:cs="宋体" w:asciiTheme="minorEastAsia" w:hAnsiTheme="minorEastAsia" w:eastAsiaTheme="minorEastAsia"/>
          <w:color w:val="auto"/>
          <w:szCs w:val="21"/>
          <w:highlight w:val="none"/>
        </w:rPr>
        <w:t>未能通过竣工试验</w:t>
      </w:r>
      <w:bookmarkEnd w:id="381"/>
      <w:bookmarkEnd w:id="382"/>
      <w:bookmarkEnd w:id="383"/>
    </w:p>
    <w:p w14:paraId="4984E7A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9.4.1 </w:t>
      </w:r>
      <w:r>
        <w:rPr>
          <w:rFonts w:hint="eastAsia" w:cs="宋体" w:asciiTheme="minorEastAsia" w:hAnsiTheme="minorEastAsia" w:eastAsiaTheme="minorEastAsia"/>
          <w:color w:val="auto"/>
          <w:szCs w:val="21"/>
          <w:highlight w:val="none"/>
        </w:rPr>
        <w:t>因发包人原因导致竣工试验未能通过的，承包人进行竣工试验的费用由发包人承担，竣工日期相应顺延。</w:t>
      </w:r>
    </w:p>
    <w:p w14:paraId="57D328C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9.4.2 </w:t>
      </w:r>
      <w:r>
        <w:rPr>
          <w:rFonts w:hint="eastAsia" w:cs="宋体" w:asciiTheme="minorEastAsia" w:hAnsiTheme="minorEastAsia" w:eastAsiaTheme="minorEastAsia"/>
          <w:color w:val="auto"/>
          <w:szCs w:val="21"/>
          <w:highlight w:val="none"/>
        </w:rPr>
        <w:t>如果工程或区段工程未能通过根据第</w:t>
      </w:r>
      <w:r>
        <w:rPr>
          <w:rFonts w:cs="宋体" w:asciiTheme="minorEastAsia" w:hAnsiTheme="minorEastAsia" w:eastAsiaTheme="minorEastAsia"/>
          <w:color w:val="auto"/>
          <w:szCs w:val="21"/>
          <w:highlight w:val="none"/>
        </w:rPr>
        <w:t>9.3款[重新试验]重新进行的竣工试验的，则：</w:t>
      </w:r>
    </w:p>
    <w:p w14:paraId="7C252EF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1）发包人有权要求承包人根据第6.6款[缺陷和修补]继续进行修补和改正，并根据第9.3款[重新试验]再次进行竣工试验；</w:t>
      </w:r>
    </w:p>
    <w:p w14:paraId="5562AE7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未能通过竣工试验，对工程或区段工程的操作或使用未产生实质性影响的，发包人有权要求承包人自费修复，承担因此增加的费用和误期损害赔偿责任，并赔偿发包人的相应损失；无法修复时，发包人有权扣减该部分的相应付款，同时视为通过竣工验收；</w:t>
      </w:r>
    </w:p>
    <w:p w14:paraId="5F66D52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84" w:name="_Ref4621461"/>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3）未能通过竣工试验，使工程或区段工程的任何主要部分丧失了生产、使用功能时，发包人有权指令承包人更换相关部分，承包人应承担因此增加的费用和误期损害赔偿责任，并赔偿发包人的相应损失</w:t>
      </w:r>
      <w:bookmarkEnd w:id="384"/>
      <w:r>
        <w:rPr>
          <w:rFonts w:hint="eastAsia" w:cs="宋体" w:asciiTheme="minorEastAsia" w:hAnsiTheme="minorEastAsia" w:eastAsiaTheme="minorEastAsia"/>
          <w:color w:val="auto"/>
          <w:szCs w:val="21"/>
          <w:highlight w:val="none"/>
        </w:rPr>
        <w:t>；</w:t>
      </w:r>
    </w:p>
    <w:p w14:paraId="3828860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未能通过竣工试验，使整个工程或区段工程丧失了生产、使用功能时，发包人可拒收工程或区段工程，或指令承包人重新设计、重置相关部分，承包人应承担因此增加的费用和误期损害赔偿责任，并赔偿发包人的相应损失。同时发包人有权根据第16.1款[由发包人解除合同]的约定解除合同。</w:t>
      </w:r>
    </w:p>
    <w:p w14:paraId="2584E226">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385" w:name="_Ref4618338"/>
      <w:bookmarkStart w:id="386" w:name="_Ref4618348"/>
      <w:bookmarkStart w:id="387" w:name="_Ref4624043"/>
      <w:bookmarkStart w:id="388" w:name="_Toc54862263"/>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10条 </w:t>
      </w:r>
      <w:r>
        <w:rPr>
          <w:rFonts w:hint="eastAsia" w:cs="宋体" w:asciiTheme="minorEastAsia" w:hAnsiTheme="minorEastAsia" w:eastAsiaTheme="minorEastAsia"/>
          <w:b/>
          <w:color w:val="auto"/>
          <w:szCs w:val="21"/>
          <w:highlight w:val="none"/>
        </w:rPr>
        <w:t>验收和工程接收</w:t>
      </w:r>
      <w:bookmarkEnd w:id="385"/>
      <w:bookmarkEnd w:id="386"/>
      <w:bookmarkEnd w:id="387"/>
      <w:bookmarkEnd w:id="388"/>
    </w:p>
    <w:p w14:paraId="597EB817">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389" w:name="_Ref532359152"/>
      <w:bookmarkStart w:id="390" w:name="_Ref532301199"/>
      <w:bookmarkStart w:id="391" w:name="_Ref532359143"/>
      <w:bookmarkStart w:id="392" w:name="_Ref532300804"/>
      <w:bookmarkStart w:id="393" w:name="_Ref532300801"/>
      <w:bookmarkStart w:id="394" w:name="_Ref532301202"/>
      <w:bookmarkStart w:id="395" w:name="_Toc54862264"/>
      <w:r>
        <w:rPr>
          <w:rFonts w:cs="宋体" w:asciiTheme="minorEastAsia" w:hAnsiTheme="minorEastAsia" w:eastAsiaTheme="minorEastAsia"/>
          <w:color w:val="auto"/>
          <w:szCs w:val="21"/>
          <w:highlight w:val="none"/>
        </w:rPr>
        <w:t xml:space="preserve">10.1 </w:t>
      </w:r>
      <w:r>
        <w:rPr>
          <w:rFonts w:hint="eastAsia" w:cs="宋体" w:asciiTheme="minorEastAsia" w:hAnsiTheme="minorEastAsia" w:eastAsiaTheme="minorEastAsia"/>
          <w:color w:val="auto"/>
          <w:szCs w:val="21"/>
          <w:highlight w:val="none"/>
        </w:rPr>
        <w:t>竣工验收</w:t>
      </w:r>
      <w:bookmarkEnd w:id="389"/>
      <w:bookmarkEnd w:id="390"/>
      <w:bookmarkEnd w:id="391"/>
      <w:bookmarkEnd w:id="392"/>
      <w:bookmarkEnd w:id="393"/>
      <w:bookmarkEnd w:id="394"/>
      <w:bookmarkEnd w:id="395"/>
    </w:p>
    <w:p w14:paraId="6A0C036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96" w:name="_Ref532628356"/>
      <w:r>
        <w:rPr>
          <w:rFonts w:cs="宋体" w:asciiTheme="minorEastAsia" w:hAnsiTheme="minorEastAsia" w:eastAsiaTheme="minorEastAsia"/>
          <w:color w:val="auto"/>
          <w:szCs w:val="21"/>
          <w:highlight w:val="none"/>
        </w:rPr>
        <w:t xml:space="preserve">10.1.1 </w:t>
      </w:r>
      <w:r>
        <w:rPr>
          <w:rFonts w:hint="eastAsia" w:cs="宋体" w:asciiTheme="minorEastAsia" w:hAnsiTheme="minorEastAsia" w:eastAsiaTheme="minorEastAsia"/>
          <w:color w:val="auto"/>
          <w:szCs w:val="21"/>
          <w:highlight w:val="none"/>
        </w:rPr>
        <w:t>竣工验收条件</w:t>
      </w:r>
    </w:p>
    <w:p w14:paraId="22FDD8C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工程具备以下条件的，承包人可以申请竣工验收：</w:t>
      </w:r>
    </w:p>
    <w:p w14:paraId="7EF6FEE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除因第13条[变更与调整]导致的工程量删减和第14.5.3项[扫尾工作清单]列入缺陷责任期内完成的扫尾工程和缺陷修补工作外，合同范围内的全部单位/区段工程以及有关工作，包括合同要求的试验和竣工试验均已完成，并符合合同要求；</w:t>
      </w:r>
    </w:p>
    <w:p w14:paraId="22A3FB6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2）已按合同约定编制了扫尾工作和缺陷修补工作清单以及相应实施计划；</w:t>
      </w:r>
    </w:p>
    <w:p w14:paraId="44575F8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3）已按合同约定的内容和份数备齐竣工资料；</w:t>
      </w:r>
    </w:p>
    <w:p w14:paraId="0C8C208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4）合同约定要求在竣工验收前应完成的其他工作。</w:t>
      </w:r>
    </w:p>
    <w:bookmarkEnd w:id="396"/>
    <w:p w14:paraId="04FD1A1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97" w:name="_Ref4429424"/>
      <w:bookmarkStart w:id="398" w:name="_Hlk51506601"/>
      <w:r>
        <w:rPr>
          <w:rFonts w:cs="宋体" w:asciiTheme="minorEastAsia" w:hAnsiTheme="minorEastAsia" w:eastAsiaTheme="minorEastAsia"/>
          <w:color w:val="auto"/>
          <w:szCs w:val="21"/>
          <w:highlight w:val="none"/>
        </w:rPr>
        <w:t xml:space="preserve">10.1.2 </w:t>
      </w:r>
      <w:r>
        <w:rPr>
          <w:rFonts w:hint="eastAsia" w:cs="宋体" w:asciiTheme="minorEastAsia" w:hAnsiTheme="minorEastAsia" w:eastAsiaTheme="minorEastAsia"/>
          <w:color w:val="auto"/>
          <w:szCs w:val="21"/>
          <w:highlight w:val="none"/>
        </w:rPr>
        <w:t>竣工验收程序</w:t>
      </w:r>
      <w:bookmarkEnd w:id="397"/>
    </w:p>
    <w:bookmarkEnd w:id="398"/>
    <w:p w14:paraId="2BA1A47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除专用合同条件另有约定外，承包人申请竣工验收的，应当按照以下程序进行：</w:t>
      </w:r>
    </w:p>
    <w:p w14:paraId="0791A9C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承包人向工程师报送竣工验收申请报告，工程师应在收到竣工验收申请报告后14天内完成审查并报送发包人。工程师审查后认为尚不具备竣工验收条件的，应在收到竣工验收申请报告后的14天内通知承包人，指出在颁发接收证书前承包人还需进行的工作内容。承包人完成工程师通知的全部工作内容后，应再次提交竣工验收申请报告，直至工程师同意为止。</w:t>
      </w:r>
    </w:p>
    <w:p w14:paraId="77BC20B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工程师同意承包人提交的竣工验收申请报告的，或工程师收到竣工验收申请报告后14天内不予答复的，视为发包人收到并同意承包人的竣工验收申请，发包人应在收到该竣工验收申请报告后的28天内进行竣工验收。工程经竣工验收合格的，以竣工验收合格之日为实际竣工日期，并在工程接收证书中载明；完成竣工验收但发包人不予签发工程接收证书的，视为竣工验收合格，以完成竣工验收之日为实际竣工日期。</w:t>
      </w:r>
    </w:p>
    <w:p w14:paraId="2601655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竣工验收不合格的，工程师应按照验收意见发出指示，要求承包人对不合格工程返工、修复或采取其他补救措施，由此增加的费用和（或）延误的工期由承包人承担。承包人在完成不合格工程的返工、修复或采取其他补救措施后，应重新提交竣工验收申请报告，并按本项约定的程序重新进行验收。</w:t>
      </w:r>
    </w:p>
    <w:p w14:paraId="6C771D2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399" w:name="_Hlk51506640"/>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4）因发包人原因，未在工程师收到承包人竣工验收申请报告之日起42天内完成竣工验收的，以承包人提交竣工验收申请报告之日作为工程实际竣工日期。</w:t>
      </w:r>
    </w:p>
    <w:bookmarkEnd w:id="399"/>
    <w:p w14:paraId="20EA6BA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5）工程未经竣工验收，发包人擅自使用的，以转移占有工程之日为实际竣工日期。</w:t>
      </w:r>
    </w:p>
    <w:p w14:paraId="06CAD5F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除专用合同条件另有约定外，发包人不按照本项和第</w:t>
      </w:r>
      <w:r>
        <w:rPr>
          <w:rFonts w:cs="宋体" w:asciiTheme="minorEastAsia" w:hAnsiTheme="minorEastAsia" w:eastAsiaTheme="minorEastAsia"/>
          <w:color w:val="auto"/>
          <w:szCs w:val="21"/>
          <w:highlight w:val="none"/>
        </w:rPr>
        <w:t>10.4款[接收证书]约定组织竣工验收、颁发工程接收证书的，每逾期一天，应以欠付工程款为基数，按照贷款市场报价利率（LPR）支付违约金。</w:t>
      </w:r>
    </w:p>
    <w:p w14:paraId="2FDF06A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00" w:name="_Ref532301210"/>
      <w:bookmarkStart w:id="401" w:name="_Toc54862265"/>
      <w:bookmarkStart w:id="402" w:name="_Ref532301213"/>
      <w:r>
        <w:rPr>
          <w:rFonts w:cs="宋体" w:asciiTheme="minorEastAsia" w:hAnsiTheme="minorEastAsia" w:eastAsiaTheme="minorEastAsia"/>
          <w:color w:val="auto"/>
          <w:szCs w:val="21"/>
          <w:highlight w:val="none"/>
        </w:rPr>
        <w:t xml:space="preserve">10.2 </w:t>
      </w:r>
      <w:r>
        <w:rPr>
          <w:rFonts w:hint="eastAsia" w:cs="宋体" w:asciiTheme="minorEastAsia" w:hAnsiTheme="minorEastAsia" w:eastAsiaTheme="minorEastAsia"/>
          <w:color w:val="auto"/>
          <w:szCs w:val="21"/>
          <w:highlight w:val="none"/>
        </w:rPr>
        <w:t>单位</w:t>
      </w:r>
      <w:r>
        <w:rPr>
          <w:rFonts w:cs="宋体" w:asciiTheme="minorEastAsia" w:hAnsiTheme="minorEastAsia" w:eastAsiaTheme="minorEastAsia"/>
          <w:color w:val="auto"/>
          <w:szCs w:val="21"/>
          <w:highlight w:val="none"/>
        </w:rPr>
        <w:t>/区段工程的验收</w:t>
      </w:r>
      <w:bookmarkEnd w:id="400"/>
      <w:bookmarkEnd w:id="401"/>
      <w:bookmarkEnd w:id="402"/>
    </w:p>
    <w:p w14:paraId="7E73F5F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10.2.1 </w:t>
      </w:r>
      <w:r>
        <w:rPr>
          <w:rFonts w:hint="eastAsia" w:cs="宋体" w:asciiTheme="minorEastAsia" w:hAnsiTheme="minorEastAsia" w:eastAsiaTheme="minorEastAsia"/>
          <w:color w:val="auto"/>
          <w:szCs w:val="21"/>
          <w:highlight w:val="none"/>
        </w:rPr>
        <w:t>发包人根据项目进度计划安排，在全部工程竣工前需要使用已经竣工的单位</w:t>
      </w:r>
      <w:r>
        <w:rPr>
          <w:rFonts w:cs="宋体" w:asciiTheme="minorEastAsia" w:hAnsiTheme="minorEastAsia" w:eastAsiaTheme="minorEastAsia"/>
          <w:color w:val="auto"/>
          <w:szCs w:val="21"/>
          <w:highlight w:val="none"/>
        </w:rPr>
        <w:t>/区段工程时，或承包人提出经发包人同意时，可进行单位/区段工程验收。验收的程序可参照第10.1款[竣工验收]的约定进行。验收合格后，由工程师向承包人出具经发包人签认的单位/区段工程验收证书。单位/区段工程的验收成果和结论作为全部工程竣工验收申请报告的附件。</w:t>
      </w:r>
    </w:p>
    <w:p w14:paraId="2140950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10.2.2 </w:t>
      </w:r>
      <w:r>
        <w:rPr>
          <w:rFonts w:hint="eastAsia" w:cs="宋体" w:asciiTheme="minorEastAsia" w:hAnsiTheme="minorEastAsia" w:eastAsiaTheme="minorEastAsia"/>
          <w:color w:val="auto"/>
          <w:szCs w:val="21"/>
          <w:highlight w:val="none"/>
        </w:rPr>
        <w:t>发包人在全部工程竣工前，使用已接收的单位</w:t>
      </w:r>
      <w:r>
        <w:rPr>
          <w:rFonts w:cs="宋体" w:asciiTheme="minorEastAsia" w:hAnsiTheme="minorEastAsia" w:eastAsiaTheme="minorEastAsia"/>
          <w:color w:val="auto"/>
          <w:szCs w:val="21"/>
          <w:highlight w:val="none"/>
        </w:rPr>
        <w:t>/区段工程导致承包人费用增加的，发包人应承担由此增加的费用和（或）工期延误，并支付承包人合理利润。</w:t>
      </w:r>
    </w:p>
    <w:p w14:paraId="4835E577">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03" w:name="_Toc54862266"/>
      <w:bookmarkStart w:id="404" w:name="_Ref4429473"/>
      <w:bookmarkStart w:id="405" w:name="_Ref532688354"/>
      <w:bookmarkStart w:id="406" w:name="_Ref532688351"/>
      <w:r>
        <w:rPr>
          <w:rFonts w:cs="宋体" w:asciiTheme="minorEastAsia" w:hAnsiTheme="minorEastAsia" w:eastAsiaTheme="minorEastAsia"/>
          <w:color w:val="auto"/>
          <w:szCs w:val="21"/>
          <w:highlight w:val="none"/>
        </w:rPr>
        <w:t xml:space="preserve">10.3 </w:t>
      </w:r>
      <w:r>
        <w:rPr>
          <w:rFonts w:hint="eastAsia" w:cs="宋体" w:asciiTheme="minorEastAsia" w:hAnsiTheme="minorEastAsia" w:eastAsiaTheme="minorEastAsia"/>
          <w:color w:val="auto"/>
          <w:szCs w:val="21"/>
          <w:highlight w:val="none"/>
        </w:rPr>
        <w:t>工程的接收</w:t>
      </w:r>
      <w:bookmarkEnd w:id="403"/>
    </w:p>
    <w:p w14:paraId="5BAD52D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10.3.1 </w:t>
      </w:r>
      <w:r>
        <w:rPr>
          <w:rFonts w:hint="eastAsia" w:cs="宋体" w:asciiTheme="minorEastAsia" w:hAnsiTheme="minorEastAsia" w:eastAsiaTheme="minorEastAsia"/>
          <w:color w:val="auto"/>
          <w:szCs w:val="21"/>
          <w:highlight w:val="none"/>
        </w:rPr>
        <w:t>根据工程项目的具体情况和特点，可按工程或单位</w:t>
      </w:r>
      <w:r>
        <w:rPr>
          <w:rFonts w:cs="宋体" w:asciiTheme="minorEastAsia" w:hAnsiTheme="minorEastAsia" w:eastAsiaTheme="minorEastAsia"/>
          <w:color w:val="auto"/>
          <w:szCs w:val="21"/>
          <w:highlight w:val="none"/>
        </w:rPr>
        <w:t>/区段工程进行接收，并在专用合同条件约定接收的先后顺序、时间安排和其他要求。</w:t>
      </w:r>
    </w:p>
    <w:p w14:paraId="6B470F2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10.3.2 </w:t>
      </w:r>
      <w:r>
        <w:rPr>
          <w:rFonts w:hint="eastAsia" w:cs="宋体" w:asciiTheme="minorEastAsia" w:hAnsiTheme="minorEastAsia" w:eastAsiaTheme="minorEastAsia"/>
          <w:color w:val="auto"/>
          <w:szCs w:val="21"/>
          <w:highlight w:val="none"/>
        </w:rPr>
        <w:t>除按本条约定已经提交的资料外，接收工程时承包人需提交竣工验收资料的类别、内容、份数和提交时间，在专用合同条件中约定。</w:t>
      </w:r>
    </w:p>
    <w:p w14:paraId="1CD9638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10.3.3 </w:t>
      </w:r>
      <w:r>
        <w:rPr>
          <w:rFonts w:hint="eastAsia" w:cs="宋体" w:asciiTheme="minorEastAsia" w:hAnsiTheme="minorEastAsia" w:eastAsiaTheme="minorEastAsia"/>
          <w:color w:val="auto"/>
          <w:szCs w:val="21"/>
          <w:highlight w:val="none"/>
        </w:rPr>
        <w:t>发包人无正当理由不接收工程的，发包人自应当接收工程之日起，承担工程照管、成品保护、保管等与工程有关的各项费用，合同当事人可以在专用合同条件中另行约定发包人逾期接收工程的违约责任。</w:t>
      </w:r>
    </w:p>
    <w:p w14:paraId="644499F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10.3.4 </w:t>
      </w:r>
      <w:r>
        <w:rPr>
          <w:rFonts w:hint="eastAsia" w:cs="宋体" w:asciiTheme="minorEastAsia" w:hAnsiTheme="minorEastAsia" w:eastAsiaTheme="minorEastAsia"/>
          <w:color w:val="auto"/>
          <w:szCs w:val="21"/>
          <w:highlight w:val="none"/>
        </w:rPr>
        <w:t>承包人无正当理由不移交工程的，承包人应承担工程照管、成品保护、保管等与工程有关的各项费用，合同当事人可以在专用合同条件中另行约定承包人无正当理由不移交工程的违约责任。</w:t>
      </w:r>
    </w:p>
    <w:p w14:paraId="0FEDDBF1">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07" w:name="_Toc54862267"/>
      <w:r>
        <w:rPr>
          <w:rFonts w:cs="宋体" w:asciiTheme="minorEastAsia" w:hAnsiTheme="minorEastAsia" w:eastAsiaTheme="minorEastAsia"/>
          <w:color w:val="auto"/>
          <w:szCs w:val="21"/>
          <w:highlight w:val="none"/>
        </w:rPr>
        <w:t xml:space="preserve">10.4 </w:t>
      </w:r>
      <w:r>
        <w:rPr>
          <w:rFonts w:hint="eastAsia" w:cs="宋体" w:asciiTheme="minorEastAsia" w:hAnsiTheme="minorEastAsia" w:eastAsiaTheme="minorEastAsia"/>
          <w:color w:val="auto"/>
          <w:szCs w:val="21"/>
          <w:highlight w:val="none"/>
        </w:rPr>
        <w:t>接收证书</w:t>
      </w:r>
      <w:bookmarkEnd w:id="404"/>
      <w:bookmarkEnd w:id="407"/>
    </w:p>
    <w:p w14:paraId="5AC0297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08" w:name="_Ref4429542"/>
      <w:r>
        <w:rPr>
          <w:rFonts w:cs="宋体" w:asciiTheme="minorEastAsia" w:hAnsiTheme="minorEastAsia" w:eastAsiaTheme="minorEastAsia"/>
          <w:color w:val="auto"/>
          <w:szCs w:val="21"/>
          <w:highlight w:val="none"/>
        </w:rPr>
        <w:t xml:space="preserve">10.4.1 </w:t>
      </w:r>
      <w:r>
        <w:rPr>
          <w:rFonts w:hint="eastAsia" w:cs="宋体" w:asciiTheme="minorEastAsia" w:hAnsiTheme="minorEastAsia" w:eastAsiaTheme="minorEastAsia"/>
          <w:color w:val="auto"/>
          <w:szCs w:val="21"/>
          <w:highlight w:val="none"/>
        </w:rPr>
        <w:t>除专用合同条件另有约定外，承包人应在竣工验收合格后向发包人提交第</w:t>
      </w:r>
      <w:r>
        <w:rPr>
          <w:rFonts w:cs="宋体" w:asciiTheme="minorEastAsia" w:hAnsiTheme="minorEastAsia" w:eastAsiaTheme="minorEastAsia"/>
          <w:color w:val="auto"/>
          <w:szCs w:val="21"/>
          <w:highlight w:val="none"/>
        </w:rPr>
        <w:t>14.6款[质量保证金]约定的质量保证金，发包人应在竣工验收合格且工程具备接收条件后的14天内向承包人颁发工程接收证书，但承包人未提交质量保证金的，发包人有权拒绝颁发。发包人拒绝颁发工程接收证书的，应向承包人发出通知，说明理由并指出在颁发接收证书前承包人需要做的工作，需要修补的缺陷和承包人需要提供的文件。</w:t>
      </w:r>
      <w:bookmarkEnd w:id="408"/>
    </w:p>
    <w:p w14:paraId="0A0FDB8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10.4.2 </w:t>
      </w:r>
      <w:r>
        <w:rPr>
          <w:rFonts w:hint="eastAsia" w:cs="宋体" w:asciiTheme="minorEastAsia" w:hAnsiTheme="minorEastAsia" w:eastAsiaTheme="minorEastAsia"/>
          <w:color w:val="auto"/>
          <w:szCs w:val="21"/>
          <w:highlight w:val="none"/>
        </w:rPr>
        <w:t>发包人向承包人颁发的接收证书，应注明工程或单位</w:t>
      </w:r>
      <w:r>
        <w:rPr>
          <w:rFonts w:cs="宋体" w:asciiTheme="minorEastAsia" w:hAnsiTheme="minorEastAsia" w:eastAsiaTheme="minorEastAsia"/>
          <w:color w:val="auto"/>
          <w:szCs w:val="21"/>
          <w:highlight w:val="none"/>
        </w:rPr>
        <w:t>/区段工程经验收合格的实际竣工日期，并列明不在接收范围内的，在收尾工作和缺陷修补完成之前对工程或单位/区段工程预期使用目的没有实质影响的少量收尾工作和缺陷。</w:t>
      </w:r>
    </w:p>
    <w:p w14:paraId="0F8396D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10.4.3 </w:t>
      </w:r>
      <w:r>
        <w:rPr>
          <w:rFonts w:hint="eastAsia" w:cs="宋体" w:asciiTheme="minorEastAsia" w:hAnsiTheme="minorEastAsia" w:eastAsiaTheme="minorEastAsia"/>
          <w:color w:val="auto"/>
          <w:szCs w:val="21"/>
          <w:highlight w:val="none"/>
        </w:rPr>
        <w:t>竣工验收合格而发包人无正当理由逾期不颁发工程接收证书的，自验收合格后第</w:t>
      </w:r>
      <w:r>
        <w:rPr>
          <w:rFonts w:cs="宋体" w:asciiTheme="minorEastAsia" w:hAnsiTheme="minorEastAsia" w:eastAsiaTheme="minorEastAsia"/>
          <w:color w:val="auto"/>
          <w:szCs w:val="21"/>
          <w:highlight w:val="none"/>
        </w:rPr>
        <w:t>15天起视为已颁发工程接收证书。</w:t>
      </w:r>
    </w:p>
    <w:p w14:paraId="5E5E48B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10.4.4 </w:t>
      </w:r>
      <w:r>
        <w:rPr>
          <w:rFonts w:hint="eastAsia" w:cs="宋体" w:asciiTheme="minorEastAsia" w:hAnsiTheme="minorEastAsia" w:eastAsiaTheme="minorEastAsia"/>
          <w:color w:val="auto"/>
          <w:szCs w:val="21"/>
          <w:highlight w:val="none"/>
        </w:rPr>
        <w:t>工程未经验收或验收不合格，发包人擅自使用的，应在转移占有工程后</w:t>
      </w:r>
      <w:r>
        <w:rPr>
          <w:rFonts w:cs="宋体" w:asciiTheme="minorEastAsia" w:hAnsiTheme="minorEastAsia" w:eastAsiaTheme="minorEastAsia"/>
          <w:color w:val="auto"/>
          <w:szCs w:val="21"/>
          <w:highlight w:val="none"/>
        </w:rPr>
        <w:t>7天内向承包人颁发工程接收证书；发包人无正当理由逾期不颁发工程接收证书的，自转移占有后第15天起视为已颁发工程接收证书。</w:t>
      </w:r>
    </w:p>
    <w:p w14:paraId="223E72A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10.4.5 </w:t>
      </w:r>
      <w:r>
        <w:rPr>
          <w:rFonts w:hint="eastAsia" w:cs="宋体" w:asciiTheme="minorEastAsia" w:hAnsiTheme="minorEastAsia" w:eastAsiaTheme="minorEastAsia"/>
          <w:color w:val="auto"/>
          <w:szCs w:val="21"/>
          <w:highlight w:val="none"/>
        </w:rPr>
        <w:t>存在扫尾工作的，工程接收证书中应当将第</w:t>
      </w:r>
      <w:r>
        <w:rPr>
          <w:rFonts w:cs="宋体" w:asciiTheme="minorEastAsia" w:hAnsiTheme="minorEastAsia" w:eastAsiaTheme="minorEastAsia"/>
          <w:color w:val="auto"/>
          <w:szCs w:val="21"/>
          <w:highlight w:val="none"/>
        </w:rPr>
        <w:t>14.5.3项[扫尾工作清单]中约定的扫尾工作清单作为工程接收证书附件。</w:t>
      </w:r>
    </w:p>
    <w:bookmarkEnd w:id="405"/>
    <w:bookmarkEnd w:id="406"/>
    <w:p w14:paraId="42030859">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09" w:name="_Ref4429935"/>
      <w:bookmarkStart w:id="410" w:name="_Toc54862268"/>
      <w:bookmarkStart w:id="411" w:name="_Ref4429932"/>
      <w:r>
        <w:rPr>
          <w:rFonts w:cs="宋体" w:asciiTheme="minorEastAsia" w:hAnsiTheme="minorEastAsia" w:eastAsiaTheme="minorEastAsia"/>
          <w:color w:val="auto"/>
          <w:szCs w:val="21"/>
          <w:highlight w:val="none"/>
        </w:rPr>
        <w:t xml:space="preserve">10.5 </w:t>
      </w:r>
      <w:r>
        <w:rPr>
          <w:rFonts w:hint="eastAsia" w:cs="宋体" w:asciiTheme="minorEastAsia" w:hAnsiTheme="minorEastAsia" w:eastAsiaTheme="minorEastAsia"/>
          <w:color w:val="auto"/>
          <w:szCs w:val="21"/>
          <w:highlight w:val="none"/>
        </w:rPr>
        <w:t>竣工退场</w:t>
      </w:r>
      <w:bookmarkEnd w:id="409"/>
      <w:bookmarkEnd w:id="410"/>
      <w:bookmarkEnd w:id="411"/>
    </w:p>
    <w:p w14:paraId="559AA23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12" w:name="_Ref4429943"/>
      <w:r>
        <w:rPr>
          <w:rFonts w:cs="宋体" w:asciiTheme="minorEastAsia" w:hAnsiTheme="minorEastAsia" w:eastAsiaTheme="minorEastAsia"/>
          <w:color w:val="auto"/>
          <w:szCs w:val="21"/>
          <w:highlight w:val="none"/>
        </w:rPr>
        <w:t xml:space="preserve">10.5.1 </w:t>
      </w:r>
      <w:r>
        <w:rPr>
          <w:rFonts w:hint="eastAsia" w:cs="宋体" w:asciiTheme="minorEastAsia" w:hAnsiTheme="minorEastAsia" w:eastAsiaTheme="minorEastAsia"/>
          <w:color w:val="auto"/>
          <w:szCs w:val="21"/>
          <w:highlight w:val="none"/>
        </w:rPr>
        <w:t>竣工退场</w:t>
      </w:r>
      <w:bookmarkEnd w:id="412"/>
    </w:p>
    <w:p w14:paraId="6B6E70C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颁发工程接收证书后，承包人应对施工现场进行清理，并撤离相关人员，使得施工现场处于以下状态，直至工程师检验合格为止：</w:t>
      </w:r>
    </w:p>
    <w:p w14:paraId="37AAF16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1）施工现场内残留的垃圾已全部清除出场；</w:t>
      </w:r>
    </w:p>
    <w:p w14:paraId="7876A71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2）临时工程已拆除，场地已按合同约定进行清理、平整或复原；</w:t>
      </w:r>
    </w:p>
    <w:p w14:paraId="7A6076F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3）按合同约定应撤离的人员、承包人提供的施工设备和剩余的材料，包括废弃的施工设备和材料，已按计划撤离施工现场；</w:t>
      </w:r>
    </w:p>
    <w:p w14:paraId="0F950A0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4）施工现场周边及其附近道路、河道的施工堆积物，已全部清理；</w:t>
      </w:r>
    </w:p>
    <w:p w14:paraId="091D152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5）施工现场其他竣工退场工作已全部完成。</w:t>
      </w:r>
    </w:p>
    <w:p w14:paraId="2D3A710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现场的竣工退场费用由承包人承担。承包人应在专用合同条件约定的期限内完成竣工退场，逾期未完成的，发包人有权出售或另行处理承包人遗留的物品，由此支出的费用由承包人承担，发包人出售承包人遗留物品所得款项在扣除必要费用后应返还承包人。</w:t>
      </w:r>
    </w:p>
    <w:p w14:paraId="0C5535C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10.5.2 </w:t>
      </w:r>
      <w:r>
        <w:rPr>
          <w:rFonts w:hint="eastAsia" w:cs="宋体" w:asciiTheme="minorEastAsia" w:hAnsiTheme="minorEastAsia" w:eastAsiaTheme="minorEastAsia"/>
          <w:color w:val="auto"/>
          <w:szCs w:val="21"/>
          <w:highlight w:val="none"/>
        </w:rPr>
        <w:t>地表还原</w:t>
      </w:r>
    </w:p>
    <w:p w14:paraId="2CFB950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承包人应按合同约定和工程师的要求恢复临时占地及清理场地，否则发包人有权委托其他人恢复或清理，所发生的费用由承包人承担。</w:t>
      </w:r>
    </w:p>
    <w:p w14:paraId="21A08F8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13" w:name="_Ref20159437"/>
      <w:r>
        <w:rPr>
          <w:rFonts w:cs="宋体" w:asciiTheme="minorEastAsia" w:hAnsiTheme="minorEastAsia" w:eastAsiaTheme="minorEastAsia"/>
          <w:color w:val="auto"/>
          <w:szCs w:val="21"/>
          <w:highlight w:val="none"/>
        </w:rPr>
        <w:t xml:space="preserve">10.5.3 </w:t>
      </w:r>
      <w:r>
        <w:rPr>
          <w:rFonts w:hint="eastAsia" w:cs="宋体" w:asciiTheme="minorEastAsia" w:hAnsiTheme="minorEastAsia" w:eastAsiaTheme="minorEastAsia"/>
          <w:color w:val="auto"/>
          <w:szCs w:val="21"/>
          <w:highlight w:val="none"/>
        </w:rPr>
        <w:t>人员撤离</w:t>
      </w:r>
      <w:bookmarkEnd w:id="413"/>
    </w:p>
    <w:p w14:paraId="589BA1B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了经工程师同意需在缺陷责任期内继续工作和使用的人员、施工设备和临时工程外，承包人应按专用合同条件约定和工程师的要求将其余的人员、施工设备和临时工程撤离施工现场或拆除。除专用合同条件另有约定外，缺陷责任期满时，承包人的人员和施工设备应全部撤离施工现场。</w:t>
      </w:r>
      <w:bookmarkEnd w:id="297"/>
    </w:p>
    <w:p w14:paraId="189741EA">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414" w:name="_Ref531955009"/>
      <w:bookmarkStart w:id="415" w:name="_Ref4796906"/>
      <w:bookmarkStart w:id="416" w:name="_Ref4796909"/>
      <w:bookmarkStart w:id="417" w:name="_Toc54862269"/>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11条 </w:t>
      </w:r>
      <w:r>
        <w:rPr>
          <w:rFonts w:hint="eastAsia" w:cs="宋体" w:asciiTheme="minorEastAsia" w:hAnsiTheme="minorEastAsia" w:eastAsiaTheme="minorEastAsia"/>
          <w:b/>
          <w:color w:val="auto"/>
          <w:szCs w:val="21"/>
          <w:highlight w:val="none"/>
        </w:rPr>
        <w:t>缺陷责任与保修</w:t>
      </w:r>
      <w:bookmarkEnd w:id="414"/>
      <w:bookmarkEnd w:id="415"/>
      <w:bookmarkEnd w:id="416"/>
      <w:bookmarkEnd w:id="417"/>
    </w:p>
    <w:p w14:paraId="2574DB11">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18" w:name="_Toc54862270"/>
      <w:bookmarkStart w:id="419" w:name="_Ref531955248"/>
      <w:bookmarkStart w:id="420" w:name="_Ref531955245"/>
      <w:bookmarkStart w:id="421" w:name="_Ref532362928"/>
      <w:bookmarkStart w:id="422" w:name="_Toc337558841"/>
      <w:bookmarkStart w:id="423" w:name="_Toc296346648"/>
      <w:bookmarkStart w:id="424" w:name="_Toc296503147"/>
      <w:r>
        <w:rPr>
          <w:rFonts w:cs="宋体" w:asciiTheme="minorEastAsia" w:hAnsiTheme="minorEastAsia" w:eastAsiaTheme="minorEastAsia"/>
          <w:color w:val="auto"/>
          <w:szCs w:val="21"/>
          <w:highlight w:val="none"/>
        </w:rPr>
        <w:t xml:space="preserve">11.1 </w:t>
      </w:r>
      <w:r>
        <w:rPr>
          <w:rFonts w:hint="eastAsia" w:cs="宋体" w:asciiTheme="minorEastAsia" w:hAnsiTheme="minorEastAsia" w:eastAsiaTheme="minorEastAsia"/>
          <w:color w:val="auto"/>
          <w:szCs w:val="21"/>
          <w:highlight w:val="none"/>
        </w:rPr>
        <w:t>工程保修的原则</w:t>
      </w:r>
      <w:bookmarkEnd w:id="418"/>
    </w:p>
    <w:p w14:paraId="54C2555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在工程移交发包人后，因承包人原因产生的质量缺陷，承包人应承担质量缺陷责任和保修义务。缺陷责任期届满，承包人仍应按合同约定的工程各部位保修年限承担保修义务。</w:t>
      </w:r>
    </w:p>
    <w:p w14:paraId="4C118D35">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25" w:name="_Ref4430062"/>
      <w:bookmarkStart w:id="426" w:name="_Toc54862271"/>
      <w:r>
        <w:rPr>
          <w:rFonts w:cs="宋体" w:asciiTheme="minorEastAsia" w:hAnsiTheme="minorEastAsia" w:eastAsiaTheme="minorEastAsia"/>
          <w:color w:val="auto"/>
          <w:szCs w:val="21"/>
          <w:highlight w:val="none"/>
        </w:rPr>
        <w:t xml:space="preserve">11.2 </w:t>
      </w:r>
      <w:r>
        <w:rPr>
          <w:rFonts w:hint="eastAsia" w:cs="宋体" w:asciiTheme="minorEastAsia" w:hAnsiTheme="minorEastAsia" w:eastAsiaTheme="minorEastAsia"/>
          <w:color w:val="auto"/>
          <w:szCs w:val="21"/>
          <w:highlight w:val="none"/>
        </w:rPr>
        <w:t>缺陷责任</w:t>
      </w:r>
      <w:bookmarkEnd w:id="419"/>
      <w:bookmarkEnd w:id="420"/>
      <w:r>
        <w:rPr>
          <w:rFonts w:hint="eastAsia" w:cs="宋体" w:asciiTheme="minorEastAsia" w:hAnsiTheme="minorEastAsia" w:eastAsiaTheme="minorEastAsia"/>
          <w:color w:val="auto"/>
          <w:szCs w:val="21"/>
          <w:highlight w:val="none"/>
        </w:rPr>
        <w:t>期</w:t>
      </w:r>
      <w:bookmarkEnd w:id="421"/>
      <w:bookmarkEnd w:id="425"/>
      <w:bookmarkEnd w:id="426"/>
    </w:p>
    <w:p w14:paraId="37735F5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缺陷责任期原则上从工程竣工验收合格之日起计算，合同当事人应在专用合同条件约定缺陷责任期的具体期限，但该期限最长不超过</w:t>
      </w:r>
      <w:r>
        <w:rPr>
          <w:rFonts w:cs="宋体" w:asciiTheme="minorEastAsia" w:hAnsiTheme="minorEastAsia" w:eastAsiaTheme="minorEastAsia"/>
          <w:color w:val="auto"/>
          <w:szCs w:val="21"/>
          <w:highlight w:val="none"/>
        </w:rPr>
        <w:t>24个月。</w:t>
      </w:r>
    </w:p>
    <w:p w14:paraId="60D1F4C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单位</w:t>
      </w:r>
      <w:r>
        <w:rPr>
          <w:rFonts w:cs="宋体" w:asciiTheme="minorEastAsia" w:hAnsiTheme="minorEastAsia" w:eastAsiaTheme="minorEastAsia"/>
          <w:color w:val="auto"/>
          <w:szCs w:val="21"/>
          <w:highlight w:val="none"/>
        </w:rPr>
        <w:t>/区段工程先于全部工程进行验收，经验收合格并交付使用的，该单位/区段工程缺陷责任期自单位/区段工程验收合格之日起算。因发包人原因导致工程未在合同约定期限进行验收，但工程经验收合格的，以承包人提交竣工验收报告之日起算；因发包人原因导致工程未能进行竣工验收的，在承包人提交竣工验收报告90天后，工程自动进入缺陷责任期；发包人未经竣工验收擅自使用工程的，缺陷责任期自工程转移占有之日起开始计算。</w:t>
      </w:r>
    </w:p>
    <w:p w14:paraId="09DE052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由于承包人原因造成某项缺陷或损坏使某项工程或工程设备不能按原定目标使用而需要再次检查、检验和修复的，发包人有权要求承包人延长该项工程或工程设备的缺陷责任期，并应在原缺陷责任期届满前发出延长通知。但缺陷责任期最长不超过</w:t>
      </w:r>
      <w:r>
        <w:rPr>
          <w:rFonts w:cs="宋体" w:asciiTheme="minorEastAsia" w:hAnsiTheme="minorEastAsia" w:eastAsiaTheme="minorEastAsia"/>
          <w:color w:val="auto"/>
          <w:szCs w:val="21"/>
          <w:highlight w:val="none"/>
        </w:rPr>
        <w:t>24个月。</w:t>
      </w:r>
    </w:p>
    <w:p w14:paraId="5C392C1D">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27" w:name="_Toc54862272"/>
      <w:bookmarkStart w:id="428" w:name="_Ref532662491"/>
      <w:bookmarkStart w:id="429" w:name="_Ref532662486"/>
      <w:r>
        <w:rPr>
          <w:rFonts w:cs="宋体" w:asciiTheme="minorEastAsia" w:hAnsiTheme="minorEastAsia" w:eastAsiaTheme="minorEastAsia"/>
          <w:color w:val="auto"/>
          <w:szCs w:val="21"/>
          <w:highlight w:val="none"/>
        </w:rPr>
        <w:t xml:space="preserve">11.3 </w:t>
      </w:r>
      <w:r>
        <w:rPr>
          <w:rFonts w:hint="eastAsia" w:cs="宋体" w:asciiTheme="minorEastAsia" w:hAnsiTheme="minorEastAsia" w:eastAsiaTheme="minorEastAsia"/>
          <w:color w:val="auto"/>
          <w:szCs w:val="21"/>
          <w:highlight w:val="none"/>
        </w:rPr>
        <w:t>缺陷调查</w:t>
      </w:r>
      <w:bookmarkEnd w:id="427"/>
      <w:bookmarkEnd w:id="428"/>
      <w:bookmarkEnd w:id="429"/>
    </w:p>
    <w:p w14:paraId="05AEFE12">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color w:val="auto"/>
          <w:szCs w:val="21"/>
          <w:highlight w:val="none"/>
        </w:rPr>
        <w:t xml:space="preserve">11.3.1 </w:t>
      </w:r>
      <w:r>
        <w:rPr>
          <w:rFonts w:hint="eastAsia" w:cs="宋体" w:asciiTheme="minorEastAsia" w:hAnsiTheme="minorEastAsia" w:eastAsiaTheme="minorEastAsia"/>
          <w:color w:val="auto"/>
          <w:szCs w:val="21"/>
          <w:highlight w:val="none"/>
        </w:rPr>
        <w:t>承包人缺陷调查</w:t>
      </w:r>
    </w:p>
    <w:p w14:paraId="26434D0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如果发包人指示承包人调查任何缺陷的原因，承包人应在发包人的指导下进行调查。承包人应在发包人指示中说明的日期或与发包人达成一致的其他日期开展调查。除非该缺陷应由承包人负责自费进行修补，承包人有权就调查的成本和利润获得支付。</w:t>
      </w:r>
    </w:p>
    <w:p w14:paraId="7CB1E3C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如果承包人未能根据本款开展调查，该调查可由发包人开展。但应将上述调查开展的日期通知承包人，承包人可自费参加调查。如果该缺陷应由承包人自费进行修补，则发包人有权要求承包人支付发包人因调查产生的合理费用。</w:t>
      </w:r>
    </w:p>
    <w:p w14:paraId="1D2C942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11.3.2 </w:t>
      </w:r>
      <w:r>
        <w:rPr>
          <w:rFonts w:hint="eastAsia" w:cs="宋体" w:asciiTheme="minorEastAsia" w:hAnsiTheme="minorEastAsia" w:eastAsiaTheme="minorEastAsia"/>
          <w:color w:val="auto"/>
          <w:szCs w:val="21"/>
          <w:highlight w:val="none"/>
        </w:rPr>
        <w:t>缺陷责任</w:t>
      </w:r>
    </w:p>
    <w:p w14:paraId="24AF219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缺陷责任期内，由承包人原因造成的缺陷，承包人应负责维修，并承担鉴定及维修费用。如承包人不维修也不承担费用，发包人可按合同约定从质量保证金中扣除，费用超出质量保证金金额的，发包人可按合同约定向承包人进行索赔。承包人维修并承担相应费用后，不免除对工程的损失赔偿责任。发包人在使用过程中，发现已修补的缺陷部位或部件还存在质量缺陷的，承包人应负责修复，直至检验合格为止。</w:t>
      </w:r>
    </w:p>
    <w:p w14:paraId="04917A7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11.3.3 </w:t>
      </w:r>
      <w:r>
        <w:rPr>
          <w:rFonts w:hint="eastAsia" w:cs="宋体" w:asciiTheme="minorEastAsia" w:hAnsiTheme="minorEastAsia" w:eastAsiaTheme="minorEastAsia"/>
          <w:color w:val="auto"/>
          <w:szCs w:val="21"/>
          <w:highlight w:val="none"/>
        </w:rPr>
        <w:t>修复费用</w:t>
      </w:r>
    </w:p>
    <w:p w14:paraId="4481E7F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发包人和承包人应共同查清缺陷或损坏的原因。经查明属承包人原因造成的，应由承包人承担修复的费用。经查验非承包人原因造成的，发包人应承担修复的费用，并支付承包人合理利润。</w:t>
      </w:r>
    </w:p>
    <w:p w14:paraId="49112DB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30" w:name="_Ref531955041"/>
      <w:r>
        <w:rPr>
          <w:rFonts w:cs="宋体" w:asciiTheme="minorEastAsia" w:hAnsiTheme="minorEastAsia" w:eastAsiaTheme="minorEastAsia"/>
          <w:color w:val="auto"/>
          <w:szCs w:val="21"/>
          <w:highlight w:val="none"/>
        </w:rPr>
        <w:t xml:space="preserve">11.3.4 </w:t>
      </w:r>
      <w:r>
        <w:rPr>
          <w:rFonts w:hint="eastAsia" w:cs="宋体" w:asciiTheme="minorEastAsia" w:hAnsiTheme="minorEastAsia" w:eastAsiaTheme="minorEastAsia"/>
          <w:color w:val="auto"/>
          <w:szCs w:val="21"/>
          <w:highlight w:val="none"/>
        </w:rPr>
        <w:t>修复通知</w:t>
      </w:r>
      <w:bookmarkEnd w:id="430"/>
    </w:p>
    <w:p w14:paraId="03D5168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在缺陷责任期内，发包人在使用过程中，发现已接收的工程存在缺陷或损坏的，应书面通知承包人予以修复，但情况紧急必须立即修复缺陷或损坏的，发包人可以口头通知承包人并在口头通知后</w:t>
      </w:r>
      <w:r>
        <w:rPr>
          <w:rFonts w:cs="宋体" w:asciiTheme="minorEastAsia" w:hAnsiTheme="minorEastAsia" w:eastAsiaTheme="minorEastAsia"/>
          <w:color w:val="auto"/>
          <w:szCs w:val="21"/>
          <w:highlight w:val="none"/>
        </w:rPr>
        <w:t>48小时内书面确认，承包人应在专用合同条件约定的合理期限内到达工程现场并修复缺陷或损坏。</w:t>
      </w:r>
    </w:p>
    <w:p w14:paraId="368DEFD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11.3.5 </w:t>
      </w:r>
      <w:r>
        <w:rPr>
          <w:rFonts w:hint="eastAsia" w:cs="宋体" w:asciiTheme="minorEastAsia" w:hAnsiTheme="minorEastAsia" w:eastAsiaTheme="minorEastAsia"/>
          <w:color w:val="auto"/>
          <w:szCs w:val="21"/>
          <w:highlight w:val="none"/>
        </w:rPr>
        <w:t>在现场外修复</w:t>
      </w:r>
    </w:p>
    <w:p w14:paraId="6A95C43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缺陷责任期内，承包人认为设备中的缺陷或损害不能在现场得到迅速修复，承包人应当向发包人发出通知，请求发包人同意把这些有缺陷或者损害的设备移出现场进行修复，通知应当注明有缺陷或者损害的设备及维修的相关内容，发包人可要求承包人按移出设备的全部重置成本增加质量保证金的数额。</w:t>
      </w:r>
    </w:p>
    <w:p w14:paraId="37DB433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31" w:name="_Ref4534291"/>
      <w:bookmarkStart w:id="432" w:name="_Hlk51506786"/>
      <w:r>
        <w:rPr>
          <w:rFonts w:cs="宋体" w:asciiTheme="minorEastAsia" w:hAnsiTheme="minorEastAsia" w:eastAsiaTheme="minorEastAsia"/>
          <w:color w:val="auto"/>
          <w:szCs w:val="21"/>
          <w:highlight w:val="none"/>
        </w:rPr>
        <w:t xml:space="preserve">11.3.6 </w:t>
      </w:r>
      <w:r>
        <w:rPr>
          <w:rFonts w:hint="eastAsia" w:cs="宋体" w:asciiTheme="minorEastAsia" w:hAnsiTheme="minorEastAsia" w:eastAsiaTheme="minorEastAsia"/>
          <w:color w:val="auto"/>
          <w:szCs w:val="21"/>
          <w:highlight w:val="none"/>
        </w:rPr>
        <w:t>未能修复</w:t>
      </w:r>
      <w:bookmarkEnd w:id="431"/>
    </w:p>
    <w:bookmarkEnd w:id="432"/>
    <w:p w14:paraId="1E1F60A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承包人原因造成工程的缺陷或损坏，承包人拒绝维修或未能在合理期限内修复缺陷或损坏，且经发包人书面催告后仍未修复的，发包人有权自行修复或委托第三方修复，所需费用由承包人承担。但修复范围超出缺陷或损坏范围的，超出范围部分的修复费用由发包人承担。</w:t>
      </w:r>
    </w:p>
    <w:p w14:paraId="10B70AD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如果工程或工程设备的缺陷或损害使发包人实质上失去了工程的整体功能，发包人有权向承包人追回已支付的工程款项，并要求其赔偿发包人相应损失。</w:t>
      </w:r>
    </w:p>
    <w:bookmarkEnd w:id="422"/>
    <w:bookmarkEnd w:id="423"/>
    <w:bookmarkEnd w:id="424"/>
    <w:p w14:paraId="7B089A30">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33" w:name="_Toc54862273"/>
      <w:bookmarkStart w:id="434" w:name="_Ref532662552"/>
      <w:bookmarkStart w:id="435" w:name="_Ref532662554"/>
      <w:r>
        <w:rPr>
          <w:rFonts w:cs="宋体" w:asciiTheme="minorEastAsia" w:hAnsiTheme="minorEastAsia" w:eastAsiaTheme="minorEastAsia"/>
          <w:color w:val="auto"/>
          <w:szCs w:val="21"/>
          <w:highlight w:val="none"/>
        </w:rPr>
        <w:t xml:space="preserve">11.4 </w:t>
      </w:r>
      <w:r>
        <w:rPr>
          <w:rFonts w:hint="eastAsia" w:cs="宋体" w:asciiTheme="minorEastAsia" w:hAnsiTheme="minorEastAsia" w:eastAsiaTheme="minorEastAsia"/>
          <w:color w:val="auto"/>
          <w:szCs w:val="21"/>
          <w:highlight w:val="none"/>
        </w:rPr>
        <w:t>缺陷修复后的进一步试验</w:t>
      </w:r>
      <w:bookmarkEnd w:id="433"/>
      <w:bookmarkEnd w:id="434"/>
      <w:bookmarkEnd w:id="435"/>
    </w:p>
    <w:p w14:paraId="42479B9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任何一项缺陷修补后的</w:t>
      </w:r>
      <w:r>
        <w:rPr>
          <w:rFonts w:cs="宋体" w:asciiTheme="minorEastAsia" w:hAnsiTheme="minorEastAsia" w:eastAsiaTheme="minorEastAsia"/>
          <w:color w:val="auto"/>
          <w:szCs w:val="21"/>
          <w:highlight w:val="none"/>
        </w:rPr>
        <w:t>7天内，承包人应向发包人发出通知，告知已修补的情况。如根据第9条[竣工试验]或第12条[竣工后试验]的规定适用重新试验的，还应建议重新试验。发包人应在收到重新试验的通知后14天内答复，逾期未进行答复的视为同意重新试验。承包人未建议重新试验的，发包人也可在缺陷修补后的14天内指示进行必要的重新试验，以证明已修复的部分符合合同要求。</w:t>
      </w:r>
    </w:p>
    <w:p w14:paraId="167D917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所有的重复试验应按照适用于先前试验的条款进行，但应由责任方承担修补工作的成本和重新试验的风险和费用。</w:t>
      </w:r>
    </w:p>
    <w:p w14:paraId="27E5928C">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36" w:name="_Toc54862274"/>
      <w:r>
        <w:rPr>
          <w:rFonts w:cs="宋体" w:asciiTheme="minorEastAsia" w:hAnsiTheme="minorEastAsia" w:eastAsiaTheme="minorEastAsia"/>
          <w:color w:val="auto"/>
          <w:szCs w:val="21"/>
          <w:highlight w:val="none"/>
        </w:rPr>
        <w:t xml:space="preserve">11.5 </w:t>
      </w:r>
      <w:r>
        <w:rPr>
          <w:rFonts w:hint="eastAsia" w:cs="宋体" w:asciiTheme="minorEastAsia" w:hAnsiTheme="minorEastAsia" w:eastAsiaTheme="minorEastAsia"/>
          <w:color w:val="auto"/>
          <w:szCs w:val="21"/>
          <w:highlight w:val="none"/>
        </w:rPr>
        <w:t>承包人出入权</w:t>
      </w:r>
      <w:bookmarkEnd w:id="436"/>
    </w:p>
    <w:p w14:paraId="3EB61A2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在缺陷责任期内，为了修复缺陷或损坏，承包人有权出入工程现场，除情况紧急必须立即修复缺陷或损坏外，承包人应提前</w:t>
      </w:r>
      <w:r>
        <w:rPr>
          <w:rFonts w:cs="宋体" w:asciiTheme="minorEastAsia" w:hAnsiTheme="minorEastAsia" w:eastAsiaTheme="minorEastAsia"/>
          <w:color w:val="auto"/>
          <w:szCs w:val="21"/>
          <w:highlight w:val="none"/>
        </w:rPr>
        <w:t>24小时通知发包人进场修复的时间。承包人进入工程现场前应获得发包人同意，且不应影响发包人正常的生产经营，并应遵守发包人有关安保和保密等规定。</w:t>
      </w:r>
    </w:p>
    <w:p w14:paraId="64D13762">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37" w:name="_Toc54862275"/>
      <w:bookmarkStart w:id="438" w:name="_Ref4430229"/>
      <w:bookmarkStart w:id="439" w:name="_Ref4430223"/>
      <w:r>
        <w:rPr>
          <w:rFonts w:cs="宋体" w:asciiTheme="minorEastAsia" w:hAnsiTheme="minorEastAsia" w:eastAsiaTheme="minorEastAsia"/>
          <w:color w:val="auto"/>
          <w:szCs w:val="21"/>
          <w:highlight w:val="none"/>
        </w:rPr>
        <w:t xml:space="preserve">11.6 </w:t>
      </w:r>
      <w:r>
        <w:rPr>
          <w:rFonts w:hint="eastAsia" w:cs="宋体" w:asciiTheme="minorEastAsia" w:hAnsiTheme="minorEastAsia" w:eastAsiaTheme="minorEastAsia"/>
          <w:color w:val="auto"/>
          <w:szCs w:val="21"/>
          <w:highlight w:val="none"/>
        </w:rPr>
        <w:t>缺陷责任期终止证书</w:t>
      </w:r>
      <w:bookmarkEnd w:id="437"/>
      <w:bookmarkEnd w:id="438"/>
      <w:bookmarkEnd w:id="439"/>
    </w:p>
    <w:p w14:paraId="7AC7F23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w:t>
      </w:r>
      <w:bookmarkStart w:id="440" w:name="_Hlk4686672"/>
      <w:r>
        <w:rPr>
          <w:rFonts w:hint="eastAsia" w:cs="宋体" w:asciiTheme="minorEastAsia" w:hAnsiTheme="minorEastAsia" w:eastAsiaTheme="minorEastAsia"/>
          <w:color w:val="auto"/>
          <w:szCs w:val="21"/>
          <w:highlight w:val="none"/>
        </w:rPr>
        <w:t>承包人应于缺陷责任期届满前</w:t>
      </w:r>
      <w:r>
        <w:rPr>
          <w:rFonts w:cs="宋体" w:asciiTheme="minorEastAsia" w:hAnsiTheme="minorEastAsia" w:eastAsiaTheme="minorEastAsia"/>
          <w:color w:val="auto"/>
          <w:szCs w:val="21"/>
          <w:highlight w:val="none"/>
        </w:rPr>
        <w:t>7天内向发包人发出缺陷责任期即将届满通知，发包人应在收到通知后7天内核实承包人是否履行缺陷修复义务，承包人未能履行缺陷修复义务的，发包人有权扣除相应金额的维修费用。发包人应在缺陷责任期届满之日，向承包人颁发缺陷责任期终止证书，并按第14.6.3项[质量保证金的返还]返还质量保证金。</w:t>
      </w:r>
      <w:bookmarkEnd w:id="440"/>
    </w:p>
    <w:p w14:paraId="150ABE8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如根据第</w:t>
      </w:r>
      <w:r>
        <w:rPr>
          <w:rFonts w:cs="宋体" w:asciiTheme="minorEastAsia" w:hAnsiTheme="minorEastAsia" w:eastAsiaTheme="minorEastAsia"/>
          <w:color w:val="auto"/>
          <w:szCs w:val="21"/>
          <w:highlight w:val="none"/>
        </w:rPr>
        <w:t>10.5.3项[人员撤离]承包人在施工现场还留有人员、施工设备和临时工程的，承包人应当在收到缺陷责任期终止证书后28天内，将上述人员、施工设备和临时工程撤离施工现场。</w:t>
      </w:r>
    </w:p>
    <w:p w14:paraId="4F9D3837">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41" w:name="_Ref4430272"/>
      <w:bookmarkStart w:id="442" w:name="_Toc54862276"/>
      <w:r>
        <w:rPr>
          <w:rFonts w:cs="宋体" w:asciiTheme="minorEastAsia" w:hAnsiTheme="minorEastAsia" w:eastAsiaTheme="minorEastAsia"/>
          <w:color w:val="auto"/>
          <w:szCs w:val="21"/>
          <w:highlight w:val="none"/>
        </w:rPr>
        <w:t xml:space="preserve">11.7 </w:t>
      </w:r>
      <w:r>
        <w:rPr>
          <w:rFonts w:hint="eastAsia" w:cs="宋体" w:asciiTheme="minorEastAsia" w:hAnsiTheme="minorEastAsia" w:eastAsiaTheme="minorEastAsia"/>
          <w:color w:val="auto"/>
          <w:szCs w:val="21"/>
          <w:highlight w:val="none"/>
        </w:rPr>
        <w:t>保修责任</w:t>
      </w:r>
      <w:bookmarkEnd w:id="441"/>
      <w:bookmarkEnd w:id="442"/>
    </w:p>
    <w:p w14:paraId="1E3D91D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因承包人原因导致的质量缺陷责任，由合同当事人根据有关法律规定，在专用合同条件和工程质量保修书中约定工程质量保修范围、期限和责任。</w:t>
      </w:r>
      <w:bookmarkEnd w:id="289"/>
      <w:bookmarkStart w:id="443" w:name="_Ref531957860"/>
      <w:bookmarkStart w:id="444" w:name="_Ref531958289"/>
    </w:p>
    <w:bookmarkEnd w:id="443"/>
    <w:p w14:paraId="515935C9">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445" w:name="_Ref4621065"/>
      <w:bookmarkStart w:id="446" w:name="_Toc54862277"/>
      <w:bookmarkStart w:id="447" w:name="_Ref4621057"/>
      <w:bookmarkStart w:id="448" w:name="_Ref4796955"/>
      <w:bookmarkStart w:id="449" w:name="_Ref4796958"/>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12条 </w:t>
      </w:r>
      <w:r>
        <w:rPr>
          <w:rFonts w:hint="eastAsia" w:cs="宋体" w:asciiTheme="minorEastAsia" w:hAnsiTheme="minorEastAsia" w:eastAsiaTheme="minorEastAsia"/>
          <w:b/>
          <w:color w:val="auto"/>
          <w:szCs w:val="21"/>
          <w:highlight w:val="none"/>
        </w:rPr>
        <w:t>竣工后试验</w:t>
      </w:r>
      <w:bookmarkEnd w:id="445"/>
      <w:bookmarkEnd w:id="446"/>
      <w:bookmarkEnd w:id="447"/>
    </w:p>
    <w:p w14:paraId="49F72C4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本合同工程包含竣工后试验的，遵守本条约定。</w:t>
      </w:r>
    </w:p>
    <w:p w14:paraId="7374145D">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50" w:name="_Ref531954604"/>
      <w:bookmarkStart w:id="451" w:name="_Ref531954601"/>
      <w:bookmarkStart w:id="452" w:name="_Ref531954694"/>
      <w:bookmarkStart w:id="453" w:name="_Toc54862278"/>
      <w:bookmarkStart w:id="454" w:name="_Hlk522259976"/>
      <w:r>
        <w:rPr>
          <w:rFonts w:cs="宋体" w:asciiTheme="minorEastAsia" w:hAnsiTheme="minorEastAsia" w:eastAsiaTheme="minorEastAsia"/>
          <w:color w:val="auto"/>
          <w:szCs w:val="21"/>
          <w:highlight w:val="none"/>
        </w:rPr>
        <w:t xml:space="preserve">12.1 </w:t>
      </w:r>
      <w:r>
        <w:rPr>
          <w:rFonts w:hint="eastAsia" w:cs="宋体" w:asciiTheme="minorEastAsia" w:hAnsiTheme="minorEastAsia" w:eastAsiaTheme="minorEastAsia"/>
          <w:color w:val="auto"/>
          <w:szCs w:val="21"/>
          <w:highlight w:val="none"/>
        </w:rPr>
        <w:t>竣工后试验</w:t>
      </w:r>
      <w:bookmarkEnd w:id="450"/>
      <w:bookmarkEnd w:id="451"/>
      <w:r>
        <w:rPr>
          <w:rFonts w:hint="eastAsia" w:cs="宋体" w:asciiTheme="minorEastAsia" w:hAnsiTheme="minorEastAsia" w:eastAsiaTheme="minorEastAsia"/>
          <w:color w:val="auto"/>
          <w:szCs w:val="21"/>
          <w:highlight w:val="none"/>
        </w:rPr>
        <w:t>的程序</w:t>
      </w:r>
      <w:bookmarkEnd w:id="452"/>
      <w:bookmarkEnd w:id="453"/>
    </w:p>
    <w:p w14:paraId="010DE76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55" w:name="_Ref11920184"/>
      <w:r>
        <w:rPr>
          <w:rFonts w:cs="宋体" w:asciiTheme="minorEastAsia" w:hAnsiTheme="minorEastAsia" w:eastAsiaTheme="minorEastAsia"/>
          <w:color w:val="auto"/>
          <w:szCs w:val="21"/>
          <w:highlight w:val="none"/>
        </w:rPr>
        <w:t xml:space="preserve">12.1.1 </w:t>
      </w:r>
      <w:r>
        <w:rPr>
          <w:rFonts w:hint="eastAsia" w:cs="宋体" w:asciiTheme="minorEastAsia" w:hAnsiTheme="minorEastAsia" w:eastAsiaTheme="minorEastAsia"/>
          <w:color w:val="auto"/>
          <w:szCs w:val="21"/>
          <w:highlight w:val="none"/>
        </w:rPr>
        <w:t>工程或区段工程被发包人接收后，在合理可行的情况下应根据合同约定尽早进行竣工后试验。</w:t>
      </w:r>
      <w:bookmarkEnd w:id="455"/>
    </w:p>
    <w:p w14:paraId="1731474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12.1.2 </w:t>
      </w:r>
      <w:r>
        <w:rPr>
          <w:rFonts w:hint="eastAsia" w:cs="宋体" w:asciiTheme="minorEastAsia" w:hAnsiTheme="minorEastAsia" w:eastAsiaTheme="minorEastAsia"/>
          <w:color w:val="auto"/>
          <w:szCs w:val="21"/>
          <w:highlight w:val="none"/>
        </w:rPr>
        <w:t>除专用合同条件另有约定外，发包人应提供全部电力、水、污水处理、燃料、消耗品和材料，以及全部其他仪器、协助、文件或其他信息、设备、工具、劳力，启动工程设备，并组织安排有适当资质、经验和能力的工作人员实施竣工后试验。</w:t>
      </w:r>
    </w:p>
    <w:p w14:paraId="32ECEC3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56" w:name="_Ref11920162"/>
      <w:r>
        <w:rPr>
          <w:rFonts w:cs="宋体" w:asciiTheme="minorEastAsia" w:hAnsiTheme="minorEastAsia" w:eastAsiaTheme="minorEastAsia"/>
          <w:color w:val="auto"/>
          <w:szCs w:val="21"/>
          <w:highlight w:val="none"/>
        </w:rPr>
        <w:t xml:space="preserve">12.1.3 </w:t>
      </w:r>
      <w:r>
        <w:rPr>
          <w:rFonts w:hint="eastAsia" w:cs="宋体" w:asciiTheme="minorEastAsia" w:hAnsiTheme="minorEastAsia" w:eastAsiaTheme="minorEastAsia"/>
          <w:color w:val="auto"/>
          <w:szCs w:val="21"/>
          <w:highlight w:val="none"/>
        </w:rPr>
        <w:t>除《发包人要求》另有约定外，发包人应在合理可行的情况下尽快进行每项竣工后试验，并至少提前</w:t>
      </w:r>
      <w:r>
        <w:rPr>
          <w:rFonts w:cs="宋体" w:asciiTheme="minorEastAsia" w:hAnsiTheme="minorEastAsia" w:eastAsiaTheme="minorEastAsia"/>
          <w:color w:val="auto"/>
          <w:szCs w:val="21"/>
          <w:highlight w:val="none"/>
        </w:rPr>
        <w:t>21天将该项竣工后试验的内容、地点和时间，以及显示其他竣工后试验拟开展时间的竣工后试验计划通知承包人。</w:t>
      </w:r>
      <w:bookmarkEnd w:id="456"/>
    </w:p>
    <w:p w14:paraId="2016BE9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57" w:name="_Ref11920146"/>
      <w:r>
        <w:rPr>
          <w:rFonts w:cs="宋体" w:asciiTheme="minorEastAsia" w:hAnsiTheme="minorEastAsia" w:eastAsiaTheme="minorEastAsia"/>
          <w:color w:val="auto"/>
          <w:szCs w:val="21"/>
          <w:highlight w:val="none"/>
        </w:rPr>
        <w:t xml:space="preserve">12.1.4 </w:t>
      </w:r>
      <w:r>
        <w:rPr>
          <w:rFonts w:hint="eastAsia" w:cs="宋体" w:asciiTheme="minorEastAsia" w:hAnsiTheme="minorEastAsia" w:eastAsiaTheme="minorEastAsia"/>
          <w:color w:val="auto"/>
          <w:szCs w:val="21"/>
          <w:highlight w:val="none"/>
        </w:rPr>
        <w:t>发包人应根据《发包人要求》、承包人按照第</w:t>
      </w:r>
      <w:r>
        <w:rPr>
          <w:rFonts w:cs="宋体" w:asciiTheme="minorEastAsia" w:hAnsiTheme="minorEastAsia" w:eastAsiaTheme="minorEastAsia"/>
          <w:color w:val="auto"/>
          <w:szCs w:val="21"/>
          <w:highlight w:val="none"/>
        </w:rPr>
        <w:t>5.5款</w:t>
      </w:r>
      <w:bookmarkStart w:id="458" w:name="_Hlk18943978"/>
      <w:r>
        <w:rPr>
          <w:rFonts w:cs="宋体" w:asciiTheme="minorEastAsia" w:hAnsiTheme="minorEastAsia" w:eastAsiaTheme="minorEastAsia"/>
          <w:color w:val="auto"/>
          <w:szCs w:val="21"/>
          <w:highlight w:val="none"/>
        </w:rPr>
        <w:t>[操作和维修手册]</w:t>
      </w:r>
      <w:bookmarkEnd w:id="458"/>
      <w:r>
        <w:rPr>
          <w:rFonts w:hint="eastAsia" w:cs="宋体" w:asciiTheme="minorEastAsia" w:hAnsiTheme="minorEastAsia" w:eastAsiaTheme="minorEastAsia"/>
          <w:color w:val="auto"/>
          <w:szCs w:val="21"/>
          <w:highlight w:val="none"/>
        </w:rPr>
        <w:t>提交的文件，以及承包人被要求提供的指导进行竣工后试验。如承包人未在发包人通知的时间和地点参加竣工后试验，发包人可自行进行，该试验应被视为是承包人在场的情况下进行的，且承包人应视为认可试验数据。</w:t>
      </w:r>
      <w:bookmarkEnd w:id="457"/>
    </w:p>
    <w:p w14:paraId="41A2C54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12.1.5 </w:t>
      </w:r>
      <w:r>
        <w:rPr>
          <w:rFonts w:hint="eastAsia" w:cs="宋体" w:asciiTheme="minorEastAsia" w:hAnsiTheme="minorEastAsia" w:eastAsiaTheme="minorEastAsia"/>
          <w:color w:val="auto"/>
          <w:szCs w:val="21"/>
          <w:highlight w:val="none"/>
        </w:rPr>
        <w:t>竣工后试验的结果应由双方进行整理和评价，并应适当考虑发包人对工程或其任何部分的使用，对工程或区段工程的性能、特性和试验结果产生的影响。</w:t>
      </w:r>
    </w:p>
    <w:p w14:paraId="20A55CA7">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59" w:name="_Ref531954785"/>
      <w:bookmarkStart w:id="460" w:name="_Ref531954781"/>
      <w:bookmarkStart w:id="461" w:name="_Toc54862279"/>
      <w:r>
        <w:rPr>
          <w:rFonts w:cs="宋体" w:asciiTheme="minorEastAsia" w:hAnsiTheme="minorEastAsia" w:eastAsiaTheme="minorEastAsia"/>
          <w:color w:val="auto"/>
          <w:szCs w:val="21"/>
          <w:highlight w:val="none"/>
        </w:rPr>
        <w:t xml:space="preserve">12.2 </w:t>
      </w:r>
      <w:r>
        <w:rPr>
          <w:rFonts w:hint="eastAsia" w:cs="宋体" w:asciiTheme="minorEastAsia" w:hAnsiTheme="minorEastAsia" w:eastAsiaTheme="minorEastAsia"/>
          <w:color w:val="auto"/>
          <w:szCs w:val="21"/>
          <w:highlight w:val="none"/>
        </w:rPr>
        <w:t>延误的试验</w:t>
      </w:r>
      <w:bookmarkEnd w:id="459"/>
      <w:bookmarkEnd w:id="460"/>
      <w:bookmarkEnd w:id="461"/>
    </w:p>
    <w:p w14:paraId="01F7E03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12.2.1 </w:t>
      </w:r>
      <w:r>
        <w:rPr>
          <w:rFonts w:hint="eastAsia" w:cs="宋体" w:asciiTheme="minorEastAsia" w:hAnsiTheme="minorEastAsia" w:eastAsiaTheme="minorEastAsia"/>
          <w:color w:val="auto"/>
          <w:szCs w:val="21"/>
          <w:highlight w:val="none"/>
        </w:rPr>
        <w:t>如果竣工后试验因发包人原因被延误的，发包人应承担承包人由此增加的费用并支付承包人合理利润。</w:t>
      </w:r>
    </w:p>
    <w:p w14:paraId="1652BB1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12.2.2 </w:t>
      </w:r>
      <w:r>
        <w:rPr>
          <w:rFonts w:hint="eastAsia" w:cs="宋体" w:asciiTheme="minorEastAsia" w:hAnsiTheme="minorEastAsia" w:eastAsiaTheme="minorEastAsia"/>
          <w:color w:val="auto"/>
          <w:szCs w:val="21"/>
          <w:highlight w:val="none"/>
        </w:rPr>
        <w:t>如果因承包人以外的原因，导致竣工后试验未能在缺陷责任期或双方另行同意的其他期限内完成，则相关工程或区段工程应视为已通过该竣工后试验。</w:t>
      </w:r>
    </w:p>
    <w:p w14:paraId="52CCE096">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62" w:name="_Toc54862280"/>
      <w:r>
        <w:rPr>
          <w:rFonts w:cs="宋体" w:asciiTheme="minorEastAsia" w:hAnsiTheme="minorEastAsia" w:eastAsiaTheme="minorEastAsia"/>
          <w:color w:val="auto"/>
          <w:szCs w:val="21"/>
          <w:highlight w:val="none"/>
        </w:rPr>
        <w:t xml:space="preserve">12.3 </w:t>
      </w:r>
      <w:r>
        <w:rPr>
          <w:rFonts w:hint="eastAsia" w:cs="宋体" w:asciiTheme="minorEastAsia" w:hAnsiTheme="minorEastAsia" w:eastAsiaTheme="minorEastAsia"/>
          <w:color w:val="auto"/>
          <w:szCs w:val="21"/>
          <w:highlight w:val="none"/>
        </w:rPr>
        <w:t>重新试验</w:t>
      </w:r>
      <w:bookmarkEnd w:id="462"/>
    </w:p>
    <w:p w14:paraId="2A62CE0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如工程或区段工程未能通过竣工后试验，则承包人应根据第</w:t>
      </w:r>
      <w:r>
        <w:rPr>
          <w:rFonts w:cs="宋体" w:asciiTheme="minorEastAsia" w:hAnsiTheme="minorEastAsia" w:eastAsiaTheme="minorEastAsia"/>
          <w:color w:val="auto"/>
          <w:szCs w:val="21"/>
          <w:highlight w:val="none"/>
        </w:rPr>
        <w:t>11.3款[缺陷调查]的规定修补缺陷，以达到合同约定的要求；并按照第11.4款[缺陷修复后的进一步试验]重新进行竣工后试验以及承担风险和费用。如未通过试验和重新试验是承包人原因造成的，则承包人还应承担发包人因此增加的费用。</w:t>
      </w:r>
    </w:p>
    <w:bookmarkEnd w:id="454"/>
    <w:p w14:paraId="0566F90D">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63" w:name="_Ref531954811"/>
      <w:bookmarkStart w:id="464" w:name="_Ref531954819"/>
      <w:bookmarkStart w:id="465" w:name="_Toc54862281"/>
      <w:r>
        <w:rPr>
          <w:rFonts w:cs="宋体" w:asciiTheme="minorEastAsia" w:hAnsiTheme="minorEastAsia" w:eastAsiaTheme="minorEastAsia"/>
          <w:color w:val="auto"/>
          <w:szCs w:val="21"/>
          <w:highlight w:val="none"/>
        </w:rPr>
        <w:t xml:space="preserve">12.4 </w:t>
      </w:r>
      <w:r>
        <w:rPr>
          <w:rFonts w:hint="eastAsia" w:cs="宋体" w:asciiTheme="minorEastAsia" w:hAnsiTheme="minorEastAsia" w:eastAsiaTheme="minorEastAsia"/>
          <w:color w:val="auto"/>
          <w:szCs w:val="21"/>
          <w:highlight w:val="none"/>
        </w:rPr>
        <w:t>未能通过竣工后试验</w:t>
      </w:r>
      <w:bookmarkEnd w:id="463"/>
      <w:bookmarkEnd w:id="464"/>
      <w:bookmarkEnd w:id="465"/>
    </w:p>
    <w:p w14:paraId="12306E9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66" w:name="_Ref531954829"/>
      <w:r>
        <w:rPr>
          <w:rFonts w:cs="宋体" w:asciiTheme="minorEastAsia" w:hAnsiTheme="minorEastAsia" w:eastAsiaTheme="minorEastAsia"/>
          <w:color w:val="auto"/>
          <w:szCs w:val="21"/>
          <w:highlight w:val="none"/>
        </w:rPr>
        <w:t xml:space="preserve">12.4.1 </w:t>
      </w:r>
      <w:r>
        <w:rPr>
          <w:rFonts w:hint="eastAsia" w:cs="宋体" w:asciiTheme="minorEastAsia" w:hAnsiTheme="minorEastAsia" w:eastAsiaTheme="minorEastAsia"/>
          <w:color w:val="auto"/>
          <w:szCs w:val="21"/>
          <w:highlight w:val="none"/>
        </w:rPr>
        <w:t>工程或区段工程未能通过竣工后试验，且合同中就该项未通过的试验约定了性能损害赔偿违约金及其计算方法的，或者就该项未通过的试验另行达成补充协议的，承包人在缺陷责任期内向发包人支付相应违约金或按补充协议履行后，视为通过竣工后试验。</w:t>
      </w:r>
      <w:bookmarkEnd w:id="466"/>
    </w:p>
    <w:p w14:paraId="0600803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12.4.2 </w:t>
      </w:r>
      <w:r>
        <w:rPr>
          <w:rFonts w:hint="eastAsia" w:cs="宋体" w:asciiTheme="minorEastAsia" w:hAnsiTheme="minorEastAsia" w:eastAsiaTheme="minorEastAsia"/>
          <w:color w:val="auto"/>
          <w:szCs w:val="21"/>
          <w:highlight w:val="none"/>
        </w:rPr>
        <w:t>对未能通过竣工后试验的工程或区段工程，承包人可向发包人建议，由承包人对该工程或区段工程进行调整或修补。发包人收到建议后，可向承包人发出通知，指示其在发包人方便的合理时间进入工程或区段工程进行调查、调整或修补，并为承包人的进入提供方便。承包人提出建议，但未在缺陷责任期内收到上述发包人通知的，相关工程或区段工程应视为已通过该竣工后试验。</w:t>
      </w:r>
    </w:p>
    <w:p w14:paraId="33F6B74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12.4.3 </w:t>
      </w:r>
      <w:r>
        <w:rPr>
          <w:rFonts w:hint="eastAsia" w:cs="宋体" w:asciiTheme="minorEastAsia" w:hAnsiTheme="minorEastAsia" w:eastAsiaTheme="minorEastAsia"/>
          <w:color w:val="auto"/>
          <w:szCs w:val="21"/>
          <w:highlight w:val="none"/>
        </w:rPr>
        <w:t>发包人无故拖延给予承包人进行调查、调整或修补所需的进入工程或区段工程的许可，并造成承包人费用增加的，应承担由此增加的费用并支付承包人合理利润。</w:t>
      </w:r>
    </w:p>
    <w:p w14:paraId="11E89107">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467" w:name="_Toc54862282"/>
      <w:bookmarkStart w:id="468" w:name="_Ref4415801"/>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13条 </w:t>
      </w:r>
      <w:r>
        <w:rPr>
          <w:rFonts w:hint="eastAsia" w:cs="宋体" w:asciiTheme="minorEastAsia" w:hAnsiTheme="minorEastAsia" w:eastAsiaTheme="minorEastAsia"/>
          <w:b/>
          <w:color w:val="auto"/>
          <w:szCs w:val="21"/>
          <w:highlight w:val="none"/>
        </w:rPr>
        <w:t>变更与调整</w:t>
      </w:r>
      <w:bookmarkEnd w:id="467"/>
      <w:bookmarkEnd w:id="468"/>
    </w:p>
    <w:p w14:paraId="6C78C02D">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69" w:name="_Ref532677084"/>
      <w:bookmarkStart w:id="470" w:name="_Ref532670393"/>
      <w:bookmarkStart w:id="471" w:name="_Ref532670395"/>
      <w:bookmarkStart w:id="472" w:name="_Ref532668573"/>
      <w:bookmarkStart w:id="473" w:name="_Ref532677087"/>
      <w:bookmarkStart w:id="474" w:name="_Ref532668569"/>
      <w:bookmarkStart w:id="475" w:name="_Toc54862283"/>
      <w:r>
        <w:rPr>
          <w:rFonts w:cs="宋体" w:asciiTheme="minorEastAsia" w:hAnsiTheme="minorEastAsia" w:eastAsiaTheme="minorEastAsia"/>
          <w:color w:val="auto"/>
          <w:szCs w:val="21"/>
          <w:highlight w:val="none"/>
        </w:rPr>
        <w:t xml:space="preserve">13.1 </w:t>
      </w:r>
      <w:r>
        <w:rPr>
          <w:rFonts w:hint="eastAsia" w:cs="宋体" w:asciiTheme="minorEastAsia" w:hAnsiTheme="minorEastAsia" w:eastAsiaTheme="minorEastAsia"/>
          <w:color w:val="auto"/>
          <w:szCs w:val="21"/>
          <w:highlight w:val="none"/>
        </w:rPr>
        <w:t>发包人变更权</w:t>
      </w:r>
      <w:bookmarkEnd w:id="469"/>
      <w:bookmarkEnd w:id="470"/>
      <w:bookmarkEnd w:id="471"/>
      <w:bookmarkEnd w:id="472"/>
      <w:bookmarkEnd w:id="473"/>
      <w:bookmarkEnd w:id="474"/>
      <w:bookmarkEnd w:id="475"/>
    </w:p>
    <w:p w14:paraId="0E3F789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76" w:name="_Ref4534979"/>
      <w:r>
        <w:rPr>
          <w:rFonts w:cs="宋体" w:asciiTheme="minorEastAsia" w:hAnsiTheme="minorEastAsia" w:eastAsiaTheme="minorEastAsia"/>
          <w:color w:val="auto"/>
          <w:szCs w:val="21"/>
          <w:highlight w:val="none"/>
        </w:rPr>
        <w:t xml:space="preserve">13.1.1 </w:t>
      </w:r>
      <w:r>
        <w:rPr>
          <w:rFonts w:hint="eastAsia" w:cs="宋体" w:asciiTheme="minorEastAsia" w:hAnsiTheme="minorEastAsia" w:eastAsiaTheme="minorEastAsia"/>
          <w:color w:val="auto"/>
          <w:szCs w:val="21"/>
          <w:highlight w:val="none"/>
        </w:rPr>
        <w:t>变更指示应经发包人同意，并由工程师发出经发包人签认的变更指示。除第</w:t>
      </w:r>
      <w:r>
        <w:rPr>
          <w:rFonts w:cs="宋体" w:asciiTheme="minorEastAsia" w:hAnsiTheme="minorEastAsia" w:eastAsiaTheme="minorEastAsia"/>
          <w:color w:val="auto"/>
          <w:szCs w:val="21"/>
          <w:highlight w:val="none"/>
        </w:rPr>
        <w:t>11.3.6项[未能修复]约定的情况外，变更不应包括准备将任何工作删减并交由他人或发包人自行实施的情况。承包人收到变更指示后，方可实施变更。未经许可，承包人不得擅自对工程的任何部分进行变更。</w:t>
      </w:r>
      <w:bookmarkEnd w:id="476"/>
      <w:r>
        <w:rPr>
          <w:rFonts w:hint="eastAsia" w:cs="宋体" w:asciiTheme="minorEastAsia" w:hAnsiTheme="minorEastAsia" w:eastAsiaTheme="minorEastAsia"/>
          <w:color w:val="auto"/>
          <w:szCs w:val="21"/>
          <w:highlight w:val="none"/>
        </w:rPr>
        <w:t>发包人与承包人对某项指示或批准是否构成变更产生争议的，按第</w:t>
      </w:r>
      <w:r>
        <w:rPr>
          <w:rFonts w:cs="宋体" w:asciiTheme="minorEastAsia" w:hAnsiTheme="minorEastAsia" w:eastAsiaTheme="minorEastAsia"/>
          <w:color w:val="auto"/>
          <w:szCs w:val="21"/>
          <w:highlight w:val="none"/>
        </w:rPr>
        <w:t>20条[争议解决]处理。</w:t>
      </w:r>
    </w:p>
    <w:p w14:paraId="625B608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13.1.2 </w:t>
      </w:r>
      <w:r>
        <w:rPr>
          <w:rFonts w:hint="eastAsia" w:cs="宋体" w:asciiTheme="minorEastAsia" w:hAnsiTheme="minorEastAsia" w:eastAsiaTheme="minorEastAsia"/>
          <w:color w:val="auto"/>
          <w:szCs w:val="21"/>
          <w:highlight w:val="none"/>
        </w:rPr>
        <w:t>承包人应按照变更指示执行，除非承包人及时向工程师发出通知，说明该项变更指示将降低工程的安全性、稳定性或适用性；涉及的工作内容和范围不可预见；所涉设备难以采购；导致承包人无法执行第</w:t>
      </w:r>
      <w:r>
        <w:rPr>
          <w:rFonts w:cs="宋体" w:asciiTheme="minorEastAsia" w:hAnsiTheme="minorEastAsia" w:eastAsiaTheme="minorEastAsia"/>
          <w:color w:val="auto"/>
          <w:szCs w:val="21"/>
          <w:highlight w:val="none"/>
        </w:rPr>
        <w:t>7.5款[现场劳动用工]、第7.6款[安全文明施工]、第7.7款[职业健康]或第7.8款[环境保护]内容；将造成工期延误；与第4.1款[承包人的一般义务]相冲突等无法执行的理由。工程师接到承包人的通知后，应作出经发包人签认的取消、确认或改变原指示的书面回复。</w:t>
      </w:r>
    </w:p>
    <w:p w14:paraId="02A73AB3">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77" w:name="_Ref531955590"/>
      <w:bookmarkStart w:id="478" w:name="_Ref531955587"/>
      <w:bookmarkStart w:id="479" w:name="_Ref4623207"/>
      <w:bookmarkStart w:id="480" w:name="_Toc54862284"/>
      <w:r>
        <w:rPr>
          <w:rFonts w:cs="宋体" w:asciiTheme="minorEastAsia" w:hAnsiTheme="minorEastAsia" w:eastAsiaTheme="minorEastAsia"/>
          <w:color w:val="auto"/>
          <w:szCs w:val="21"/>
          <w:highlight w:val="none"/>
        </w:rPr>
        <w:t xml:space="preserve">13.2 </w:t>
      </w:r>
      <w:r>
        <w:rPr>
          <w:rFonts w:hint="eastAsia" w:cs="宋体" w:asciiTheme="minorEastAsia" w:hAnsiTheme="minorEastAsia" w:eastAsiaTheme="minorEastAsia"/>
          <w:color w:val="auto"/>
          <w:szCs w:val="21"/>
          <w:highlight w:val="none"/>
        </w:rPr>
        <w:t>承</w:t>
      </w:r>
      <w:bookmarkEnd w:id="477"/>
      <w:bookmarkEnd w:id="478"/>
      <w:r>
        <w:rPr>
          <w:rFonts w:hint="eastAsia" w:cs="宋体" w:asciiTheme="minorEastAsia" w:hAnsiTheme="minorEastAsia" w:eastAsiaTheme="minorEastAsia"/>
          <w:color w:val="auto"/>
          <w:szCs w:val="21"/>
          <w:highlight w:val="none"/>
        </w:rPr>
        <w:t>包人的合理化建议</w:t>
      </w:r>
      <w:bookmarkEnd w:id="479"/>
      <w:bookmarkEnd w:id="480"/>
    </w:p>
    <w:p w14:paraId="7658812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13.2.1 </w:t>
      </w:r>
      <w:r>
        <w:rPr>
          <w:rFonts w:hint="eastAsia" w:cs="宋体" w:asciiTheme="minorEastAsia" w:hAnsiTheme="minorEastAsia" w:eastAsiaTheme="minorEastAsia"/>
          <w:color w:val="auto"/>
          <w:szCs w:val="21"/>
          <w:highlight w:val="none"/>
        </w:rPr>
        <w:t>承包人提出合理化建议的，应向工程师提交合理化建议说明，说明建议的内容、理由以及实施该建议对合同价格和工期的影响。</w:t>
      </w:r>
    </w:p>
    <w:p w14:paraId="170654B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81" w:name="_Ref4681686"/>
      <w:r>
        <w:rPr>
          <w:rFonts w:cs="宋体" w:asciiTheme="minorEastAsia" w:hAnsiTheme="minorEastAsia" w:eastAsiaTheme="minorEastAsia"/>
          <w:color w:val="auto"/>
          <w:szCs w:val="21"/>
          <w:highlight w:val="none"/>
        </w:rPr>
        <w:t xml:space="preserve">13.2.2 </w:t>
      </w:r>
      <w:r>
        <w:rPr>
          <w:rFonts w:hint="eastAsia" w:cs="宋体" w:asciiTheme="minorEastAsia" w:hAnsiTheme="minorEastAsia" w:eastAsiaTheme="minorEastAsia"/>
          <w:color w:val="auto"/>
          <w:szCs w:val="21"/>
          <w:highlight w:val="none"/>
        </w:rPr>
        <w:t>除专用合同条件另有约定外，</w:t>
      </w:r>
      <w:bookmarkStart w:id="482" w:name="_Hlk4682273"/>
      <w:r>
        <w:rPr>
          <w:rFonts w:hint="eastAsia" w:cs="宋体" w:asciiTheme="minorEastAsia" w:hAnsiTheme="minorEastAsia" w:eastAsiaTheme="minorEastAsia"/>
          <w:color w:val="auto"/>
          <w:szCs w:val="21"/>
          <w:highlight w:val="none"/>
        </w:rPr>
        <w:t>工程师应在收到承包人提交的合理化建议后</w:t>
      </w:r>
      <w:r>
        <w:rPr>
          <w:rFonts w:cs="宋体" w:asciiTheme="minorEastAsia" w:hAnsiTheme="minorEastAsia" w:eastAsiaTheme="minorEastAsia"/>
          <w:color w:val="auto"/>
          <w:szCs w:val="21"/>
          <w:highlight w:val="none"/>
        </w:rPr>
        <w:t>7天内审查完毕并报送发包人，发现其中存在技术上的缺陷，应通知承包人修改。发包人应在收到工程师报送的合理化建议后7天内审批完毕。合理化建议经发包人批准的，工程师应及时发出变更指示，由此引起的合同价格调整按照第13.3.3项[变更估价]约定执行。发包人不同意变更的，工程师应书面通知承包人</w:t>
      </w:r>
      <w:bookmarkEnd w:id="481"/>
      <w:r>
        <w:rPr>
          <w:rFonts w:hint="eastAsia" w:cs="宋体" w:asciiTheme="minorEastAsia" w:hAnsiTheme="minorEastAsia" w:eastAsiaTheme="minorEastAsia"/>
          <w:color w:val="auto"/>
          <w:szCs w:val="21"/>
          <w:highlight w:val="none"/>
        </w:rPr>
        <w:t>。</w:t>
      </w:r>
    </w:p>
    <w:p w14:paraId="70CDFE0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13.2.3 </w:t>
      </w:r>
      <w:r>
        <w:rPr>
          <w:rFonts w:hint="eastAsia" w:cs="宋体" w:asciiTheme="minorEastAsia" w:hAnsiTheme="minorEastAsia" w:eastAsiaTheme="minorEastAsia"/>
          <w:color w:val="auto"/>
          <w:szCs w:val="21"/>
          <w:highlight w:val="none"/>
        </w:rPr>
        <w:t>合理化建议降低了合同价格、缩短了工期或者提高了工程经济效益的，双方可以按照专用合同条件的约定进行利益分享。</w:t>
      </w:r>
    </w:p>
    <w:bookmarkEnd w:id="482"/>
    <w:p w14:paraId="00E1F3AC">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83" w:name="_Ref532671480"/>
      <w:bookmarkStart w:id="484" w:name="_Ref532669302"/>
      <w:bookmarkStart w:id="485" w:name="_Ref532673541"/>
      <w:bookmarkStart w:id="486" w:name="_Ref532671484"/>
      <w:bookmarkStart w:id="487" w:name="_Ref532673538"/>
      <w:bookmarkStart w:id="488" w:name="_Ref532669305"/>
      <w:bookmarkStart w:id="489" w:name="_Toc54862285"/>
      <w:r>
        <w:rPr>
          <w:rFonts w:cs="宋体" w:asciiTheme="minorEastAsia" w:hAnsiTheme="minorEastAsia" w:eastAsiaTheme="minorEastAsia"/>
          <w:color w:val="auto"/>
          <w:szCs w:val="21"/>
          <w:highlight w:val="none"/>
        </w:rPr>
        <w:t xml:space="preserve">13.3 </w:t>
      </w:r>
      <w:r>
        <w:rPr>
          <w:rFonts w:hint="eastAsia" w:cs="宋体" w:asciiTheme="minorEastAsia" w:hAnsiTheme="minorEastAsia" w:eastAsiaTheme="minorEastAsia"/>
          <w:color w:val="auto"/>
          <w:szCs w:val="21"/>
          <w:highlight w:val="none"/>
        </w:rPr>
        <w:t>变更程序</w:t>
      </w:r>
      <w:bookmarkEnd w:id="483"/>
      <w:bookmarkEnd w:id="484"/>
      <w:bookmarkEnd w:id="485"/>
      <w:bookmarkEnd w:id="486"/>
      <w:bookmarkEnd w:id="487"/>
      <w:bookmarkEnd w:id="488"/>
      <w:bookmarkEnd w:id="489"/>
    </w:p>
    <w:p w14:paraId="7F14FB2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90" w:name="_Ref4534600"/>
      <w:r>
        <w:rPr>
          <w:rFonts w:cs="宋体" w:asciiTheme="minorEastAsia" w:hAnsiTheme="minorEastAsia" w:eastAsiaTheme="minorEastAsia"/>
          <w:color w:val="auto"/>
          <w:szCs w:val="21"/>
          <w:highlight w:val="none"/>
        </w:rPr>
        <w:t xml:space="preserve">13.3.1 </w:t>
      </w:r>
      <w:r>
        <w:rPr>
          <w:rFonts w:hint="eastAsia" w:cs="宋体" w:asciiTheme="minorEastAsia" w:hAnsiTheme="minorEastAsia" w:eastAsiaTheme="minorEastAsia"/>
          <w:color w:val="auto"/>
          <w:szCs w:val="21"/>
          <w:highlight w:val="none"/>
        </w:rPr>
        <w:t>发包人提出变更</w:t>
      </w:r>
      <w:bookmarkEnd w:id="490"/>
    </w:p>
    <w:p w14:paraId="34B7481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发包人提出变更的，应通过工程师向承包人发出书面形式的变更指示，变更指示应说明计划变更的工程范围和变更的内容。</w:t>
      </w:r>
    </w:p>
    <w:p w14:paraId="4B5262B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91" w:name="_Ref4534617"/>
      <w:r>
        <w:rPr>
          <w:rFonts w:cs="宋体" w:asciiTheme="minorEastAsia" w:hAnsiTheme="minorEastAsia" w:eastAsiaTheme="minorEastAsia"/>
          <w:color w:val="auto"/>
          <w:szCs w:val="21"/>
          <w:highlight w:val="none"/>
        </w:rPr>
        <w:t xml:space="preserve">13.3.2 </w:t>
      </w:r>
      <w:r>
        <w:rPr>
          <w:rFonts w:hint="eastAsia" w:cs="宋体" w:asciiTheme="minorEastAsia" w:hAnsiTheme="minorEastAsia" w:eastAsiaTheme="minorEastAsia"/>
          <w:color w:val="auto"/>
          <w:szCs w:val="21"/>
          <w:highlight w:val="none"/>
        </w:rPr>
        <w:t>变更执行</w:t>
      </w:r>
      <w:bookmarkEnd w:id="491"/>
    </w:p>
    <w:p w14:paraId="5B4E802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收到工程师下达的变更指示后，认为不能执行，应在合理期限内提出不能执行该变更指示的理由。承包人认为可以执行变更的，应当书面说明实施该变更指示需要采取的具体措施及对合同价格和工期的影响，且合同当事人应当按照第</w:t>
      </w:r>
      <w:r>
        <w:rPr>
          <w:rFonts w:cs="宋体" w:asciiTheme="minorEastAsia" w:hAnsiTheme="minorEastAsia" w:eastAsiaTheme="minorEastAsia"/>
          <w:color w:val="auto"/>
          <w:szCs w:val="21"/>
          <w:highlight w:val="none"/>
        </w:rPr>
        <w:t>13.3.3项[变更估价]约定确定变更估价。</w:t>
      </w:r>
    </w:p>
    <w:p w14:paraId="0F3E764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92" w:name="_Ref3835481"/>
      <w:r>
        <w:rPr>
          <w:rFonts w:cs="宋体" w:asciiTheme="minorEastAsia" w:hAnsiTheme="minorEastAsia" w:eastAsiaTheme="minorEastAsia"/>
          <w:color w:val="auto"/>
          <w:szCs w:val="21"/>
          <w:highlight w:val="none"/>
        </w:rPr>
        <w:t xml:space="preserve">13.3.3 </w:t>
      </w:r>
      <w:r>
        <w:rPr>
          <w:rFonts w:hint="eastAsia" w:cs="宋体" w:asciiTheme="minorEastAsia" w:hAnsiTheme="minorEastAsia" w:eastAsiaTheme="minorEastAsia"/>
          <w:color w:val="auto"/>
          <w:szCs w:val="21"/>
          <w:highlight w:val="none"/>
        </w:rPr>
        <w:t>变更估价</w:t>
      </w:r>
      <w:bookmarkEnd w:id="492"/>
    </w:p>
    <w:p w14:paraId="0253208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13.3.3.1 </w:t>
      </w:r>
      <w:r>
        <w:rPr>
          <w:rFonts w:hint="eastAsia" w:cs="宋体" w:asciiTheme="minorEastAsia" w:hAnsiTheme="minorEastAsia" w:eastAsiaTheme="minorEastAsia"/>
          <w:color w:val="auto"/>
          <w:szCs w:val="21"/>
          <w:highlight w:val="none"/>
        </w:rPr>
        <w:t>变更估价原则</w:t>
      </w:r>
    </w:p>
    <w:p w14:paraId="372E36F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除专用合同条件另有约定外，变更估价按照本款约定处理：</w:t>
      </w:r>
    </w:p>
    <w:p w14:paraId="2E6A962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1）合同中未包含价格清单，合同价格应按照所执行的变更工程的成本加利润调整；</w:t>
      </w:r>
    </w:p>
    <w:p w14:paraId="02CBB55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2）合同中包含价格清单，合同价格按照如下规则调整：</w:t>
      </w:r>
    </w:p>
    <w:p w14:paraId="482DD32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1）价格清单中有适用于变更工程项目的，应采用该项目的费率和价格；</w:t>
      </w:r>
    </w:p>
    <w:p w14:paraId="76DB54A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2）价格清单中没有适用但有类似于变更工程项目的，可在合理范围内参照类似项目的费率或价格；</w:t>
      </w:r>
    </w:p>
    <w:p w14:paraId="664D768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3）价格清单中没有适用也没有类似于变更工程项目的，该工程项目应按成本加利润原则调整适用新的费率或价格。</w:t>
      </w:r>
    </w:p>
    <w:p w14:paraId="640E0F1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13.3.3.2 </w:t>
      </w:r>
      <w:r>
        <w:rPr>
          <w:rFonts w:hint="eastAsia" w:cs="宋体" w:asciiTheme="minorEastAsia" w:hAnsiTheme="minorEastAsia" w:eastAsiaTheme="minorEastAsia"/>
          <w:color w:val="auto"/>
          <w:szCs w:val="21"/>
          <w:highlight w:val="none"/>
        </w:rPr>
        <w:t>变更估价程序</w:t>
      </w:r>
    </w:p>
    <w:p w14:paraId="203B815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493" w:name="_Ref531955605"/>
      <w:bookmarkStart w:id="494" w:name="_Ref531955607"/>
      <w:bookmarkStart w:id="495" w:name="_Toc296346651"/>
      <w:bookmarkStart w:id="496" w:name="_Toc296503150"/>
      <w:bookmarkStart w:id="497" w:name="_Toc337558844"/>
      <w:r>
        <w:rPr>
          <w:rFonts w:hint="eastAsia" w:cs="宋体" w:asciiTheme="minorEastAsia" w:hAnsiTheme="minorEastAsia" w:eastAsiaTheme="minorEastAsia"/>
          <w:color w:val="auto"/>
          <w:szCs w:val="21"/>
          <w:highlight w:val="none"/>
        </w:rPr>
        <w:t>承包人应在收到变更指示后</w:t>
      </w:r>
      <w:r>
        <w:rPr>
          <w:rFonts w:cs="宋体" w:asciiTheme="minorEastAsia" w:hAnsiTheme="minorEastAsia" w:eastAsiaTheme="minorEastAsia"/>
          <w:color w:val="auto"/>
          <w:szCs w:val="21"/>
          <w:highlight w:val="none"/>
        </w:rPr>
        <w:t>14天内，向工程师提交变更估价申请。工程师应在收到承包人提交的变更估价申请后7天内审查完毕并报送发包人，工程师对变更估价申请有异议，通知承包人修改后重新提交。发包人应在承包人提交变更估价申请后14天内审批完毕。发包人逾期未完成审批或未提出异议的，视为认可承包人提交的变更估价申请。</w:t>
      </w:r>
    </w:p>
    <w:p w14:paraId="490C3C6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因变更引起的价格调整应计入最近一期的进度款中支付。</w:t>
      </w:r>
    </w:p>
    <w:p w14:paraId="5E25097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13.3.4 </w:t>
      </w:r>
      <w:r>
        <w:rPr>
          <w:rFonts w:hint="eastAsia" w:cs="宋体" w:asciiTheme="minorEastAsia" w:hAnsiTheme="minorEastAsia" w:eastAsiaTheme="minorEastAsia"/>
          <w:color w:val="auto"/>
          <w:szCs w:val="21"/>
          <w:highlight w:val="none"/>
        </w:rPr>
        <w:t>变更引起的工期调整</w:t>
      </w:r>
    </w:p>
    <w:p w14:paraId="43A9F10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因变更引起工期变化的，合同当事人均可要求调整合同工期，由合同当事人按照第</w:t>
      </w:r>
      <w:r>
        <w:rPr>
          <w:rFonts w:cs="宋体" w:asciiTheme="minorEastAsia" w:hAnsiTheme="minorEastAsia" w:eastAsiaTheme="minorEastAsia"/>
          <w:color w:val="auto"/>
          <w:szCs w:val="21"/>
          <w:highlight w:val="none"/>
        </w:rPr>
        <w:t>3.6款[商定或确定]并参考工程所在地的工期定额标准确定增减工期天数。</w:t>
      </w:r>
    </w:p>
    <w:p w14:paraId="73827459">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498" w:name="_Ref4431237"/>
      <w:bookmarkStart w:id="499" w:name="_Toc54862286"/>
      <w:r>
        <w:rPr>
          <w:rFonts w:cs="宋体" w:asciiTheme="minorEastAsia" w:hAnsiTheme="minorEastAsia" w:eastAsiaTheme="minorEastAsia"/>
          <w:color w:val="auto"/>
          <w:szCs w:val="21"/>
          <w:highlight w:val="none"/>
        </w:rPr>
        <w:t xml:space="preserve">13.4 </w:t>
      </w:r>
      <w:r>
        <w:rPr>
          <w:rFonts w:hint="eastAsia" w:cs="宋体" w:asciiTheme="minorEastAsia" w:hAnsiTheme="minorEastAsia" w:eastAsiaTheme="minorEastAsia"/>
          <w:color w:val="auto"/>
          <w:szCs w:val="21"/>
          <w:highlight w:val="none"/>
        </w:rPr>
        <w:t>暂估价</w:t>
      </w:r>
      <w:bookmarkEnd w:id="498"/>
      <w:bookmarkEnd w:id="499"/>
    </w:p>
    <w:p w14:paraId="165D426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00" w:name="_Ref4616729"/>
      <w:r>
        <w:rPr>
          <w:rFonts w:cs="宋体" w:asciiTheme="minorEastAsia" w:hAnsiTheme="minorEastAsia" w:eastAsiaTheme="minorEastAsia"/>
          <w:color w:val="auto"/>
          <w:szCs w:val="21"/>
          <w:highlight w:val="none"/>
        </w:rPr>
        <w:t xml:space="preserve">13.4.1 </w:t>
      </w:r>
      <w:r>
        <w:rPr>
          <w:rFonts w:hint="eastAsia" w:cs="宋体" w:asciiTheme="minorEastAsia" w:hAnsiTheme="minorEastAsia" w:eastAsiaTheme="minorEastAsia"/>
          <w:color w:val="auto"/>
          <w:szCs w:val="21"/>
          <w:highlight w:val="none"/>
        </w:rPr>
        <w:t>依法必须招标的暂估价项目</w:t>
      </w:r>
      <w:bookmarkEnd w:id="500"/>
    </w:p>
    <w:p w14:paraId="092E24D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对于依法必须招标的暂估价项目，专用合同条件约定由承包人作为招标人的，招标文件、评标方案、评标结果应报送发包人批准。与组织招标工作有关的费用应当被认为已经包括在承包人的签约合同价中。</w:t>
      </w:r>
    </w:p>
    <w:p w14:paraId="64E90D8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专用合同条件约定由发包人和承包人共同作为招标人的，与组织招标工作有关的费用在专用合同条件中约定。</w:t>
      </w:r>
    </w:p>
    <w:p w14:paraId="3E97F56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具体的招标程序以及发包人和承包人权利义务关系可在专用合同条件中约定。暂估价项目的中标金额与价格清单中所列暂估价的金额差以及相应的税金等其他费用应列入合同价格。</w:t>
      </w:r>
    </w:p>
    <w:p w14:paraId="1231BB5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01" w:name="_Ref4682312"/>
      <w:r>
        <w:rPr>
          <w:rFonts w:cs="宋体" w:asciiTheme="minorEastAsia" w:hAnsiTheme="minorEastAsia" w:eastAsiaTheme="minorEastAsia"/>
          <w:color w:val="auto"/>
          <w:szCs w:val="21"/>
          <w:highlight w:val="none"/>
        </w:rPr>
        <w:t xml:space="preserve">13.4.2 </w:t>
      </w:r>
      <w:r>
        <w:rPr>
          <w:rFonts w:hint="eastAsia" w:cs="宋体" w:asciiTheme="minorEastAsia" w:hAnsiTheme="minorEastAsia" w:eastAsiaTheme="minorEastAsia"/>
          <w:color w:val="auto"/>
          <w:szCs w:val="21"/>
          <w:highlight w:val="none"/>
        </w:rPr>
        <w:t>不属于依法必须招标的暂估价项目</w:t>
      </w:r>
      <w:bookmarkEnd w:id="501"/>
    </w:p>
    <w:p w14:paraId="477E4A0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于不属于依法必须招标的暂估价项目，承包人具备实施暂估价项目的资格和条件的，经发包人和承包人协商一致后，可由承包人自行实施暂估价项目，具体的协商和估价程序以及发包人和承包人权利义务关系可在专用合同条件中约定。确定后的暂估价项目金额与价格清单中所列暂估价的金额差以及相应的税金等其他费用应列入合同价格。</w:t>
      </w:r>
    </w:p>
    <w:p w14:paraId="0E6C5F6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发包人原因导致暂估价合同订立和履行迟延的，由此增加的费用和（或）延误的工期由发包人承担，并支付承包人合理的利润。因承包人原因导致暂估价合同订立和履行迟延的，由此增加的费用和（或）延误的工期由承包人承担。</w:t>
      </w:r>
    </w:p>
    <w:p w14:paraId="50D25334">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502" w:name="_Toc54862287"/>
      <w:bookmarkStart w:id="503" w:name="_Ref4431250"/>
      <w:r>
        <w:rPr>
          <w:rFonts w:cs="宋体" w:asciiTheme="minorEastAsia" w:hAnsiTheme="minorEastAsia" w:eastAsiaTheme="minorEastAsia"/>
          <w:color w:val="auto"/>
          <w:szCs w:val="21"/>
          <w:highlight w:val="none"/>
        </w:rPr>
        <w:t xml:space="preserve">13.5 </w:t>
      </w:r>
      <w:bookmarkEnd w:id="502"/>
      <w:bookmarkEnd w:id="503"/>
      <w:r>
        <w:rPr>
          <w:rFonts w:hint="eastAsia" w:cs="宋体" w:asciiTheme="minorEastAsia" w:hAnsiTheme="minorEastAsia" w:eastAsiaTheme="minorEastAsia"/>
          <w:color w:val="auto"/>
          <w:szCs w:val="21"/>
          <w:highlight w:val="none"/>
        </w:rPr>
        <w:t>暂列金</w:t>
      </w:r>
      <w:bookmarkEnd w:id="493"/>
      <w:bookmarkEnd w:id="494"/>
    </w:p>
    <w:bookmarkEnd w:id="495"/>
    <w:bookmarkEnd w:id="496"/>
    <w:bookmarkEnd w:id="497"/>
    <w:p w14:paraId="6741A34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除专用合同条件另有约定外，每一笔暂列金只能按照发包人的指示全部或部分使用，并对合同价格进行相应调整。付给承包人的总金额应仅包括发包人已指示的，与暂列金相关的工作、货物或服务的应付款项。</w:t>
      </w:r>
    </w:p>
    <w:p w14:paraId="1B0C6D6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对于每笔暂列金，发包人可以指示用于下列支付：</w:t>
      </w:r>
    </w:p>
    <w:p w14:paraId="30F2C9A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1）发包人根据第13.1款[发包人变更权]指示变更，决定对合同价格和付款计划表（如有）进行调整的、由承包人实施的工作（包括要提供的工程设备、材料和服务）；</w:t>
      </w:r>
    </w:p>
    <w:p w14:paraId="2FDC273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2）承包人购买的工程设备、材料、工作或服务，应支付包括承包人已付（或应付）的实际金额以及相应的管理费等费用和利润（管理费和利润应以实际金额为基数根据合同约定的费率（如有）或百分比计算）。</w:t>
      </w:r>
    </w:p>
    <w:p w14:paraId="209B746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发包人根据上述</w:t>
      </w:r>
      <w:r>
        <w:rPr>
          <w:rFonts w:cs="宋体" w:asciiTheme="minorEastAsia" w:hAnsiTheme="minorEastAsia" w:eastAsiaTheme="minorEastAsia"/>
          <w:color w:val="auto"/>
          <w:szCs w:val="21"/>
          <w:highlight w:val="none"/>
        </w:rPr>
        <w:t>(1)和（或）(2)指示支付暂列金的，可以要求承包人提交其供应商提供的全部或部分要实施的工程或拟购买的工程设备、材料、工作或服务的项目报价单。发包人可以发出通知指示承包人接受其中的一个报价或指示撤销支付，发包人在收到项目报价单的7天内未作回应的，承包人应有权自行接受其中任何一个报价。</w:t>
      </w:r>
    </w:p>
    <w:p w14:paraId="2833A9D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每份包含暂列金的文件还应包括用以证明暂列金的所有有效的发票、凭证和账户或收据。</w:t>
      </w:r>
    </w:p>
    <w:p w14:paraId="12D97BD8">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504" w:name="_Toc337558845"/>
      <w:bookmarkStart w:id="505" w:name="_Ref4431438"/>
      <w:bookmarkStart w:id="506" w:name="_Toc54862288"/>
      <w:bookmarkStart w:id="507" w:name="_Toc296346653"/>
      <w:bookmarkStart w:id="508" w:name="_Toc296503152"/>
      <w:r>
        <w:rPr>
          <w:rFonts w:cs="宋体" w:asciiTheme="minorEastAsia" w:hAnsiTheme="minorEastAsia" w:eastAsiaTheme="minorEastAsia"/>
          <w:color w:val="auto"/>
          <w:szCs w:val="21"/>
          <w:highlight w:val="none"/>
        </w:rPr>
        <w:t xml:space="preserve">13.6 </w:t>
      </w:r>
      <w:r>
        <w:rPr>
          <w:rFonts w:hint="eastAsia" w:cs="宋体" w:asciiTheme="minorEastAsia" w:hAnsiTheme="minorEastAsia" w:eastAsiaTheme="minorEastAsia"/>
          <w:color w:val="auto"/>
          <w:szCs w:val="21"/>
          <w:highlight w:val="none"/>
        </w:rPr>
        <w:t>计日工</w:t>
      </w:r>
      <w:bookmarkEnd w:id="504"/>
      <w:bookmarkEnd w:id="505"/>
      <w:bookmarkEnd w:id="506"/>
      <w:bookmarkEnd w:id="507"/>
      <w:bookmarkEnd w:id="508"/>
    </w:p>
    <w:p w14:paraId="66951ED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13.6.1 </w:t>
      </w:r>
      <w:r>
        <w:rPr>
          <w:rFonts w:hint="eastAsia" w:cs="宋体" w:asciiTheme="minorEastAsia" w:hAnsiTheme="minorEastAsia" w:eastAsiaTheme="minorEastAsia"/>
          <w:color w:val="auto"/>
          <w:szCs w:val="21"/>
          <w:highlight w:val="none"/>
        </w:rPr>
        <w:t>需要采用计日工方式的，经发包人同意后，由工程师通知承包人以计日工计价方式实施相应的工作，其价款按列入价格清单或预算书中的计日工计价项目及其单价进行计算；价格清单或预算书中无相应的计日工单价的，按照合理的成本与利润构成的原则，由工程师按照第</w:t>
      </w:r>
      <w:r>
        <w:rPr>
          <w:rFonts w:cs="宋体" w:asciiTheme="minorEastAsia" w:hAnsiTheme="minorEastAsia" w:eastAsiaTheme="minorEastAsia"/>
          <w:color w:val="auto"/>
          <w:szCs w:val="21"/>
          <w:highlight w:val="none"/>
        </w:rPr>
        <w:t>3.6款[商定或确定]确定计日工的单价。</w:t>
      </w:r>
    </w:p>
    <w:p w14:paraId="26BEA1B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13.6.2 </w:t>
      </w:r>
      <w:r>
        <w:rPr>
          <w:rFonts w:hint="eastAsia" w:cs="宋体" w:asciiTheme="minorEastAsia" w:hAnsiTheme="minorEastAsia" w:eastAsiaTheme="minorEastAsia"/>
          <w:color w:val="auto"/>
          <w:szCs w:val="21"/>
          <w:highlight w:val="none"/>
        </w:rPr>
        <w:t>采用计日工计价的任何一项工作，承包人应在该项工作实施过程中，每天提交以下报表和有关凭证报送工程师审查：</w:t>
      </w:r>
    </w:p>
    <w:p w14:paraId="3BDAC9B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1）工作名称、内容和数量；</w:t>
      </w:r>
    </w:p>
    <w:p w14:paraId="2D63EE2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2）投入该工作的所有人员的姓名、专业、工种、级别和耗用工时；</w:t>
      </w:r>
    </w:p>
    <w:p w14:paraId="0C03AAD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3）投入该工作的材料类别和数量；</w:t>
      </w:r>
    </w:p>
    <w:p w14:paraId="03CE317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4）投入该工作的施工设备型号、台数和耗用台时；</w:t>
      </w:r>
    </w:p>
    <w:p w14:paraId="7FEDDCF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5）其他有关资料和凭证。</w:t>
      </w:r>
    </w:p>
    <w:p w14:paraId="0DBCDC9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计日工由承包人汇总后，列入最近一期进度付款申请单，由工程师审查并经发包人批准后列入进度付款。</w:t>
      </w:r>
    </w:p>
    <w:p w14:paraId="08403417">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509" w:name="_Ref4617331"/>
      <w:bookmarkStart w:id="510" w:name="_Toc54862289"/>
      <w:bookmarkStart w:id="511" w:name="_Ref4617318"/>
      <w:r>
        <w:rPr>
          <w:rFonts w:cs="宋体" w:asciiTheme="minorEastAsia" w:hAnsiTheme="minorEastAsia" w:eastAsiaTheme="minorEastAsia"/>
          <w:color w:val="auto"/>
          <w:szCs w:val="21"/>
          <w:highlight w:val="none"/>
        </w:rPr>
        <w:t xml:space="preserve">13.7 </w:t>
      </w:r>
      <w:r>
        <w:rPr>
          <w:rFonts w:hint="eastAsia" w:cs="宋体" w:asciiTheme="minorEastAsia" w:hAnsiTheme="minorEastAsia" w:eastAsiaTheme="minorEastAsia"/>
          <w:color w:val="auto"/>
          <w:szCs w:val="21"/>
          <w:highlight w:val="none"/>
        </w:rPr>
        <w:t>法律变化引起的调整</w:t>
      </w:r>
      <w:bookmarkEnd w:id="509"/>
      <w:bookmarkEnd w:id="510"/>
      <w:bookmarkEnd w:id="511"/>
    </w:p>
    <w:p w14:paraId="63FE1FF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13.7.1 </w:t>
      </w:r>
      <w:r>
        <w:rPr>
          <w:rFonts w:hint="eastAsia" w:cs="宋体" w:asciiTheme="minorEastAsia" w:hAnsiTheme="minorEastAsia" w:eastAsiaTheme="minorEastAsia"/>
          <w:color w:val="auto"/>
          <w:szCs w:val="21"/>
          <w:highlight w:val="none"/>
        </w:rPr>
        <w:t>基准日期后，法律变化导致承包人在合同履行过程中所需要的费用发生除第</w:t>
      </w:r>
      <w:r>
        <w:rPr>
          <w:rFonts w:cs="宋体" w:asciiTheme="minorEastAsia" w:hAnsiTheme="minorEastAsia" w:eastAsiaTheme="minorEastAsia"/>
          <w:color w:val="auto"/>
          <w:szCs w:val="21"/>
          <w:highlight w:val="none"/>
        </w:rPr>
        <w:t>13.8款[市场价格波动引起的调整]约定以外的增加时，由发包人承担由此增加的费用；减少时，应从合同价格中予以扣减。基准日期后，因法律变化造成工期延误时，工期应予以顺延。</w:t>
      </w:r>
    </w:p>
    <w:p w14:paraId="3EBBEB4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13.7.2 </w:t>
      </w:r>
      <w:r>
        <w:rPr>
          <w:rFonts w:hint="eastAsia" w:cs="宋体" w:asciiTheme="minorEastAsia" w:hAnsiTheme="minorEastAsia" w:eastAsiaTheme="minorEastAsia"/>
          <w:color w:val="auto"/>
          <w:szCs w:val="21"/>
          <w:highlight w:val="none"/>
        </w:rPr>
        <w:t>因法律变化引起的合同价格和工期调整，合同当事人无法达成一致的，由工程师按第</w:t>
      </w:r>
      <w:r>
        <w:rPr>
          <w:rFonts w:cs="宋体" w:asciiTheme="minorEastAsia" w:hAnsiTheme="minorEastAsia" w:eastAsiaTheme="minorEastAsia"/>
          <w:color w:val="auto"/>
          <w:szCs w:val="21"/>
          <w:highlight w:val="none"/>
        </w:rPr>
        <w:t>3.6款[商定或确定]的约定处理。</w:t>
      </w:r>
    </w:p>
    <w:p w14:paraId="5566C7A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13.7.3 </w:t>
      </w:r>
      <w:r>
        <w:rPr>
          <w:rFonts w:hint="eastAsia" w:cs="宋体" w:asciiTheme="minorEastAsia" w:hAnsiTheme="minorEastAsia" w:eastAsiaTheme="minorEastAsia"/>
          <w:color w:val="auto"/>
          <w:szCs w:val="21"/>
          <w:highlight w:val="none"/>
        </w:rPr>
        <w:t>因承包人原因造成工期延误，在工期延误期间出现法律变化的，由此增加的费用和（或）延误的工期由承包人承担。</w:t>
      </w:r>
    </w:p>
    <w:p w14:paraId="6581F9D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13.7.4 </w:t>
      </w:r>
      <w:r>
        <w:rPr>
          <w:rFonts w:hint="eastAsia" w:cs="宋体" w:asciiTheme="minorEastAsia" w:hAnsiTheme="minorEastAsia" w:eastAsiaTheme="minorEastAsia"/>
          <w:color w:val="auto"/>
          <w:szCs w:val="21"/>
          <w:highlight w:val="none"/>
        </w:rPr>
        <w:t>因法律变化而需要对工程的实施进行任何调整的，承包人应迅速通知发包人，或者发包人应迅速通知承包人，并附上详细的辅助资料。发包人接到通知后，应根据第</w:t>
      </w:r>
      <w:r>
        <w:rPr>
          <w:rFonts w:cs="宋体" w:asciiTheme="minorEastAsia" w:hAnsiTheme="minorEastAsia" w:eastAsiaTheme="minorEastAsia"/>
          <w:color w:val="auto"/>
          <w:szCs w:val="21"/>
          <w:highlight w:val="none"/>
        </w:rPr>
        <w:t>13.3款[变更程序]发出变更指示。</w:t>
      </w:r>
    </w:p>
    <w:p w14:paraId="1867C66D">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512" w:name="_Ref531955627"/>
      <w:bookmarkStart w:id="513" w:name="_Ref531955630"/>
      <w:bookmarkStart w:id="514" w:name="_Ref18977613"/>
      <w:bookmarkStart w:id="515" w:name="_Toc54862290"/>
      <w:r>
        <w:rPr>
          <w:rFonts w:cs="宋体" w:asciiTheme="minorEastAsia" w:hAnsiTheme="minorEastAsia" w:eastAsiaTheme="minorEastAsia"/>
          <w:color w:val="auto"/>
          <w:szCs w:val="21"/>
          <w:highlight w:val="none"/>
        </w:rPr>
        <w:t xml:space="preserve">13.8 </w:t>
      </w:r>
      <w:r>
        <w:rPr>
          <w:rFonts w:hint="eastAsia" w:cs="宋体" w:asciiTheme="minorEastAsia" w:hAnsiTheme="minorEastAsia" w:eastAsiaTheme="minorEastAsia"/>
          <w:color w:val="auto"/>
          <w:szCs w:val="21"/>
          <w:highlight w:val="none"/>
        </w:rPr>
        <w:t>市场价格波动引起的调整</w:t>
      </w:r>
      <w:bookmarkEnd w:id="512"/>
      <w:bookmarkEnd w:id="513"/>
      <w:bookmarkEnd w:id="514"/>
      <w:bookmarkEnd w:id="515"/>
    </w:p>
    <w:p w14:paraId="344C635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16" w:name="_Ref4709841"/>
      <w:r>
        <w:rPr>
          <w:rFonts w:cs="宋体" w:asciiTheme="minorEastAsia" w:hAnsiTheme="minorEastAsia" w:eastAsiaTheme="minorEastAsia"/>
          <w:color w:val="auto"/>
          <w:szCs w:val="21"/>
          <w:highlight w:val="none"/>
        </w:rPr>
        <w:t xml:space="preserve">13.8.1 </w:t>
      </w:r>
      <w:r>
        <w:rPr>
          <w:rFonts w:hint="eastAsia" w:cs="宋体" w:asciiTheme="minorEastAsia" w:hAnsiTheme="minorEastAsia" w:eastAsiaTheme="minorEastAsia"/>
          <w:color w:val="auto"/>
          <w:szCs w:val="21"/>
          <w:highlight w:val="none"/>
        </w:rPr>
        <w:t>主要工程材料、设备、人工价格与招标时基期价相比，波动幅度超过合同约定幅度的，双方按照合同约定的价格调整方式调整。</w:t>
      </w:r>
    </w:p>
    <w:p w14:paraId="24E63FE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13.8.2 </w:t>
      </w:r>
      <w:r>
        <w:rPr>
          <w:rFonts w:hint="eastAsia" w:cs="宋体" w:asciiTheme="minorEastAsia" w:hAnsiTheme="minorEastAsia" w:eastAsiaTheme="minorEastAsia"/>
          <w:color w:val="auto"/>
          <w:szCs w:val="21"/>
          <w:highlight w:val="none"/>
        </w:rPr>
        <w:t>发包人与承包人在专用合同条件中约定采用《价格指数权重表》的，适用本项约定。</w:t>
      </w:r>
    </w:p>
    <w:p w14:paraId="1A6EA52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13.8.2.1 </w:t>
      </w:r>
      <w:r>
        <w:rPr>
          <w:rFonts w:hint="eastAsia" w:cs="宋体" w:asciiTheme="minorEastAsia" w:hAnsiTheme="minorEastAsia" w:eastAsiaTheme="minorEastAsia"/>
          <w:color w:val="auto"/>
          <w:szCs w:val="21"/>
          <w:highlight w:val="none"/>
        </w:rPr>
        <w:t>双方当事人可以将部分主要工程材料、工程设备、人工价格及其他双方认为应当根据市场价格调整的费用列入附件</w:t>
      </w:r>
      <w:r>
        <w:rPr>
          <w:rFonts w:cs="宋体" w:asciiTheme="minorEastAsia" w:hAnsiTheme="minorEastAsia" w:eastAsiaTheme="minorEastAsia"/>
          <w:color w:val="auto"/>
          <w:szCs w:val="21"/>
          <w:highlight w:val="none"/>
        </w:rPr>
        <w:t>[价格指数权重表]，并根据以下公式计算差额并调整合同价格：</w:t>
      </w:r>
    </w:p>
    <w:bookmarkEnd w:id="516"/>
    <w:p w14:paraId="317B1B9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17" w:name="_Ref4616996"/>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1）价格调整公式</w:t>
      </w:r>
      <w:bookmarkEnd w:id="517"/>
    </w:p>
    <w:p w14:paraId="3F33CB1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drawing>
          <wp:inline distT="0" distB="0" distL="114300" distR="114300">
            <wp:extent cx="4783455" cy="683895"/>
            <wp:effectExtent l="0" t="0" r="17145" b="1905"/>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28" cstate="print"/>
                    <a:stretch>
                      <a:fillRect/>
                    </a:stretch>
                  </pic:blipFill>
                  <pic:spPr>
                    <a:xfrm>
                      <a:off x="0" y="0"/>
                      <a:ext cx="4783455" cy="683895"/>
                    </a:xfrm>
                    <a:prstGeom prst="rect">
                      <a:avLst/>
                    </a:prstGeom>
                    <a:noFill/>
                    <a:ln>
                      <a:noFill/>
                    </a:ln>
                  </pic:spPr>
                </pic:pic>
              </a:graphicData>
            </a:graphic>
          </wp:inline>
        </w:drawing>
      </w:r>
    </w:p>
    <w:p w14:paraId="731FF58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公式中：△</w:t>
      </w:r>
      <w:r>
        <w:rPr>
          <w:rFonts w:cs="宋体" w:asciiTheme="minorEastAsia" w:hAnsiTheme="minorEastAsia" w:eastAsiaTheme="minorEastAsia"/>
          <w:color w:val="auto"/>
          <w:szCs w:val="21"/>
          <w:highlight w:val="none"/>
        </w:rPr>
        <w:t>P---需调整的价格差额；</w:t>
      </w:r>
    </w:p>
    <w:p w14:paraId="343AC13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P</w:t>
      </w:r>
      <w:r>
        <w:rPr>
          <w:rFonts w:cs="宋体" w:asciiTheme="minorEastAsia" w:hAnsiTheme="minorEastAsia" w:eastAsiaTheme="minorEastAsia"/>
          <w:color w:val="auto"/>
          <w:szCs w:val="21"/>
          <w:highlight w:val="none"/>
          <w:vertAlign w:val="subscript"/>
        </w:rPr>
        <w:t>O</w:t>
      </w:r>
      <w:r>
        <w:rPr>
          <w:rFonts w:cs="宋体" w:asciiTheme="minorEastAsia" w:hAnsiTheme="minorEastAsia" w:eastAsiaTheme="minorEastAsia"/>
          <w:color w:val="auto"/>
          <w:szCs w:val="21"/>
          <w:highlight w:val="none"/>
        </w:rPr>
        <w:t>---付款证书中承包人应得到的已完成工作量的金额。此项金额应不包括价格调整、不计质量保证金的预留和支付、预付款的支付和扣回。第13条[变更与调整]约定的变更及其他金额已按当期价格计价的，也不计在内；</w:t>
      </w:r>
    </w:p>
    <w:p w14:paraId="66CD0A6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A ---定值权重（即不调部分的权重）；</w:t>
      </w:r>
    </w:p>
    <w:p w14:paraId="3E7F7BF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18" w:name="_Hlk24103184"/>
      <w:r>
        <w:rPr>
          <w:rFonts w:cs="宋体" w:asciiTheme="minorEastAsia" w:hAnsiTheme="minorEastAsia" w:eastAsiaTheme="minorEastAsia"/>
          <w:color w:val="auto"/>
          <w:szCs w:val="21"/>
          <w:highlight w:val="none"/>
        </w:rPr>
        <w:t>B</w:t>
      </w:r>
      <w:r>
        <w:rPr>
          <w:rFonts w:cs="宋体" w:asciiTheme="minorEastAsia" w:hAnsiTheme="minorEastAsia" w:eastAsiaTheme="minorEastAsia"/>
          <w:color w:val="auto"/>
          <w:szCs w:val="21"/>
          <w:highlight w:val="none"/>
          <w:vertAlign w:val="subscript"/>
        </w:rPr>
        <w:t>1</w:t>
      </w:r>
      <w:bookmarkEnd w:id="518"/>
      <w:r>
        <w:rPr>
          <w:rFonts w:hint="eastAsia" w:cs="宋体" w:asciiTheme="minorEastAsia" w:hAnsiTheme="minorEastAsia" w:eastAsiaTheme="minorEastAsia"/>
          <w:color w:val="auto"/>
          <w:szCs w:val="21"/>
          <w:highlight w:val="none"/>
        </w:rPr>
        <w:t>；</w:t>
      </w:r>
      <w:bookmarkStart w:id="519" w:name="_Hlk24103205"/>
      <w:r>
        <w:rPr>
          <w:rFonts w:cs="宋体" w:asciiTheme="minorEastAsia" w:hAnsiTheme="minorEastAsia" w:eastAsiaTheme="minorEastAsia"/>
          <w:color w:val="auto"/>
          <w:szCs w:val="21"/>
          <w:highlight w:val="none"/>
        </w:rPr>
        <w:t>B</w:t>
      </w:r>
      <w:r>
        <w:rPr>
          <w:rFonts w:cs="宋体" w:asciiTheme="minorEastAsia" w:hAnsiTheme="minorEastAsia" w:eastAsiaTheme="minorEastAsia"/>
          <w:color w:val="auto"/>
          <w:szCs w:val="21"/>
          <w:highlight w:val="none"/>
          <w:vertAlign w:val="subscript"/>
        </w:rPr>
        <w:t>2</w:t>
      </w:r>
      <w:bookmarkEnd w:id="519"/>
      <w:r>
        <w:rPr>
          <w:rFonts w:hint="eastAsia" w:cs="宋体" w:asciiTheme="minorEastAsia" w:hAnsiTheme="minorEastAsia" w:eastAsiaTheme="minorEastAsia"/>
          <w:color w:val="auto"/>
          <w:szCs w:val="21"/>
          <w:highlight w:val="none"/>
        </w:rPr>
        <w:t>；</w:t>
      </w:r>
      <w:bookmarkStart w:id="520" w:name="_Hlk24103220"/>
      <w:r>
        <w:rPr>
          <w:rFonts w:cs="宋体" w:asciiTheme="minorEastAsia" w:hAnsiTheme="minorEastAsia" w:eastAsiaTheme="minorEastAsia"/>
          <w:color w:val="auto"/>
          <w:szCs w:val="21"/>
          <w:highlight w:val="none"/>
        </w:rPr>
        <w:t>B</w:t>
      </w:r>
      <w:r>
        <w:rPr>
          <w:rFonts w:cs="宋体" w:asciiTheme="minorEastAsia" w:hAnsiTheme="minorEastAsia" w:eastAsiaTheme="minorEastAsia"/>
          <w:color w:val="auto"/>
          <w:szCs w:val="21"/>
          <w:highlight w:val="none"/>
          <w:vertAlign w:val="subscript"/>
        </w:rPr>
        <w:t>3</w:t>
      </w:r>
      <w:bookmarkEnd w:id="520"/>
      <w:r>
        <w:rPr>
          <w:rFonts w:hint="eastAsia" w:cs="宋体" w:asciiTheme="minorEastAsia" w:hAnsiTheme="minorEastAsia" w:eastAsiaTheme="minorEastAsia"/>
          <w:color w:val="auto"/>
          <w:szCs w:val="21"/>
          <w:highlight w:val="none"/>
        </w:rPr>
        <w:t>；……</w:t>
      </w:r>
      <w:bookmarkStart w:id="521" w:name="_Hlk24103245"/>
      <w:r>
        <w:rPr>
          <w:rFonts w:cs="宋体" w:asciiTheme="minorEastAsia" w:hAnsiTheme="minorEastAsia" w:eastAsiaTheme="minorEastAsia"/>
          <w:color w:val="auto"/>
          <w:szCs w:val="21"/>
          <w:highlight w:val="none"/>
        </w:rPr>
        <w:t>B</w:t>
      </w:r>
      <w:r>
        <w:rPr>
          <w:rFonts w:cs="宋体" w:asciiTheme="minorEastAsia" w:hAnsiTheme="minorEastAsia" w:eastAsiaTheme="minorEastAsia"/>
          <w:color w:val="auto"/>
          <w:szCs w:val="21"/>
          <w:highlight w:val="none"/>
          <w:vertAlign w:val="subscript"/>
        </w:rPr>
        <w:t>n</w:t>
      </w:r>
      <w:bookmarkEnd w:id="521"/>
      <w:r>
        <w:rPr>
          <w:rFonts w:cs="宋体" w:asciiTheme="minorEastAsia" w:hAnsiTheme="minorEastAsia" w:eastAsiaTheme="minorEastAsia"/>
          <w:color w:val="auto"/>
          <w:szCs w:val="21"/>
          <w:highlight w:val="none"/>
        </w:rPr>
        <w:t>---各可调因子的变值权重（即可调部分的权重）为各可调因子在投标函投标总报价中所占的比例，且A+B</w:t>
      </w:r>
      <w:r>
        <w:rPr>
          <w:rFonts w:cs="宋体" w:asciiTheme="minorEastAsia" w:hAnsiTheme="minorEastAsia" w:eastAsiaTheme="minorEastAsia"/>
          <w:color w:val="auto"/>
          <w:szCs w:val="21"/>
          <w:highlight w:val="none"/>
          <w:vertAlign w:val="subscript"/>
        </w:rPr>
        <w:t>1</w:t>
      </w:r>
      <w:r>
        <w:rPr>
          <w:rFonts w:cs="宋体" w:asciiTheme="minorEastAsia" w:hAnsiTheme="minorEastAsia" w:eastAsiaTheme="minorEastAsia"/>
          <w:color w:val="auto"/>
          <w:szCs w:val="21"/>
          <w:highlight w:val="none"/>
        </w:rPr>
        <w:t>+B</w:t>
      </w:r>
      <w:r>
        <w:rPr>
          <w:rFonts w:cs="宋体" w:asciiTheme="minorEastAsia" w:hAnsiTheme="minorEastAsia" w:eastAsiaTheme="minorEastAsia"/>
          <w:color w:val="auto"/>
          <w:szCs w:val="21"/>
          <w:highlight w:val="none"/>
          <w:vertAlign w:val="subscript"/>
        </w:rPr>
        <w:t>2</w:t>
      </w:r>
      <w:r>
        <w:rPr>
          <w:rFonts w:cs="宋体" w:asciiTheme="minorEastAsia" w:hAnsiTheme="minorEastAsia" w:eastAsiaTheme="minorEastAsia"/>
          <w:color w:val="auto"/>
          <w:szCs w:val="21"/>
          <w:highlight w:val="none"/>
        </w:rPr>
        <w:t>+B</w:t>
      </w:r>
      <w:r>
        <w:rPr>
          <w:rFonts w:cs="宋体" w:asciiTheme="minorEastAsia" w:hAnsiTheme="minorEastAsia" w:eastAsiaTheme="minorEastAsia"/>
          <w:color w:val="auto"/>
          <w:szCs w:val="21"/>
          <w:highlight w:val="none"/>
          <w:vertAlign w:val="subscript"/>
        </w:rPr>
        <w:t>3</w:t>
      </w:r>
      <w:r>
        <w:rPr>
          <w:rFonts w:cs="宋体" w:asciiTheme="minorEastAsia" w:hAnsiTheme="minorEastAsia" w:eastAsiaTheme="minorEastAsia"/>
          <w:color w:val="auto"/>
          <w:szCs w:val="21"/>
          <w:highlight w:val="none"/>
        </w:rPr>
        <w:t>+……+B</w:t>
      </w:r>
      <w:r>
        <w:rPr>
          <w:rFonts w:cs="宋体" w:asciiTheme="minorEastAsia" w:hAnsiTheme="minorEastAsia" w:eastAsiaTheme="minorEastAsia"/>
          <w:color w:val="auto"/>
          <w:szCs w:val="21"/>
          <w:highlight w:val="none"/>
          <w:vertAlign w:val="subscript"/>
        </w:rPr>
        <w:t>n</w:t>
      </w:r>
      <w:r>
        <w:rPr>
          <w:rFonts w:cs="宋体" w:asciiTheme="minorEastAsia" w:hAnsiTheme="minorEastAsia" w:eastAsiaTheme="minorEastAsia"/>
          <w:color w:val="auto"/>
          <w:szCs w:val="21"/>
          <w:highlight w:val="none"/>
        </w:rPr>
        <w:t>=1；</w:t>
      </w:r>
    </w:p>
    <w:p w14:paraId="36A5DFB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F</w:t>
      </w:r>
      <w:r>
        <w:rPr>
          <w:rFonts w:cs="宋体" w:asciiTheme="minorEastAsia" w:hAnsiTheme="minorEastAsia" w:eastAsiaTheme="minorEastAsia"/>
          <w:color w:val="auto"/>
          <w:szCs w:val="21"/>
          <w:highlight w:val="none"/>
          <w:vertAlign w:val="subscript"/>
        </w:rPr>
        <w:t>t1</w:t>
      </w: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F</w:t>
      </w:r>
      <w:r>
        <w:rPr>
          <w:rFonts w:cs="宋体" w:asciiTheme="minorEastAsia" w:hAnsiTheme="minorEastAsia" w:eastAsiaTheme="minorEastAsia"/>
          <w:color w:val="auto"/>
          <w:szCs w:val="21"/>
          <w:highlight w:val="none"/>
          <w:vertAlign w:val="subscript"/>
        </w:rPr>
        <w:t>t2</w:t>
      </w: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F</w:t>
      </w:r>
      <w:r>
        <w:rPr>
          <w:rFonts w:cs="宋体" w:asciiTheme="minorEastAsia" w:hAnsiTheme="minorEastAsia" w:eastAsiaTheme="minorEastAsia"/>
          <w:color w:val="auto"/>
          <w:szCs w:val="21"/>
          <w:highlight w:val="none"/>
          <w:vertAlign w:val="subscript"/>
        </w:rPr>
        <w:t>t3</w:t>
      </w: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F</w:t>
      </w:r>
      <w:r>
        <w:rPr>
          <w:rFonts w:cs="宋体" w:asciiTheme="minorEastAsia" w:hAnsiTheme="minorEastAsia" w:eastAsiaTheme="minorEastAsia"/>
          <w:color w:val="auto"/>
          <w:szCs w:val="21"/>
          <w:highlight w:val="none"/>
          <w:vertAlign w:val="subscript"/>
        </w:rPr>
        <w:t>tn</w:t>
      </w:r>
      <w:r>
        <w:rPr>
          <w:rFonts w:cs="宋体" w:asciiTheme="minorEastAsia" w:hAnsiTheme="minorEastAsia" w:eastAsiaTheme="minorEastAsia"/>
          <w:color w:val="auto"/>
          <w:szCs w:val="21"/>
          <w:highlight w:val="none"/>
        </w:rPr>
        <w:t>---各可调因子的当期价格指数，指付款证书相关周期最后一天的前42天的各可调因子的价格指数；</w:t>
      </w:r>
    </w:p>
    <w:p w14:paraId="1043412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F</w:t>
      </w:r>
      <w:r>
        <w:rPr>
          <w:rFonts w:cs="宋体" w:asciiTheme="minorEastAsia" w:hAnsiTheme="minorEastAsia" w:eastAsiaTheme="minorEastAsia"/>
          <w:color w:val="auto"/>
          <w:szCs w:val="21"/>
          <w:highlight w:val="none"/>
          <w:vertAlign w:val="subscript"/>
        </w:rPr>
        <w:t>01</w:t>
      </w: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F</w:t>
      </w:r>
      <w:r>
        <w:rPr>
          <w:rFonts w:cs="宋体" w:asciiTheme="minorEastAsia" w:hAnsiTheme="minorEastAsia" w:eastAsiaTheme="minorEastAsia"/>
          <w:color w:val="auto"/>
          <w:szCs w:val="21"/>
          <w:highlight w:val="none"/>
          <w:vertAlign w:val="subscript"/>
        </w:rPr>
        <w:t>02</w:t>
      </w: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F</w:t>
      </w:r>
      <w:r>
        <w:rPr>
          <w:rFonts w:cs="宋体" w:asciiTheme="minorEastAsia" w:hAnsiTheme="minorEastAsia" w:eastAsiaTheme="minorEastAsia"/>
          <w:color w:val="auto"/>
          <w:szCs w:val="21"/>
          <w:highlight w:val="none"/>
          <w:vertAlign w:val="subscript"/>
        </w:rPr>
        <w:t>03</w:t>
      </w: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F</w:t>
      </w:r>
      <w:r>
        <w:rPr>
          <w:rFonts w:cs="宋体" w:asciiTheme="minorEastAsia" w:hAnsiTheme="minorEastAsia" w:eastAsiaTheme="minorEastAsia"/>
          <w:color w:val="auto"/>
          <w:szCs w:val="21"/>
          <w:highlight w:val="none"/>
          <w:vertAlign w:val="subscript"/>
        </w:rPr>
        <w:t>0n</w:t>
      </w:r>
      <w:r>
        <w:rPr>
          <w:rFonts w:cs="宋体" w:asciiTheme="minorEastAsia" w:hAnsiTheme="minorEastAsia" w:eastAsiaTheme="minorEastAsia"/>
          <w:color w:val="auto"/>
          <w:szCs w:val="21"/>
          <w:highlight w:val="none"/>
        </w:rPr>
        <w:t>---各可调因子的基本价格指数，指基准日期的各可调因子的价格指数。</w:t>
      </w:r>
    </w:p>
    <w:p w14:paraId="4E13841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以上价格调整公式中的各可调因子、定值和变值权重，以及基本价格指数及其来源在投标函附录价格指数和权重表中约定。价格指数应首先采用投标函附录中载明的有关部门提供的价格指数，缺乏上述价格指数时，可采用有关部门提供的价格代替。</w:t>
      </w:r>
    </w:p>
    <w:p w14:paraId="2BD6C13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2）暂时确定调整差额</w:t>
      </w:r>
    </w:p>
    <w:p w14:paraId="6BA40EB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在计算调整差额时得不到当期价格指数的，可暂用上一次价格指数计算，并在以后的付款中再按实际价格指数进行调整。</w:t>
      </w:r>
    </w:p>
    <w:p w14:paraId="703835F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3）权重的调整</w:t>
      </w:r>
    </w:p>
    <w:p w14:paraId="0259B07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按第</w:t>
      </w:r>
      <w:r>
        <w:rPr>
          <w:rFonts w:cs="宋体" w:asciiTheme="minorEastAsia" w:hAnsiTheme="minorEastAsia" w:eastAsiaTheme="minorEastAsia"/>
          <w:color w:val="auto"/>
          <w:szCs w:val="21"/>
          <w:highlight w:val="none"/>
        </w:rPr>
        <w:t>13.1款[发包人变更权]约定的变更导致原定合同中的权重不合理的，由工程师与承包人和发包人协商后进行调整。</w:t>
      </w:r>
    </w:p>
    <w:p w14:paraId="6735D7A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4）承包人原因工期延误后的价格调整</w:t>
      </w:r>
    </w:p>
    <w:p w14:paraId="3D20C39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因承包人原因未在约定的工期内竣工的，则对原约定竣工日期后继续施工的工程，在使用本款第</w:t>
      </w:r>
      <w:r>
        <w:rPr>
          <w:rFonts w:cs="宋体" w:asciiTheme="minorEastAsia" w:hAnsiTheme="minorEastAsia" w:eastAsiaTheme="minorEastAsia"/>
          <w:color w:val="auto"/>
          <w:szCs w:val="21"/>
          <w:highlight w:val="none"/>
        </w:rPr>
        <w:t>(1)项价格调整公式时，应采用原约定竣工日期与实际竣工日期的两个价格指数中较低的一个作为当期价格指数。</w:t>
      </w:r>
    </w:p>
    <w:p w14:paraId="0790B89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5）发包人引起的工期延误后的价格调整</w:t>
      </w:r>
    </w:p>
    <w:p w14:paraId="677E645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由于发包人原因未在约定的工期内竣工的，则对原约定竣工日期后继续施工的工程，在使用本款第（</w:t>
      </w:r>
      <w:r>
        <w:rPr>
          <w:rFonts w:cs="宋体" w:asciiTheme="minorEastAsia" w:hAnsiTheme="minorEastAsia" w:eastAsiaTheme="minorEastAsia"/>
          <w:color w:val="auto"/>
          <w:szCs w:val="21"/>
          <w:highlight w:val="none"/>
        </w:rPr>
        <w:t>1）目价格调整公式时，应采用原约定竣工日期与实际竣工日期的两个价格指数中较高的一个作为当期价格指数。</w:t>
      </w:r>
    </w:p>
    <w:p w14:paraId="042CA94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13.8.2.2 </w:t>
      </w:r>
      <w:r>
        <w:rPr>
          <w:rFonts w:hint="eastAsia" w:cs="宋体" w:asciiTheme="minorEastAsia" w:hAnsiTheme="minorEastAsia" w:eastAsiaTheme="minorEastAsia"/>
          <w:color w:val="auto"/>
          <w:szCs w:val="21"/>
          <w:highlight w:val="none"/>
        </w:rPr>
        <w:t>未列入</w:t>
      </w:r>
      <w:bookmarkStart w:id="522" w:name="_Hlk24494865"/>
      <w:r>
        <w:rPr>
          <w:rFonts w:hint="eastAsia" w:cs="宋体" w:asciiTheme="minorEastAsia" w:hAnsiTheme="minorEastAsia" w:eastAsiaTheme="minorEastAsia"/>
          <w:color w:val="auto"/>
          <w:szCs w:val="21"/>
          <w:highlight w:val="none"/>
        </w:rPr>
        <w:t>《价格指数权重表》</w:t>
      </w:r>
      <w:bookmarkEnd w:id="522"/>
      <w:r>
        <w:rPr>
          <w:rFonts w:hint="eastAsia" w:cs="宋体" w:asciiTheme="minorEastAsia" w:hAnsiTheme="minorEastAsia" w:eastAsiaTheme="minorEastAsia"/>
          <w:color w:val="auto"/>
          <w:szCs w:val="21"/>
          <w:highlight w:val="none"/>
        </w:rPr>
        <w:t>的费用不因市场变化而调整。</w:t>
      </w:r>
    </w:p>
    <w:p w14:paraId="4F000DF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13.8.3 </w:t>
      </w:r>
      <w:r>
        <w:rPr>
          <w:rFonts w:hint="eastAsia" w:cs="宋体" w:asciiTheme="minorEastAsia" w:hAnsiTheme="minorEastAsia" w:eastAsiaTheme="minorEastAsia"/>
          <w:color w:val="auto"/>
          <w:szCs w:val="21"/>
          <w:highlight w:val="none"/>
        </w:rPr>
        <w:t>双方约定采用其他方式调整合同价款的，以专用合同条件约定为准。</w:t>
      </w:r>
    </w:p>
    <w:p w14:paraId="4931A339">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523" w:name="_Ref531955880"/>
      <w:bookmarkStart w:id="524" w:name="_Toc54862291"/>
      <w:bookmarkStart w:id="525" w:name="_Ref531955885"/>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14条 </w:t>
      </w:r>
      <w:r>
        <w:rPr>
          <w:rFonts w:hint="eastAsia" w:cs="宋体" w:asciiTheme="minorEastAsia" w:hAnsiTheme="minorEastAsia" w:eastAsiaTheme="minorEastAsia"/>
          <w:b/>
          <w:color w:val="auto"/>
          <w:szCs w:val="21"/>
          <w:highlight w:val="none"/>
        </w:rPr>
        <w:t>合同价格与支付</w:t>
      </w:r>
      <w:bookmarkEnd w:id="523"/>
      <w:bookmarkEnd w:id="524"/>
      <w:bookmarkEnd w:id="525"/>
    </w:p>
    <w:p w14:paraId="341CFEAB">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526" w:name="_Toc54862292"/>
      <w:bookmarkStart w:id="527" w:name="_Ref4431531"/>
      <w:bookmarkStart w:id="528" w:name="_Ref4431521"/>
      <w:r>
        <w:rPr>
          <w:rFonts w:cs="宋体" w:asciiTheme="minorEastAsia" w:hAnsiTheme="minorEastAsia" w:eastAsiaTheme="minorEastAsia"/>
          <w:color w:val="auto"/>
          <w:szCs w:val="21"/>
          <w:highlight w:val="none"/>
        </w:rPr>
        <w:t xml:space="preserve">14.1 </w:t>
      </w:r>
      <w:r>
        <w:rPr>
          <w:rFonts w:hint="eastAsia" w:cs="宋体" w:asciiTheme="minorEastAsia" w:hAnsiTheme="minorEastAsia" w:eastAsiaTheme="minorEastAsia"/>
          <w:color w:val="auto"/>
          <w:szCs w:val="21"/>
          <w:highlight w:val="none"/>
        </w:rPr>
        <w:t>合同价格形式</w:t>
      </w:r>
      <w:bookmarkEnd w:id="526"/>
      <w:bookmarkEnd w:id="527"/>
      <w:bookmarkEnd w:id="528"/>
    </w:p>
    <w:p w14:paraId="12CF798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14.1.1 </w:t>
      </w:r>
      <w:r>
        <w:rPr>
          <w:rFonts w:hint="eastAsia" w:cs="宋体" w:asciiTheme="minorEastAsia" w:hAnsiTheme="minorEastAsia" w:eastAsiaTheme="minorEastAsia"/>
          <w:color w:val="auto"/>
          <w:szCs w:val="21"/>
          <w:highlight w:val="none"/>
        </w:rPr>
        <w:t>执行专用合同条件中约定。</w:t>
      </w:r>
    </w:p>
    <w:p w14:paraId="6EB3342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14.1.2 </w:t>
      </w:r>
      <w:r>
        <w:rPr>
          <w:rFonts w:hint="eastAsia" w:cs="宋体" w:asciiTheme="minorEastAsia" w:hAnsiTheme="minorEastAsia" w:eastAsiaTheme="minorEastAsia"/>
          <w:color w:val="auto"/>
          <w:szCs w:val="21"/>
          <w:highlight w:val="none"/>
        </w:rPr>
        <w:t>除专用合同条件另有约定外：</w:t>
      </w:r>
    </w:p>
    <w:p w14:paraId="1B63E18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1）工程款的支付应以合同协议书约定的签约合同价格为基础，按照合同约定进行调整；</w:t>
      </w:r>
    </w:p>
    <w:p w14:paraId="1517B1D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2）承包人应支付根据法律规定或合同约定应由其支付的各项税费，除第13.7款[法律变化引起的调整]约定外，合同价格不应因任何这些税费进行调整；</w:t>
      </w:r>
    </w:p>
    <w:p w14:paraId="03BD490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价格清单列出的任何数量仅为估算的工作量，不得将其视为要求承包人实施的工程的实际或准确的工作量。在价格清单中列出的任何工作量和价格数据应仅限用于变更和支付的参考资料，而不能用于其他目的。</w:t>
      </w:r>
    </w:p>
    <w:p w14:paraId="41B4DDD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14.1.3 </w:t>
      </w:r>
      <w:r>
        <w:rPr>
          <w:rFonts w:hint="eastAsia" w:cs="宋体" w:asciiTheme="minorEastAsia" w:hAnsiTheme="minorEastAsia" w:eastAsiaTheme="minorEastAsia"/>
          <w:color w:val="auto"/>
          <w:szCs w:val="21"/>
          <w:highlight w:val="none"/>
        </w:rPr>
        <w:t>合同约定工程的某部分按照实际完成的工程量进行支付的，应按照专用合同条件的约定进行计量和估价，并据此调整合同价格。</w:t>
      </w:r>
    </w:p>
    <w:p w14:paraId="56410488">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529" w:name="_Ref531956884"/>
      <w:bookmarkStart w:id="530" w:name="_Toc54862293"/>
      <w:bookmarkStart w:id="531" w:name="_Ref531956881"/>
      <w:r>
        <w:rPr>
          <w:rFonts w:cs="宋体" w:asciiTheme="minorEastAsia" w:hAnsiTheme="minorEastAsia" w:eastAsiaTheme="minorEastAsia"/>
          <w:color w:val="auto"/>
          <w:szCs w:val="21"/>
          <w:highlight w:val="none"/>
        </w:rPr>
        <w:t xml:space="preserve">14.2 </w:t>
      </w:r>
      <w:r>
        <w:rPr>
          <w:rFonts w:hint="eastAsia" w:cs="宋体" w:asciiTheme="minorEastAsia" w:hAnsiTheme="minorEastAsia" w:eastAsiaTheme="minorEastAsia"/>
          <w:color w:val="auto"/>
          <w:szCs w:val="21"/>
          <w:highlight w:val="none"/>
        </w:rPr>
        <w:t>预付款</w:t>
      </w:r>
      <w:bookmarkEnd w:id="529"/>
      <w:bookmarkEnd w:id="530"/>
      <w:bookmarkEnd w:id="531"/>
    </w:p>
    <w:p w14:paraId="153ED11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14.2.1 </w:t>
      </w:r>
      <w:r>
        <w:rPr>
          <w:rFonts w:hint="eastAsia" w:cs="宋体" w:asciiTheme="minorEastAsia" w:hAnsiTheme="minorEastAsia" w:eastAsiaTheme="minorEastAsia"/>
          <w:color w:val="auto"/>
          <w:szCs w:val="21"/>
          <w:highlight w:val="none"/>
        </w:rPr>
        <w:t>预付款支付</w:t>
      </w:r>
    </w:p>
    <w:p w14:paraId="4C2F19C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预付款的额度和支付按照专用合同条件约定执行。预付款应当专用于承包人为合同工程的设计和工程实施购置材料、工程设备、施工设备、修建临时设施以及组织施工队伍进场等合同工作。</w:t>
      </w:r>
    </w:p>
    <w:p w14:paraId="692317A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除专用合同条件另有约定外，预付款在进度付款中同比例扣回。在颁发工程接收证书前，提前解除合同的，尚未扣完的预付款应与合同价款一并结算。</w:t>
      </w:r>
    </w:p>
    <w:p w14:paraId="4EC9415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发包人逾期支付预付款超过</w:t>
      </w:r>
      <w:r>
        <w:rPr>
          <w:rFonts w:cs="宋体" w:asciiTheme="minorEastAsia" w:hAnsiTheme="minorEastAsia" w:eastAsiaTheme="minorEastAsia"/>
          <w:color w:val="auto"/>
          <w:szCs w:val="21"/>
          <w:highlight w:val="none"/>
        </w:rPr>
        <w:t>7天的，承包人有权向发包人发出要求预付的催告通知，发包人收到通知后7天内仍未支付的，承包人有权暂停施工，并按第15.1.1项[发包人违约的情形]执行。</w:t>
      </w:r>
    </w:p>
    <w:p w14:paraId="2510E71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u w:val="single"/>
        </w:rPr>
      </w:pPr>
      <w:bookmarkStart w:id="532" w:name="_Ref531956907"/>
      <w:bookmarkStart w:id="533" w:name="_Ref4797624"/>
      <w:bookmarkStart w:id="534" w:name="_Hlk54429963"/>
      <w:r>
        <w:rPr>
          <w:rFonts w:cs="宋体" w:asciiTheme="minorEastAsia" w:hAnsiTheme="minorEastAsia" w:eastAsiaTheme="minorEastAsia"/>
          <w:color w:val="auto"/>
          <w:szCs w:val="21"/>
          <w:highlight w:val="none"/>
        </w:rPr>
        <w:t xml:space="preserve">14.2.2 </w:t>
      </w:r>
      <w:r>
        <w:rPr>
          <w:rFonts w:hint="eastAsia" w:cs="宋体" w:asciiTheme="minorEastAsia" w:hAnsiTheme="minorEastAsia" w:eastAsiaTheme="minorEastAsia"/>
          <w:color w:val="auto"/>
          <w:szCs w:val="21"/>
          <w:highlight w:val="none"/>
        </w:rPr>
        <w:t>预付款</w:t>
      </w:r>
      <w:bookmarkEnd w:id="532"/>
      <w:r>
        <w:rPr>
          <w:rFonts w:hint="eastAsia" w:cs="宋体" w:asciiTheme="minorEastAsia" w:hAnsiTheme="minorEastAsia" w:eastAsiaTheme="minorEastAsia"/>
          <w:color w:val="auto"/>
          <w:szCs w:val="21"/>
          <w:highlight w:val="none"/>
        </w:rPr>
        <w:t>担保</w:t>
      </w:r>
      <w:bookmarkEnd w:id="533"/>
      <w:r>
        <w:rPr>
          <w:rFonts w:cs="宋体" w:asciiTheme="minorEastAsia" w:hAnsiTheme="minorEastAsia" w:eastAsiaTheme="minorEastAsia"/>
          <w:color w:val="auto"/>
          <w:szCs w:val="21"/>
          <w:highlight w:val="none"/>
          <w:u w:val="single"/>
        </w:rPr>
        <w:t xml:space="preserve">    /     。</w:t>
      </w:r>
    </w:p>
    <w:bookmarkEnd w:id="534"/>
    <w:p w14:paraId="0F57A777">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535" w:name="_Toc4784194"/>
      <w:bookmarkEnd w:id="535"/>
      <w:bookmarkStart w:id="536" w:name="_Toc4784195"/>
      <w:bookmarkEnd w:id="536"/>
      <w:bookmarkStart w:id="537" w:name="_Toc4784193"/>
      <w:bookmarkEnd w:id="537"/>
      <w:bookmarkStart w:id="538" w:name="_Ref531956963"/>
      <w:bookmarkStart w:id="539" w:name="_Ref4623398"/>
      <w:bookmarkStart w:id="540" w:name="_Ref531956967"/>
      <w:bookmarkStart w:id="541" w:name="_Toc54862294"/>
      <w:r>
        <w:rPr>
          <w:rFonts w:cs="宋体" w:asciiTheme="minorEastAsia" w:hAnsiTheme="minorEastAsia" w:eastAsiaTheme="minorEastAsia"/>
          <w:color w:val="auto"/>
          <w:szCs w:val="21"/>
          <w:highlight w:val="none"/>
        </w:rPr>
        <w:t xml:space="preserve">14.3 </w:t>
      </w:r>
      <w:r>
        <w:rPr>
          <w:rFonts w:hint="eastAsia" w:cs="宋体" w:asciiTheme="minorEastAsia" w:hAnsiTheme="minorEastAsia" w:eastAsiaTheme="minorEastAsia"/>
          <w:color w:val="auto"/>
          <w:szCs w:val="21"/>
          <w:highlight w:val="none"/>
        </w:rPr>
        <w:t>工程进度款</w:t>
      </w:r>
      <w:bookmarkEnd w:id="538"/>
      <w:bookmarkEnd w:id="539"/>
      <w:bookmarkEnd w:id="540"/>
      <w:bookmarkEnd w:id="541"/>
    </w:p>
    <w:p w14:paraId="3D389C8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42" w:name="_Ref532679934"/>
      <w:bookmarkStart w:id="543" w:name="_Ref531956987"/>
      <w:r>
        <w:rPr>
          <w:rFonts w:cs="宋体" w:asciiTheme="minorEastAsia" w:hAnsiTheme="minorEastAsia" w:eastAsiaTheme="minorEastAsia"/>
          <w:color w:val="auto"/>
          <w:szCs w:val="21"/>
          <w:highlight w:val="none"/>
        </w:rPr>
        <w:t xml:space="preserve">14.3.1 </w:t>
      </w:r>
      <w:r>
        <w:rPr>
          <w:rFonts w:hint="eastAsia" w:cs="宋体" w:asciiTheme="minorEastAsia" w:hAnsiTheme="minorEastAsia" w:eastAsiaTheme="minorEastAsia"/>
          <w:color w:val="auto"/>
          <w:szCs w:val="21"/>
          <w:highlight w:val="none"/>
        </w:rPr>
        <w:t>工程进度付款申请</w:t>
      </w:r>
      <w:bookmarkEnd w:id="542"/>
      <w:bookmarkEnd w:id="543"/>
    </w:p>
    <w:p w14:paraId="52C5B05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1）除专用合同条件另有约定外，承包人应在每月月末向工程师提交进度付款申请单，该进度付款申请单应包括下列内容：</w:t>
      </w:r>
    </w:p>
    <w:p w14:paraId="59472E3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44" w:name="_Ref24496054"/>
      <w:r>
        <w:rPr>
          <w:rFonts w:cs="宋体" w:asciiTheme="minorEastAsia" w:hAnsiTheme="minorEastAsia" w:eastAsiaTheme="minorEastAsia"/>
          <w:color w:val="auto"/>
          <w:szCs w:val="21"/>
          <w:highlight w:val="none"/>
        </w:rPr>
        <w:t>1）截至本次付款周期内已完成工作对应的金额；</w:t>
      </w:r>
      <w:bookmarkEnd w:id="544"/>
    </w:p>
    <w:p w14:paraId="6E10C26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2）根据第13条[变更与调整]应增加和扣减的变更金额；</w:t>
      </w:r>
    </w:p>
    <w:p w14:paraId="3BB521B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3）根据第14.2款[预付款]约定应支付的预付款和扣减的返还预付款；</w:t>
      </w:r>
    </w:p>
    <w:p w14:paraId="49FA6F0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4）根据第14.6.2项[质量保证金的预留]约定应预留的质量保证金金额；</w:t>
      </w:r>
    </w:p>
    <w:p w14:paraId="333CAC5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5）根据第19条[索赔]应增加和扣减的索赔金额；</w:t>
      </w:r>
    </w:p>
    <w:p w14:paraId="5B15C57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6）对已签发的进度款支付证书中出现错误的修正，应在本次进度付款中支付或扣除的金额；</w:t>
      </w:r>
    </w:p>
    <w:p w14:paraId="60AB811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7）根据合同约定应增加和扣减的其他金额。</w:t>
      </w:r>
    </w:p>
    <w:p w14:paraId="56B5136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45" w:name="_Ref531957608"/>
      <w:r>
        <w:rPr>
          <w:rFonts w:cs="宋体" w:asciiTheme="minorEastAsia" w:hAnsiTheme="minorEastAsia" w:eastAsiaTheme="minorEastAsia"/>
          <w:color w:val="auto"/>
          <w:szCs w:val="21"/>
          <w:highlight w:val="none"/>
        </w:rPr>
        <w:t xml:space="preserve">14.3.2 </w:t>
      </w:r>
      <w:r>
        <w:rPr>
          <w:rFonts w:hint="eastAsia" w:cs="宋体" w:asciiTheme="minorEastAsia" w:hAnsiTheme="minorEastAsia" w:eastAsiaTheme="minorEastAsia"/>
          <w:color w:val="auto"/>
          <w:szCs w:val="21"/>
          <w:highlight w:val="none"/>
        </w:rPr>
        <w:t>进度付款审核和支付</w:t>
      </w:r>
      <w:bookmarkEnd w:id="545"/>
    </w:p>
    <w:p w14:paraId="5890A04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除专用合同条件另有约定外，工程师应在收到承包人进度付款申请单以及相关资料后</w:t>
      </w:r>
      <w:r>
        <w:rPr>
          <w:rFonts w:cs="宋体" w:asciiTheme="minorEastAsia" w:hAnsiTheme="minorEastAsia" w:eastAsiaTheme="minorEastAsia"/>
          <w:color w:val="auto"/>
          <w:szCs w:val="21"/>
          <w:highlight w:val="none"/>
        </w:rPr>
        <w:t>7天内完成审查并报送发包人，发包人应在收到后7天内完成审批并向承包人签发进度款支付证书。发包人逾期（包括因工程师原因延误报送的时间）未完成审批且未提出异议的，视为已签发进度款支付证书。</w:t>
      </w:r>
    </w:p>
    <w:p w14:paraId="43FE06C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工程师对承包人的进度付款申请单有异议的，有权要求承包人修正和提供补充资料，承包人应提交修正后的进度付款申请单。工程师应在收到承包人修正后的进度付款申请单及相关资料后</w:t>
      </w:r>
      <w:r>
        <w:rPr>
          <w:rFonts w:cs="宋体" w:asciiTheme="minorEastAsia" w:hAnsiTheme="minorEastAsia" w:eastAsiaTheme="minorEastAsia"/>
          <w:color w:val="auto"/>
          <w:szCs w:val="21"/>
          <w:highlight w:val="none"/>
        </w:rPr>
        <w:t>7天内完成审查并报送发包人，发包人应在收到工程师报送的进度付款申请单及相关资料后7天内，向承包人签发无异议部分的进度款支付证书。存在争议的部分，按照第20条[争议解决]的约定处理。</w:t>
      </w:r>
    </w:p>
    <w:p w14:paraId="0A6C628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除专用合同条件另有约定外，发包人应在进度款支付证书签发后</w:t>
      </w:r>
      <w:r>
        <w:rPr>
          <w:rFonts w:cs="宋体" w:asciiTheme="minorEastAsia" w:hAnsiTheme="minorEastAsia" w:eastAsiaTheme="minorEastAsia"/>
          <w:color w:val="auto"/>
          <w:szCs w:val="21"/>
          <w:highlight w:val="none"/>
        </w:rPr>
        <w:t>14天内完成支付，发包人逾期支付进度款的，按照贷款市场报价利率（LPR）支付利息。</w:t>
      </w:r>
    </w:p>
    <w:p w14:paraId="0ED5E2F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发包人签发进度款支付证书，不表明发包人已同意、批准或接受了承包人完成的相应部分的工作。</w:t>
      </w:r>
    </w:p>
    <w:p w14:paraId="473DE91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46" w:name="_Ref531957023"/>
      <w:r>
        <w:rPr>
          <w:rFonts w:cs="宋体" w:asciiTheme="minorEastAsia" w:hAnsiTheme="minorEastAsia" w:eastAsiaTheme="minorEastAsia"/>
          <w:color w:val="auto"/>
          <w:szCs w:val="21"/>
          <w:highlight w:val="none"/>
        </w:rPr>
        <w:t xml:space="preserve">14.3.3 </w:t>
      </w:r>
      <w:r>
        <w:rPr>
          <w:rFonts w:hint="eastAsia" w:cs="宋体" w:asciiTheme="minorEastAsia" w:hAnsiTheme="minorEastAsia" w:eastAsiaTheme="minorEastAsia"/>
          <w:color w:val="auto"/>
          <w:szCs w:val="21"/>
          <w:highlight w:val="none"/>
        </w:rPr>
        <w:t>进度付款的修正</w:t>
      </w:r>
      <w:bookmarkEnd w:id="546"/>
    </w:p>
    <w:p w14:paraId="76B3D70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在对已签发的进度款支付证书进行阶段汇总和复核中发现错误、遗漏或重复的，发包人和承包人均有权提出修正申请。经发包人和承包人同意的修正，应在下期进度付款中支付或扣除。</w:t>
      </w:r>
    </w:p>
    <w:p w14:paraId="5C2CCC29">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547" w:name="_Toc54862295"/>
      <w:bookmarkStart w:id="548" w:name="_Ref4538578"/>
      <w:bookmarkStart w:id="549" w:name="_Ref536647814"/>
      <w:bookmarkStart w:id="550" w:name="_Ref536647822"/>
      <w:r>
        <w:rPr>
          <w:rFonts w:cs="宋体" w:asciiTheme="minorEastAsia" w:hAnsiTheme="minorEastAsia" w:eastAsiaTheme="minorEastAsia"/>
          <w:color w:val="auto"/>
          <w:szCs w:val="21"/>
          <w:highlight w:val="none"/>
        </w:rPr>
        <w:t xml:space="preserve">14.4 </w:t>
      </w:r>
      <w:r>
        <w:rPr>
          <w:rFonts w:hint="eastAsia" w:cs="宋体" w:asciiTheme="minorEastAsia" w:hAnsiTheme="minorEastAsia" w:eastAsiaTheme="minorEastAsia"/>
          <w:color w:val="auto"/>
          <w:szCs w:val="21"/>
          <w:highlight w:val="none"/>
        </w:rPr>
        <w:t>付款计划表</w:t>
      </w:r>
      <w:bookmarkEnd w:id="547"/>
      <w:bookmarkEnd w:id="548"/>
    </w:p>
    <w:p w14:paraId="607C0C7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51" w:name="_Ref4570974"/>
      <w:r>
        <w:rPr>
          <w:rFonts w:cs="宋体" w:asciiTheme="minorEastAsia" w:hAnsiTheme="minorEastAsia" w:eastAsiaTheme="minorEastAsia"/>
          <w:color w:val="auto"/>
          <w:szCs w:val="21"/>
          <w:highlight w:val="none"/>
        </w:rPr>
        <w:t xml:space="preserve">14.4.1 </w:t>
      </w:r>
      <w:r>
        <w:rPr>
          <w:rFonts w:hint="eastAsia" w:cs="宋体" w:asciiTheme="minorEastAsia" w:hAnsiTheme="minorEastAsia" w:eastAsiaTheme="minorEastAsia"/>
          <w:color w:val="auto"/>
          <w:szCs w:val="21"/>
          <w:highlight w:val="none"/>
        </w:rPr>
        <w:t>付款计划表的编制要求</w:t>
      </w:r>
      <w:bookmarkEnd w:id="551"/>
    </w:p>
    <w:p w14:paraId="7557DFF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除专用合同条件另有约定外，付款计划表按如下要求编制：</w:t>
      </w:r>
    </w:p>
    <w:p w14:paraId="584693F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1）付款计划表中所列的每期付款金额，应为第14.3.1项[工程进度付款申请]每期进度款的估算金额；</w:t>
      </w:r>
    </w:p>
    <w:p w14:paraId="46B4387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2）实际进度与项目进度计划不一致的，合同当事人可按照第3.6款[商定或确定]修改付款计划表；</w:t>
      </w:r>
    </w:p>
    <w:p w14:paraId="16E6D5C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3）不采用付款计划表的，承包人应向工程师提交按季度编制的支付估算付款计划表，用于支付参考。</w:t>
      </w:r>
    </w:p>
    <w:p w14:paraId="587BF83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52" w:name="_Ref4571011"/>
      <w:r>
        <w:rPr>
          <w:rFonts w:cs="宋体" w:asciiTheme="minorEastAsia" w:hAnsiTheme="minorEastAsia" w:eastAsiaTheme="minorEastAsia"/>
          <w:color w:val="auto"/>
          <w:szCs w:val="21"/>
          <w:highlight w:val="none"/>
        </w:rPr>
        <w:t xml:space="preserve">14.4.2 </w:t>
      </w:r>
      <w:r>
        <w:rPr>
          <w:rFonts w:hint="eastAsia" w:cs="宋体" w:asciiTheme="minorEastAsia" w:hAnsiTheme="minorEastAsia" w:eastAsiaTheme="minorEastAsia"/>
          <w:color w:val="auto"/>
          <w:szCs w:val="21"/>
          <w:highlight w:val="none"/>
        </w:rPr>
        <w:t>付款计划表的编制与审批</w:t>
      </w:r>
      <w:bookmarkEnd w:id="552"/>
    </w:p>
    <w:p w14:paraId="1147777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除专用合同条件另有约定外，承包人应根据第8.4款[项目进度计划]约定的项目进度计划、签约合同价和工程量等因素对总价合同进行分解，确定付款期数、计划每期达到的主要形象进度和（或）完成的主要计划工程量（含设计、采购、施工、竣工试验和竣工后试验等）等目标任务，编制付款计划表。其中人工费应按月确定付款期和付款计划。承包人应当在收到工程师和发包人批准的项目进度计划后7天内，将付款计划表及编制付款计划表的支持性资料报送工程师。</w:t>
      </w:r>
    </w:p>
    <w:p w14:paraId="5715703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2）工程师应在收到付款计划表后7天内完成审核并报送发包人。发包人应在收到经工程师审核的付款计划表后7天内完成审批，经发包人批准的付款计划表为有约束力的付款计划表。</w:t>
      </w:r>
    </w:p>
    <w:p w14:paraId="4958466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3）发包人逾期未完成付款计划表审批的，也未及时要求承包人进行修正和提供补充资料的，则承包人提交的付款计划表视为已经获得发包人批准。</w:t>
      </w:r>
    </w:p>
    <w:p w14:paraId="350B93A0">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553" w:name="_Toc54862296"/>
      <w:bookmarkStart w:id="554" w:name="_Ref4538634"/>
      <w:r>
        <w:rPr>
          <w:rFonts w:cs="宋体" w:asciiTheme="minorEastAsia" w:hAnsiTheme="minorEastAsia" w:eastAsiaTheme="minorEastAsia"/>
          <w:color w:val="auto"/>
          <w:szCs w:val="21"/>
          <w:highlight w:val="none"/>
        </w:rPr>
        <w:t xml:space="preserve">14.5 </w:t>
      </w:r>
      <w:r>
        <w:rPr>
          <w:rFonts w:hint="eastAsia" w:cs="宋体" w:asciiTheme="minorEastAsia" w:hAnsiTheme="minorEastAsia" w:eastAsiaTheme="minorEastAsia"/>
          <w:color w:val="auto"/>
          <w:szCs w:val="21"/>
          <w:highlight w:val="none"/>
        </w:rPr>
        <w:t>竣工结算</w:t>
      </w:r>
      <w:bookmarkEnd w:id="553"/>
      <w:bookmarkEnd w:id="554"/>
    </w:p>
    <w:p w14:paraId="6BA5B1A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55" w:name="_Ref4571361"/>
      <w:r>
        <w:rPr>
          <w:rFonts w:cs="宋体" w:asciiTheme="minorEastAsia" w:hAnsiTheme="minorEastAsia" w:eastAsiaTheme="minorEastAsia"/>
          <w:color w:val="auto"/>
          <w:szCs w:val="21"/>
          <w:highlight w:val="none"/>
        </w:rPr>
        <w:t xml:space="preserve">14.5.1 </w:t>
      </w:r>
      <w:r>
        <w:rPr>
          <w:rFonts w:hint="eastAsia" w:cs="宋体" w:asciiTheme="minorEastAsia" w:hAnsiTheme="minorEastAsia" w:eastAsiaTheme="minorEastAsia"/>
          <w:color w:val="auto"/>
          <w:szCs w:val="21"/>
          <w:highlight w:val="none"/>
        </w:rPr>
        <w:t>竣工结算申请</w:t>
      </w:r>
      <w:bookmarkEnd w:id="555"/>
    </w:p>
    <w:p w14:paraId="679F37A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除专用合同条件另有约定外，承包人应在工程竣工验收合格后</w:t>
      </w:r>
      <w:r>
        <w:rPr>
          <w:rFonts w:cs="宋体" w:asciiTheme="minorEastAsia" w:hAnsiTheme="minorEastAsia" w:eastAsiaTheme="minorEastAsia"/>
          <w:color w:val="auto"/>
          <w:szCs w:val="21"/>
          <w:highlight w:val="none"/>
        </w:rPr>
        <w:t>42天内向工程师提交竣工结算申请单，并提交完整的结算资料，有关竣工结算申请单的资料清单和份数等要求由合同当事人在专用合同条件中约定。</w:t>
      </w:r>
    </w:p>
    <w:p w14:paraId="5DC94D3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除专用合同条件另有约定外，竣工结算申请单应包括以下内容：</w:t>
      </w:r>
    </w:p>
    <w:p w14:paraId="0F286BE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1）竣工结算合同价格；</w:t>
      </w:r>
    </w:p>
    <w:p w14:paraId="3826D51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2）发包人已支付承包人的款项；</w:t>
      </w:r>
    </w:p>
    <w:p w14:paraId="295E63E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采用第14.6.1项[承包人提供质量保证金的方式]第（2）种方式提供质量保证金的，应当列明应预留的质量保证金金额；采用第14.6.1项[承包人提供质量保证金的方式]中其他方式提供质量保证金的，应当按第14.6款[质量保证金]提供相关文件作为附件；</w:t>
      </w:r>
    </w:p>
    <w:p w14:paraId="3C27497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4）发包人应支付承包人的合同价款。</w:t>
      </w:r>
    </w:p>
    <w:p w14:paraId="34031C0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56" w:name="_Ref4571384"/>
      <w:r>
        <w:rPr>
          <w:rFonts w:cs="宋体" w:asciiTheme="minorEastAsia" w:hAnsiTheme="minorEastAsia" w:eastAsiaTheme="minorEastAsia"/>
          <w:color w:val="auto"/>
          <w:szCs w:val="21"/>
          <w:highlight w:val="none"/>
        </w:rPr>
        <w:t xml:space="preserve">14.5.2 </w:t>
      </w:r>
      <w:r>
        <w:rPr>
          <w:rFonts w:hint="eastAsia" w:cs="宋体" w:asciiTheme="minorEastAsia" w:hAnsiTheme="minorEastAsia" w:eastAsiaTheme="minorEastAsia"/>
          <w:color w:val="auto"/>
          <w:szCs w:val="21"/>
          <w:highlight w:val="none"/>
        </w:rPr>
        <w:t>竣工结算审核</w:t>
      </w:r>
      <w:bookmarkEnd w:id="556"/>
    </w:p>
    <w:p w14:paraId="08DE138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除专用合同条件另有约定外，工程师应在收到竣工结算申请单后14天内完成核查并报送发包人。发包人应在收到工程师提交的经审核的竣工结算申请单后14天内完成审批，并由工程师向承包人签发经发包人签认的竣工付款证书。工程师或发包人对竣工结算申请单有异议的，有权要求承包人进行修正和提供补充资料，承包人应提交修正后的竣工结算申请单。</w:t>
      </w:r>
    </w:p>
    <w:p w14:paraId="02A35D8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发包人在收到承包人提交竣工结算申请书后</w:t>
      </w:r>
      <w:r>
        <w:rPr>
          <w:rFonts w:cs="宋体" w:asciiTheme="minorEastAsia" w:hAnsiTheme="minorEastAsia" w:eastAsiaTheme="minorEastAsia"/>
          <w:color w:val="auto"/>
          <w:szCs w:val="21"/>
          <w:highlight w:val="none"/>
        </w:rPr>
        <w:t>28天内未完成审批且未提出异议的，视为发包人认可承包人提交的竣工结算申请单，并自发包人收到承包人提交的竣工结算申请单后第29天起视为已签发竣工付款证书。</w:t>
      </w:r>
    </w:p>
    <w:p w14:paraId="44ADA6E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57" w:name="_Ref4618006"/>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2）除专用合同条件另有约定外，发包人应在签发竣工付款证书后的14天内，完成对承包人的竣工付款。发包人逾期支付的，按照贷款市场报价利率（LPR）支付违约金。</w:t>
      </w:r>
      <w:bookmarkEnd w:id="557"/>
    </w:p>
    <w:p w14:paraId="5904392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承包人对发包人签认的竣工付款证书有异议的，对于有异议部分应在收到发包人签认的竣工付款证书后7天内提出异议，并由合同当事人按照专用合同条件约定的方式和程序进行复核，或按照第20条[争议解决]约定处理。对于无异议部分，发包人应签发临时竣工付款证书，并按本款第（2）项完成付款。承包人逾期未提出异议的，视为认可发包人的审批结果。</w:t>
      </w:r>
    </w:p>
    <w:p w14:paraId="15578FC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58" w:name="_Ref15484305"/>
      <w:r>
        <w:rPr>
          <w:rFonts w:cs="宋体" w:asciiTheme="minorEastAsia" w:hAnsiTheme="minorEastAsia" w:eastAsiaTheme="minorEastAsia"/>
          <w:color w:val="auto"/>
          <w:szCs w:val="21"/>
          <w:highlight w:val="none"/>
        </w:rPr>
        <w:t xml:space="preserve">14.5.3 </w:t>
      </w:r>
      <w:r>
        <w:rPr>
          <w:rFonts w:hint="eastAsia" w:cs="宋体" w:asciiTheme="minorEastAsia" w:hAnsiTheme="minorEastAsia" w:eastAsiaTheme="minorEastAsia"/>
          <w:color w:val="auto"/>
          <w:szCs w:val="21"/>
          <w:highlight w:val="none"/>
        </w:rPr>
        <w:t>扫尾工作清单</w:t>
      </w:r>
      <w:bookmarkEnd w:id="558"/>
    </w:p>
    <w:p w14:paraId="22CEDD1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经双方协商，部分工作在工程竣工验收后进行的，承包人应当编制扫尾工作清单，扫尾工作清单中应当列明承包人应当完成的扫尾工作的内容及完成时间。</w:t>
      </w:r>
    </w:p>
    <w:p w14:paraId="3D8B182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承包人完成扫尾工作清单中的内容应取得的费用包含在第</w:t>
      </w:r>
      <w:r>
        <w:rPr>
          <w:rFonts w:cs="宋体" w:asciiTheme="minorEastAsia" w:hAnsiTheme="minorEastAsia" w:eastAsiaTheme="minorEastAsia"/>
          <w:color w:val="auto"/>
          <w:szCs w:val="21"/>
          <w:highlight w:val="none"/>
        </w:rPr>
        <w:t>14.5.1项[竣工结算申请]及第14.5.2项[竣工结算审核]中一并结算。</w:t>
      </w:r>
    </w:p>
    <w:p w14:paraId="2A30962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扫尾工作的缺陷责任期按第</w:t>
      </w:r>
      <w:r>
        <w:rPr>
          <w:rFonts w:cs="宋体" w:asciiTheme="minorEastAsia" w:hAnsiTheme="minorEastAsia" w:eastAsiaTheme="minorEastAsia"/>
          <w:color w:val="auto"/>
          <w:szCs w:val="21"/>
          <w:highlight w:val="none"/>
        </w:rPr>
        <w:t>11条[缺陷责任与保修]处理。承包人未能按照扫尾工作清单约定的完成时间完成扫尾工作的，视为承包人原因导致的工程质量缺陷按照第11.3款[缺陷调查]处理。</w:t>
      </w:r>
    </w:p>
    <w:p w14:paraId="13DB9F1A">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559" w:name="_Ref4571100"/>
      <w:bookmarkStart w:id="560" w:name="_Ref15395020"/>
      <w:bookmarkStart w:id="561" w:name="_Ref4582115"/>
      <w:bookmarkStart w:id="562" w:name="_Ref4617592"/>
      <w:bookmarkStart w:id="563" w:name="_Ref4571127"/>
      <w:bookmarkStart w:id="564" w:name="_Toc54862297"/>
      <w:bookmarkStart w:id="565" w:name="_Ref4617582"/>
      <w:bookmarkStart w:id="566" w:name="_Hlk15394931"/>
      <w:r>
        <w:rPr>
          <w:rFonts w:cs="宋体" w:asciiTheme="minorEastAsia" w:hAnsiTheme="minorEastAsia" w:eastAsiaTheme="minorEastAsia"/>
          <w:color w:val="auto"/>
          <w:szCs w:val="21"/>
          <w:highlight w:val="none"/>
        </w:rPr>
        <w:t xml:space="preserve">14.6 </w:t>
      </w:r>
      <w:r>
        <w:rPr>
          <w:rFonts w:hint="eastAsia" w:cs="宋体" w:asciiTheme="minorEastAsia" w:hAnsiTheme="minorEastAsia" w:eastAsiaTheme="minorEastAsia"/>
          <w:color w:val="auto"/>
          <w:szCs w:val="21"/>
          <w:highlight w:val="none"/>
        </w:rPr>
        <w:t>质量保证金</w:t>
      </w:r>
      <w:bookmarkEnd w:id="549"/>
      <w:bookmarkEnd w:id="550"/>
      <w:bookmarkEnd w:id="559"/>
      <w:bookmarkEnd w:id="560"/>
      <w:bookmarkEnd w:id="561"/>
      <w:bookmarkEnd w:id="562"/>
      <w:bookmarkEnd w:id="563"/>
      <w:bookmarkEnd w:id="564"/>
      <w:bookmarkEnd w:id="565"/>
    </w:p>
    <w:p w14:paraId="50E75BF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经合同当事人协商一致提供质量保证金的，应在专用合同条件中予以明确。在工程项目竣工前，承包人已经提供履约担保的，发包人不得同时要求承包人提供质量保证金。</w:t>
      </w:r>
    </w:p>
    <w:bookmarkEnd w:id="566"/>
    <w:p w14:paraId="52A2ECD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67" w:name="_Ref531955069"/>
      <w:bookmarkStart w:id="568" w:name="_Ref531957153"/>
      <w:r>
        <w:rPr>
          <w:rFonts w:cs="宋体" w:asciiTheme="minorEastAsia" w:hAnsiTheme="minorEastAsia" w:eastAsiaTheme="minorEastAsia"/>
          <w:color w:val="auto"/>
          <w:szCs w:val="21"/>
          <w:highlight w:val="none"/>
        </w:rPr>
        <w:t xml:space="preserve">14.6.1 </w:t>
      </w:r>
      <w:r>
        <w:rPr>
          <w:rFonts w:hint="eastAsia" w:cs="宋体" w:asciiTheme="minorEastAsia" w:hAnsiTheme="minorEastAsia" w:eastAsiaTheme="minorEastAsia"/>
          <w:color w:val="auto"/>
          <w:szCs w:val="21"/>
          <w:highlight w:val="none"/>
        </w:rPr>
        <w:t>承包人提供质量保证金的方式</w:t>
      </w:r>
      <w:bookmarkEnd w:id="567"/>
    </w:p>
    <w:p w14:paraId="52082F5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承包人提供质量保证金有以下三种方式：</w:t>
      </w:r>
    </w:p>
    <w:p w14:paraId="270C2A3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69" w:name="_Ref531955096"/>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1）提交工程质量保证担保；</w:t>
      </w:r>
      <w:bookmarkEnd w:id="569"/>
    </w:p>
    <w:p w14:paraId="061FCBD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70" w:name="_Ref531955107"/>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2）预留相应比例的工程款；</w:t>
      </w:r>
      <w:bookmarkEnd w:id="570"/>
    </w:p>
    <w:p w14:paraId="230C7C6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71" w:name="_Ref531955117"/>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3）双方约定的其他方式。</w:t>
      </w:r>
      <w:bookmarkEnd w:id="571"/>
    </w:p>
    <w:p w14:paraId="0296A1A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除专用合同条件另有约定外，质量保证金原则上采用上述第（</w:t>
      </w:r>
      <w:r>
        <w:rPr>
          <w:rFonts w:cs="宋体" w:asciiTheme="minorEastAsia" w:hAnsiTheme="minorEastAsia" w:eastAsiaTheme="minorEastAsia"/>
          <w:color w:val="auto"/>
          <w:szCs w:val="21"/>
          <w:highlight w:val="none"/>
        </w:rPr>
        <w:t>1）种方式，且承包人应在工程竣工验收合格后7天内，向发包人提交工程质量保证担保。承包人提交工程质量保证担保时，发包人应同时返还预留的作为质量保证金的工程价款（如有）。但不论承包人以何种方式提供质量保证金，累计金额均不得高于工程价款结算总额的3%。</w:t>
      </w:r>
    </w:p>
    <w:p w14:paraId="4745DFB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72" w:name="_Ref18931667"/>
      <w:bookmarkStart w:id="573" w:name="_Ref15419738"/>
      <w:r>
        <w:rPr>
          <w:rFonts w:cs="宋体" w:asciiTheme="minorEastAsia" w:hAnsiTheme="minorEastAsia" w:eastAsiaTheme="minorEastAsia"/>
          <w:color w:val="auto"/>
          <w:szCs w:val="21"/>
          <w:highlight w:val="none"/>
        </w:rPr>
        <w:t xml:space="preserve">14.6.2 </w:t>
      </w:r>
      <w:r>
        <w:rPr>
          <w:rFonts w:hint="eastAsia" w:cs="宋体" w:asciiTheme="minorEastAsia" w:hAnsiTheme="minorEastAsia" w:eastAsiaTheme="minorEastAsia"/>
          <w:color w:val="auto"/>
          <w:szCs w:val="21"/>
          <w:highlight w:val="none"/>
        </w:rPr>
        <w:t>质量保证金的预留</w:t>
      </w:r>
      <w:bookmarkEnd w:id="572"/>
      <w:bookmarkEnd w:id="573"/>
    </w:p>
    <w:p w14:paraId="6D110A2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双方约定采用预留相应比例的工程款方式提供质量保证金的，质量保证金的预留有以下三种方式：</w:t>
      </w:r>
    </w:p>
    <w:p w14:paraId="63DFA94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74" w:name="_Hlk18840714"/>
      <w:bookmarkStart w:id="575" w:name="_Ref531955143"/>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1）按专用合同条件的约定在支付工程进度款时逐次预留，直至预留的质量保证金总额达到专用合同条件约定的金额或比例为止</w:t>
      </w:r>
      <w:bookmarkEnd w:id="574"/>
      <w:r>
        <w:rPr>
          <w:rFonts w:hint="eastAsia" w:cs="宋体" w:asciiTheme="minorEastAsia" w:hAnsiTheme="minorEastAsia" w:eastAsiaTheme="minorEastAsia"/>
          <w:color w:val="auto"/>
          <w:szCs w:val="21"/>
          <w:highlight w:val="none"/>
        </w:rPr>
        <w:t>。在此情形下，质量保证金的计算基数不包括预付款的支付、扣回以及价格调整的金额；</w:t>
      </w:r>
      <w:bookmarkEnd w:id="575"/>
    </w:p>
    <w:p w14:paraId="11796F4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76" w:name="_Ref531955151"/>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2）工程竣工结算时一次性预留质量保证金；</w:t>
      </w:r>
      <w:bookmarkEnd w:id="576"/>
    </w:p>
    <w:p w14:paraId="731A329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77" w:name="_Ref531955161"/>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3）双方约定的其他预留方式。</w:t>
      </w:r>
      <w:bookmarkEnd w:id="577"/>
    </w:p>
    <w:p w14:paraId="4FA3243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除专用合同条件另有约定外，质量保证金的预留原则上采用上述第（</w:t>
      </w:r>
      <w:r>
        <w:rPr>
          <w:rFonts w:cs="宋体" w:asciiTheme="minorEastAsia" w:hAnsiTheme="minorEastAsia" w:eastAsiaTheme="minorEastAsia"/>
          <w:color w:val="auto"/>
          <w:szCs w:val="21"/>
          <w:highlight w:val="none"/>
        </w:rPr>
        <w:t>1）种方式。如承包人在发包人签发竣工付款证书后28天内提交工程质量保证担保，发包人应同时返还预留的作为质量保证金的工程价款。发包人在返还本条款项下的质量保证金的同时，按照中国人民银行同期同类存款基准利率支付利息。</w:t>
      </w:r>
    </w:p>
    <w:p w14:paraId="4430046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78" w:name="_Ref532690096"/>
      <w:bookmarkStart w:id="579" w:name="_Ref4571243"/>
      <w:r>
        <w:rPr>
          <w:rFonts w:cs="宋体" w:asciiTheme="minorEastAsia" w:hAnsiTheme="minorEastAsia" w:eastAsiaTheme="minorEastAsia"/>
          <w:color w:val="auto"/>
          <w:szCs w:val="21"/>
          <w:highlight w:val="none"/>
        </w:rPr>
        <w:t xml:space="preserve">14.6.3 </w:t>
      </w:r>
      <w:r>
        <w:rPr>
          <w:rFonts w:hint="eastAsia" w:cs="宋体" w:asciiTheme="minorEastAsia" w:hAnsiTheme="minorEastAsia" w:eastAsiaTheme="minorEastAsia"/>
          <w:color w:val="auto"/>
          <w:szCs w:val="21"/>
          <w:highlight w:val="none"/>
        </w:rPr>
        <w:t>质量保证金的</w:t>
      </w:r>
      <w:bookmarkEnd w:id="578"/>
      <w:r>
        <w:rPr>
          <w:rFonts w:hint="eastAsia" w:cs="宋体" w:asciiTheme="minorEastAsia" w:hAnsiTheme="minorEastAsia" w:eastAsiaTheme="minorEastAsia"/>
          <w:color w:val="auto"/>
          <w:szCs w:val="21"/>
          <w:highlight w:val="none"/>
        </w:rPr>
        <w:t>返还</w:t>
      </w:r>
      <w:bookmarkEnd w:id="579"/>
    </w:p>
    <w:p w14:paraId="6F47EE4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缺陷责任期内，承包人认真履行合同约定的责任，缺陷责任期满，发包人根据第</w:t>
      </w:r>
      <w:r>
        <w:rPr>
          <w:rFonts w:cs="宋体" w:asciiTheme="minorEastAsia" w:hAnsiTheme="minorEastAsia" w:eastAsiaTheme="minorEastAsia"/>
          <w:color w:val="auto"/>
          <w:szCs w:val="21"/>
          <w:highlight w:val="none"/>
        </w:rPr>
        <w:t>11.6款[缺陷责任期终止证书]向承包人颁发缺陷责任期终止证书后，承包人可向发包人申请返还质量保证金。</w:t>
      </w:r>
    </w:p>
    <w:p w14:paraId="6CCC1F1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发包人在接到承包人返还质量保证金申请后，应于</w:t>
      </w:r>
      <w:r>
        <w:rPr>
          <w:rFonts w:cs="宋体" w:asciiTheme="minorEastAsia" w:hAnsiTheme="minorEastAsia" w:eastAsiaTheme="minorEastAsia"/>
          <w:color w:val="auto"/>
          <w:szCs w:val="21"/>
          <w:highlight w:val="none"/>
        </w:rPr>
        <w:t>7天内将质量保证金返还承包人，逾期未返还的，应承担违约责任。发包人在接到承包人返还质量保证金申请后7天内不予答复，视同认可承包人的返还质量保证金申请。</w:t>
      </w:r>
    </w:p>
    <w:p w14:paraId="10FAF0B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发包人和承包人对质量保证金预留、返还以及工程维修质量、费用有争议的，按本合同第</w:t>
      </w:r>
      <w:r>
        <w:rPr>
          <w:rFonts w:cs="宋体" w:asciiTheme="minorEastAsia" w:hAnsiTheme="minorEastAsia" w:eastAsiaTheme="minorEastAsia"/>
          <w:color w:val="auto"/>
          <w:szCs w:val="21"/>
          <w:highlight w:val="none"/>
        </w:rPr>
        <w:t>20条[争议解决]约定的争议和纠纷解决程序处理。</w:t>
      </w:r>
    </w:p>
    <w:bookmarkEnd w:id="568"/>
    <w:p w14:paraId="6DCF53B2">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580" w:name="_Ref531957339"/>
      <w:bookmarkStart w:id="581" w:name="_Toc54862298"/>
      <w:bookmarkStart w:id="582" w:name="_Ref531957341"/>
      <w:r>
        <w:rPr>
          <w:rFonts w:cs="宋体" w:asciiTheme="minorEastAsia" w:hAnsiTheme="minorEastAsia" w:eastAsiaTheme="minorEastAsia"/>
          <w:color w:val="auto"/>
          <w:szCs w:val="21"/>
          <w:highlight w:val="none"/>
        </w:rPr>
        <w:t xml:space="preserve">14.7 </w:t>
      </w:r>
      <w:r>
        <w:rPr>
          <w:rFonts w:hint="eastAsia" w:cs="宋体" w:asciiTheme="minorEastAsia" w:hAnsiTheme="minorEastAsia" w:eastAsiaTheme="minorEastAsia"/>
          <w:color w:val="auto"/>
          <w:szCs w:val="21"/>
          <w:highlight w:val="none"/>
        </w:rPr>
        <w:t>最终结清</w:t>
      </w:r>
      <w:bookmarkEnd w:id="580"/>
      <w:bookmarkEnd w:id="581"/>
      <w:bookmarkEnd w:id="582"/>
    </w:p>
    <w:p w14:paraId="407E706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83" w:name="_Ref531957350"/>
      <w:r>
        <w:rPr>
          <w:rFonts w:cs="宋体" w:asciiTheme="minorEastAsia" w:hAnsiTheme="minorEastAsia" w:eastAsiaTheme="minorEastAsia"/>
          <w:color w:val="auto"/>
          <w:szCs w:val="21"/>
          <w:highlight w:val="none"/>
        </w:rPr>
        <w:t xml:space="preserve">14.7.1 </w:t>
      </w:r>
      <w:r>
        <w:rPr>
          <w:rFonts w:hint="eastAsia" w:cs="宋体" w:asciiTheme="minorEastAsia" w:hAnsiTheme="minorEastAsia" w:eastAsiaTheme="minorEastAsia"/>
          <w:color w:val="auto"/>
          <w:szCs w:val="21"/>
          <w:highlight w:val="none"/>
        </w:rPr>
        <w:t>最终结清申请</w:t>
      </w:r>
      <w:bookmarkEnd w:id="583"/>
      <w:r>
        <w:rPr>
          <w:rFonts w:hint="eastAsia" w:cs="宋体" w:asciiTheme="minorEastAsia" w:hAnsiTheme="minorEastAsia" w:eastAsiaTheme="minorEastAsia"/>
          <w:color w:val="auto"/>
          <w:szCs w:val="21"/>
          <w:highlight w:val="none"/>
        </w:rPr>
        <w:t>单</w:t>
      </w:r>
    </w:p>
    <w:p w14:paraId="0A62D76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1）除专用合同条件另有约定外，承包人应在缺陷责任期终止证书颁发后7天内，按专用合同条件约定的份数向发包人提交最终结清申请单，并提供相关证明材料。</w:t>
      </w:r>
    </w:p>
    <w:p w14:paraId="3066B08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除专用合同条件另有约定外，最终结清申请单应列明质量保证金、应扣除的质量保证金、缺陷责任期内发生的增减费用。</w:t>
      </w:r>
    </w:p>
    <w:p w14:paraId="235FDA1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2）发包人对最终结清申请单内容有异议的，有权要求承包人进行修正和提供补充资料，承包人应向发包人提交修正后的最终结清申请单。</w:t>
      </w:r>
    </w:p>
    <w:p w14:paraId="6650550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84" w:name="_Ref531957369"/>
      <w:bookmarkStart w:id="585" w:name="_Ref4624099"/>
      <w:r>
        <w:rPr>
          <w:rFonts w:cs="宋体" w:asciiTheme="minorEastAsia" w:hAnsiTheme="minorEastAsia" w:eastAsiaTheme="minorEastAsia"/>
          <w:color w:val="auto"/>
          <w:szCs w:val="21"/>
          <w:highlight w:val="none"/>
        </w:rPr>
        <w:t xml:space="preserve">14.7.2 </w:t>
      </w:r>
      <w:r>
        <w:rPr>
          <w:rFonts w:hint="eastAsia" w:cs="宋体" w:asciiTheme="minorEastAsia" w:hAnsiTheme="minorEastAsia" w:eastAsiaTheme="minorEastAsia"/>
          <w:color w:val="auto"/>
          <w:szCs w:val="21"/>
          <w:highlight w:val="none"/>
        </w:rPr>
        <w:t>最终结清证书</w:t>
      </w:r>
      <w:bookmarkEnd w:id="584"/>
      <w:r>
        <w:rPr>
          <w:rFonts w:hint="eastAsia" w:cs="宋体" w:asciiTheme="minorEastAsia" w:hAnsiTheme="minorEastAsia" w:eastAsiaTheme="minorEastAsia"/>
          <w:color w:val="auto"/>
          <w:szCs w:val="21"/>
          <w:highlight w:val="none"/>
        </w:rPr>
        <w:t>和支付</w:t>
      </w:r>
      <w:bookmarkEnd w:id="585"/>
    </w:p>
    <w:p w14:paraId="5BD368E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除专用合同条件另有约定外，发包人应在收到承包人提交的最终结清申请单后14天内完成审批并向承包人颁发最终结清证书。发包人逾期未完成审批，又未提出修改意见的，视为发包人同意承包人提交的最终结清申请单，且自发包人收到承包人提交的最终结清申请单后15天起视为已颁发最终结清证书。</w:t>
      </w:r>
    </w:p>
    <w:p w14:paraId="48C5671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2）除专用合同条件另有约定外，发包人应在颁发最终结清证书后7天内完成支付。发包人逾期支付的，按照贷款市场报价利率（LPR）支付利息。</w:t>
      </w:r>
    </w:p>
    <w:p w14:paraId="6FEC27A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3）承包人对发包人颁发的最终结清证书有异议的，按第20条[争议解决]的约定办理。</w:t>
      </w:r>
    </w:p>
    <w:p w14:paraId="44CB7743">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586" w:name="_Ref11920396"/>
      <w:bookmarkStart w:id="587" w:name="_Ref11874957"/>
      <w:bookmarkStart w:id="588" w:name="_Ref11920407"/>
      <w:bookmarkStart w:id="589" w:name="_Toc54862299"/>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15条 </w:t>
      </w:r>
      <w:r>
        <w:rPr>
          <w:rFonts w:hint="eastAsia" w:cs="宋体" w:asciiTheme="minorEastAsia" w:hAnsiTheme="minorEastAsia" w:eastAsiaTheme="minorEastAsia"/>
          <w:b/>
          <w:color w:val="auto"/>
          <w:szCs w:val="21"/>
          <w:highlight w:val="none"/>
        </w:rPr>
        <w:t>违约</w:t>
      </w:r>
      <w:bookmarkEnd w:id="444"/>
      <w:bookmarkEnd w:id="448"/>
      <w:bookmarkEnd w:id="449"/>
      <w:bookmarkEnd w:id="586"/>
      <w:bookmarkEnd w:id="587"/>
      <w:bookmarkEnd w:id="588"/>
      <w:bookmarkEnd w:id="589"/>
    </w:p>
    <w:p w14:paraId="09238B19">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590" w:name="_Ref4534399"/>
      <w:bookmarkStart w:id="591" w:name="_Ref4534376"/>
      <w:bookmarkStart w:id="592" w:name="_Ref4534384"/>
      <w:bookmarkStart w:id="593" w:name="_Toc54862300"/>
      <w:bookmarkStart w:id="594" w:name="_Ref4534411"/>
      <w:r>
        <w:rPr>
          <w:rFonts w:cs="宋体" w:asciiTheme="minorEastAsia" w:hAnsiTheme="minorEastAsia" w:eastAsiaTheme="minorEastAsia"/>
          <w:color w:val="auto"/>
          <w:szCs w:val="21"/>
          <w:highlight w:val="none"/>
        </w:rPr>
        <w:t xml:space="preserve">15.1 </w:t>
      </w:r>
      <w:r>
        <w:rPr>
          <w:rFonts w:hint="eastAsia" w:cs="宋体" w:asciiTheme="minorEastAsia" w:hAnsiTheme="minorEastAsia" w:eastAsiaTheme="minorEastAsia"/>
          <w:color w:val="auto"/>
          <w:szCs w:val="21"/>
          <w:highlight w:val="none"/>
        </w:rPr>
        <w:t>发包人违约</w:t>
      </w:r>
      <w:bookmarkEnd w:id="590"/>
      <w:bookmarkEnd w:id="591"/>
      <w:bookmarkEnd w:id="592"/>
      <w:bookmarkEnd w:id="593"/>
      <w:bookmarkEnd w:id="594"/>
    </w:p>
    <w:p w14:paraId="64FD03C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95" w:name="_Ref3841087"/>
      <w:r>
        <w:rPr>
          <w:rFonts w:cs="宋体" w:asciiTheme="minorEastAsia" w:hAnsiTheme="minorEastAsia" w:eastAsiaTheme="minorEastAsia"/>
          <w:color w:val="auto"/>
          <w:szCs w:val="21"/>
          <w:highlight w:val="none"/>
        </w:rPr>
        <w:t xml:space="preserve">15.1.1 </w:t>
      </w:r>
      <w:r>
        <w:rPr>
          <w:rFonts w:hint="eastAsia" w:cs="宋体" w:asciiTheme="minorEastAsia" w:hAnsiTheme="minorEastAsia" w:eastAsiaTheme="minorEastAsia"/>
          <w:color w:val="auto"/>
          <w:szCs w:val="21"/>
          <w:highlight w:val="none"/>
        </w:rPr>
        <w:t>发包人违约的情形</w:t>
      </w:r>
      <w:bookmarkEnd w:id="595"/>
    </w:p>
    <w:p w14:paraId="642C0FD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除专用合同条件另有约定外，在合同履行过程中发生的下列情形，属于发包人违约：</w:t>
      </w:r>
    </w:p>
    <w:p w14:paraId="5999EE4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1）因发包人原因导致开始工作日期延误的；</w:t>
      </w:r>
    </w:p>
    <w:p w14:paraId="76F3904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2）因发包人原因未能按合同约定支付合同价款的；</w:t>
      </w:r>
    </w:p>
    <w:p w14:paraId="02D11E9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3）发包人违反第13.1.1项约定，自行实施被取消的工作或转由他人实施的；</w:t>
      </w:r>
    </w:p>
    <w:p w14:paraId="7181254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4）因发包人违反合同约定造成工程暂停施工的；</w:t>
      </w:r>
    </w:p>
    <w:p w14:paraId="469BC8F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5）工程师无正当理由没有在约定期限内发出复工指示，导致承包人无法复工的；</w:t>
      </w:r>
    </w:p>
    <w:p w14:paraId="5FCA124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6）发包人明确表示或者以其行为表明不履行合同主要义务的；</w:t>
      </w:r>
    </w:p>
    <w:p w14:paraId="5F273E3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7）发包人未能按照合同约定履行其他义务的。</w:t>
      </w:r>
    </w:p>
    <w:p w14:paraId="644EFE8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96" w:name="_Ref4535692"/>
      <w:r>
        <w:rPr>
          <w:rFonts w:cs="宋体" w:asciiTheme="minorEastAsia" w:hAnsiTheme="minorEastAsia" w:eastAsiaTheme="minorEastAsia"/>
          <w:color w:val="auto"/>
          <w:szCs w:val="21"/>
          <w:highlight w:val="none"/>
        </w:rPr>
        <w:t xml:space="preserve">15.1.2 </w:t>
      </w:r>
      <w:r>
        <w:rPr>
          <w:rFonts w:hint="eastAsia" w:cs="宋体" w:asciiTheme="minorEastAsia" w:hAnsiTheme="minorEastAsia" w:eastAsiaTheme="minorEastAsia"/>
          <w:color w:val="auto"/>
          <w:szCs w:val="21"/>
          <w:highlight w:val="none"/>
        </w:rPr>
        <w:t>通知改正</w:t>
      </w:r>
      <w:bookmarkEnd w:id="596"/>
    </w:p>
    <w:p w14:paraId="669B709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97" w:name="_Hlk16248297"/>
      <w:r>
        <w:rPr>
          <w:rFonts w:hint="eastAsia" w:cs="宋体" w:asciiTheme="minorEastAsia" w:hAnsiTheme="minorEastAsia" w:eastAsiaTheme="minorEastAsia"/>
          <w:color w:val="auto"/>
          <w:szCs w:val="21"/>
          <w:highlight w:val="none"/>
        </w:rPr>
        <w:t>发包人发生除第</w:t>
      </w:r>
      <w:r>
        <w:rPr>
          <w:rFonts w:cs="宋体" w:asciiTheme="minorEastAsia" w:hAnsiTheme="minorEastAsia" w:eastAsiaTheme="minorEastAsia"/>
          <w:color w:val="auto"/>
          <w:szCs w:val="21"/>
          <w:highlight w:val="none"/>
        </w:rPr>
        <w:t>15.1.1项第(6)目以外的违约情况时，承包人可向发包人发出通知，要求发包人采取有效措施纠正违约行为。发包人收到承包人通知后28天内仍不纠正违约行为的，承包人有权暂停相应部位工程实施，并通知工程师。</w:t>
      </w:r>
      <w:bookmarkEnd w:id="597"/>
    </w:p>
    <w:p w14:paraId="3A22D02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98" w:name="_Ref3841132"/>
      <w:r>
        <w:rPr>
          <w:rFonts w:cs="宋体" w:asciiTheme="minorEastAsia" w:hAnsiTheme="minorEastAsia" w:eastAsiaTheme="minorEastAsia"/>
          <w:color w:val="auto"/>
          <w:szCs w:val="21"/>
          <w:highlight w:val="none"/>
        </w:rPr>
        <w:t xml:space="preserve">15.1.3 </w:t>
      </w:r>
      <w:r>
        <w:rPr>
          <w:rFonts w:hint="eastAsia" w:cs="宋体" w:asciiTheme="minorEastAsia" w:hAnsiTheme="minorEastAsia" w:eastAsiaTheme="minorEastAsia"/>
          <w:color w:val="auto"/>
          <w:szCs w:val="21"/>
          <w:highlight w:val="none"/>
        </w:rPr>
        <w:t>发包人违约的责任</w:t>
      </w:r>
      <w:bookmarkEnd w:id="598"/>
    </w:p>
    <w:p w14:paraId="2CFCC04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599" w:name="_Hlk16247984"/>
      <w:r>
        <w:rPr>
          <w:rFonts w:hint="eastAsia" w:cs="宋体" w:asciiTheme="minorEastAsia" w:hAnsiTheme="minorEastAsia" w:eastAsiaTheme="minorEastAsia"/>
          <w:color w:val="auto"/>
          <w:szCs w:val="21"/>
          <w:highlight w:val="none"/>
        </w:rPr>
        <w:t>发包人应承担因其违约给承包人增加的费用和（或）延误的工期，并支付承包人合理的利润。此外，合同当事人可在专用合同条件中另行约定发包人违约责任的承担方式和计算方法。</w:t>
      </w:r>
      <w:bookmarkEnd w:id="599"/>
    </w:p>
    <w:p w14:paraId="1F34FE96">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00" w:name="_Toc54862301"/>
      <w:bookmarkStart w:id="601" w:name="_Ref11958660"/>
      <w:bookmarkStart w:id="602" w:name="_Ref11958663"/>
      <w:r>
        <w:rPr>
          <w:rFonts w:cs="宋体" w:asciiTheme="minorEastAsia" w:hAnsiTheme="minorEastAsia" w:eastAsiaTheme="minorEastAsia"/>
          <w:color w:val="auto"/>
          <w:szCs w:val="21"/>
          <w:highlight w:val="none"/>
        </w:rPr>
        <w:t xml:space="preserve">15.2 </w:t>
      </w:r>
      <w:r>
        <w:rPr>
          <w:rFonts w:hint="eastAsia" w:cs="宋体" w:asciiTheme="minorEastAsia" w:hAnsiTheme="minorEastAsia" w:eastAsiaTheme="minorEastAsia"/>
          <w:color w:val="auto"/>
          <w:szCs w:val="21"/>
          <w:highlight w:val="none"/>
        </w:rPr>
        <w:t>承包人违约</w:t>
      </w:r>
      <w:bookmarkEnd w:id="600"/>
      <w:bookmarkEnd w:id="601"/>
      <w:bookmarkEnd w:id="602"/>
    </w:p>
    <w:p w14:paraId="23E7F95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03" w:name="_Ref3841153"/>
      <w:r>
        <w:rPr>
          <w:rFonts w:cs="宋体" w:asciiTheme="minorEastAsia" w:hAnsiTheme="minorEastAsia" w:eastAsiaTheme="minorEastAsia"/>
          <w:color w:val="auto"/>
          <w:szCs w:val="21"/>
          <w:highlight w:val="none"/>
        </w:rPr>
        <w:t xml:space="preserve">15.2.1 </w:t>
      </w:r>
      <w:r>
        <w:rPr>
          <w:rFonts w:hint="eastAsia" w:cs="宋体" w:asciiTheme="minorEastAsia" w:hAnsiTheme="minorEastAsia" w:eastAsiaTheme="minorEastAsia"/>
          <w:color w:val="auto"/>
          <w:szCs w:val="21"/>
          <w:highlight w:val="none"/>
        </w:rPr>
        <w:t>承包人违约的情形</w:t>
      </w:r>
      <w:bookmarkEnd w:id="603"/>
    </w:p>
    <w:p w14:paraId="42C1520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除专用合同条件另有约定外，在履行合同过程中发生的下列情况之一的，属于承包人违约：</w:t>
      </w:r>
    </w:p>
    <w:p w14:paraId="1F4FBB0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1）承包人的原因导致的承包人文件、实施和竣工的工程不符合法律法规、工程质量验收标准以及合同约定；</w:t>
      </w:r>
    </w:p>
    <w:p w14:paraId="67F1161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2）承包人违反合同约定进行转包或违法分包的；</w:t>
      </w:r>
    </w:p>
    <w:p w14:paraId="11DBF81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3）承包人违反约定采购和使用不合格材料或工程设备；</w:t>
      </w:r>
    </w:p>
    <w:p w14:paraId="5E12A96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4）因承包人原因导致工程质量不符合合同要求的；</w:t>
      </w:r>
    </w:p>
    <w:p w14:paraId="59F4263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5）承包人未经工程师批准，擅自将已按合同约定进入施工现场的施工设备、临时设施或材料撤离施工现场；</w:t>
      </w:r>
    </w:p>
    <w:p w14:paraId="6665F11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6）承包人未能按项目进度计划及时完成合同约定的工作，造成工期延误；</w:t>
      </w:r>
    </w:p>
    <w:p w14:paraId="2E3C622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7）由于承包人原因未能通过竣工试验或竣工后试验的；</w:t>
      </w:r>
    </w:p>
    <w:p w14:paraId="5475085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8）承包人在缺陷责任期及缺陷责任期内，未能在合理期限对工程缺陷进行修复，或拒绝按发包人指示进行修复的；</w:t>
      </w:r>
    </w:p>
    <w:p w14:paraId="27B86AA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9）承包人明确表示或者以其行为表明不履行合同主要义务的；</w:t>
      </w:r>
    </w:p>
    <w:p w14:paraId="798679B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10）承包人未能按照合同约定履行其他义务的。</w:t>
      </w:r>
    </w:p>
    <w:p w14:paraId="49E1F2E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04" w:name="_Ref531958512"/>
      <w:r>
        <w:rPr>
          <w:rFonts w:cs="宋体" w:asciiTheme="minorEastAsia" w:hAnsiTheme="minorEastAsia" w:eastAsiaTheme="minorEastAsia"/>
          <w:color w:val="auto"/>
          <w:szCs w:val="21"/>
          <w:highlight w:val="none"/>
        </w:rPr>
        <w:t xml:space="preserve">15.2.2 </w:t>
      </w:r>
      <w:r>
        <w:rPr>
          <w:rFonts w:hint="eastAsia" w:cs="宋体" w:asciiTheme="minorEastAsia" w:hAnsiTheme="minorEastAsia" w:eastAsiaTheme="minorEastAsia"/>
          <w:color w:val="auto"/>
          <w:szCs w:val="21"/>
          <w:highlight w:val="none"/>
        </w:rPr>
        <w:t>通知改正</w:t>
      </w:r>
      <w:bookmarkEnd w:id="604"/>
    </w:p>
    <w:p w14:paraId="7599680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承包人发生除第</w:t>
      </w:r>
      <w:r>
        <w:rPr>
          <w:rFonts w:cs="宋体" w:asciiTheme="minorEastAsia" w:hAnsiTheme="minorEastAsia" w:eastAsiaTheme="minorEastAsia"/>
          <w:color w:val="auto"/>
          <w:szCs w:val="21"/>
          <w:highlight w:val="none"/>
        </w:rPr>
        <w:t>15.2.1项第(7)目、第(9)目约定以外的其他违约情况时，工程师可在专用合同条件约定的合理期限内向承包人发出整改通知，要求其在指定的期限内改正。</w:t>
      </w:r>
    </w:p>
    <w:p w14:paraId="2508581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05" w:name="_Ref3841166"/>
      <w:r>
        <w:rPr>
          <w:rFonts w:cs="宋体" w:asciiTheme="minorEastAsia" w:hAnsiTheme="minorEastAsia" w:eastAsiaTheme="minorEastAsia"/>
          <w:color w:val="auto"/>
          <w:szCs w:val="21"/>
          <w:highlight w:val="none"/>
        </w:rPr>
        <w:t xml:space="preserve">15.2.3 </w:t>
      </w:r>
      <w:r>
        <w:rPr>
          <w:rFonts w:hint="eastAsia" w:cs="宋体" w:asciiTheme="minorEastAsia" w:hAnsiTheme="minorEastAsia" w:eastAsiaTheme="minorEastAsia"/>
          <w:color w:val="auto"/>
          <w:szCs w:val="21"/>
          <w:highlight w:val="none"/>
        </w:rPr>
        <w:t>承包人违约的责任</w:t>
      </w:r>
      <w:bookmarkEnd w:id="605"/>
    </w:p>
    <w:p w14:paraId="6692CD0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承包人应承担因其违约行为而增加的费用和（或）延误的工期。此外，合同当事人可在专用合同条件中另行约定承包人违约责任的承担方式和计算方法。</w:t>
      </w:r>
    </w:p>
    <w:p w14:paraId="49E2E8FA">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06" w:name="_Toc54862302"/>
      <w:r>
        <w:rPr>
          <w:rFonts w:cs="宋体" w:asciiTheme="minorEastAsia" w:hAnsiTheme="minorEastAsia" w:eastAsiaTheme="minorEastAsia"/>
          <w:color w:val="auto"/>
          <w:szCs w:val="21"/>
          <w:highlight w:val="none"/>
        </w:rPr>
        <w:t xml:space="preserve">15.3 </w:t>
      </w:r>
      <w:r>
        <w:rPr>
          <w:rFonts w:hint="eastAsia" w:cs="宋体" w:asciiTheme="minorEastAsia" w:hAnsiTheme="minorEastAsia" w:eastAsiaTheme="minorEastAsia"/>
          <w:color w:val="auto"/>
          <w:szCs w:val="21"/>
          <w:highlight w:val="none"/>
        </w:rPr>
        <w:t>第三人造成的违约</w:t>
      </w:r>
      <w:bookmarkEnd w:id="606"/>
    </w:p>
    <w:p w14:paraId="6F83526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在履行合同过程中，一方当事人因第三人的原因造成违约的，应当向对方当事人承担违约责任。一方当事人和第三人之间的纠纷，依照法律规定或者按照约定解决。</w:t>
      </w:r>
    </w:p>
    <w:p w14:paraId="02650C23">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607" w:name="_Ref4510572"/>
      <w:bookmarkStart w:id="608" w:name="_Toc54862303"/>
      <w:bookmarkStart w:id="609" w:name="_Ref3840457"/>
      <w:bookmarkStart w:id="610" w:name="_Ref532142069"/>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16条 </w:t>
      </w:r>
      <w:r>
        <w:rPr>
          <w:rFonts w:hint="eastAsia" w:cs="宋体" w:asciiTheme="minorEastAsia" w:hAnsiTheme="minorEastAsia" w:eastAsiaTheme="minorEastAsia"/>
          <w:b/>
          <w:color w:val="auto"/>
          <w:szCs w:val="21"/>
          <w:highlight w:val="none"/>
        </w:rPr>
        <w:t>合同解除</w:t>
      </w:r>
      <w:bookmarkEnd w:id="607"/>
      <w:bookmarkEnd w:id="608"/>
    </w:p>
    <w:p w14:paraId="26A43A6E">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11" w:name="_Ref531958499"/>
      <w:bookmarkStart w:id="612" w:name="_Toc54862304"/>
      <w:bookmarkStart w:id="613" w:name="_Ref531958502"/>
      <w:r>
        <w:rPr>
          <w:rFonts w:cs="宋体" w:asciiTheme="minorEastAsia" w:hAnsiTheme="minorEastAsia" w:eastAsiaTheme="minorEastAsia"/>
          <w:color w:val="auto"/>
          <w:szCs w:val="21"/>
          <w:highlight w:val="none"/>
        </w:rPr>
        <w:t xml:space="preserve">16.1 </w:t>
      </w:r>
      <w:r>
        <w:rPr>
          <w:rFonts w:hint="eastAsia" w:cs="宋体" w:asciiTheme="minorEastAsia" w:hAnsiTheme="minorEastAsia" w:eastAsiaTheme="minorEastAsia"/>
          <w:color w:val="auto"/>
          <w:szCs w:val="21"/>
          <w:highlight w:val="none"/>
        </w:rPr>
        <w:t>由发包人解除合同</w:t>
      </w:r>
      <w:bookmarkEnd w:id="611"/>
      <w:bookmarkEnd w:id="612"/>
      <w:bookmarkEnd w:id="613"/>
    </w:p>
    <w:p w14:paraId="74F1F0A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14" w:name="_Ref4535422"/>
      <w:r>
        <w:rPr>
          <w:rFonts w:cs="宋体" w:asciiTheme="minorEastAsia" w:hAnsiTheme="minorEastAsia" w:eastAsiaTheme="minorEastAsia"/>
          <w:color w:val="auto"/>
          <w:szCs w:val="21"/>
          <w:highlight w:val="none"/>
        </w:rPr>
        <w:t xml:space="preserve">16.1.1 </w:t>
      </w:r>
      <w:r>
        <w:rPr>
          <w:rFonts w:hint="eastAsia" w:cs="宋体" w:asciiTheme="minorEastAsia" w:hAnsiTheme="minorEastAsia" w:eastAsiaTheme="minorEastAsia"/>
          <w:color w:val="auto"/>
          <w:szCs w:val="21"/>
          <w:highlight w:val="none"/>
        </w:rPr>
        <w:t>因承包人违约解除合同</w:t>
      </w:r>
      <w:bookmarkEnd w:id="614"/>
    </w:p>
    <w:p w14:paraId="430A158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除专用合同条件另有约定外，发包人有权基于下列原因，以书面形式通知承包人解除合同，解除通知中应注明是根据第</w:t>
      </w:r>
      <w:r>
        <w:rPr>
          <w:rFonts w:cs="宋体" w:asciiTheme="minorEastAsia" w:hAnsiTheme="minorEastAsia" w:eastAsiaTheme="minorEastAsia"/>
          <w:color w:val="auto"/>
          <w:szCs w:val="21"/>
          <w:highlight w:val="none"/>
        </w:rPr>
        <w:t>16.1.1项发出的，发包人应在发出正式解除合同通知14天前告知承包人其解除合同意向，除非承包人在收到该解除合同意向通知后14天内采取了补救措施，否则发包人可向承包人发出正式解除合同通知立即解除合同。解除日期应为承包人收到正式解除合同通知的日期，但在第(5)目的情况下，发包人无须提前告知承包人其解除合同意向，可直接发出正式解除合同通知立即解除合同：</w:t>
      </w:r>
    </w:p>
    <w:p w14:paraId="223CFA4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15" w:name="_Ref531958536"/>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1）承包人未能遵守第4.2款</w:t>
      </w:r>
      <w:bookmarkStart w:id="616" w:name="_Hlk18839947"/>
      <w:r>
        <w:rPr>
          <w:rFonts w:cs="宋体" w:asciiTheme="minorEastAsia" w:hAnsiTheme="minorEastAsia" w:eastAsiaTheme="minorEastAsia"/>
          <w:color w:val="auto"/>
          <w:szCs w:val="21"/>
          <w:highlight w:val="none"/>
        </w:rPr>
        <w:t>[履约担保]</w:t>
      </w:r>
      <w:bookmarkEnd w:id="616"/>
      <w:r>
        <w:rPr>
          <w:rFonts w:hint="eastAsia" w:cs="宋体" w:asciiTheme="minorEastAsia" w:hAnsiTheme="minorEastAsia" w:eastAsiaTheme="minorEastAsia"/>
          <w:color w:val="auto"/>
          <w:szCs w:val="21"/>
          <w:highlight w:val="none"/>
        </w:rPr>
        <w:t>的约定；</w:t>
      </w:r>
    </w:p>
    <w:p w14:paraId="7642143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2）承包人未能遵守第4.5款[分包]有关分包和转包的约定；</w:t>
      </w:r>
    </w:p>
    <w:p w14:paraId="04650D0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3）承包人实际进度明显落后于进度计划，并且未按发包人的指令采取措施并修正进度计划；</w:t>
      </w:r>
    </w:p>
    <w:p w14:paraId="77A2A38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4）工程质量有严重缺陷，承包人无正当理由使修复开始日期拖延达28天以上；</w:t>
      </w:r>
    </w:p>
    <w:p w14:paraId="2FCFBF6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承包人破产、停业清理或进入清算程序，或情况表明承包人将进入破产和（或）清算程序，已有对其财产的接管令或管理令，与债权人达成和解，或为其债权人的利益在财产接管人、受托人或管理人的监督下营业，或采取了任何行动或发生任何事件（根据有关适用法律）具有与前述行动或事件相似的效果；</w:t>
      </w:r>
    </w:p>
    <w:p w14:paraId="0F2735C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6）承包人明确表示或以自己的行为表明不履行合同、或经发包人以书面形式通知其履约后仍未能依约履行合同、或以不适当的方式履行合同；</w:t>
      </w:r>
    </w:p>
    <w:p w14:paraId="570489C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7）未能通过的竣工试验、未能通过的竣工后试验，使工程的任何部分和（或）整个工程丧失了主要使用功能、生产功能；</w:t>
      </w:r>
    </w:p>
    <w:p w14:paraId="22CB0FA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8）因承包人的原因暂停工作超过56天且暂停影响到整个工程，或因承包人的原因暂停工作超过182天；</w:t>
      </w:r>
    </w:p>
    <w:p w14:paraId="0D7006B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9）承包人未能遵守第8.2款[竣工日期]规定，延误超过182天；</w:t>
      </w:r>
    </w:p>
    <w:p w14:paraId="3101B9C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10）工程师根据第15.2.2项[通知改正]发出整改通知后，承包人在指定的合理期限内仍不纠正违约行为并致使合同目的不能实现的。</w:t>
      </w:r>
    </w:p>
    <w:bookmarkEnd w:id="615"/>
    <w:p w14:paraId="58E73D7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17" w:name="_Ref3841839"/>
      <w:bookmarkStart w:id="618" w:name="_Ref4624315"/>
      <w:r>
        <w:rPr>
          <w:rFonts w:cs="宋体" w:asciiTheme="minorEastAsia" w:hAnsiTheme="minorEastAsia" w:eastAsiaTheme="minorEastAsia"/>
          <w:color w:val="auto"/>
          <w:szCs w:val="21"/>
          <w:highlight w:val="none"/>
        </w:rPr>
        <w:t xml:space="preserve">16.1.2 </w:t>
      </w:r>
      <w:r>
        <w:rPr>
          <w:rFonts w:hint="eastAsia" w:cs="宋体" w:asciiTheme="minorEastAsia" w:hAnsiTheme="minorEastAsia" w:eastAsiaTheme="minorEastAsia"/>
          <w:color w:val="auto"/>
          <w:szCs w:val="21"/>
          <w:highlight w:val="none"/>
        </w:rPr>
        <w:t>因承包人违约解除合同后</w:t>
      </w:r>
      <w:bookmarkEnd w:id="617"/>
      <w:r>
        <w:rPr>
          <w:rFonts w:hint="eastAsia" w:cs="宋体" w:asciiTheme="minorEastAsia" w:hAnsiTheme="minorEastAsia" w:eastAsiaTheme="minorEastAsia"/>
          <w:color w:val="auto"/>
          <w:szCs w:val="21"/>
          <w:highlight w:val="none"/>
        </w:rPr>
        <w:t>承包人的义务</w:t>
      </w:r>
      <w:bookmarkEnd w:id="618"/>
    </w:p>
    <w:p w14:paraId="5913E6D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合同解除后，承包人应按以下约定执行：</w:t>
      </w:r>
    </w:p>
    <w:p w14:paraId="396B31B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1）除了为保护生命、财产或工程安全、清理和必须执行的工作外，停止执行所有被通知解除的工作，并将相关人员撤离现场；</w:t>
      </w:r>
    </w:p>
    <w:p w14:paraId="5519859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2）经发包人批准，承包人应将与被解除合同相关的和正在执行的分包合同及相关的责任和义务转让至发包人和（或）发包人指定方的名下，包括永久性工程及工程物资，以及相关工作；</w:t>
      </w:r>
    </w:p>
    <w:p w14:paraId="7E557D7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3）移交已完成的永久性工程及负责已运抵现场的工程物资。在移交前，妥善做好己完工程和已运抵现场的工程物资的保管、维护和保养；</w:t>
      </w:r>
    </w:p>
    <w:p w14:paraId="127F3DC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4）将发包人提供的所有信息及承包人为本工程编制的设计文件、技术资料及其它文件移交给发包人。在承包人留有的资料文件中，销毁与发包人提供的所有信息相关的数据及资料的备份；</w:t>
      </w:r>
    </w:p>
    <w:p w14:paraId="51A2760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5）移交相应实施阶段已经付款的并已完成的和尚待完成的设计文件、图纸、资料、操作维修手册、施工组织设计、质检资料、竣工资料等；</w:t>
      </w:r>
    </w:p>
    <w:p w14:paraId="1BE408E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16.1.3 </w:t>
      </w:r>
      <w:r>
        <w:rPr>
          <w:rFonts w:hint="eastAsia" w:cs="宋体" w:asciiTheme="minorEastAsia" w:hAnsiTheme="minorEastAsia" w:eastAsiaTheme="minorEastAsia"/>
          <w:color w:val="auto"/>
          <w:szCs w:val="21"/>
          <w:highlight w:val="none"/>
        </w:rPr>
        <w:t>因承包人违约解除合同后的估价、付款和结算</w:t>
      </w:r>
    </w:p>
    <w:p w14:paraId="38EE663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因承包人原因导致合同解除的，则合同当事人应在合同解除后</w:t>
      </w:r>
      <w:r>
        <w:rPr>
          <w:rFonts w:cs="宋体" w:asciiTheme="minorEastAsia" w:hAnsiTheme="minorEastAsia" w:eastAsiaTheme="minorEastAsia"/>
          <w:color w:val="auto"/>
          <w:szCs w:val="21"/>
          <w:highlight w:val="none"/>
        </w:rPr>
        <w:t>28天内完成估价、付款和清算，并按以下约定执行：</w:t>
      </w:r>
    </w:p>
    <w:p w14:paraId="2FD6649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1）合同解除后，按第3.6款[商定或确定]商定或确定承包人实际完成工作对应的合同价款，以及承包人已提供的材料、工程设备、施工设备和临时工程等的价值；</w:t>
      </w:r>
    </w:p>
    <w:p w14:paraId="6471E8E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2）合同解除后，承包人应支付的违约金；</w:t>
      </w:r>
    </w:p>
    <w:p w14:paraId="182328C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3）合同解除后，因解除合同给发包人造成的损失；</w:t>
      </w:r>
    </w:p>
    <w:p w14:paraId="0929161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4）合同解除后，承包人应按照发包人的指示完成现场的清理和撤离；</w:t>
      </w:r>
    </w:p>
    <w:p w14:paraId="5A35752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5）发包人和承包人应在合同解除后进行清算，出具最终结清付款证书，结清全部款项。</w:t>
      </w:r>
    </w:p>
    <w:p w14:paraId="06B7C50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因承包人违约解除合同的，发包人有权暂停对承包人的付款，查清各项付款和已扣款项，发包人和承包人未能就合同解除后的清算和款项支付达成一致的，按照第</w:t>
      </w:r>
      <w:r>
        <w:rPr>
          <w:rFonts w:cs="宋体" w:asciiTheme="minorEastAsia" w:hAnsiTheme="minorEastAsia" w:eastAsiaTheme="minorEastAsia"/>
          <w:color w:val="auto"/>
          <w:szCs w:val="21"/>
          <w:highlight w:val="none"/>
        </w:rPr>
        <w:t>20条[争议解决]的约定处理。</w:t>
      </w:r>
    </w:p>
    <w:p w14:paraId="3FCF779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16.1.4 </w:t>
      </w:r>
      <w:r>
        <w:rPr>
          <w:rFonts w:hint="eastAsia" w:cs="宋体" w:asciiTheme="minorEastAsia" w:hAnsiTheme="minorEastAsia" w:eastAsiaTheme="minorEastAsia"/>
          <w:color w:val="auto"/>
          <w:szCs w:val="21"/>
          <w:highlight w:val="none"/>
        </w:rPr>
        <w:t>因承包人违约解除合同的合同权益转让</w:t>
      </w:r>
    </w:p>
    <w:p w14:paraId="5E58FBB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合同解除后，发包人可以继续完成工程，和（或）安排第三人完成。发包人有权要求承包人将其为实施合同而订立的材料和设备的订货合同或任何服务合同利益转让给发包人，并在承包人收到解除合同通知后的</w:t>
      </w:r>
      <w:r>
        <w:rPr>
          <w:rFonts w:cs="宋体" w:asciiTheme="minorEastAsia" w:hAnsiTheme="minorEastAsia" w:eastAsiaTheme="minorEastAsia"/>
          <w:color w:val="auto"/>
          <w:szCs w:val="21"/>
          <w:highlight w:val="none"/>
        </w:rPr>
        <w:t>14天内，依法办理转让手续。发包人和（或）第三人有权使用承包人在施工现场的材料、设备、临时工程、承包人文件和由承包人或以其名义编制的其他文件。</w:t>
      </w:r>
    </w:p>
    <w:p w14:paraId="460DF2DE">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19" w:name="_Ref531958549"/>
      <w:bookmarkStart w:id="620" w:name="_Toc54862305"/>
      <w:bookmarkStart w:id="621" w:name="_Ref531958554"/>
      <w:r>
        <w:rPr>
          <w:rFonts w:cs="宋体" w:asciiTheme="minorEastAsia" w:hAnsiTheme="minorEastAsia" w:eastAsiaTheme="minorEastAsia"/>
          <w:color w:val="auto"/>
          <w:szCs w:val="21"/>
          <w:highlight w:val="none"/>
        </w:rPr>
        <w:t xml:space="preserve">16.2 </w:t>
      </w:r>
      <w:r>
        <w:rPr>
          <w:rFonts w:hint="eastAsia" w:cs="宋体" w:asciiTheme="minorEastAsia" w:hAnsiTheme="minorEastAsia" w:eastAsiaTheme="minorEastAsia"/>
          <w:color w:val="auto"/>
          <w:szCs w:val="21"/>
          <w:highlight w:val="none"/>
        </w:rPr>
        <w:t>由承包人解除合同</w:t>
      </w:r>
      <w:bookmarkEnd w:id="619"/>
      <w:bookmarkEnd w:id="620"/>
      <w:bookmarkEnd w:id="621"/>
    </w:p>
    <w:p w14:paraId="26DAFB1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22" w:name="_Ref3841758"/>
      <w:r>
        <w:rPr>
          <w:rFonts w:cs="宋体" w:asciiTheme="minorEastAsia" w:hAnsiTheme="minorEastAsia" w:eastAsiaTheme="minorEastAsia"/>
          <w:color w:val="auto"/>
          <w:szCs w:val="21"/>
          <w:highlight w:val="none"/>
        </w:rPr>
        <w:t xml:space="preserve">16.2.1 </w:t>
      </w:r>
      <w:r>
        <w:rPr>
          <w:rFonts w:hint="eastAsia" w:cs="宋体" w:asciiTheme="minorEastAsia" w:hAnsiTheme="minorEastAsia" w:eastAsiaTheme="minorEastAsia"/>
          <w:color w:val="auto"/>
          <w:szCs w:val="21"/>
          <w:highlight w:val="none"/>
        </w:rPr>
        <w:t>因发包人违约解除合同</w:t>
      </w:r>
      <w:bookmarkEnd w:id="622"/>
    </w:p>
    <w:p w14:paraId="1980CBA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除专用合同条件另有约定外，承包人有权基于下列原因，以书面形式通知发包人解除合同，解除通知中应注明是根据第</w:t>
      </w:r>
      <w:r>
        <w:rPr>
          <w:rFonts w:cs="宋体" w:asciiTheme="minorEastAsia" w:hAnsiTheme="minorEastAsia" w:eastAsiaTheme="minorEastAsia"/>
          <w:color w:val="auto"/>
          <w:szCs w:val="21"/>
          <w:highlight w:val="none"/>
        </w:rPr>
        <w:t>16.2.1项发出的，承包人应在发出正式解除合同通知14天前告知发包人其解除合同意向，除非发包人在收到该解除合同意向通知后14天内采取了补救措施，否则承包人可向发包人发出正式解除合同通知立即解除合同。解除日期应为发包人收到正式解除合同通知的日期，但在第(5)目的情况下，承包人无须提前告知发包人其解除合同意向，可直接发出正式解除合同通知立即解除合同：</w:t>
      </w:r>
    </w:p>
    <w:p w14:paraId="48EAC56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1）承包人就发包人未能遵守第2.5.2项关于发包人的资金安排发出通知后42天内，仍未收到合理的证明；</w:t>
      </w:r>
    </w:p>
    <w:p w14:paraId="11BC36B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2）在第14条规定的付款时间到期后42天内，承包人仍未收到应付款项；</w:t>
      </w:r>
    </w:p>
    <w:p w14:paraId="30D8621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3）发包人实质上未能根据合同约定履行其义务，构成根本性违约；</w:t>
      </w:r>
    </w:p>
    <w:p w14:paraId="00E8ACE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4）发承包双方订立本合同协议书后的84天内，承包人未收到根据第8.1款[开始工作]的开始工作通知；</w:t>
      </w:r>
    </w:p>
    <w:p w14:paraId="18E3F8C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发包人破产、停业清理或进入清算程序，或情况表明发包人将进入破产和（或）清算程序或发包人资信严重恶化，已有对其财产的接管令或管理令，与债权人达成和解，或为其债权人的利益在财产接管人、受托人或管理人的监督下营业，或采取了任何行动或发生任何事件（根据有关适用法律）具有与前述行动或事件相似的效果；</w:t>
      </w:r>
    </w:p>
    <w:p w14:paraId="1306D9D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6）发包人未能执行第15.1.2项[通知改正]的约定，致使合同目的不能实现的；</w:t>
      </w:r>
    </w:p>
    <w:p w14:paraId="51908F5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7）因发包人的原因暂停工作超过56天且暂停影响到整个工程，或因发包人的原因暂停工作超过182天的；</w:t>
      </w:r>
    </w:p>
    <w:p w14:paraId="7702625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8）因发包人原因造成开始工作日期迟于承包人收到中标通知书（或在无中标通知书的情况下，订立本合同之日）后第84天的。</w:t>
      </w:r>
    </w:p>
    <w:p w14:paraId="599F270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23" w:name="_Ref3842018"/>
      <w:bookmarkStart w:id="624" w:name="_Ref4624336"/>
      <w:r>
        <w:rPr>
          <w:rFonts w:cs="宋体" w:asciiTheme="minorEastAsia" w:hAnsiTheme="minorEastAsia" w:eastAsiaTheme="minorEastAsia"/>
          <w:color w:val="auto"/>
          <w:szCs w:val="21"/>
          <w:highlight w:val="none"/>
        </w:rPr>
        <w:t xml:space="preserve">16.2.2 </w:t>
      </w:r>
      <w:r>
        <w:rPr>
          <w:rFonts w:hint="eastAsia" w:cs="宋体" w:asciiTheme="minorEastAsia" w:hAnsiTheme="minorEastAsia" w:eastAsiaTheme="minorEastAsia"/>
          <w:color w:val="auto"/>
          <w:szCs w:val="21"/>
          <w:highlight w:val="none"/>
        </w:rPr>
        <w:t>因发包人违约解除合同后</w:t>
      </w:r>
      <w:bookmarkEnd w:id="623"/>
      <w:r>
        <w:rPr>
          <w:rFonts w:hint="eastAsia" w:cs="宋体" w:asciiTheme="minorEastAsia" w:hAnsiTheme="minorEastAsia" w:eastAsiaTheme="minorEastAsia"/>
          <w:color w:val="auto"/>
          <w:szCs w:val="21"/>
          <w:highlight w:val="none"/>
        </w:rPr>
        <w:t>承包人的义务</w:t>
      </w:r>
      <w:bookmarkEnd w:id="624"/>
    </w:p>
    <w:p w14:paraId="03950B8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合同解除后，承包人应按以下约定执行：</w:t>
      </w:r>
    </w:p>
    <w:p w14:paraId="2E75389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1）除为保护生命、财产、工程安全的工作外，停止所有进一步的工作；承包人因执行该保护工作而产生费用的，由发包人承担；</w:t>
      </w:r>
    </w:p>
    <w:p w14:paraId="5E566F7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2）向发包人移交承包人已获得支付的承包人文件、生产设备、材料和其他工作；</w:t>
      </w:r>
    </w:p>
    <w:p w14:paraId="7564198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3）从现场运走除为了安全需要以外的所有属于承包人的其他货物，并撤离现场。</w:t>
      </w:r>
    </w:p>
    <w:p w14:paraId="60B28AF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16.2.3 </w:t>
      </w:r>
      <w:r>
        <w:rPr>
          <w:rFonts w:hint="eastAsia" w:cs="宋体" w:asciiTheme="minorEastAsia" w:hAnsiTheme="minorEastAsia" w:eastAsiaTheme="minorEastAsia"/>
          <w:color w:val="auto"/>
          <w:szCs w:val="21"/>
          <w:highlight w:val="none"/>
        </w:rPr>
        <w:t>因发包人违约解除合同后的付款</w:t>
      </w:r>
    </w:p>
    <w:p w14:paraId="29AC2D1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承包人按照本款约定解除合同的，发包人应在解除合同后</w:t>
      </w:r>
      <w:r>
        <w:rPr>
          <w:rFonts w:cs="宋体" w:asciiTheme="minorEastAsia" w:hAnsiTheme="minorEastAsia" w:eastAsiaTheme="minorEastAsia"/>
          <w:color w:val="auto"/>
          <w:szCs w:val="21"/>
          <w:highlight w:val="none"/>
        </w:rPr>
        <w:t>28天内支付下列款项，并退还履约担保：</w:t>
      </w:r>
    </w:p>
    <w:p w14:paraId="13FFC06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1）合同解除前所完成工作的价款；</w:t>
      </w:r>
    </w:p>
    <w:p w14:paraId="0DC7E4E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2）承包人为工程施工订购并已付款的材料、工程设备和其他物品的价款；发包人付款后，该材料、工程设备和其他物品归发包人所有；</w:t>
      </w:r>
    </w:p>
    <w:p w14:paraId="76DBA97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3）承包人为完成工程所发生的，而发包人未支付的金额；</w:t>
      </w:r>
    </w:p>
    <w:p w14:paraId="2E61A2F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4）承包人撤离施工现场以及遣散承包人人员的款项；</w:t>
      </w:r>
    </w:p>
    <w:p w14:paraId="6F7DC7D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5）按照合同约定在合同解除前应支付的违约金；</w:t>
      </w:r>
    </w:p>
    <w:p w14:paraId="0645D08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6）按照合同约定应当支付给承包人的其他款项；</w:t>
      </w:r>
    </w:p>
    <w:p w14:paraId="1FAE8D8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7）按照合同约定应返还的质量保证金；</w:t>
      </w:r>
    </w:p>
    <w:p w14:paraId="6B741B5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8）因解除合同给承包人造成的损失。</w:t>
      </w:r>
    </w:p>
    <w:p w14:paraId="0202EA1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承包人应妥善做好已完工程和与工程有关的已购材料、工程设备的保护和移交工作，并将施工设备和人员撤出施工现场，发包人应为承包人撤出提供必要条件。</w:t>
      </w:r>
    </w:p>
    <w:p w14:paraId="070ACA61">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25" w:name="_Ref3841966"/>
      <w:bookmarkStart w:id="626" w:name="_Toc54862306"/>
      <w:r>
        <w:rPr>
          <w:rFonts w:cs="宋体" w:asciiTheme="minorEastAsia" w:hAnsiTheme="minorEastAsia" w:eastAsiaTheme="minorEastAsia"/>
          <w:color w:val="auto"/>
          <w:szCs w:val="21"/>
          <w:highlight w:val="none"/>
        </w:rPr>
        <w:t xml:space="preserve">16.3 </w:t>
      </w:r>
      <w:r>
        <w:rPr>
          <w:rFonts w:hint="eastAsia" w:cs="宋体" w:asciiTheme="minorEastAsia" w:hAnsiTheme="minorEastAsia" w:eastAsiaTheme="minorEastAsia"/>
          <w:color w:val="auto"/>
          <w:szCs w:val="21"/>
          <w:highlight w:val="none"/>
        </w:rPr>
        <w:t>合同解除后的事项</w:t>
      </w:r>
      <w:bookmarkEnd w:id="625"/>
      <w:bookmarkEnd w:id="626"/>
    </w:p>
    <w:p w14:paraId="1E39FAB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16.3.1 </w:t>
      </w:r>
      <w:r>
        <w:rPr>
          <w:rFonts w:hint="eastAsia" w:cs="宋体" w:asciiTheme="minorEastAsia" w:hAnsiTheme="minorEastAsia" w:eastAsiaTheme="minorEastAsia"/>
          <w:color w:val="auto"/>
          <w:szCs w:val="21"/>
          <w:highlight w:val="none"/>
        </w:rPr>
        <w:t>结算约定依然有效</w:t>
      </w:r>
    </w:p>
    <w:p w14:paraId="4BC958D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合同解除后，由发包人或由承包人解除合同的结算及结算后的付款约定仍然有效，直至解除合同的结算工作结清。</w:t>
      </w:r>
    </w:p>
    <w:p w14:paraId="6D59858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16.3.2 </w:t>
      </w:r>
      <w:r>
        <w:rPr>
          <w:rFonts w:hint="eastAsia" w:cs="宋体" w:asciiTheme="minorEastAsia" w:hAnsiTheme="minorEastAsia" w:eastAsiaTheme="minorEastAsia"/>
          <w:color w:val="auto"/>
          <w:szCs w:val="21"/>
          <w:highlight w:val="none"/>
        </w:rPr>
        <w:t>解除合同的争议</w:t>
      </w:r>
    </w:p>
    <w:p w14:paraId="4A57C63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27" w:name="_Hlk18988355"/>
      <w:r>
        <w:rPr>
          <w:rFonts w:hint="eastAsia" w:cs="宋体" w:asciiTheme="minorEastAsia" w:hAnsiTheme="minorEastAsia" w:eastAsiaTheme="minorEastAsia"/>
          <w:color w:val="auto"/>
          <w:szCs w:val="21"/>
          <w:highlight w:val="none"/>
        </w:rPr>
        <w:t>双方对解除合同或解除合同后的结算有争议的，按照第</w:t>
      </w:r>
      <w:r>
        <w:rPr>
          <w:rFonts w:cs="宋体" w:asciiTheme="minorEastAsia" w:hAnsiTheme="minorEastAsia" w:eastAsiaTheme="minorEastAsia"/>
          <w:color w:val="auto"/>
          <w:szCs w:val="21"/>
          <w:highlight w:val="none"/>
        </w:rPr>
        <w:t>20条[争议解决]的约定处理。</w:t>
      </w:r>
      <w:bookmarkEnd w:id="627"/>
    </w:p>
    <w:p w14:paraId="7CF600FA">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628" w:name="_Ref3840974"/>
      <w:bookmarkStart w:id="629" w:name="_Toc54862307"/>
      <w:bookmarkStart w:id="630" w:name="_Ref3840605"/>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17条 </w:t>
      </w:r>
      <w:r>
        <w:rPr>
          <w:rFonts w:hint="eastAsia" w:cs="宋体" w:asciiTheme="minorEastAsia" w:hAnsiTheme="minorEastAsia" w:eastAsiaTheme="minorEastAsia"/>
          <w:b/>
          <w:color w:val="auto"/>
          <w:szCs w:val="21"/>
          <w:highlight w:val="none"/>
        </w:rPr>
        <w:t>不可抗力</w:t>
      </w:r>
      <w:bookmarkEnd w:id="628"/>
      <w:bookmarkEnd w:id="629"/>
    </w:p>
    <w:p w14:paraId="0474AA0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31" w:name="_Ref531958161"/>
      <w:bookmarkStart w:id="632" w:name="_Ref531958158"/>
      <w:bookmarkStart w:id="633" w:name="_Toc54862308"/>
      <w:r>
        <w:rPr>
          <w:rFonts w:cs="宋体" w:asciiTheme="minorEastAsia" w:hAnsiTheme="minorEastAsia" w:eastAsiaTheme="minorEastAsia"/>
          <w:color w:val="auto"/>
          <w:szCs w:val="21"/>
          <w:highlight w:val="none"/>
        </w:rPr>
        <w:t xml:space="preserve">17.1 </w:t>
      </w:r>
      <w:r>
        <w:rPr>
          <w:rFonts w:hint="eastAsia" w:cs="宋体" w:asciiTheme="minorEastAsia" w:hAnsiTheme="minorEastAsia" w:eastAsiaTheme="minorEastAsia"/>
          <w:color w:val="auto"/>
          <w:szCs w:val="21"/>
          <w:highlight w:val="none"/>
        </w:rPr>
        <w:t>不可抗力的</w:t>
      </w:r>
      <w:bookmarkEnd w:id="631"/>
      <w:bookmarkEnd w:id="632"/>
      <w:r>
        <w:rPr>
          <w:rFonts w:hint="eastAsia" w:cs="宋体" w:asciiTheme="minorEastAsia" w:hAnsiTheme="minorEastAsia" w:eastAsiaTheme="minorEastAsia"/>
          <w:color w:val="auto"/>
          <w:szCs w:val="21"/>
          <w:highlight w:val="none"/>
        </w:rPr>
        <w:t>定义</w:t>
      </w:r>
      <w:bookmarkEnd w:id="633"/>
    </w:p>
    <w:p w14:paraId="0F4DBCE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不可抗力是指合同当事人在订立合同时不可预见，在合同履行过程中不可避免、不能克服且不能提前防备的自然灾害和社会性突发事件，如地震、海啸、瘟疫、骚乱、戒严、暴动、战争和专用合同条件中约定的其他情形。</w:t>
      </w:r>
    </w:p>
    <w:p w14:paraId="6B6738F2">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34" w:name="_Toc54862309"/>
      <w:r>
        <w:rPr>
          <w:rFonts w:cs="宋体" w:asciiTheme="minorEastAsia" w:hAnsiTheme="minorEastAsia" w:eastAsiaTheme="minorEastAsia"/>
          <w:color w:val="auto"/>
          <w:szCs w:val="21"/>
          <w:highlight w:val="none"/>
        </w:rPr>
        <w:t xml:space="preserve">17.2 </w:t>
      </w:r>
      <w:r>
        <w:rPr>
          <w:rFonts w:hint="eastAsia" w:cs="宋体" w:asciiTheme="minorEastAsia" w:hAnsiTheme="minorEastAsia" w:eastAsiaTheme="minorEastAsia"/>
          <w:color w:val="auto"/>
          <w:szCs w:val="21"/>
          <w:highlight w:val="none"/>
        </w:rPr>
        <w:t>不可抗力的通知</w:t>
      </w:r>
      <w:bookmarkEnd w:id="634"/>
    </w:p>
    <w:p w14:paraId="3BD437A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合同一方当事人觉察或发现不可抗力事件发生，使其履行合同义务受到阻碍时，有义务立即通知合同另一方当事人和工程师，书面说明不可抗力和受阻碍的详细情况，并提供必要的证明。</w:t>
      </w:r>
    </w:p>
    <w:p w14:paraId="0BDA435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不可抗力持续发生的，合同一方当事人应每隔</w:t>
      </w:r>
      <w:r>
        <w:rPr>
          <w:rFonts w:cs="宋体" w:asciiTheme="minorEastAsia" w:hAnsiTheme="minorEastAsia" w:eastAsiaTheme="minorEastAsia"/>
          <w:color w:val="auto"/>
          <w:szCs w:val="21"/>
          <w:highlight w:val="none"/>
        </w:rPr>
        <w:t>28天向合同另一方当事人和工程师提交中间报告，说明不可抗力和履行合同受阻的情况，并于不可抗力事件结束后28天内提交最终报告及有关资料。</w:t>
      </w:r>
    </w:p>
    <w:p w14:paraId="738BDFB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35" w:name="_Toc54862310"/>
      <w:r>
        <w:rPr>
          <w:rFonts w:cs="宋体" w:asciiTheme="minorEastAsia" w:hAnsiTheme="minorEastAsia" w:eastAsiaTheme="minorEastAsia"/>
          <w:color w:val="auto"/>
          <w:szCs w:val="21"/>
          <w:highlight w:val="none"/>
        </w:rPr>
        <w:t xml:space="preserve">17.3 </w:t>
      </w:r>
      <w:r>
        <w:rPr>
          <w:rFonts w:hint="eastAsia" w:cs="宋体" w:asciiTheme="minorEastAsia" w:hAnsiTheme="minorEastAsia" w:eastAsiaTheme="minorEastAsia"/>
          <w:color w:val="auto"/>
          <w:szCs w:val="21"/>
          <w:highlight w:val="none"/>
        </w:rPr>
        <w:t>将损失减至最小的义务</w:t>
      </w:r>
      <w:bookmarkEnd w:id="635"/>
    </w:p>
    <w:p w14:paraId="642EB04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不可抗力发生后，合同当事人均应采取措施尽量避免和减少损失的扩大，使不可抗力对履行合同造成的损失减至最小。另一方全力协助并采取措施，需暂停实施的工作，立即停止。任何一方当事人没有采取有效措施导致损失扩大的，应对扩大的损失承担责任。</w:t>
      </w:r>
    </w:p>
    <w:p w14:paraId="28B73E8C">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36" w:name="_Ref531958170"/>
      <w:bookmarkStart w:id="637" w:name="_Ref531958172"/>
      <w:bookmarkStart w:id="638" w:name="_Ref3840916"/>
      <w:bookmarkStart w:id="639" w:name="_Toc54862311"/>
      <w:r>
        <w:rPr>
          <w:rFonts w:cs="宋体" w:asciiTheme="minorEastAsia" w:hAnsiTheme="minorEastAsia" w:eastAsiaTheme="minorEastAsia"/>
          <w:color w:val="auto"/>
          <w:szCs w:val="21"/>
          <w:highlight w:val="none"/>
        </w:rPr>
        <w:t xml:space="preserve">17.4 </w:t>
      </w:r>
      <w:r>
        <w:rPr>
          <w:rFonts w:hint="eastAsia" w:cs="宋体" w:asciiTheme="minorEastAsia" w:hAnsiTheme="minorEastAsia" w:eastAsiaTheme="minorEastAsia"/>
          <w:color w:val="auto"/>
          <w:szCs w:val="21"/>
          <w:highlight w:val="none"/>
        </w:rPr>
        <w:t>不可抗力后果</w:t>
      </w:r>
      <w:bookmarkEnd w:id="636"/>
      <w:bookmarkEnd w:id="637"/>
      <w:r>
        <w:rPr>
          <w:rFonts w:hint="eastAsia" w:cs="宋体" w:asciiTheme="minorEastAsia" w:hAnsiTheme="minorEastAsia" w:eastAsiaTheme="minorEastAsia"/>
          <w:color w:val="auto"/>
          <w:szCs w:val="21"/>
          <w:highlight w:val="none"/>
        </w:rPr>
        <w:t>的承担</w:t>
      </w:r>
      <w:bookmarkEnd w:id="638"/>
      <w:bookmarkEnd w:id="639"/>
    </w:p>
    <w:p w14:paraId="7C58889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不可抗力导致的人员伤亡、财产损失、费用增加和（或）工期延误等后果，由合同当事人按以下原则承担：</w:t>
      </w:r>
    </w:p>
    <w:p w14:paraId="1EA9807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1）永久工程，包括已运至施工现场的材料和工程设备的损害，以及因工程损害造成的第三人人员伤亡和财产损失由发包人承担；</w:t>
      </w:r>
    </w:p>
    <w:p w14:paraId="1FE1F7A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2）承包人提供的施工设备的损坏由承包人承担；</w:t>
      </w:r>
    </w:p>
    <w:p w14:paraId="7EED48A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3）发包人和承包人各自承担其人员伤亡及其他财产损失；</w:t>
      </w:r>
    </w:p>
    <w:p w14:paraId="2289157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4）因不可抗力影响承包人履行合同约定的义务，已经引起或将引起工期延误的，应当顺延工期，由此导致承包人停工的费用损失由发包人和承包人合理分担，</w:t>
      </w:r>
      <w:bookmarkStart w:id="640" w:name="_Hlk51507024"/>
      <w:r>
        <w:rPr>
          <w:rFonts w:hint="eastAsia" w:cs="宋体" w:asciiTheme="minorEastAsia" w:hAnsiTheme="minorEastAsia" w:eastAsiaTheme="minorEastAsia"/>
          <w:color w:val="auto"/>
          <w:szCs w:val="21"/>
          <w:highlight w:val="none"/>
        </w:rPr>
        <w:t>停工期间必须支付的现场必要的工人工资</w:t>
      </w:r>
      <w:bookmarkEnd w:id="640"/>
      <w:r>
        <w:rPr>
          <w:rFonts w:hint="eastAsia" w:cs="宋体" w:asciiTheme="minorEastAsia" w:hAnsiTheme="minorEastAsia" w:eastAsiaTheme="minorEastAsia"/>
          <w:color w:val="auto"/>
          <w:szCs w:val="21"/>
          <w:highlight w:val="none"/>
        </w:rPr>
        <w:t>由发包人承担；</w:t>
      </w:r>
    </w:p>
    <w:p w14:paraId="250D214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5）因不可抗力引起或将引起工期延误，发包人指示赶工的，由此增加的赶工费用由发包人承担；</w:t>
      </w:r>
    </w:p>
    <w:p w14:paraId="3FADA8E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6）承包人在停工期间按照工程师或发包人要求照管、清理和修复工程的费用由发包人承担。</w:t>
      </w:r>
    </w:p>
    <w:p w14:paraId="1121653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不可抗力引起的后果及造成的损失由合同当事人按照法律规定及合同约定各自承担。不可抗力发生前已完成的工程应当按照合同约定进行支付。</w:t>
      </w:r>
    </w:p>
    <w:p w14:paraId="4B47FCBE">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41" w:name="_Toc54862312"/>
      <w:r>
        <w:rPr>
          <w:rFonts w:cs="宋体" w:asciiTheme="minorEastAsia" w:hAnsiTheme="minorEastAsia" w:eastAsiaTheme="minorEastAsia"/>
          <w:color w:val="auto"/>
          <w:szCs w:val="21"/>
          <w:highlight w:val="none"/>
        </w:rPr>
        <w:t xml:space="preserve">17.5 </w:t>
      </w:r>
      <w:r>
        <w:rPr>
          <w:rFonts w:hint="eastAsia" w:cs="宋体" w:asciiTheme="minorEastAsia" w:hAnsiTheme="minorEastAsia" w:eastAsiaTheme="minorEastAsia"/>
          <w:color w:val="auto"/>
          <w:szCs w:val="21"/>
          <w:highlight w:val="none"/>
        </w:rPr>
        <w:t>不可抗力影响分包人</w:t>
      </w:r>
      <w:bookmarkEnd w:id="641"/>
    </w:p>
    <w:p w14:paraId="576610F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分包人根据分包合同的约定，有权获得更多或者更广的不可抗力而免除某些义务时，承包人不得以分包合同中不可抗力约定向发包人抗辩免除其义务。</w:t>
      </w:r>
    </w:p>
    <w:p w14:paraId="69CA1167">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42" w:name="_Ref531958181"/>
      <w:bookmarkStart w:id="643" w:name="_Ref531958184"/>
      <w:bookmarkStart w:id="644" w:name="_Ref3840892"/>
      <w:bookmarkStart w:id="645" w:name="_Ref4538024"/>
      <w:bookmarkStart w:id="646" w:name="_Toc54862313"/>
      <w:r>
        <w:rPr>
          <w:rFonts w:cs="宋体" w:asciiTheme="minorEastAsia" w:hAnsiTheme="minorEastAsia" w:eastAsiaTheme="minorEastAsia"/>
          <w:color w:val="auto"/>
          <w:szCs w:val="21"/>
          <w:highlight w:val="none"/>
        </w:rPr>
        <w:t xml:space="preserve">17.6 </w:t>
      </w:r>
      <w:r>
        <w:rPr>
          <w:rFonts w:hint="eastAsia" w:cs="宋体" w:asciiTheme="minorEastAsia" w:hAnsiTheme="minorEastAsia" w:eastAsiaTheme="minorEastAsia"/>
          <w:color w:val="auto"/>
          <w:szCs w:val="21"/>
          <w:highlight w:val="none"/>
        </w:rPr>
        <w:t>因不可抗力解除</w:t>
      </w:r>
      <w:bookmarkEnd w:id="642"/>
      <w:bookmarkEnd w:id="643"/>
      <w:r>
        <w:rPr>
          <w:rFonts w:hint="eastAsia" w:cs="宋体" w:asciiTheme="minorEastAsia" w:hAnsiTheme="minorEastAsia" w:eastAsiaTheme="minorEastAsia"/>
          <w:color w:val="auto"/>
          <w:szCs w:val="21"/>
          <w:highlight w:val="none"/>
        </w:rPr>
        <w:t>合同</w:t>
      </w:r>
      <w:bookmarkEnd w:id="644"/>
      <w:bookmarkEnd w:id="645"/>
      <w:bookmarkEnd w:id="646"/>
    </w:p>
    <w:p w14:paraId="4106E42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因单次不可抗力导致合同无法履行连续超过</w:t>
      </w:r>
      <w:r>
        <w:rPr>
          <w:rFonts w:cs="宋体" w:asciiTheme="minorEastAsia" w:hAnsiTheme="minorEastAsia" w:eastAsiaTheme="minorEastAsia"/>
          <w:color w:val="auto"/>
          <w:szCs w:val="21"/>
          <w:highlight w:val="none"/>
        </w:rPr>
        <w:t>84天或累计超过140天的，发包人和承包人均有权解除合同。合同解除后，承包人应按照第10.5款[竣工退场]的规定进行。由双方当事人按照第3.6款[商定或确定]商定或确定发包人应支付的款项，该款项包括：</w:t>
      </w:r>
    </w:p>
    <w:p w14:paraId="6CADB55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1）合同解除前承包人已完成工作的价款；</w:t>
      </w:r>
    </w:p>
    <w:p w14:paraId="6558C0C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为工程订购的并已交付给承包人，或承包人有责任接受交付的材料、工程设备和其他物品的价款；当发包人支付上述费用后，此项材料、工程设备与其他物品应成为发包人的财产，承包人应将其交由发包人处理；</w:t>
      </w:r>
    </w:p>
    <w:p w14:paraId="68C7816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3）发包人指示承包人退货或解除订货合同而产生的费用，或因不能退货或解除合同而产生的损失；</w:t>
      </w:r>
    </w:p>
    <w:p w14:paraId="7824DDD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4）承包人撤离施工现场以及遣散承包人人员的费用；</w:t>
      </w:r>
    </w:p>
    <w:p w14:paraId="479A863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5）按照合同约定在合同解除前应支付给承包人的其他款项；</w:t>
      </w:r>
    </w:p>
    <w:p w14:paraId="2B16602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6）扣减承包人按照合同约定应向发包人支付的款项；</w:t>
      </w:r>
    </w:p>
    <w:p w14:paraId="25293D1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7）双方商定或确定的其他款项。</w:t>
      </w:r>
    </w:p>
    <w:p w14:paraId="0347FE2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除专用合同条件另有约定外，合同解除后，发包人应当在商定或确定上述款项后</w:t>
      </w:r>
      <w:r>
        <w:rPr>
          <w:rFonts w:cs="宋体" w:asciiTheme="minorEastAsia" w:hAnsiTheme="minorEastAsia" w:eastAsiaTheme="minorEastAsia"/>
          <w:color w:val="auto"/>
          <w:szCs w:val="21"/>
          <w:highlight w:val="none"/>
        </w:rPr>
        <w:t>28天内完成上述款项的支付。</w:t>
      </w:r>
    </w:p>
    <w:p w14:paraId="05978CCD">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647" w:name="_Ref11848274"/>
      <w:bookmarkStart w:id="648" w:name="_Toc54862314"/>
      <w:bookmarkStart w:id="649" w:name="_Ref11848264"/>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18条 </w:t>
      </w:r>
      <w:r>
        <w:rPr>
          <w:rFonts w:hint="eastAsia" w:cs="宋体" w:asciiTheme="minorEastAsia" w:hAnsiTheme="minorEastAsia" w:eastAsiaTheme="minorEastAsia"/>
          <w:b/>
          <w:color w:val="auto"/>
          <w:szCs w:val="21"/>
          <w:highlight w:val="none"/>
        </w:rPr>
        <w:t>保险</w:t>
      </w:r>
      <w:bookmarkEnd w:id="630"/>
      <w:bookmarkEnd w:id="647"/>
      <w:bookmarkEnd w:id="648"/>
      <w:bookmarkEnd w:id="649"/>
    </w:p>
    <w:p w14:paraId="6483B58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50" w:name="_Toc54862315"/>
      <w:bookmarkStart w:id="651" w:name="_Ref3840734"/>
      <w:bookmarkStart w:id="652" w:name="_Ref3840730"/>
      <w:bookmarkStart w:id="653" w:name="_Ref531957914"/>
      <w:bookmarkStart w:id="654" w:name="_Ref531957911"/>
      <w:bookmarkStart w:id="655" w:name="_Toc351203616"/>
      <w:r>
        <w:rPr>
          <w:rFonts w:cs="宋体" w:asciiTheme="minorEastAsia" w:hAnsiTheme="minorEastAsia" w:eastAsiaTheme="minorEastAsia"/>
          <w:color w:val="auto"/>
          <w:szCs w:val="21"/>
          <w:highlight w:val="none"/>
        </w:rPr>
        <w:t xml:space="preserve">18.1 </w:t>
      </w:r>
      <w:r>
        <w:rPr>
          <w:rFonts w:hint="eastAsia" w:cs="宋体" w:asciiTheme="minorEastAsia" w:hAnsiTheme="minorEastAsia" w:eastAsiaTheme="minorEastAsia"/>
          <w:color w:val="auto"/>
          <w:szCs w:val="21"/>
          <w:highlight w:val="none"/>
        </w:rPr>
        <w:t>设计和工程保险</w:t>
      </w:r>
      <w:bookmarkEnd w:id="650"/>
      <w:bookmarkEnd w:id="651"/>
      <w:bookmarkEnd w:id="652"/>
    </w:p>
    <w:bookmarkEnd w:id="653"/>
    <w:bookmarkEnd w:id="654"/>
    <w:p w14:paraId="3E898D2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18.1.1 </w:t>
      </w:r>
      <w:r>
        <w:rPr>
          <w:rFonts w:hint="eastAsia" w:cs="宋体" w:asciiTheme="minorEastAsia" w:hAnsiTheme="minorEastAsia" w:eastAsiaTheme="minorEastAsia"/>
          <w:color w:val="auto"/>
          <w:szCs w:val="21"/>
          <w:highlight w:val="none"/>
        </w:rPr>
        <w:t>双方应按照专用合同条件的约定向双方同意的保险人投保建设工程设计责任险、建筑安装工程一切险等保险。具体的投保险种、保险范围、保险金额、保险费率、保险期限等有关内容应当在专用合同条件中明确约定。</w:t>
      </w:r>
    </w:p>
    <w:p w14:paraId="6FEF996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18.1.2 </w:t>
      </w:r>
      <w:r>
        <w:rPr>
          <w:rFonts w:hint="eastAsia" w:cs="宋体" w:asciiTheme="minorEastAsia" w:hAnsiTheme="minorEastAsia" w:eastAsiaTheme="minorEastAsia"/>
          <w:color w:val="auto"/>
          <w:szCs w:val="21"/>
          <w:highlight w:val="none"/>
        </w:rPr>
        <w:t>双方应按照专用合同条件的约定投保第三者责任险，并在缺陷责任期终止证书颁发前维持其持续有效。第三者责任险最低投保额应在专用合同条件内约定。</w:t>
      </w:r>
    </w:p>
    <w:p w14:paraId="7636B28A">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56" w:name="_Toc54862316"/>
      <w:bookmarkStart w:id="657" w:name="_Ref3840683"/>
      <w:r>
        <w:rPr>
          <w:rFonts w:cs="宋体" w:asciiTheme="minorEastAsia" w:hAnsiTheme="minorEastAsia" w:eastAsiaTheme="minorEastAsia"/>
          <w:color w:val="auto"/>
          <w:szCs w:val="21"/>
          <w:highlight w:val="none"/>
        </w:rPr>
        <w:t xml:space="preserve">18.2 </w:t>
      </w:r>
      <w:r>
        <w:rPr>
          <w:rFonts w:hint="eastAsia" w:cs="宋体" w:asciiTheme="minorEastAsia" w:hAnsiTheme="minorEastAsia" w:eastAsiaTheme="minorEastAsia"/>
          <w:color w:val="auto"/>
          <w:szCs w:val="21"/>
          <w:highlight w:val="none"/>
        </w:rPr>
        <w:t>工伤和意外伤害保险</w:t>
      </w:r>
      <w:bookmarkEnd w:id="656"/>
      <w:bookmarkEnd w:id="657"/>
    </w:p>
    <w:p w14:paraId="502E6C2C">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18.2.1 </w:t>
      </w:r>
      <w:r>
        <w:rPr>
          <w:rFonts w:hint="eastAsia" w:cs="宋体" w:asciiTheme="minorEastAsia" w:hAnsiTheme="minorEastAsia" w:eastAsiaTheme="minorEastAsia"/>
          <w:color w:val="auto"/>
          <w:szCs w:val="21"/>
          <w:highlight w:val="none"/>
        </w:rPr>
        <w:t>发包人应依照法律规定为其在施工现场的雇用人员办理工伤保险，缴纳工伤保险费；并要求工程师及由发包人为履行合同聘请的第三方在施工现场的雇用人员依法办理工伤保险。</w:t>
      </w:r>
    </w:p>
    <w:p w14:paraId="6F9E2AF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18.2.2 </w:t>
      </w:r>
      <w:r>
        <w:rPr>
          <w:rFonts w:hint="eastAsia" w:cs="宋体" w:asciiTheme="minorEastAsia" w:hAnsiTheme="minorEastAsia" w:eastAsiaTheme="minorEastAsia"/>
          <w:color w:val="auto"/>
          <w:szCs w:val="21"/>
          <w:highlight w:val="none"/>
        </w:rPr>
        <w:t>承包人应依照法律规定为其履行合同雇用的全部人员办理工伤保险，缴纳工伤保险费，并要求分包人及由承包人为履行合同聘请的第三方雇用的全部人员依法办理工伤保险。</w:t>
      </w:r>
    </w:p>
    <w:p w14:paraId="33D6E52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18.2.3 </w:t>
      </w:r>
      <w:r>
        <w:rPr>
          <w:rFonts w:hint="eastAsia" w:cs="宋体" w:asciiTheme="minorEastAsia" w:hAnsiTheme="minorEastAsia" w:eastAsiaTheme="minorEastAsia"/>
          <w:color w:val="auto"/>
          <w:szCs w:val="21"/>
          <w:highlight w:val="none"/>
        </w:rPr>
        <w:t>发包人和承包人可以为其施工现场的全部人员办理意外伤害保险并支付保险费，包括其员工及为履行合同聘请的第三方的人员，具体事项由合同当事人在专用合同条件约定。</w:t>
      </w:r>
    </w:p>
    <w:p w14:paraId="5583413F">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58" w:name="_Toc54862317"/>
      <w:bookmarkStart w:id="659" w:name="_Ref3840782"/>
      <w:r>
        <w:rPr>
          <w:rFonts w:cs="宋体" w:asciiTheme="minorEastAsia" w:hAnsiTheme="minorEastAsia" w:eastAsiaTheme="minorEastAsia"/>
          <w:color w:val="auto"/>
          <w:szCs w:val="21"/>
          <w:highlight w:val="none"/>
        </w:rPr>
        <w:t xml:space="preserve">18.3 </w:t>
      </w:r>
      <w:r>
        <w:rPr>
          <w:rFonts w:hint="eastAsia" w:cs="宋体" w:asciiTheme="minorEastAsia" w:hAnsiTheme="minorEastAsia" w:eastAsiaTheme="minorEastAsia"/>
          <w:color w:val="auto"/>
          <w:szCs w:val="21"/>
          <w:highlight w:val="none"/>
        </w:rPr>
        <w:t>货物保险</w:t>
      </w:r>
      <w:bookmarkEnd w:id="658"/>
      <w:bookmarkEnd w:id="659"/>
    </w:p>
    <w:p w14:paraId="098E651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w:t>
      </w:r>
      <w:r>
        <w:rPr>
          <w:rFonts w:hint="eastAsia" w:cs="宋体" w:asciiTheme="minorEastAsia" w:hAnsiTheme="minorEastAsia" w:eastAsiaTheme="minorEastAsia"/>
          <w:iCs/>
          <w:color w:val="auto"/>
          <w:szCs w:val="21"/>
          <w:highlight w:val="none"/>
        </w:rPr>
        <w:t>按照</w:t>
      </w:r>
      <w:r>
        <w:rPr>
          <w:rFonts w:hint="eastAsia" w:cs="宋体" w:asciiTheme="minorEastAsia" w:hAnsiTheme="minorEastAsia" w:eastAsiaTheme="minorEastAsia"/>
          <w:color w:val="auto"/>
          <w:szCs w:val="21"/>
          <w:highlight w:val="none"/>
        </w:rPr>
        <w:t>专用合同条件的约定为</w:t>
      </w:r>
      <w:r>
        <w:rPr>
          <w:rFonts w:hint="eastAsia" w:cs="宋体" w:asciiTheme="minorEastAsia" w:hAnsiTheme="minorEastAsia" w:eastAsiaTheme="minorEastAsia"/>
          <w:iCs/>
          <w:color w:val="auto"/>
          <w:szCs w:val="21"/>
          <w:highlight w:val="none"/>
        </w:rPr>
        <w:t>运抵现场的</w:t>
      </w:r>
      <w:r>
        <w:rPr>
          <w:rFonts w:hint="eastAsia" w:cs="宋体" w:asciiTheme="minorEastAsia" w:hAnsiTheme="minorEastAsia" w:eastAsiaTheme="minorEastAsia"/>
          <w:color w:val="auto"/>
          <w:szCs w:val="21"/>
          <w:highlight w:val="none"/>
        </w:rPr>
        <w:t>施工设备、材料、工程设备和临时工程等办理财产保险，保险期限自上述货物运抵现场至其不再为工程所需要为止。</w:t>
      </w:r>
    </w:p>
    <w:p w14:paraId="0990EAD2">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60" w:name="_Toc54862318"/>
      <w:bookmarkStart w:id="661" w:name="_Ref4692238"/>
      <w:bookmarkStart w:id="662" w:name="_Ref4692231"/>
      <w:r>
        <w:rPr>
          <w:rFonts w:cs="宋体" w:asciiTheme="minorEastAsia" w:hAnsiTheme="minorEastAsia" w:eastAsiaTheme="minorEastAsia"/>
          <w:color w:val="auto"/>
          <w:szCs w:val="21"/>
          <w:highlight w:val="none"/>
        </w:rPr>
        <w:t xml:space="preserve">18.4 </w:t>
      </w:r>
      <w:r>
        <w:rPr>
          <w:rFonts w:hint="eastAsia" w:cs="宋体" w:asciiTheme="minorEastAsia" w:hAnsiTheme="minorEastAsia" w:eastAsiaTheme="minorEastAsia"/>
          <w:color w:val="auto"/>
          <w:szCs w:val="21"/>
          <w:highlight w:val="none"/>
        </w:rPr>
        <w:t>其他保险</w:t>
      </w:r>
      <w:bookmarkEnd w:id="660"/>
      <w:bookmarkEnd w:id="661"/>
      <w:bookmarkEnd w:id="662"/>
    </w:p>
    <w:p w14:paraId="5D25C2F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应按照工程总承包模式所适用的法律法规和专用合同条件约定，投保其他保险并保持保险有效，其投保费用发包人自行承担。承包人应按照工程总承包模式所适用法律法规和专用合同条件约定投保相应保险并保持保险有效，其投</w:t>
      </w:r>
      <w:bookmarkEnd w:id="655"/>
      <w:r>
        <w:rPr>
          <w:rFonts w:hint="eastAsia" w:cs="宋体" w:asciiTheme="minorEastAsia" w:hAnsiTheme="minorEastAsia" w:eastAsiaTheme="minorEastAsia"/>
          <w:color w:val="auto"/>
          <w:szCs w:val="21"/>
          <w:highlight w:val="none"/>
        </w:rPr>
        <w:t>保费用包含在合同价格中，但在合同执行过程中，新颁布适用的法律法规规定由承包人投保的强制保险，应根据本合同</w:t>
      </w:r>
      <w:bookmarkStart w:id="663" w:name="_Toc351203617"/>
      <w:bookmarkStart w:id="664" w:name="_Toc296346627"/>
      <w:bookmarkStart w:id="665" w:name="_Toc296503126"/>
      <w:bookmarkStart w:id="666" w:name="_Toc337558832"/>
      <w:r>
        <w:rPr>
          <w:rFonts w:hint="eastAsia" w:cs="宋体" w:asciiTheme="minorEastAsia" w:hAnsiTheme="minorEastAsia" w:eastAsiaTheme="minorEastAsia"/>
          <w:color w:val="auto"/>
          <w:szCs w:val="21"/>
          <w:highlight w:val="none"/>
        </w:rPr>
        <w:t>第</w:t>
      </w:r>
      <w:r>
        <w:rPr>
          <w:rFonts w:cs="宋体" w:asciiTheme="minorEastAsia" w:hAnsiTheme="minorEastAsia" w:eastAsiaTheme="minorEastAsia"/>
          <w:color w:val="auto"/>
          <w:szCs w:val="21"/>
          <w:highlight w:val="none"/>
        </w:rPr>
        <w:t>13条[变更与调整]的约定增加合同价款。</w:t>
      </w:r>
    </w:p>
    <w:p w14:paraId="6D616C03">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67" w:name="_Ref3840659"/>
      <w:bookmarkStart w:id="668" w:name="_Toc54862319"/>
      <w:r>
        <w:rPr>
          <w:rFonts w:cs="宋体" w:asciiTheme="minorEastAsia" w:hAnsiTheme="minorEastAsia" w:eastAsiaTheme="minorEastAsia"/>
          <w:color w:val="auto"/>
          <w:szCs w:val="21"/>
          <w:highlight w:val="none"/>
        </w:rPr>
        <w:t xml:space="preserve">18.5 </w:t>
      </w:r>
      <w:r>
        <w:rPr>
          <w:rFonts w:hint="eastAsia" w:cs="宋体" w:asciiTheme="minorEastAsia" w:hAnsiTheme="minorEastAsia" w:eastAsiaTheme="minorEastAsia"/>
          <w:color w:val="auto"/>
          <w:szCs w:val="21"/>
          <w:highlight w:val="none"/>
        </w:rPr>
        <w:t>对各项保险的一般要求</w:t>
      </w:r>
      <w:bookmarkEnd w:id="667"/>
      <w:bookmarkEnd w:id="668"/>
    </w:p>
    <w:p w14:paraId="0812A80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18.5.1 </w:t>
      </w:r>
      <w:r>
        <w:rPr>
          <w:rFonts w:hint="eastAsia" w:cs="宋体" w:asciiTheme="minorEastAsia" w:hAnsiTheme="minorEastAsia" w:eastAsiaTheme="minorEastAsia"/>
          <w:color w:val="auto"/>
          <w:szCs w:val="21"/>
          <w:highlight w:val="none"/>
        </w:rPr>
        <w:t>持续保险</w:t>
      </w:r>
    </w:p>
    <w:p w14:paraId="58A98DF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合同当事人应与保险人保持联系，使保险人能够随时了</w:t>
      </w:r>
      <w:bookmarkEnd w:id="663"/>
      <w:r>
        <w:rPr>
          <w:rFonts w:hint="eastAsia" w:cs="宋体" w:asciiTheme="minorEastAsia" w:hAnsiTheme="minorEastAsia" w:eastAsiaTheme="minorEastAsia"/>
          <w:color w:val="auto"/>
          <w:szCs w:val="21"/>
          <w:highlight w:val="none"/>
        </w:rPr>
        <w:t>解</w:t>
      </w:r>
      <w:bookmarkEnd w:id="664"/>
      <w:bookmarkEnd w:id="665"/>
      <w:bookmarkEnd w:id="666"/>
      <w:r>
        <w:rPr>
          <w:rFonts w:hint="eastAsia" w:cs="宋体" w:asciiTheme="minorEastAsia" w:hAnsiTheme="minorEastAsia" w:eastAsiaTheme="minorEastAsia"/>
          <w:color w:val="auto"/>
          <w:szCs w:val="21"/>
          <w:highlight w:val="none"/>
        </w:rPr>
        <w:t>工程实施中的变动，并确保按保险合同条款要求持续保险。</w:t>
      </w:r>
    </w:p>
    <w:p w14:paraId="6E3BEAA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69" w:name="_Ref4777650"/>
      <w:r>
        <w:rPr>
          <w:rFonts w:cs="宋体" w:asciiTheme="minorEastAsia" w:hAnsiTheme="minorEastAsia" w:eastAsiaTheme="minorEastAsia"/>
          <w:color w:val="auto"/>
          <w:szCs w:val="21"/>
          <w:highlight w:val="none"/>
        </w:rPr>
        <w:t xml:space="preserve">18.5.2 </w:t>
      </w:r>
      <w:r>
        <w:rPr>
          <w:rFonts w:hint="eastAsia" w:cs="宋体" w:asciiTheme="minorEastAsia" w:hAnsiTheme="minorEastAsia" w:eastAsiaTheme="minorEastAsia"/>
          <w:color w:val="auto"/>
          <w:szCs w:val="21"/>
          <w:highlight w:val="none"/>
        </w:rPr>
        <w:t>保险凭证</w:t>
      </w:r>
      <w:bookmarkEnd w:id="669"/>
    </w:p>
    <w:p w14:paraId="2A1FCC1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合同当事人应及时向另一方当事人提交其已投保的各项保险的凭证和保险单复印件，保险单必须与专用合同条件约定的条件保持一致。</w:t>
      </w:r>
    </w:p>
    <w:p w14:paraId="13F4B0E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18.5.3 </w:t>
      </w:r>
      <w:r>
        <w:rPr>
          <w:rFonts w:hint="eastAsia" w:cs="宋体" w:asciiTheme="minorEastAsia" w:hAnsiTheme="minorEastAsia" w:eastAsiaTheme="minorEastAsia"/>
          <w:color w:val="auto"/>
          <w:szCs w:val="21"/>
          <w:highlight w:val="none"/>
        </w:rPr>
        <w:t>未按约定投保的补救</w:t>
      </w:r>
    </w:p>
    <w:p w14:paraId="548F2D1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负有投保义务的一方当事人未按合同约定办理保险，或未能使保险持续有效的，则另一方当事人可代为办理，所需费用由负有投保义务的一方当事人承担。</w:t>
      </w:r>
    </w:p>
    <w:p w14:paraId="4989ED9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负有投保</w:t>
      </w:r>
      <w:bookmarkStart w:id="670" w:name="_Toc351203619"/>
      <w:bookmarkStart w:id="671" w:name="_Toc337558834"/>
      <w:r>
        <w:rPr>
          <w:rFonts w:hint="eastAsia" w:cs="宋体" w:asciiTheme="minorEastAsia" w:hAnsiTheme="minorEastAsia" w:eastAsiaTheme="minorEastAsia"/>
          <w:color w:val="auto"/>
          <w:szCs w:val="21"/>
          <w:highlight w:val="none"/>
        </w:rPr>
        <w:t>义务的一方当事人未</w:t>
      </w:r>
      <w:bookmarkEnd w:id="670"/>
      <w:r>
        <w:rPr>
          <w:rFonts w:hint="eastAsia" w:cs="宋体" w:asciiTheme="minorEastAsia" w:hAnsiTheme="minorEastAsia" w:eastAsiaTheme="minorEastAsia"/>
          <w:color w:val="auto"/>
          <w:szCs w:val="21"/>
          <w:highlight w:val="none"/>
        </w:rPr>
        <w:t>按</w:t>
      </w:r>
      <w:bookmarkEnd w:id="671"/>
      <w:r>
        <w:rPr>
          <w:rFonts w:hint="eastAsia" w:cs="宋体" w:asciiTheme="minorEastAsia" w:hAnsiTheme="minorEastAsia" w:eastAsiaTheme="minorEastAsia"/>
          <w:color w:val="auto"/>
          <w:szCs w:val="21"/>
          <w:highlight w:val="none"/>
        </w:rPr>
        <w:t>合同约定办理某项保险，导致受益人未能得到足额赔偿的，由负有投保义务的一方当事人负责按照原应从该项保险得到的保险金数额进行补足。</w:t>
      </w:r>
    </w:p>
    <w:p w14:paraId="5C47FE5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72" w:name="_Ref4692685"/>
      <w:r>
        <w:rPr>
          <w:rFonts w:cs="宋体" w:asciiTheme="minorEastAsia" w:hAnsiTheme="minorEastAsia" w:eastAsiaTheme="minorEastAsia"/>
          <w:color w:val="auto"/>
          <w:szCs w:val="21"/>
          <w:highlight w:val="none"/>
        </w:rPr>
        <w:t xml:space="preserve">18.5.4 </w:t>
      </w:r>
      <w:r>
        <w:rPr>
          <w:rFonts w:hint="eastAsia" w:cs="宋体" w:asciiTheme="minorEastAsia" w:hAnsiTheme="minorEastAsia" w:eastAsiaTheme="minorEastAsia"/>
          <w:color w:val="auto"/>
          <w:szCs w:val="21"/>
          <w:highlight w:val="none"/>
        </w:rPr>
        <w:t>通知义务</w:t>
      </w:r>
      <w:bookmarkEnd w:id="672"/>
    </w:p>
    <w:p w14:paraId="31C18BC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除专用合同条件另有约定外，任何一方当事人变更除工伤保险之外的保险合同时，应事先征得另一方当事人同意，并通知工程师。</w:t>
      </w:r>
    </w:p>
    <w:p w14:paraId="6A7BAE6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保险事故发生时，投保人应按照保险合同规定的条件和期限及时向保险人报告。发包人和承包人应当在知道保险事故发生后及时通知对方。</w:t>
      </w:r>
    </w:p>
    <w:p w14:paraId="10414EC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双方按本条规定投保不减少双方在合同下的其他义务。</w:t>
      </w:r>
    </w:p>
    <w:p w14:paraId="51DFE8DF">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673" w:name="_Ref11874997"/>
      <w:bookmarkStart w:id="674" w:name="_Toc54862320"/>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19条 </w:t>
      </w:r>
      <w:r>
        <w:rPr>
          <w:rFonts w:hint="eastAsia" w:cs="宋体" w:asciiTheme="minorEastAsia" w:hAnsiTheme="minorEastAsia" w:eastAsiaTheme="minorEastAsia"/>
          <w:b/>
          <w:color w:val="auto"/>
          <w:szCs w:val="21"/>
          <w:highlight w:val="none"/>
        </w:rPr>
        <w:t>索赔</w:t>
      </w:r>
      <w:bookmarkEnd w:id="609"/>
      <w:bookmarkEnd w:id="610"/>
      <w:bookmarkEnd w:id="673"/>
      <w:bookmarkEnd w:id="674"/>
    </w:p>
    <w:p w14:paraId="192A75DA">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75" w:name="_Ref4798164"/>
      <w:bookmarkStart w:id="676" w:name="_Ref4798173"/>
      <w:bookmarkStart w:id="677" w:name="_Toc54862321"/>
      <w:r>
        <w:rPr>
          <w:rFonts w:cs="宋体" w:asciiTheme="minorEastAsia" w:hAnsiTheme="minorEastAsia" w:eastAsiaTheme="minorEastAsia"/>
          <w:color w:val="auto"/>
          <w:szCs w:val="21"/>
          <w:highlight w:val="none"/>
        </w:rPr>
        <w:t xml:space="preserve">19.1 </w:t>
      </w:r>
      <w:r>
        <w:rPr>
          <w:rFonts w:hint="eastAsia" w:cs="宋体" w:asciiTheme="minorEastAsia" w:hAnsiTheme="minorEastAsia" w:eastAsiaTheme="minorEastAsia"/>
          <w:color w:val="auto"/>
          <w:szCs w:val="21"/>
          <w:highlight w:val="none"/>
        </w:rPr>
        <w:t>索赔</w:t>
      </w:r>
      <w:bookmarkEnd w:id="675"/>
      <w:bookmarkEnd w:id="676"/>
      <w:r>
        <w:rPr>
          <w:rFonts w:hint="eastAsia" w:cs="宋体" w:asciiTheme="minorEastAsia" w:hAnsiTheme="minorEastAsia" w:eastAsiaTheme="minorEastAsia"/>
          <w:color w:val="auto"/>
          <w:szCs w:val="21"/>
          <w:highlight w:val="none"/>
        </w:rPr>
        <w:t>的提出</w:t>
      </w:r>
      <w:bookmarkEnd w:id="677"/>
    </w:p>
    <w:p w14:paraId="6C955F8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根据合同约定，任意一方认为有权得到追加</w:t>
      </w:r>
      <w:r>
        <w:rPr>
          <w:rFonts w:cs="宋体" w:asciiTheme="minorEastAsia" w:hAnsiTheme="minorEastAsia" w:eastAsiaTheme="minorEastAsia"/>
          <w:color w:val="auto"/>
          <w:szCs w:val="21"/>
          <w:highlight w:val="none"/>
        </w:rPr>
        <w:t>/减少付款、延长缺陷责任期和（或）延长工期的，应按以下程序向对方提出索赔：</w:t>
      </w:r>
    </w:p>
    <w:p w14:paraId="18FE064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索赔方应在知道或应当知道索赔事件发生后28天内，向对方递交索赔意向通知书，并说明发生索赔事件的事由；索赔方未在前述28天内发出索赔意向通知书的，丧失要求追加/减少付款、延长缺陷责任期和（或）延长工期的权利；</w:t>
      </w:r>
    </w:p>
    <w:p w14:paraId="4B5AF35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2）索赔方应在发出索赔意向通知书后28天内，向对方正式递交索赔报告；索赔报告应详细说明索赔理由以及要求追加的付款金额、延长缺陷责任期和（或）延长的工期，并附必要的记录和证明材料；</w:t>
      </w:r>
    </w:p>
    <w:p w14:paraId="369CA41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3）索赔事件具有持续影响的，索赔方应每月递交延续索赔通知，说明持续影响的实际情况和记录，列出累计的追加付款金额、延长缺陷责任期和（或）工期延长天数；</w:t>
      </w:r>
    </w:p>
    <w:p w14:paraId="01E289C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bookmarkStart w:id="678" w:name="_Ref4796178"/>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4）在索赔事件影响结束后28天内，索赔方应向对方递交最终索赔报告，说明最终要求索赔的追加付款金额、延长缺陷责任期和（或）延长的工期，并附必要的记录和证明材料。</w:t>
      </w:r>
      <w:bookmarkEnd w:id="678"/>
    </w:p>
    <w:p w14:paraId="1D49D25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5）承包人作为索赔方时，其索赔意向通知书、索赔报告及相关索赔文件应向工程师提出；发包人作为索赔方时，其索赔意向通知书、索赔报告及相关索赔文件可自行向承包人提出或由工程师向承包人提出。</w:t>
      </w:r>
    </w:p>
    <w:p w14:paraId="37D7F748">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79" w:name="_Ref4796262"/>
      <w:bookmarkStart w:id="680" w:name="_Ref4796254"/>
      <w:bookmarkStart w:id="681" w:name="_Toc54862322"/>
      <w:r>
        <w:rPr>
          <w:rFonts w:cs="宋体" w:asciiTheme="minorEastAsia" w:hAnsiTheme="minorEastAsia" w:eastAsiaTheme="minorEastAsia"/>
          <w:color w:val="auto"/>
          <w:szCs w:val="21"/>
          <w:highlight w:val="none"/>
        </w:rPr>
        <w:t xml:space="preserve">19.2 </w:t>
      </w:r>
      <w:r>
        <w:rPr>
          <w:rFonts w:hint="eastAsia" w:cs="宋体" w:asciiTheme="minorEastAsia" w:hAnsiTheme="minorEastAsia" w:eastAsiaTheme="minorEastAsia"/>
          <w:color w:val="auto"/>
          <w:szCs w:val="21"/>
          <w:highlight w:val="none"/>
        </w:rPr>
        <w:t>承包人索赔的处理程序</w:t>
      </w:r>
      <w:bookmarkEnd w:id="679"/>
      <w:bookmarkEnd w:id="680"/>
      <w:bookmarkEnd w:id="681"/>
    </w:p>
    <w:p w14:paraId="5FF871C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1）工程师收到承包人提交的索赔报告后，应及时审查索赔报告的内容、查验承包人的记录和证明材料，必要时工程师可要求承包人提交全部原始记录副本。</w:t>
      </w:r>
    </w:p>
    <w:p w14:paraId="6B941BD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工程师应按第3.6款[商定或确定]商定或确定追加的付款和（或）延长的工期，并在收到上述索赔报告或有关索赔的进一步证明材料后及时书面告知发包人，并在42天内，将发包人书面认可的索赔处理结果答复承包人。工程师在收到索赔报告或有关索赔的进一步证明材料后的42天内不予答复的，视为认可索赔。</w:t>
      </w:r>
    </w:p>
    <w:p w14:paraId="7C7881C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3）承包人接受索赔处理结果的，发包人应在作出索赔处理结果答复后28天内完成支付。承包人不接受索赔处理结果的，按照第20条[争议解决]约定处理。</w:t>
      </w:r>
    </w:p>
    <w:p w14:paraId="47230037">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82" w:name="_Toc54862323"/>
      <w:r>
        <w:rPr>
          <w:rFonts w:cs="宋体" w:asciiTheme="minorEastAsia" w:hAnsiTheme="minorEastAsia" w:eastAsiaTheme="minorEastAsia"/>
          <w:color w:val="auto"/>
          <w:szCs w:val="21"/>
          <w:highlight w:val="none"/>
        </w:rPr>
        <w:t xml:space="preserve">19.3 </w:t>
      </w:r>
      <w:r>
        <w:rPr>
          <w:rFonts w:hint="eastAsia" w:cs="宋体" w:asciiTheme="minorEastAsia" w:hAnsiTheme="minorEastAsia" w:eastAsiaTheme="minorEastAsia"/>
          <w:color w:val="auto"/>
          <w:szCs w:val="21"/>
          <w:highlight w:val="none"/>
        </w:rPr>
        <w:t>发包人索赔的处理程序</w:t>
      </w:r>
      <w:bookmarkEnd w:id="682"/>
    </w:p>
    <w:p w14:paraId="1A657B5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1）承包人收到发包人提交的索赔报告后，应及时审查索赔报告的内容、查验发包人证明材料；</w:t>
      </w:r>
    </w:p>
    <w:p w14:paraId="3B7025F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2）承包人应在收到上述索赔报告或有关索赔的进一步证明材料后42天内，将索赔处理结果答复发包人。承包人在收到索赔通知书或有关索赔的进一步证明材料后的42天内不予答复的，视为认可索赔。</w:t>
      </w:r>
    </w:p>
    <w:p w14:paraId="4224A96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3）发包人接受索赔处理结果的，发包人可从应支付给承包人的合同价款中扣除赔付的金额或延长缺陷责任期；发包人不接受索赔处理结果的，按第20条[争议解决]约定处理。</w:t>
      </w:r>
    </w:p>
    <w:p w14:paraId="44874159">
      <w:pPr>
        <w:adjustRightInd w:val="0"/>
        <w:snapToGrid w:val="0"/>
        <w:spacing w:line="360" w:lineRule="auto"/>
        <w:ind w:firstLine="420" w:firstLineChars="200"/>
        <w:outlineLvl w:val="9"/>
        <w:rPr>
          <w:rFonts w:cs="宋体" w:asciiTheme="minorEastAsia" w:hAnsiTheme="minorEastAsia" w:eastAsiaTheme="minorEastAsia"/>
          <w:b/>
          <w:color w:val="auto"/>
          <w:szCs w:val="21"/>
          <w:highlight w:val="none"/>
        </w:rPr>
      </w:pPr>
      <w:bookmarkStart w:id="683" w:name="_Toc54862324"/>
      <w:r>
        <w:rPr>
          <w:rFonts w:cs="宋体" w:asciiTheme="minorEastAsia" w:hAnsiTheme="minorEastAsia" w:eastAsiaTheme="minorEastAsia"/>
          <w:color w:val="auto"/>
          <w:szCs w:val="21"/>
          <w:highlight w:val="none"/>
        </w:rPr>
        <w:t xml:space="preserve">19.4 </w:t>
      </w:r>
      <w:r>
        <w:rPr>
          <w:rFonts w:hint="eastAsia" w:cs="宋体" w:asciiTheme="minorEastAsia" w:hAnsiTheme="minorEastAsia" w:eastAsiaTheme="minorEastAsia"/>
          <w:color w:val="auto"/>
          <w:szCs w:val="21"/>
          <w:highlight w:val="none"/>
        </w:rPr>
        <w:t>提出索赔的期限</w:t>
      </w:r>
      <w:bookmarkEnd w:id="683"/>
    </w:p>
    <w:p w14:paraId="7E7F4C8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1）承包人按第14.5款[竣工结算</w:t>
      </w:r>
      <w:bookmarkStart w:id="684" w:name="_Ref3826629"/>
      <w:bookmarkStart w:id="685" w:name="_Ref3826634"/>
      <w:r>
        <w:rPr>
          <w:rFonts w:cs="宋体" w:asciiTheme="minorEastAsia" w:hAnsiTheme="minorEastAsia" w:eastAsiaTheme="minorEastAsia"/>
          <w:color w:val="auto"/>
          <w:szCs w:val="21"/>
          <w:highlight w:val="none"/>
        </w:rPr>
        <w:t>]约定接收竣工付款证书后，应被认为已无权再提出在合同工程接收证书颁发前所发生的任何索赔。</w:t>
      </w:r>
    </w:p>
    <w:p w14:paraId="5AA118A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2）承包人按第14.7款[最终结清]提交的最终结清申请单中，只限于提出工程接收证书颁发后发生的索赔。提出索赔的期限均自接受最终结清证书时终止。</w:t>
      </w:r>
      <w:bookmarkEnd w:id="684"/>
      <w:bookmarkEnd w:id="685"/>
    </w:p>
    <w:p w14:paraId="494BE12C">
      <w:pPr>
        <w:adjustRightInd w:val="0"/>
        <w:snapToGrid w:val="0"/>
        <w:spacing w:line="360" w:lineRule="auto"/>
        <w:ind w:firstLine="422" w:firstLineChars="200"/>
        <w:outlineLvl w:val="9"/>
        <w:rPr>
          <w:rFonts w:cs="宋体" w:asciiTheme="minorEastAsia" w:hAnsiTheme="minorEastAsia" w:eastAsiaTheme="minorEastAsia"/>
          <w:b/>
          <w:color w:val="auto"/>
          <w:szCs w:val="21"/>
          <w:highlight w:val="none"/>
        </w:rPr>
      </w:pPr>
      <w:bookmarkStart w:id="686" w:name="_Toc54862325"/>
      <w:bookmarkStart w:id="687" w:name="_Ref532142075"/>
      <w:bookmarkStart w:id="688" w:name="_Ref532197861"/>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20条 </w:t>
      </w:r>
      <w:r>
        <w:rPr>
          <w:rFonts w:hint="eastAsia" w:cs="宋体" w:asciiTheme="minorEastAsia" w:hAnsiTheme="minorEastAsia" w:eastAsiaTheme="minorEastAsia"/>
          <w:b/>
          <w:color w:val="auto"/>
          <w:szCs w:val="21"/>
          <w:highlight w:val="none"/>
        </w:rPr>
        <w:t>争议解决</w:t>
      </w:r>
      <w:bookmarkEnd w:id="686"/>
      <w:bookmarkEnd w:id="687"/>
      <w:bookmarkEnd w:id="688"/>
    </w:p>
    <w:p w14:paraId="4EC2016A">
      <w:pPr>
        <w:pStyle w:val="99"/>
        <w:widowControl/>
        <w:spacing w:afterLines="0"/>
        <w:ind w:left="0" w:firstLine="420" w:firstLineChars="200"/>
        <w:outlineLvl w:val="9"/>
        <w:rPr>
          <w:rFonts w:cs="宋体" w:asciiTheme="minorEastAsia" w:hAnsiTheme="minorEastAsia" w:eastAsiaTheme="minorEastAsia"/>
          <w:b w:val="0"/>
          <w:bCs/>
          <w:color w:val="auto"/>
          <w:sz w:val="21"/>
          <w:szCs w:val="21"/>
          <w:highlight w:val="none"/>
        </w:rPr>
      </w:pPr>
      <w:bookmarkStart w:id="689" w:name="_Toc54862326"/>
      <w:bookmarkStart w:id="690" w:name="_Ref415507198"/>
      <w:r>
        <w:rPr>
          <w:rFonts w:cs="宋体" w:asciiTheme="minorEastAsia" w:hAnsiTheme="minorEastAsia" w:eastAsiaTheme="minorEastAsia"/>
          <w:b w:val="0"/>
          <w:bCs/>
          <w:color w:val="auto"/>
          <w:sz w:val="21"/>
          <w:szCs w:val="21"/>
          <w:highlight w:val="none"/>
        </w:rPr>
        <w:t xml:space="preserve">20.1 </w:t>
      </w:r>
      <w:r>
        <w:rPr>
          <w:rFonts w:hint="eastAsia" w:cs="宋体" w:asciiTheme="minorEastAsia" w:hAnsiTheme="minorEastAsia" w:eastAsiaTheme="minorEastAsia"/>
          <w:b w:val="0"/>
          <w:bCs/>
          <w:color w:val="auto"/>
          <w:sz w:val="21"/>
          <w:szCs w:val="21"/>
          <w:highlight w:val="none"/>
        </w:rPr>
        <w:t>和解</w:t>
      </w:r>
      <w:bookmarkEnd w:id="689"/>
      <w:bookmarkEnd w:id="690"/>
    </w:p>
    <w:p w14:paraId="5EC9C1A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合同当事人可以就争议自行和解，自行和解达成协议的经双方签字并盖章后作为合同补充文件，双方均应遵照执行。</w:t>
      </w:r>
    </w:p>
    <w:p w14:paraId="066122FE">
      <w:pPr>
        <w:pStyle w:val="99"/>
        <w:widowControl/>
        <w:spacing w:afterLines="0"/>
        <w:ind w:left="0" w:firstLine="420" w:firstLineChars="200"/>
        <w:outlineLvl w:val="9"/>
        <w:rPr>
          <w:rFonts w:cs="宋体" w:asciiTheme="minorEastAsia" w:hAnsiTheme="minorEastAsia" w:eastAsiaTheme="minorEastAsia"/>
          <w:b w:val="0"/>
          <w:bCs/>
          <w:color w:val="auto"/>
          <w:sz w:val="21"/>
          <w:szCs w:val="21"/>
          <w:highlight w:val="none"/>
        </w:rPr>
      </w:pPr>
      <w:bookmarkStart w:id="691" w:name="_Toc54862327"/>
      <w:r>
        <w:rPr>
          <w:rFonts w:cs="宋体" w:asciiTheme="minorEastAsia" w:hAnsiTheme="minorEastAsia" w:eastAsiaTheme="minorEastAsia"/>
          <w:b w:val="0"/>
          <w:bCs/>
          <w:color w:val="auto"/>
          <w:sz w:val="21"/>
          <w:szCs w:val="21"/>
          <w:highlight w:val="none"/>
        </w:rPr>
        <w:t xml:space="preserve">20.2 </w:t>
      </w:r>
      <w:r>
        <w:rPr>
          <w:rFonts w:hint="eastAsia" w:cs="宋体" w:asciiTheme="minorEastAsia" w:hAnsiTheme="minorEastAsia" w:eastAsiaTheme="minorEastAsia"/>
          <w:b w:val="0"/>
          <w:bCs/>
          <w:color w:val="auto"/>
          <w:sz w:val="21"/>
          <w:szCs w:val="21"/>
          <w:highlight w:val="none"/>
        </w:rPr>
        <w:t>调解</w:t>
      </w:r>
      <w:bookmarkEnd w:id="691"/>
    </w:p>
    <w:p w14:paraId="726E4B4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合同当事人可以就争议请求建设行政主管部门、行业协会或其他第三方进行调解，调解达成协议的，经双方签字盖章后作为合同补充文件，双方均应遵照执行。</w:t>
      </w:r>
    </w:p>
    <w:p w14:paraId="31A92558">
      <w:pPr>
        <w:pStyle w:val="99"/>
        <w:widowControl/>
        <w:spacing w:afterLines="0"/>
        <w:ind w:left="0" w:firstLine="420" w:firstLineChars="200"/>
        <w:outlineLvl w:val="9"/>
        <w:rPr>
          <w:rFonts w:cs="宋体" w:asciiTheme="minorEastAsia" w:hAnsiTheme="minorEastAsia" w:eastAsiaTheme="minorEastAsia"/>
          <w:b w:val="0"/>
          <w:bCs/>
          <w:color w:val="auto"/>
          <w:sz w:val="21"/>
          <w:szCs w:val="21"/>
          <w:highlight w:val="none"/>
        </w:rPr>
      </w:pPr>
      <w:bookmarkStart w:id="692" w:name="_Ref532221532"/>
      <w:bookmarkStart w:id="693" w:name="_Toc54862328"/>
      <w:bookmarkStart w:id="694" w:name="_Ref532221527"/>
      <w:r>
        <w:rPr>
          <w:rFonts w:cs="宋体" w:asciiTheme="minorEastAsia" w:hAnsiTheme="minorEastAsia" w:eastAsiaTheme="minorEastAsia"/>
          <w:b w:val="0"/>
          <w:bCs/>
          <w:color w:val="auto"/>
          <w:sz w:val="21"/>
          <w:szCs w:val="21"/>
          <w:highlight w:val="none"/>
        </w:rPr>
        <w:t xml:space="preserve">20.3 </w:t>
      </w:r>
      <w:r>
        <w:rPr>
          <w:rFonts w:hint="eastAsia" w:cs="宋体" w:asciiTheme="minorEastAsia" w:hAnsiTheme="minorEastAsia" w:eastAsiaTheme="minorEastAsia"/>
          <w:b w:val="0"/>
          <w:bCs/>
          <w:color w:val="auto"/>
          <w:sz w:val="21"/>
          <w:szCs w:val="21"/>
          <w:highlight w:val="none"/>
        </w:rPr>
        <w:t>争议评审</w:t>
      </w:r>
      <w:bookmarkEnd w:id="692"/>
      <w:bookmarkEnd w:id="693"/>
      <w:bookmarkEnd w:id="694"/>
    </w:p>
    <w:p w14:paraId="1826A690">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合同当事人在专用合同条件中约定采取争议评审方式及评审规则解决争议的，按下列约定执行：</w:t>
      </w:r>
    </w:p>
    <w:p w14:paraId="67601ECC">
      <w:pPr>
        <w:pStyle w:val="100"/>
        <w:spacing w:afterLines="0"/>
        <w:ind w:left="0" w:firstLine="420" w:firstLineChars="200"/>
        <w:outlineLvl w:val="9"/>
        <w:rPr>
          <w:rFonts w:cs="宋体" w:asciiTheme="minorEastAsia" w:hAnsiTheme="minorEastAsia" w:eastAsiaTheme="minorEastAsia"/>
          <w:color w:val="auto"/>
          <w:sz w:val="21"/>
          <w:highlight w:val="none"/>
        </w:rPr>
      </w:pPr>
      <w:r>
        <w:rPr>
          <w:rFonts w:cs="宋体" w:asciiTheme="minorEastAsia" w:hAnsiTheme="minorEastAsia" w:eastAsiaTheme="minorEastAsia"/>
          <w:color w:val="auto"/>
          <w:sz w:val="21"/>
          <w:highlight w:val="none"/>
        </w:rPr>
        <w:t xml:space="preserve">20.3.1 </w:t>
      </w:r>
      <w:r>
        <w:rPr>
          <w:rFonts w:hint="eastAsia" w:cs="宋体" w:asciiTheme="minorEastAsia" w:hAnsiTheme="minorEastAsia" w:eastAsiaTheme="minorEastAsia"/>
          <w:color w:val="auto"/>
          <w:sz w:val="21"/>
          <w:highlight w:val="none"/>
        </w:rPr>
        <w:t>争议评审小组的确定</w:t>
      </w:r>
    </w:p>
    <w:p w14:paraId="4B681A6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合同当事人可以共同选择一名或三名争议评审员，组成争议评审小组。如专用合同条件未对成员人数进行约定，则应由三名成员组成。除专用合同条件另有约定外，合同当事人应当自合同订立后</w:t>
      </w:r>
      <w:r>
        <w:rPr>
          <w:rFonts w:cs="宋体" w:asciiTheme="minorEastAsia" w:hAnsiTheme="minorEastAsia" w:eastAsiaTheme="minorEastAsia"/>
          <w:color w:val="auto"/>
          <w:szCs w:val="21"/>
          <w:highlight w:val="none"/>
        </w:rPr>
        <w:t>28天内，或者争议发生后14天内，选定争议评审员。</w:t>
      </w:r>
    </w:p>
    <w:p w14:paraId="2DB5597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选择一名争议评审员的，由合同当事人共同确定；选择三名争议评审员的，各自选定一名，第三名成员由合同当事人共同确定或由合同当事人委托已选定的争议评审员共同确定，为首席争议评审员。争议评审员为一人且合同当事人未能达成一致的，或争议评审员为三人且合同当事人就首席争议评审员未能达成一致的，由专用合同条件约定的评审机构指定。</w:t>
      </w:r>
    </w:p>
    <w:p w14:paraId="4A99196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除专用合同条件另有约定外，争议评审员报酬由发包人和承包人各承担一半。</w:t>
      </w:r>
    </w:p>
    <w:p w14:paraId="12FF8571">
      <w:pPr>
        <w:pStyle w:val="100"/>
        <w:spacing w:afterLines="0"/>
        <w:ind w:left="0" w:firstLine="420" w:firstLineChars="200"/>
        <w:outlineLvl w:val="9"/>
        <w:rPr>
          <w:rFonts w:cs="宋体" w:asciiTheme="minorEastAsia" w:hAnsiTheme="minorEastAsia" w:eastAsiaTheme="minorEastAsia"/>
          <w:color w:val="auto"/>
          <w:sz w:val="21"/>
          <w:highlight w:val="none"/>
        </w:rPr>
      </w:pPr>
      <w:bookmarkStart w:id="695" w:name="_Ref532287270"/>
      <w:r>
        <w:rPr>
          <w:rFonts w:cs="宋体" w:asciiTheme="minorEastAsia" w:hAnsiTheme="minorEastAsia" w:eastAsiaTheme="minorEastAsia"/>
          <w:color w:val="auto"/>
          <w:sz w:val="21"/>
          <w:highlight w:val="none"/>
        </w:rPr>
        <w:t xml:space="preserve">20.3.2 </w:t>
      </w:r>
      <w:r>
        <w:rPr>
          <w:rFonts w:hint="eastAsia" w:cs="宋体" w:asciiTheme="minorEastAsia" w:hAnsiTheme="minorEastAsia" w:eastAsiaTheme="minorEastAsia"/>
          <w:color w:val="auto"/>
          <w:sz w:val="21"/>
          <w:highlight w:val="none"/>
        </w:rPr>
        <w:t>争议的避免</w:t>
      </w:r>
      <w:bookmarkEnd w:id="695"/>
    </w:p>
    <w:p w14:paraId="26D5B36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合同当事人协商一致，可以共同书面请求争议评审小组，就合同履行过程中可能出现争议的情况提供协助或进行非正式讨论，争议评审小组应给出公正的意见或建议。</w:t>
      </w:r>
    </w:p>
    <w:p w14:paraId="32B3CC3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此类协助或非正式讨论可在任何会议、施工现场视察或其他场合进行，并且除专用合同条件另有约定外，发包人和承包人均应出席。</w:t>
      </w:r>
    </w:p>
    <w:p w14:paraId="4EF8B04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争议评审小组在此类非正式讨论上给出的任何意见或建议，无论是口头还是书面的，对发包人和承包人不具有约束力，争议评审小组在之后的争议评审程序或决定中也不受此类意见或建议的约束。</w:t>
      </w:r>
    </w:p>
    <w:p w14:paraId="5CA05D00">
      <w:pPr>
        <w:pStyle w:val="100"/>
        <w:spacing w:afterLines="0"/>
        <w:ind w:left="0" w:firstLine="420" w:firstLineChars="200"/>
        <w:outlineLvl w:val="9"/>
        <w:rPr>
          <w:rFonts w:cs="宋体" w:asciiTheme="minorEastAsia" w:hAnsiTheme="minorEastAsia" w:eastAsiaTheme="minorEastAsia"/>
          <w:color w:val="auto"/>
          <w:sz w:val="21"/>
          <w:highlight w:val="none"/>
        </w:rPr>
      </w:pPr>
      <w:bookmarkStart w:id="696" w:name="_Ref4695594"/>
      <w:r>
        <w:rPr>
          <w:rFonts w:cs="宋体" w:asciiTheme="minorEastAsia" w:hAnsiTheme="minorEastAsia" w:eastAsiaTheme="minorEastAsia"/>
          <w:color w:val="auto"/>
          <w:sz w:val="21"/>
          <w:highlight w:val="none"/>
        </w:rPr>
        <w:t xml:space="preserve">20.3.3 </w:t>
      </w:r>
      <w:r>
        <w:rPr>
          <w:rFonts w:hint="eastAsia" w:cs="宋体" w:asciiTheme="minorEastAsia" w:hAnsiTheme="minorEastAsia" w:eastAsiaTheme="minorEastAsia"/>
          <w:color w:val="auto"/>
          <w:sz w:val="21"/>
          <w:highlight w:val="none"/>
        </w:rPr>
        <w:t>争议评审小组的决定</w:t>
      </w:r>
      <w:bookmarkEnd w:id="696"/>
    </w:p>
    <w:p w14:paraId="0675F415">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可在任何时间将与合同有关的任何争议共同提请争议评审小组进行评审。争议评审小组应秉持客观、公正原则，充分听取合同当事人的意见，依据相关法律、规范、标准、案例经验及商业惯例等，自收到争议评审申请报告后</w:t>
      </w:r>
      <w:r>
        <w:rPr>
          <w:rFonts w:cs="宋体" w:asciiTheme="minorEastAsia" w:hAnsiTheme="minorEastAsia" w:eastAsiaTheme="minorEastAsia"/>
          <w:color w:val="auto"/>
          <w:szCs w:val="21"/>
          <w:highlight w:val="none"/>
        </w:rPr>
        <w:t>14天或争议评审小组建议并经双方同意的其他期限内作出书面决定，并说明理由。合同当事人可以在专用合同条件中对本项事项另行约定。</w:t>
      </w:r>
    </w:p>
    <w:p w14:paraId="2BB5E0E2">
      <w:pPr>
        <w:pStyle w:val="100"/>
        <w:spacing w:afterLines="0"/>
        <w:ind w:left="0" w:firstLine="420" w:firstLineChars="200"/>
        <w:outlineLvl w:val="9"/>
        <w:rPr>
          <w:rFonts w:cs="宋体" w:asciiTheme="minorEastAsia" w:hAnsiTheme="minorEastAsia" w:eastAsiaTheme="minorEastAsia"/>
          <w:color w:val="auto"/>
          <w:sz w:val="21"/>
          <w:highlight w:val="none"/>
        </w:rPr>
      </w:pPr>
      <w:r>
        <w:rPr>
          <w:rFonts w:cs="宋体" w:asciiTheme="minorEastAsia" w:hAnsiTheme="minorEastAsia" w:eastAsiaTheme="minorEastAsia"/>
          <w:color w:val="auto"/>
          <w:sz w:val="21"/>
          <w:highlight w:val="none"/>
        </w:rPr>
        <w:t xml:space="preserve">20.3.4 </w:t>
      </w:r>
      <w:r>
        <w:rPr>
          <w:rFonts w:hint="eastAsia" w:cs="宋体" w:asciiTheme="minorEastAsia" w:hAnsiTheme="minorEastAsia" w:eastAsiaTheme="minorEastAsia"/>
          <w:color w:val="auto"/>
          <w:sz w:val="21"/>
          <w:highlight w:val="none"/>
        </w:rPr>
        <w:t>争议评审小组决定的效力</w:t>
      </w:r>
    </w:p>
    <w:p w14:paraId="7F1C258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争议评审小组作出的书面决定经合同当事人签字确认后，对双方具有约束力，双方应遵照执行。</w:t>
      </w:r>
    </w:p>
    <w:p w14:paraId="3040BB4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任何一方当事人不接受争议评审小组决定或不履行争议评审小组决定的，双方可选择采用其他争议解决方式。</w:t>
      </w:r>
    </w:p>
    <w:p w14:paraId="40E6EAB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任何一方当事人不接受争议评审小组的决定，并不影响暂时执行争议评审小组的决定，直到在后续的采用其他争议解决方式中对争议评审小组的决定进行了改变。</w:t>
      </w:r>
    </w:p>
    <w:p w14:paraId="4FBA9C9D">
      <w:pPr>
        <w:pStyle w:val="99"/>
        <w:widowControl/>
        <w:spacing w:afterLines="0"/>
        <w:ind w:left="0" w:firstLine="420" w:firstLineChars="200"/>
        <w:outlineLvl w:val="9"/>
        <w:rPr>
          <w:rFonts w:cs="宋体" w:asciiTheme="minorEastAsia" w:hAnsiTheme="minorEastAsia" w:eastAsiaTheme="minorEastAsia"/>
          <w:b w:val="0"/>
          <w:bCs/>
          <w:color w:val="auto"/>
          <w:sz w:val="21"/>
          <w:szCs w:val="21"/>
          <w:highlight w:val="none"/>
        </w:rPr>
      </w:pPr>
      <w:bookmarkStart w:id="697" w:name="_Ref532221748"/>
      <w:bookmarkStart w:id="698" w:name="_Ref532221752"/>
      <w:bookmarkStart w:id="699" w:name="_Toc54862329"/>
      <w:r>
        <w:rPr>
          <w:rFonts w:cs="宋体" w:asciiTheme="minorEastAsia" w:hAnsiTheme="minorEastAsia" w:eastAsiaTheme="minorEastAsia"/>
          <w:b w:val="0"/>
          <w:bCs/>
          <w:color w:val="auto"/>
          <w:sz w:val="21"/>
          <w:szCs w:val="21"/>
          <w:highlight w:val="none"/>
        </w:rPr>
        <w:t xml:space="preserve">20.4 </w:t>
      </w:r>
      <w:r>
        <w:rPr>
          <w:rFonts w:hint="eastAsia" w:cs="宋体" w:asciiTheme="minorEastAsia" w:hAnsiTheme="minorEastAsia" w:eastAsiaTheme="minorEastAsia"/>
          <w:b w:val="0"/>
          <w:bCs/>
          <w:color w:val="auto"/>
          <w:sz w:val="21"/>
          <w:szCs w:val="21"/>
          <w:highlight w:val="none"/>
        </w:rPr>
        <w:t>仲裁或诉讼</w:t>
      </w:r>
      <w:bookmarkEnd w:id="697"/>
      <w:bookmarkEnd w:id="698"/>
      <w:bookmarkEnd w:id="699"/>
    </w:p>
    <w:p w14:paraId="1C713B4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因合同及合同有关事项产生的争议，合同当事人可以在专用合同条件中约定以下一种方式解决争议：</w:t>
      </w:r>
    </w:p>
    <w:p w14:paraId="354B869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 xml:space="preserve">1） </w:t>
      </w:r>
      <w:r>
        <w:rPr>
          <w:rFonts w:hint="eastAsia" w:cs="宋体" w:asciiTheme="minorEastAsia" w:hAnsiTheme="minorEastAsia" w:eastAsiaTheme="minorEastAsia"/>
          <w:color w:val="auto"/>
          <w:szCs w:val="21"/>
          <w:highlight w:val="none"/>
        </w:rPr>
        <w:t>向约定的仲裁委员会申请仲裁；</w:t>
      </w:r>
    </w:p>
    <w:p w14:paraId="7151ED2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 xml:space="preserve">2） </w:t>
      </w:r>
      <w:r>
        <w:rPr>
          <w:rFonts w:hint="eastAsia" w:cs="宋体" w:asciiTheme="minorEastAsia" w:hAnsiTheme="minorEastAsia" w:eastAsiaTheme="minorEastAsia"/>
          <w:color w:val="auto"/>
          <w:szCs w:val="21"/>
          <w:highlight w:val="none"/>
        </w:rPr>
        <w:t>向有管辖权的人民法院起诉。</w:t>
      </w:r>
    </w:p>
    <w:p w14:paraId="0351DFF8">
      <w:pPr>
        <w:pStyle w:val="99"/>
        <w:widowControl/>
        <w:spacing w:afterLines="0"/>
        <w:ind w:left="0" w:firstLine="420" w:firstLineChars="200"/>
        <w:outlineLvl w:val="9"/>
        <w:rPr>
          <w:rFonts w:cs="宋体" w:asciiTheme="minorEastAsia" w:hAnsiTheme="minorEastAsia" w:eastAsiaTheme="minorEastAsia"/>
          <w:b w:val="0"/>
          <w:bCs/>
          <w:color w:val="auto"/>
          <w:sz w:val="21"/>
          <w:szCs w:val="21"/>
          <w:highlight w:val="none"/>
        </w:rPr>
      </w:pPr>
      <w:bookmarkStart w:id="700" w:name="_Toc54862330"/>
      <w:r>
        <w:rPr>
          <w:rFonts w:cs="宋体" w:asciiTheme="minorEastAsia" w:hAnsiTheme="minorEastAsia" w:eastAsiaTheme="minorEastAsia"/>
          <w:b w:val="0"/>
          <w:bCs/>
          <w:color w:val="auto"/>
          <w:sz w:val="21"/>
          <w:szCs w:val="21"/>
          <w:highlight w:val="none"/>
        </w:rPr>
        <w:t xml:space="preserve">20.5 </w:t>
      </w:r>
      <w:r>
        <w:rPr>
          <w:rFonts w:hint="eastAsia" w:cs="宋体" w:asciiTheme="minorEastAsia" w:hAnsiTheme="minorEastAsia" w:eastAsiaTheme="minorEastAsia"/>
          <w:b w:val="0"/>
          <w:bCs/>
          <w:color w:val="auto"/>
          <w:sz w:val="21"/>
          <w:szCs w:val="21"/>
          <w:highlight w:val="none"/>
        </w:rPr>
        <w:t>争议解决条款效力</w:t>
      </w:r>
      <w:bookmarkEnd w:id="700"/>
    </w:p>
    <w:p w14:paraId="73399F1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合同有关争议解决的条款独立存在，合同的不生效、无效、被撤销或者终止的，不影响合同中有关争议解决条款的效力。</w:t>
      </w:r>
    </w:p>
    <w:p w14:paraId="0C19962D">
      <w:pPr>
        <w:adjustRightInd w:val="0"/>
        <w:snapToGrid w:val="0"/>
        <w:spacing w:line="360" w:lineRule="auto"/>
        <w:ind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br w:type="page"/>
      </w:r>
    </w:p>
    <w:p w14:paraId="239264E4">
      <w:pPr>
        <w:pStyle w:val="95"/>
        <w:keepNext w:val="0"/>
        <w:keepLines w:val="0"/>
        <w:adjustRightInd w:val="0"/>
        <w:snapToGrid w:val="0"/>
        <w:spacing w:before="0" w:line="360" w:lineRule="auto"/>
        <w:ind w:firstLine="643"/>
        <w:jc w:val="center"/>
        <w:outlineLvl w:val="9"/>
        <w:rPr>
          <w:rFonts w:cs="宋体" w:asciiTheme="minorEastAsia" w:hAnsiTheme="minorEastAsia" w:eastAsiaTheme="minorEastAsia"/>
          <w:color w:val="auto"/>
          <w:sz w:val="21"/>
          <w:szCs w:val="21"/>
          <w:highlight w:val="none"/>
        </w:rPr>
      </w:pPr>
      <w:bookmarkStart w:id="701" w:name="_Toc54862331"/>
      <w:r>
        <w:rPr>
          <w:rFonts w:hint="eastAsia" w:cs="宋体" w:asciiTheme="minorEastAsia" w:hAnsiTheme="minorEastAsia" w:eastAsiaTheme="minorEastAsia"/>
          <w:color w:val="auto"/>
          <w:sz w:val="21"/>
          <w:szCs w:val="21"/>
          <w:highlight w:val="none"/>
        </w:rPr>
        <w:t>第三部分专用</w:t>
      </w:r>
      <w:bookmarkEnd w:id="701"/>
      <w:r>
        <w:rPr>
          <w:rFonts w:hint="eastAsia" w:cs="宋体" w:asciiTheme="minorEastAsia" w:hAnsiTheme="minorEastAsia" w:eastAsiaTheme="minorEastAsia"/>
          <w:color w:val="auto"/>
          <w:sz w:val="21"/>
          <w:szCs w:val="21"/>
          <w:highlight w:val="none"/>
        </w:rPr>
        <w:t>条款</w:t>
      </w:r>
    </w:p>
    <w:p w14:paraId="44C751D5">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02" w:name="_Toc54862332"/>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1条 </w:t>
      </w:r>
      <w:r>
        <w:rPr>
          <w:rFonts w:hint="eastAsia" w:cs="宋体" w:asciiTheme="minorEastAsia" w:hAnsiTheme="minorEastAsia" w:eastAsiaTheme="minorEastAsia"/>
          <w:b/>
          <w:color w:val="auto"/>
          <w:szCs w:val="21"/>
          <w:highlight w:val="none"/>
        </w:rPr>
        <w:t>一般约定</w:t>
      </w:r>
      <w:bookmarkEnd w:id="702"/>
    </w:p>
    <w:p w14:paraId="2AB512C3">
      <w:pPr>
        <w:adjustRightInd w:val="0"/>
        <w:snapToGrid w:val="0"/>
        <w:spacing w:line="500" w:lineRule="exact"/>
        <w:ind w:firstLine="422"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b/>
          <w:color w:val="auto"/>
          <w:szCs w:val="21"/>
          <w:highlight w:val="none"/>
        </w:rPr>
        <w:t xml:space="preserve">1.1 </w:t>
      </w:r>
      <w:r>
        <w:rPr>
          <w:rFonts w:hint="eastAsia" w:cs="宋体" w:asciiTheme="minorEastAsia" w:hAnsiTheme="minorEastAsia" w:eastAsiaTheme="minorEastAsia"/>
          <w:b/>
          <w:color w:val="auto"/>
          <w:szCs w:val="21"/>
          <w:highlight w:val="none"/>
        </w:rPr>
        <w:t>词语定义和解释</w:t>
      </w:r>
    </w:p>
    <w:p w14:paraId="6E7977C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1.1.1 </w:t>
      </w:r>
      <w:r>
        <w:rPr>
          <w:rFonts w:hint="eastAsia" w:cs="宋体" w:asciiTheme="minorEastAsia" w:hAnsiTheme="minorEastAsia" w:eastAsiaTheme="minorEastAsia"/>
          <w:color w:val="auto"/>
          <w:szCs w:val="21"/>
          <w:highlight w:val="none"/>
        </w:rPr>
        <w:t>合同</w:t>
      </w:r>
    </w:p>
    <w:p w14:paraId="3A918AB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1.1.1.10 </w:t>
      </w:r>
      <w:r>
        <w:rPr>
          <w:rFonts w:hint="eastAsia" w:cs="宋体" w:asciiTheme="minorEastAsia" w:hAnsiTheme="minorEastAsia" w:eastAsiaTheme="minorEastAsia"/>
          <w:color w:val="auto"/>
          <w:szCs w:val="21"/>
          <w:highlight w:val="none"/>
        </w:rPr>
        <w:t>其他合同文件：</w:t>
      </w:r>
      <w:r>
        <w:rPr>
          <w:rFonts w:hint="eastAsia" w:cs="宋体" w:asciiTheme="minorEastAsia" w:hAnsiTheme="minorEastAsia" w:eastAsiaTheme="minorEastAsia"/>
          <w:color w:val="auto"/>
          <w:szCs w:val="21"/>
          <w:highlight w:val="none"/>
          <w:u w:val="single"/>
        </w:rPr>
        <w:t>图纸及相关标准、规范及有关技术文件，招标文件及其澄清（答疑）纪要、投标文件及其修改文件，中标通知书，双方为履行本合同发生的相关工程洽商、变更等书面协议、文件</w:t>
      </w:r>
      <w:r>
        <w:rPr>
          <w:rFonts w:hint="eastAsia" w:cs="宋体" w:asciiTheme="minorEastAsia" w:hAnsiTheme="minorEastAsia" w:eastAsiaTheme="minorEastAsia"/>
          <w:color w:val="auto"/>
          <w:szCs w:val="21"/>
          <w:highlight w:val="none"/>
        </w:rPr>
        <w:t>。</w:t>
      </w:r>
    </w:p>
    <w:p w14:paraId="1F9A406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 </w:t>
      </w:r>
      <w:r>
        <w:rPr>
          <w:rFonts w:hint="eastAsia" w:cs="宋体" w:asciiTheme="minorEastAsia" w:hAnsiTheme="minorEastAsia" w:eastAsiaTheme="minorEastAsia"/>
          <w:color w:val="auto"/>
          <w:szCs w:val="21"/>
          <w:highlight w:val="none"/>
        </w:rPr>
        <w:t>工程和设备</w:t>
      </w:r>
    </w:p>
    <w:p w14:paraId="107A8D8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 xml:space="preserve">1.1.3.5 </w:t>
      </w:r>
      <w:r>
        <w:rPr>
          <w:rFonts w:hint="eastAsia" w:cs="宋体" w:asciiTheme="minorEastAsia" w:hAnsiTheme="minorEastAsia" w:eastAsiaTheme="minorEastAsia"/>
          <w:color w:val="auto"/>
          <w:szCs w:val="21"/>
          <w:highlight w:val="none"/>
        </w:rPr>
        <w:t>单位</w:t>
      </w:r>
      <w:r>
        <w:rPr>
          <w:rFonts w:cs="宋体" w:asciiTheme="minorEastAsia" w:hAnsiTheme="minorEastAsia" w:eastAsiaTheme="minorEastAsia"/>
          <w:color w:val="auto"/>
          <w:szCs w:val="21"/>
          <w:highlight w:val="none"/>
        </w:rPr>
        <w:t>/区段工程的范围：</w:t>
      </w:r>
      <w:r>
        <w:rPr>
          <w:rFonts w:hint="eastAsia" w:cs="宋体" w:asciiTheme="minorEastAsia" w:hAnsiTheme="minorEastAsia" w:eastAsiaTheme="minorEastAsia"/>
          <w:color w:val="auto"/>
          <w:szCs w:val="21"/>
          <w:highlight w:val="none"/>
          <w:u w:val="single"/>
        </w:rPr>
        <w:t>完成本项目的设计及施工，直至竣工验收合格并移交、工程保修期内的缺陷修复和保修工作，同时承担相关协调工作</w:t>
      </w:r>
      <w:r>
        <w:rPr>
          <w:rFonts w:hint="eastAsia" w:cs="宋体" w:asciiTheme="minorEastAsia" w:hAnsiTheme="minorEastAsia" w:eastAsiaTheme="minorEastAsia"/>
          <w:color w:val="auto"/>
          <w:szCs w:val="21"/>
          <w:highlight w:val="none"/>
        </w:rPr>
        <w:t>。</w:t>
      </w:r>
    </w:p>
    <w:p w14:paraId="2B9C75A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1.1.3.9 </w:t>
      </w:r>
      <w:r>
        <w:rPr>
          <w:rFonts w:hint="eastAsia" w:cs="宋体" w:asciiTheme="minorEastAsia" w:hAnsiTheme="minorEastAsia" w:eastAsiaTheme="minorEastAsia"/>
          <w:color w:val="auto"/>
          <w:szCs w:val="21"/>
          <w:highlight w:val="none"/>
        </w:rPr>
        <w:t>作为施工场所组成部分的其他场所包括：</w:t>
      </w:r>
      <w:r>
        <w:rPr>
          <w:rFonts w:cs="宋体" w:asciiTheme="minorEastAsia" w:hAnsiTheme="minorEastAsia" w:eastAsiaTheme="minorEastAsia"/>
          <w:color w:val="auto"/>
          <w:szCs w:val="21"/>
          <w:highlight w:val="none"/>
          <w:u w:val="single"/>
        </w:rPr>
        <w:t xml:space="preserve">  无  </w:t>
      </w:r>
      <w:r>
        <w:rPr>
          <w:rFonts w:hint="eastAsia" w:cs="宋体" w:asciiTheme="minorEastAsia" w:hAnsiTheme="minorEastAsia" w:eastAsiaTheme="minorEastAsia"/>
          <w:color w:val="auto"/>
          <w:szCs w:val="21"/>
          <w:highlight w:val="none"/>
        </w:rPr>
        <w:t>。</w:t>
      </w:r>
    </w:p>
    <w:p w14:paraId="15A4B62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1.1.3.10 </w:t>
      </w:r>
      <w:r>
        <w:rPr>
          <w:rFonts w:hint="eastAsia" w:cs="宋体" w:asciiTheme="minorEastAsia" w:hAnsiTheme="minorEastAsia" w:eastAsiaTheme="minorEastAsia"/>
          <w:color w:val="auto"/>
          <w:szCs w:val="21"/>
          <w:highlight w:val="none"/>
        </w:rPr>
        <w:t>永久占地包括：</w:t>
      </w:r>
      <w:r>
        <w:rPr>
          <w:rFonts w:hint="eastAsia" w:cs="宋体" w:asciiTheme="minorEastAsia" w:hAnsiTheme="minorEastAsia" w:eastAsiaTheme="minorEastAsia"/>
          <w:color w:val="auto"/>
          <w:szCs w:val="21"/>
          <w:highlight w:val="none"/>
          <w:u w:val="single"/>
        </w:rPr>
        <w:t>用地红线以内</w:t>
      </w:r>
      <w:r>
        <w:rPr>
          <w:rFonts w:hint="eastAsia" w:cs="宋体" w:asciiTheme="minorEastAsia" w:hAnsiTheme="minorEastAsia" w:eastAsiaTheme="minorEastAsia"/>
          <w:color w:val="auto"/>
          <w:szCs w:val="21"/>
          <w:highlight w:val="none"/>
        </w:rPr>
        <w:t>。</w:t>
      </w:r>
    </w:p>
    <w:p w14:paraId="5ABF423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1.1.3.11 </w:t>
      </w:r>
      <w:r>
        <w:rPr>
          <w:rFonts w:hint="eastAsia" w:cs="宋体" w:asciiTheme="minorEastAsia" w:hAnsiTheme="minorEastAsia" w:eastAsiaTheme="minorEastAsia"/>
          <w:color w:val="auto"/>
          <w:szCs w:val="21"/>
          <w:highlight w:val="none"/>
        </w:rPr>
        <w:t>临时占地包括：</w:t>
      </w:r>
      <w:r>
        <w:rPr>
          <w:rFonts w:hint="eastAsia" w:cs="宋体" w:asciiTheme="minorEastAsia" w:hAnsiTheme="minorEastAsia" w:eastAsiaTheme="minorEastAsia"/>
          <w:color w:val="auto"/>
          <w:szCs w:val="21"/>
          <w:highlight w:val="none"/>
          <w:u w:val="single"/>
        </w:rPr>
        <w:t>投标单位按照招标文件提供项目概况自行考虑</w:t>
      </w:r>
      <w:r>
        <w:rPr>
          <w:rFonts w:hint="eastAsia" w:cs="宋体" w:asciiTheme="minorEastAsia" w:hAnsiTheme="minorEastAsia" w:eastAsiaTheme="minorEastAsia"/>
          <w:color w:val="auto"/>
          <w:szCs w:val="21"/>
          <w:highlight w:val="none"/>
        </w:rPr>
        <w:t>。</w:t>
      </w:r>
    </w:p>
    <w:p w14:paraId="3A442792">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1.2 </w:t>
      </w:r>
      <w:r>
        <w:rPr>
          <w:rFonts w:hint="eastAsia" w:cs="宋体" w:asciiTheme="minorEastAsia" w:hAnsiTheme="minorEastAsia" w:eastAsiaTheme="minorEastAsia"/>
          <w:b/>
          <w:color w:val="auto"/>
          <w:szCs w:val="21"/>
          <w:highlight w:val="none"/>
        </w:rPr>
        <w:t>语言文字</w:t>
      </w:r>
    </w:p>
    <w:p w14:paraId="6898E4C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本合同除使用汉语外，还使用</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语言。</w:t>
      </w:r>
    </w:p>
    <w:p w14:paraId="68670FBF">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1.3 </w:t>
      </w:r>
      <w:r>
        <w:rPr>
          <w:rFonts w:hint="eastAsia" w:cs="宋体" w:asciiTheme="minorEastAsia" w:hAnsiTheme="minorEastAsia" w:eastAsiaTheme="minorEastAsia"/>
          <w:b/>
          <w:color w:val="auto"/>
          <w:szCs w:val="21"/>
          <w:highlight w:val="none"/>
        </w:rPr>
        <w:t>法律</w:t>
      </w:r>
    </w:p>
    <w:p w14:paraId="158D1FF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适用于合同的其他规范性文件：</w:t>
      </w:r>
      <w:r>
        <w:rPr>
          <w:rFonts w:hint="eastAsia" w:cs="宋体" w:asciiTheme="minorEastAsia" w:hAnsiTheme="minorEastAsia" w:eastAsiaTheme="minorEastAsia"/>
          <w:color w:val="auto"/>
          <w:szCs w:val="21"/>
          <w:highlight w:val="none"/>
          <w:u w:val="single"/>
        </w:rPr>
        <w:t>《中华人民共和国民法典》、《中华人民共和国建筑法》、《中华人民共和国安全生产法》、《中华人民共和国招标投标法》、《中华人民共和国招标投标法实施条例》等相关法律法规。《建设工程质量管理条例》、《建设工程安全生产管理条例》、《建筑工程强制性标准条文》、《房屋建筑工程和市政基础设施工程竣工验收备案管理暂行办法》、建设部《房屋建筑工程质量保修办法》、现行《建筑工程质量验收统一标准》、《建筑工程施工及验收规范》、《建设工程勘察设计管理条例》、《建筑工程绿色施工规范》、《绿色建筑</w:t>
      </w:r>
      <w:r>
        <w:rPr>
          <w:rFonts w:hint="eastAsia" w:cs="宋体" w:asciiTheme="minorEastAsia" w:hAnsiTheme="minorEastAsia" w:eastAsiaTheme="minorEastAsia"/>
          <w:color w:val="auto"/>
          <w:szCs w:val="21"/>
          <w:highlight w:val="none"/>
          <w:u w:val="single"/>
          <w:lang w:val="en-US" w:eastAsia="zh-CN"/>
        </w:rPr>
        <w:t>技术</w:t>
      </w:r>
      <w:r>
        <w:rPr>
          <w:rFonts w:hint="eastAsia" w:cs="宋体" w:asciiTheme="minorEastAsia" w:hAnsiTheme="minorEastAsia" w:eastAsiaTheme="minorEastAsia"/>
          <w:color w:val="auto"/>
          <w:szCs w:val="21"/>
          <w:highlight w:val="none"/>
          <w:u w:val="single"/>
        </w:rPr>
        <w:t>导则》等国家、部委、陕西省及西安市现行及后续的有关法律、法规、规章、规范性文件等。</w:t>
      </w:r>
    </w:p>
    <w:p w14:paraId="1824DD26">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1.4 </w:t>
      </w:r>
      <w:r>
        <w:rPr>
          <w:rFonts w:hint="eastAsia" w:cs="宋体" w:asciiTheme="minorEastAsia" w:hAnsiTheme="minorEastAsia" w:eastAsiaTheme="minorEastAsia"/>
          <w:b/>
          <w:color w:val="auto"/>
          <w:szCs w:val="21"/>
          <w:highlight w:val="none"/>
        </w:rPr>
        <w:t>标准和规范</w:t>
      </w:r>
    </w:p>
    <w:p w14:paraId="1A3FEF1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 xml:space="preserve">1.4.1 </w:t>
      </w:r>
      <w:r>
        <w:rPr>
          <w:rFonts w:hint="eastAsia" w:cs="宋体" w:asciiTheme="minorEastAsia" w:hAnsiTheme="minorEastAsia" w:eastAsiaTheme="minorEastAsia"/>
          <w:color w:val="auto"/>
          <w:szCs w:val="21"/>
          <w:highlight w:val="none"/>
        </w:rPr>
        <w:t>适用于本合同的标准、规范（名称）包括：</w:t>
      </w:r>
      <w:r>
        <w:rPr>
          <w:rFonts w:hint="eastAsia" w:cs="宋体" w:asciiTheme="minorEastAsia" w:hAnsiTheme="minorEastAsia" w:eastAsiaTheme="minorEastAsia"/>
          <w:color w:val="auto"/>
          <w:szCs w:val="21"/>
          <w:highlight w:val="none"/>
          <w:u w:val="single"/>
        </w:rPr>
        <w:t>执行国家建筑工程现行的技术标准、施工验收规范及质量检验评定标准，以及材料、设备所涉及的现行国家、省、市或行业的工程建设标准、规范的要求。</w:t>
      </w:r>
    </w:p>
    <w:p w14:paraId="1F7BE0A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本工程以现行国家建筑及相关的施工验收技术规范，建筑工程质量检验评定标准和设计图纸、施工组织设计、图纸会审纪要等技术文件为依据进行施工，施工技术必须满足国家颁布的各项规范，特别是强制性条款；除本合同另有规定外，所有材料和工程的质量均应符合招标时已颁布的现行国家和地方相关标准与规范的相应规定和要求；在合同履行期间，本工程采用的标准或规范若有修改或新颁布，监理工程师认为有必要采用时，在报经发包人批准后，应向施工方发出变更指令</w:t>
      </w:r>
      <w:r>
        <w:rPr>
          <w:rFonts w:hint="eastAsia" w:cs="宋体" w:asciiTheme="minorEastAsia" w:hAnsiTheme="minorEastAsia" w:eastAsiaTheme="minorEastAsia"/>
          <w:color w:val="auto"/>
          <w:szCs w:val="21"/>
          <w:highlight w:val="none"/>
        </w:rPr>
        <w:t>。</w:t>
      </w:r>
    </w:p>
    <w:p w14:paraId="7B2641E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1.4.2 </w:t>
      </w:r>
      <w:r>
        <w:rPr>
          <w:rFonts w:hint="eastAsia" w:cs="宋体" w:asciiTheme="minorEastAsia" w:hAnsiTheme="minorEastAsia" w:eastAsiaTheme="minorEastAsia"/>
          <w:color w:val="auto"/>
          <w:szCs w:val="21"/>
          <w:highlight w:val="none"/>
        </w:rPr>
        <w:t>发包人提供的国外标准、规范的名称</w:t>
      </w:r>
      <w:r>
        <w:rPr>
          <w:rFonts w:hint="eastAsia" w:cs="宋体" w:asciiTheme="minorEastAsia" w:hAnsiTheme="minorEastAsia" w:eastAsiaTheme="minorEastAsia"/>
          <w:color w:val="auto"/>
          <w:szCs w:val="21"/>
          <w:highlight w:val="none"/>
          <w:lang w:eastAsia="zh-CN"/>
        </w:rPr>
        <w:t>、</w:t>
      </w:r>
      <w:r>
        <w:rPr>
          <w:rFonts w:hint="eastAsia" w:cs="宋体" w:asciiTheme="minorEastAsia" w:hAnsiTheme="minorEastAsia" w:eastAsiaTheme="minorEastAsia"/>
          <w:color w:val="auto"/>
          <w:szCs w:val="21"/>
          <w:highlight w:val="none"/>
        </w:rPr>
        <w:t>份数</w:t>
      </w:r>
      <w:r>
        <w:rPr>
          <w:rFonts w:hint="eastAsia" w:cs="宋体" w:asciiTheme="minorEastAsia" w:hAnsiTheme="minorEastAsia" w:eastAsiaTheme="minorEastAsia"/>
          <w:color w:val="auto"/>
          <w:szCs w:val="21"/>
          <w:highlight w:val="none"/>
          <w:lang w:eastAsia="zh-CN"/>
        </w:rPr>
        <w:t>、</w:t>
      </w:r>
      <w:r>
        <w:rPr>
          <w:rFonts w:hint="eastAsia" w:cs="宋体" w:asciiTheme="minorEastAsia" w:hAnsiTheme="minorEastAsia" w:eastAsiaTheme="minorEastAsia"/>
          <w:color w:val="auto"/>
          <w:szCs w:val="21"/>
          <w:highlight w:val="none"/>
        </w:rPr>
        <w:t>时间：</w:t>
      </w:r>
      <w:r>
        <w:rPr>
          <w:rFonts w:cs="宋体" w:asciiTheme="minorEastAsia" w:hAnsiTheme="minorEastAsia" w:eastAsiaTheme="minorEastAsia"/>
          <w:color w:val="auto"/>
          <w:szCs w:val="21"/>
          <w:highlight w:val="none"/>
          <w:u w:val="single"/>
        </w:rPr>
        <w:t xml:space="preserve">  /   </w:t>
      </w:r>
    </w:p>
    <w:p w14:paraId="22863B3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1.4.3 </w:t>
      </w:r>
      <w:r>
        <w:rPr>
          <w:rFonts w:hint="eastAsia" w:cs="宋体" w:asciiTheme="minorEastAsia" w:hAnsiTheme="minorEastAsia" w:eastAsiaTheme="minorEastAsia"/>
          <w:color w:val="auto"/>
          <w:szCs w:val="21"/>
          <w:highlight w:val="none"/>
        </w:rPr>
        <w:t>没有成文规范、标准规定的约定：</w:t>
      </w:r>
      <w:r>
        <w:rPr>
          <w:rFonts w:cs="宋体" w:asciiTheme="minorEastAsia" w:hAnsiTheme="minorEastAsia" w:eastAsiaTheme="minorEastAsia"/>
          <w:color w:val="auto"/>
          <w:szCs w:val="21"/>
          <w:highlight w:val="none"/>
          <w:u w:val="single"/>
        </w:rPr>
        <w:t xml:space="preserve">  无   </w:t>
      </w:r>
      <w:r>
        <w:rPr>
          <w:rFonts w:hint="eastAsia" w:cs="宋体" w:asciiTheme="minorEastAsia" w:hAnsiTheme="minorEastAsia" w:eastAsiaTheme="minorEastAsia"/>
          <w:color w:val="auto"/>
          <w:szCs w:val="21"/>
          <w:highlight w:val="none"/>
        </w:rPr>
        <w:t>。</w:t>
      </w:r>
    </w:p>
    <w:p w14:paraId="70A9280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1.4.4 </w:t>
      </w:r>
      <w:r>
        <w:rPr>
          <w:rFonts w:hint="eastAsia" w:cs="宋体" w:asciiTheme="minorEastAsia" w:hAnsiTheme="minorEastAsia" w:eastAsiaTheme="minorEastAsia"/>
          <w:color w:val="auto"/>
          <w:szCs w:val="21"/>
          <w:highlight w:val="none"/>
        </w:rPr>
        <w:t>发包人对于工程的技术标准、功能要求：</w:t>
      </w:r>
      <w:r>
        <w:rPr>
          <w:rFonts w:hint="eastAsia" w:cs="宋体" w:asciiTheme="minorEastAsia" w:hAnsiTheme="minorEastAsia" w:eastAsiaTheme="minorEastAsia"/>
          <w:color w:val="auto"/>
          <w:szCs w:val="21"/>
          <w:highlight w:val="none"/>
          <w:u w:val="single"/>
        </w:rPr>
        <w:t>采用行业或地方标准及规范，满足发包人标准化施工样板要求</w:t>
      </w:r>
      <w:r>
        <w:rPr>
          <w:rFonts w:hint="eastAsia" w:cs="宋体" w:asciiTheme="minorEastAsia" w:hAnsiTheme="minorEastAsia" w:eastAsiaTheme="minorEastAsia"/>
          <w:color w:val="auto"/>
          <w:szCs w:val="21"/>
          <w:highlight w:val="none"/>
        </w:rPr>
        <w:t>。</w:t>
      </w:r>
    </w:p>
    <w:p w14:paraId="1E34227C">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1.5 </w:t>
      </w:r>
      <w:r>
        <w:rPr>
          <w:rFonts w:hint="eastAsia" w:cs="宋体" w:asciiTheme="minorEastAsia" w:hAnsiTheme="minorEastAsia" w:eastAsiaTheme="minorEastAsia"/>
          <w:b/>
          <w:color w:val="auto"/>
          <w:szCs w:val="21"/>
          <w:highlight w:val="none"/>
        </w:rPr>
        <w:t>合同文件的优先顺序</w:t>
      </w:r>
    </w:p>
    <w:p w14:paraId="0072DE0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合同文件组成及优先顺序为：</w:t>
      </w:r>
    </w:p>
    <w:p w14:paraId="75200A6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本合同协议书</w:t>
      </w:r>
    </w:p>
    <w:p w14:paraId="289EEA0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本合同专用条款</w:t>
      </w:r>
    </w:p>
    <w:p w14:paraId="67BC253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zCs w:val="21"/>
          <w:highlight w:val="none"/>
          <w:u w:val="single"/>
        </w:rPr>
        <w:t>本合同通用条款</w:t>
      </w:r>
    </w:p>
    <w:p w14:paraId="71690E8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w:t>
      </w:r>
      <w:r>
        <w:rPr>
          <w:rFonts w:hint="eastAsia" w:cs="宋体" w:asciiTheme="minorEastAsia" w:hAnsiTheme="minorEastAsia" w:eastAsiaTheme="minorEastAsia"/>
          <w:color w:val="auto"/>
          <w:szCs w:val="21"/>
          <w:highlight w:val="none"/>
          <w:u w:val="single"/>
        </w:rPr>
        <w:t>中标通知书</w:t>
      </w:r>
      <w:r>
        <w:rPr>
          <w:rFonts w:hint="eastAsia" w:cs="宋体" w:asciiTheme="minorEastAsia" w:hAnsiTheme="minorEastAsia" w:eastAsiaTheme="minorEastAsia"/>
          <w:color w:val="auto"/>
          <w:szCs w:val="21"/>
          <w:highlight w:val="none"/>
        </w:rPr>
        <w:t>；</w:t>
      </w:r>
    </w:p>
    <w:p w14:paraId="6AE72A2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w:t>
      </w:r>
      <w:r>
        <w:rPr>
          <w:rFonts w:hint="eastAsia" w:cs="宋体" w:asciiTheme="minorEastAsia" w:hAnsiTheme="minorEastAsia" w:eastAsiaTheme="minorEastAsia"/>
          <w:color w:val="auto"/>
          <w:szCs w:val="21"/>
          <w:highlight w:val="none"/>
          <w:u w:val="single"/>
        </w:rPr>
        <w:t>投标函及其附录</w:t>
      </w:r>
      <w:r>
        <w:rPr>
          <w:rFonts w:hint="eastAsia" w:cs="宋体" w:asciiTheme="minorEastAsia" w:hAnsiTheme="minorEastAsia" w:eastAsiaTheme="minorEastAsia"/>
          <w:color w:val="auto"/>
          <w:szCs w:val="21"/>
          <w:highlight w:val="none"/>
        </w:rPr>
        <w:t>；</w:t>
      </w:r>
    </w:p>
    <w:p w14:paraId="5CF0A351">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w:t>
      </w:r>
      <w:r>
        <w:rPr>
          <w:rFonts w:hint="eastAsia" w:cs="宋体" w:asciiTheme="minorEastAsia" w:hAnsiTheme="minorEastAsia" w:eastAsiaTheme="minorEastAsia"/>
          <w:color w:val="auto"/>
          <w:szCs w:val="21"/>
          <w:highlight w:val="none"/>
          <w:u w:val="single"/>
        </w:rPr>
        <w:t>投标书、工程报价单及其附件</w:t>
      </w:r>
    </w:p>
    <w:p w14:paraId="5AF31E64">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w:t>
      </w:r>
      <w:r>
        <w:rPr>
          <w:rFonts w:hint="eastAsia" w:cs="宋体" w:asciiTheme="minorEastAsia" w:hAnsiTheme="minorEastAsia" w:eastAsiaTheme="minorEastAsia"/>
          <w:color w:val="auto"/>
          <w:szCs w:val="21"/>
          <w:highlight w:val="none"/>
          <w:u w:val="single"/>
        </w:rPr>
        <w:t>招标文件、答疑纪要、工程量列表及已标价工程量清单　</w:t>
      </w:r>
    </w:p>
    <w:p w14:paraId="3DF48DC5">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8）</w:t>
      </w:r>
      <w:r>
        <w:rPr>
          <w:rFonts w:hint="eastAsia" w:cs="宋体" w:asciiTheme="minorEastAsia" w:hAnsiTheme="minorEastAsia" w:eastAsiaTheme="minorEastAsia"/>
          <w:color w:val="auto"/>
          <w:szCs w:val="21"/>
          <w:highlight w:val="none"/>
          <w:u w:val="single"/>
        </w:rPr>
        <w:t>图纸</w:t>
      </w:r>
    </w:p>
    <w:p w14:paraId="2519AB4E">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9）</w:t>
      </w:r>
      <w:r>
        <w:rPr>
          <w:rFonts w:hint="eastAsia" w:cs="宋体" w:asciiTheme="minorEastAsia" w:hAnsiTheme="minorEastAsia" w:eastAsiaTheme="minorEastAsia"/>
          <w:color w:val="auto"/>
          <w:szCs w:val="21"/>
          <w:highlight w:val="none"/>
          <w:u w:val="single"/>
        </w:rPr>
        <w:t>标准、规范及有关技术文件</w:t>
      </w:r>
    </w:p>
    <w:p w14:paraId="29E72E2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上述各项合同文件包括合同当事人就该项合同文件所作出的补充和修改，属于同一类内容的文件，应以最新签署的为准。双方为履行本合同的有关洽商、变更等书面协议、文件，视为本合同的组成部分。质量标准以较高的标准为准，其他事项以形成在后并经发包人认可的书面文件为准。</w:t>
      </w:r>
    </w:p>
    <w:p w14:paraId="52D9134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在合同订立及履行过程中形成的与合同有关的文件均构成合同文件组成部分，并根据其性质确定优先解释顺序。</w:t>
      </w:r>
    </w:p>
    <w:p w14:paraId="0EEAEBE6">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1.6 </w:t>
      </w:r>
      <w:r>
        <w:rPr>
          <w:rFonts w:hint="eastAsia" w:cs="宋体" w:asciiTheme="minorEastAsia" w:hAnsiTheme="minorEastAsia" w:eastAsiaTheme="minorEastAsia"/>
          <w:b/>
          <w:color w:val="auto"/>
          <w:szCs w:val="21"/>
          <w:highlight w:val="none"/>
        </w:rPr>
        <w:t>文件的提供和照管</w:t>
      </w:r>
    </w:p>
    <w:p w14:paraId="4D4D4E5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1.6.1 </w:t>
      </w:r>
      <w:r>
        <w:rPr>
          <w:rFonts w:hint="eastAsia" w:cs="宋体" w:asciiTheme="minorEastAsia" w:hAnsiTheme="minorEastAsia" w:eastAsiaTheme="minorEastAsia"/>
          <w:color w:val="auto"/>
          <w:szCs w:val="21"/>
          <w:highlight w:val="none"/>
        </w:rPr>
        <w:t>发包人文件的提供</w:t>
      </w:r>
    </w:p>
    <w:p w14:paraId="284BE4C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发包人文件的提供期限、名称、数量和形式：</w:t>
      </w:r>
    </w:p>
    <w:p w14:paraId="191F1F0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发包人文件的提供期限：</w:t>
      </w:r>
      <w:r>
        <w:rPr>
          <w:rFonts w:hint="eastAsia" w:cs="宋体" w:asciiTheme="minorEastAsia" w:hAnsiTheme="minorEastAsia" w:eastAsiaTheme="minorEastAsia"/>
          <w:color w:val="auto"/>
          <w:szCs w:val="21"/>
          <w:highlight w:val="none"/>
          <w:u w:val="single"/>
        </w:rPr>
        <w:t>总承包合同签订后</w:t>
      </w:r>
      <w:r>
        <w:rPr>
          <w:rFonts w:cs="宋体" w:asciiTheme="minorEastAsia" w:hAnsiTheme="minorEastAsia" w:eastAsiaTheme="minorEastAsia"/>
          <w:color w:val="auto"/>
          <w:szCs w:val="21"/>
          <w:highlight w:val="none"/>
          <w:u w:val="single"/>
        </w:rPr>
        <w:t>7日内。</w:t>
      </w:r>
    </w:p>
    <w:p w14:paraId="60CC473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发包人文件的提供内容：</w:t>
      </w:r>
      <w:r>
        <w:rPr>
          <w:rFonts w:hint="eastAsia" w:cs="宋体" w:asciiTheme="minorEastAsia" w:hAnsiTheme="minorEastAsia" w:eastAsiaTheme="minorEastAsia"/>
          <w:color w:val="auto"/>
          <w:szCs w:val="21"/>
          <w:highlight w:val="none"/>
          <w:u w:val="single"/>
        </w:rPr>
        <w:t>发包人已完成的设计文件，以及发包人现有的其他与建设工程有关的原始资料</w:t>
      </w:r>
      <w:r>
        <w:rPr>
          <w:rFonts w:hint="eastAsia" w:cs="宋体" w:asciiTheme="minorEastAsia" w:hAnsiTheme="minorEastAsia" w:eastAsiaTheme="minorEastAsia"/>
          <w:color w:val="auto"/>
          <w:szCs w:val="21"/>
          <w:highlight w:val="none"/>
        </w:rPr>
        <w:t>。</w:t>
      </w:r>
    </w:p>
    <w:p w14:paraId="11B011A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发包人文件的提供的数量：</w:t>
      </w:r>
      <w:r>
        <w:rPr>
          <w:rFonts w:cs="宋体" w:asciiTheme="minorEastAsia" w:hAnsiTheme="minorEastAsia" w:eastAsiaTheme="minorEastAsia"/>
          <w:color w:val="auto"/>
          <w:szCs w:val="21"/>
          <w:highlight w:val="none"/>
          <w:u w:val="single"/>
        </w:rPr>
        <w:t>3套</w:t>
      </w:r>
      <w:r>
        <w:rPr>
          <w:rFonts w:hint="eastAsia" w:cs="宋体" w:asciiTheme="minorEastAsia" w:hAnsiTheme="minorEastAsia" w:eastAsiaTheme="minorEastAsia"/>
          <w:color w:val="auto"/>
          <w:szCs w:val="21"/>
          <w:highlight w:val="none"/>
        </w:rPr>
        <w:t>。</w:t>
      </w:r>
    </w:p>
    <w:p w14:paraId="4DDDDD5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1.6.2 </w:t>
      </w:r>
      <w:r>
        <w:rPr>
          <w:rFonts w:hint="eastAsia" w:cs="宋体" w:asciiTheme="minorEastAsia" w:hAnsiTheme="minorEastAsia" w:eastAsiaTheme="minorEastAsia"/>
          <w:color w:val="auto"/>
          <w:szCs w:val="21"/>
          <w:highlight w:val="none"/>
        </w:rPr>
        <w:t>承包人文件的提供</w:t>
      </w:r>
    </w:p>
    <w:p w14:paraId="07A3373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承包人文件的内容、提供期限、名称、数量和形式：</w:t>
      </w:r>
    </w:p>
    <w:p w14:paraId="11A4E5E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方案设计阶段设计文件、资料和图纸的份数和提交时间：</w:t>
      </w:r>
      <w:r>
        <w:rPr>
          <w:rFonts w:hint="eastAsia" w:cs="宋体" w:asciiTheme="minorEastAsia" w:hAnsiTheme="minorEastAsia" w:eastAsiaTheme="minorEastAsia"/>
          <w:color w:val="auto"/>
          <w:szCs w:val="21"/>
          <w:highlight w:val="none"/>
          <w:u w:val="single"/>
        </w:rPr>
        <w:t>详见附件《工期控制时间表》</w:t>
      </w:r>
      <w:r>
        <w:rPr>
          <w:rFonts w:hint="eastAsia" w:cs="宋体" w:asciiTheme="minorEastAsia" w:hAnsiTheme="minorEastAsia" w:eastAsiaTheme="minorEastAsia"/>
          <w:color w:val="auto"/>
          <w:szCs w:val="21"/>
          <w:highlight w:val="none"/>
        </w:rPr>
        <w:t>。</w:t>
      </w:r>
    </w:p>
    <w:p w14:paraId="71F6D32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初步设计阶段设计文件、资料和图纸的份数和提交时间：</w:t>
      </w:r>
      <w:r>
        <w:rPr>
          <w:rFonts w:hint="eastAsia" w:cs="宋体" w:asciiTheme="minorEastAsia" w:hAnsiTheme="minorEastAsia" w:eastAsiaTheme="minorEastAsia"/>
          <w:color w:val="auto"/>
          <w:szCs w:val="21"/>
          <w:highlight w:val="none"/>
          <w:u w:val="single"/>
        </w:rPr>
        <w:t>详见附件《工期控制时间表》</w:t>
      </w:r>
      <w:r>
        <w:rPr>
          <w:rFonts w:hint="eastAsia" w:cs="宋体" w:asciiTheme="minorEastAsia" w:hAnsiTheme="minorEastAsia" w:eastAsiaTheme="minorEastAsia"/>
          <w:color w:val="auto"/>
          <w:szCs w:val="21"/>
          <w:highlight w:val="none"/>
        </w:rPr>
        <w:t>。</w:t>
      </w:r>
    </w:p>
    <w:p w14:paraId="6AB9912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施工图设计阶段设计文件、资料和图纸的份数和提交时间：</w:t>
      </w:r>
      <w:r>
        <w:rPr>
          <w:rFonts w:hint="eastAsia" w:cs="宋体" w:asciiTheme="minorEastAsia" w:hAnsiTheme="minorEastAsia" w:eastAsiaTheme="minorEastAsia"/>
          <w:color w:val="auto"/>
          <w:szCs w:val="21"/>
          <w:highlight w:val="none"/>
          <w:u w:val="single"/>
        </w:rPr>
        <w:t>详见附件《工期控制时间表》</w:t>
      </w:r>
      <w:r>
        <w:rPr>
          <w:rFonts w:hint="eastAsia" w:cs="宋体" w:asciiTheme="minorEastAsia" w:hAnsiTheme="minorEastAsia" w:eastAsiaTheme="minorEastAsia"/>
          <w:color w:val="auto"/>
          <w:szCs w:val="21"/>
          <w:highlight w:val="none"/>
        </w:rPr>
        <w:t>。</w:t>
      </w:r>
    </w:p>
    <w:p w14:paraId="37737B3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承包人向发包人提供图纸的期限：</w:t>
      </w:r>
      <w:r>
        <w:rPr>
          <w:rFonts w:hint="eastAsia" w:cs="宋体" w:asciiTheme="minorEastAsia" w:hAnsiTheme="minorEastAsia" w:eastAsiaTheme="minorEastAsia"/>
          <w:color w:val="auto"/>
          <w:szCs w:val="21"/>
          <w:highlight w:val="none"/>
          <w:u w:val="single"/>
        </w:rPr>
        <w:t>详见附件《工期控制时间表》</w:t>
      </w:r>
      <w:r>
        <w:rPr>
          <w:rFonts w:hint="eastAsia" w:cs="宋体" w:asciiTheme="minorEastAsia" w:hAnsiTheme="minorEastAsia" w:eastAsiaTheme="minorEastAsia"/>
          <w:color w:val="auto"/>
          <w:szCs w:val="21"/>
          <w:highlight w:val="none"/>
        </w:rPr>
        <w:t>；</w:t>
      </w:r>
    </w:p>
    <w:p w14:paraId="12B40D5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承包人向发包人提供图纸的数量：</w:t>
      </w:r>
      <w:r>
        <w:rPr>
          <w:rFonts w:hint="eastAsia" w:cs="宋体" w:asciiTheme="minorEastAsia" w:hAnsiTheme="minorEastAsia" w:eastAsiaTheme="minorEastAsia"/>
          <w:color w:val="auto"/>
          <w:szCs w:val="21"/>
          <w:highlight w:val="none"/>
          <w:lang w:val="en-US" w:eastAsia="zh-CN"/>
        </w:rPr>
        <w:t>初步设计文件4套、</w:t>
      </w:r>
      <w:r>
        <w:rPr>
          <w:rFonts w:hint="eastAsia" w:cs="宋体" w:asciiTheme="minorEastAsia" w:hAnsiTheme="minorEastAsia" w:eastAsiaTheme="minorEastAsia"/>
          <w:color w:val="auto"/>
          <w:szCs w:val="21"/>
          <w:highlight w:val="none"/>
          <w:u w:val="single"/>
        </w:rPr>
        <w:t>提供</w:t>
      </w:r>
      <w:r>
        <w:rPr>
          <w:rFonts w:cs="宋体" w:asciiTheme="minorEastAsia" w:hAnsiTheme="minorEastAsia" w:eastAsiaTheme="minorEastAsia"/>
          <w:color w:val="auto"/>
          <w:szCs w:val="21"/>
          <w:highlight w:val="none"/>
          <w:u w:val="single"/>
        </w:rPr>
        <w:t>16套施工图纸，其中4套用于做竣工图</w:t>
      </w:r>
      <w:r>
        <w:rPr>
          <w:rFonts w:hint="eastAsia" w:cs="宋体" w:asciiTheme="minorEastAsia" w:hAnsiTheme="minorEastAsia" w:eastAsiaTheme="minorEastAsia"/>
          <w:color w:val="auto"/>
          <w:szCs w:val="21"/>
          <w:highlight w:val="none"/>
          <w:u w:val="single"/>
        </w:rPr>
        <w:t>，满足甲方要求</w:t>
      </w:r>
      <w:r>
        <w:rPr>
          <w:rFonts w:hint="eastAsia" w:cs="宋体" w:asciiTheme="minorEastAsia" w:hAnsiTheme="minorEastAsia" w:eastAsiaTheme="minorEastAsia"/>
          <w:color w:val="auto"/>
          <w:szCs w:val="21"/>
          <w:highlight w:val="none"/>
        </w:rPr>
        <w:t>；</w:t>
      </w:r>
    </w:p>
    <w:p w14:paraId="64B2AB3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承包人向发包人提供图纸的内容：</w:t>
      </w:r>
      <w:r>
        <w:rPr>
          <w:rFonts w:hint="eastAsia" w:cs="宋体" w:asciiTheme="minorEastAsia" w:hAnsiTheme="minorEastAsia" w:eastAsiaTheme="minorEastAsia"/>
          <w:color w:val="auto"/>
          <w:kern w:val="2"/>
          <w:sz w:val="21"/>
          <w:szCs w:val="21"/>
          <w:highlight w:val="none"/>
          <w:lang w:val="en-US" w:eastAsia="zh-CN" w:bidi="ar"/>
        </w:rPr>
        <w:t>初步设计、设计概算、施工图、相关设计类审查、</w:t>
      </w:r>
      <w:r>
        <w:rPr>
          <w:rFonts w:hint="eastAsia" w:cs="宋体" w:asciiTheme="minorEastAsia" w:hAnsiTheme="minorEastAsia" w:eastAsiaTheme="minorEastAsia"/>
          <w:color w:val="auto"/>
          <w:szCs w:val="21"/>
          <w:highlight w:val="none"/>
          <w:u w:val="single"/>
        </w:rPr>
        <w:t>重大危险性工程专项论证报告，安全文明施工措施方案等，</w:t>
      </w:r>
      <w:r>
        <w:rPr>
          <w:rFonts w:hint="eastAsia" w:cs="宋体" w:asciiTheme="minorEastAsia" w:hAnsiTheme="minorEastAsia" w:eastAsiaTheme="minorEastAsia"/>
          <w:color w:val="auto"/>
          <w:szCs w:val="21"/>
          <w:highlight w:val="none"/>
          <w:u w:val="none"/>
          <w:lang w:val="en-US" w:eastAsia="zh-CN"/>
        </w:rPr>
        <w:t>并</w:t>
      </w:r>
      <w:r>
        <w:rPr>
          <w:rFonts w:hint="eastAsia" w:cs="宋体" w:asciiTheme="minorEastAsia" w:hAnsiTheme="minorEastAsia" w:eastAsiaTheme="minorEastAsia"/>
          <w:color w:val="auto"/>
          <w:szCs w:val="21"/>
          <w:highlight w:val="none"/>
          <w:u w:val="none"/>
        </w:rPr>
        <w:t>满足甲方要求</w:t>
      </w:r>
      <w:r>
        <w:rPr>
          <w:rFonts w:hint="eastAsia" w:cs="宋体" w:asciiTheme="minorEastAsia" w:hAnsiTheme="minorEastAsia" w:eastAsiaTheme="minorEastAsia"/>
          <w:color w:val="auto"/>
          <w:szCs w:val="21"/>
          <w:highlight w:val="none"/>
          <w:u w:val="none"/>
          <w:lang w:eastAsia="zh-CN"/>
        </w:rPr>
        <w:t>；</w:t>
      </w:r>
      <w:r>
        <w:rPr>
          <w:rFonts w:hint="eastAsia" w:cs="宋体" w:asciiTheme="minorEastAsia" w:hAnsiTheme="minorEastAsia" w:eastAsiaTheme="minorEastAsia"/>
          <w:color w:val="auto"/>
          <w:kern w:val="2"/>
          <w:sz w:val="21"/>
          <w:szCs w:val="21"/>
          <w:highlight w:val="none"/>
          <w:lang w:val="en-US" w:eastAsia="zh-CN" w:bidi="ar"/>
        </w:rPr>
        <w:t>用于施工的图纸必须经审图机构、监理及审图单位审核通过，方可使用，并作为竣工结算的依据。</w:t>
      </w:r>
    </w:p>
    <w:p w14:paraId="05922D7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承包人向发包人提供图纸的形式：</w:t>
      </w:r>
      <w:r>
        <w:rPr>
          <w:rFonts w:hint="eastAsia" w:cs="宋体" w:asciiTheme="minorEastAsia" w:hAnsiTheme="minorEastAsia" w:eastAsiaTheme="minorEastAsia"/>
          <w:color w:val="auto"/>
          <w:szCs w:val="21"/>
          <w:highlight w:val="none"/>
          <w:u w:val="single"/>
        </w:rPr>
        <w:t>纸版及电子版均需</w:t>
      </w:r>
      <w:r>
        <w:rPr>
          <w:rFonts w:hint="eastAsia" w:cs="宋体" w:asciiTheme="minorEastAsia" w:hAnsiTheme="minorEastAsia" w:eastAsiaTheme="minorEastAsia"/>
          <w:color w:val="auto"/>
          <w:szCs w:val="21"/>
          <w:highlight w:val="none"/>
        </w:rPr>
        <w:t>。</w:t>
      </w:r>
    </w:p>
    <w:p w14:paraId="11C9101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需要由承包人提供的文件，包括：</w:t>
      </w:r>
      <w:r>
        <w:rPr>
          <w:rFonts w:hint="eastAsia" w:cs="宋体" w:asciiTheme="minorEastAsia" w:hAnsiTheme="minorEastAsia" w:eastAsiaTheme="minorEastAsia"/>
          <w:color w:val="auto"/>
          <w:szCs w:val="21"/>
          <w:highlight w:val="none"/>
          <w:u w:val="single"/>
        </w:rPr>
        <w:t>发包人要求提供的工程相关资料及文件</w:t>
      </w:r>
      <w:r>
        <w:rPr>
          <w:rFonts w:hint="eastAsia" w:cs="宋体" w:asciiTheme="minorEastAsia" w:hAnsiTheme="minorEastAsia" w:eastAsiaTheme="minorEastAsia"/>
          <w:color w:val="auto"/>
          <w:szCs w:val="21"/>
          <w:highlight w:val="none"/>
        </w:rPr>
        <w:t>；</w:t>
      </w:r>
    </w:p>
    <w:p w14:paraId="3A8A66D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承包人提供的文件的期限为：</w:t>
      </w:r>
      <w:r>
        <w:rPr>
          <w:rFonts w:hint="eastAsia" w:cs="宋体" w:asciiTheme="minorEastAsia" w:hAnsiTheme="minorEastAsia" w:eastAsiaTheme="minorEastAsia"/>
          <w:color w:val="auto"/>
          <w:szCs w:val="21"/>
          <w:highlight w:val="none"/>
          <w:u w:val="single"/>
        </w:rPr>
        <w:t>发包人提出需求之日起</w:t>
      </w:r>
      <w:r>
        <w:rPr>
          <w:rFonts w:cs="宋体" w:asciiTheme="minorEastAsia" w:hAnsiTheme="minorEastAsia" w:eastAsiaTheme="minorEastAsia"/>
          <w:color w:val="auto"/>
          <w:szCs w:val="21"/>
          <w:highlight w:val="none"/>
          <w:u w:val="single"/>
        </w:rPr>
        <w:t>7日内</w:t>
      </w:r>
      <w:r>
        <w:rPr>
          <w:rFonts w:hint="eastAsia" w:cs="宋体" w:asciiTheme="minorEastAsia" w:hAnsiTheme="minorEastAsia" w:eastAsiaTheme="minorEastAsia"/>
          <w:color w:val="auto"/>
          <w:szCs w:val="21"/>
          <w:highlight w:val="none"/>
        </w:rPr>
        <w:t>；</w:t>
      </w:r>
    </w:p>
    <w:p w14:paraId="62DE719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承包人提供的文件的数量为：</w:t>
      </w:r>
      <w:r>
        <w:rPr>
          <w:rFonts w:hint="eastAsia" w:cs="宋体" w:asciiTheme="minorEastAsia" w:hAnsiTheme="minorEastAsia" w:eastAsiaTheme="minorEastAsia"/>
          <w:color w:val="auto"/>
          <w:szCs w:val="21"/>
          <w:highlight w:val="none"/>
          <w:u w:val="single"/>
        </w:rPr>
        <w:t>根据发包人要求</w:t>
      </w:r>
      <w:r>
        <w:rPr>
          <w:rFonts w:hint="eastAsia" w:cs="宋体" w:asciiTheme="minorEastAsia" w:hAnsiTheme="minorEastAsia" w:eastAsiaTheme="minorEastAsia"/>
          <w:color w:val="auto"/>
          <w:szCs w:val="21"/>
          <w:highlight w:val="none"/>
        </w:rPr>
        <w:t>；</w:t>
      </w:r>
    </w:p>
    <w:p w14:paraId="3DB0AB3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承包人提供的文件的形式为：</w:t>
      </w:r>
      <w:r>
        <w:rPr>
          <w:rFonts w:hint="eastAsia" w:cs="宋体" w:asciiTheme="minorEastAsia" w:hAnsiTheme="minorEastAsia" w:eastAsiaTheme="minorEastAsia"/>
          <w:color w:val="auto"/>
          <w:szCs w:val="21"/>
          <w:highlight w:val="none"/>
          <w:u w:val="single"/>
        </w:rPr>
        <w:t>根据发包人要求</w:t>
      </w:r>
      <w:r>
        <w:rPr>
          <w:rFonts w:hint="eastAsia" w:cs="宋体" w:asciiTheme="minorEastAsia" w:hAnsiTheme="minorEastAsia" w:eastAsiaTheme="minorEastAsia"/>
          <w:color w:val="auto"/>
          <w:szCs w:val="21"/>
          <w:highlight w:val="none"/>
        </w:rPr>
        <w:t>；</w:t>
      </w:r>
    </w:p>
    <w:p w14:paraId="3D1049C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发包人审批承包人文件的期限：</w:t>
      </w:r>
      <w:r>
        <w:rPr>
          <w:rFonts w:hint="eastAsia" w:cs="宋体" w:asciiTheme="minorEastAsia" w:hAnsiTheme="minorEastAsia" w:eastAsiaTheme="minorEastAsia"/>
          <w:color w:val="auto"/>
          <w:szCs w:val="21"/>
          <w:highlight w:val="none"/>
          <w:u w:val="single"/>
        </w:rPr>
        <w:t>监理审批完毕递交发包人后</w:t>
      </w:r>
      <w:r>
        <w:rPr>
          <w:rFonts w:cs="宋体" w:asciiTheme="minorEastAsia" w:hAnsiTheme="minorEastAsia" w:eastAsiaTheme="minorEastAsia"/>
          <w:color w:val="auto"/>
          <w:szCs w:val="21"/>
          <w:highlight w:val="none"/>
          <w:u w:val="single"/>
        </w:rPr>
        <w:t>15日内</w:t>
      </w:r>
      <w:r>
        <w:rPr>
          <w:rFonts w:hint="eastAsia" w:cs="宋体" w:asciiTheme="minorEastAsia" w:hAnsiTheme="minorEastAsia" w:eastAsiaTheme="minorEastAsia"/>
          <w:color w:val="auto"/>
          <w:szCs w:val="21"/>
          <w:highlight w:val="none"/>
        </w:rPr>
        <w:t>；</w:t>
      </w:r>
    </w:p>
    <w:p w14:paraId="42506EC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关于现场图纸准备的约定：</w:t>
      </w:r>
      <w:r>
        <w:rPr>
          <w:rFonts w:hint="eastAsia" w:cs="宋体" w:asciiTheme="minorEastAsia" w:hAnsiTheme="minorEastAsia" w:eastAsiaTheme="minorEastAsia"/>
          <w:color w:val="auto"/>
          <w:szCs w:val="21"/>
          <w:highlight w:val="none"/>
          <w:u w:val="single"/>
        </w:rPr>
        <w:t>经发包人确认后由承包人</w:t>
      </w:r>
      <w:r>
        <w:rPr>
          <w:rFonts w:cs="宋体" w:asciiTheme="minorEastAsia" w:hAnsiTheme="minorEastAsia" w:eastAsiaTheme="minorEastAsia"/>
          <w:color w:val="auto"/>
          <w:szCs w:val="21"/>
          <w:highlight w:val="none"/>
          <w:u w:val="single"/>
        </w:rPr>
        <w:t>3日内提供</w:t>
      </w:r>
      <w:r>
        <w:rPr>
          <w:rFonts w:hint="eastAsia" w:cs="宋体" w:asciiTheme="minorEastAsia" w:hAnsiTheme="minorEastAsia" w:eastAsiaTheme="minorEastAsia"/>
          <w:color w:val="auto"/>
          <w:szCs w:val="21"/>
          <w:highlight w:val="none"/>
        </w:rPr>
        <w:t>。</w:t>
      </w:r>
    </w:p>
    <w:p w14:paraId="5862963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申请进度款支付时，承包人提供与施工进度同步的施工设计文件约定：包括施工说明、施工图、工程做法等，与进度款支付凭证份数相同，供四方签字盖章使用</w:t>
      </w:r>
      <w:r>
        <w:rPr>
          <w:rFonts w:hint="eastAsia" w:cs="宋体" w:asciiTheme="minorEastAsia" w:hAnsiTheme="minorEastAsia" w:eastAsiaTheme="minorEastAsia"/>
          <w:color w:val="auto"/>
          <w:szCs w:val="21"/>
          <w:highlight w:val="none"/>
        </w:rPr>
        <w:t>。</w:t>
      </w:r>
    </w:p>
    <w:p w14:paraId="5AD472D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1.6.4 </w:t>
      </w:r>
      <w:r>
        <w:rPr>
          <w:rFonts w:hint="eastAsia" w:cs="宋体" w:asciiTheme="minorEastAsia" w:hAnsiTheme="minorEastAsia" w:eastAsiaTheme="minorEastAsia"/>
          <w:color w:val="auto"/>
          <w:szCs w:val="21"/>
          <w:highlight w:val="none"/>
        </w:rPr>
        <w:t>文件的照管</w:t>
      </w:r>
    </w:p>
    <w:p w14:paraId="1E099BB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关于现场文件准备的约定：</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w:t>
      </w:r>
    </w:p>
    <w:p w14:paraId="01ABAB91">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1.7 </w:t>
      </w:r>
      <w:r>
        <w:rPr>
          <w:rFonts w:hint="eastAsia" w:cs="宋体" w:asciiTheme="minorEastAsia" w:hAnsiTheme="minorEastAsia" w:eastAsiaTheme="minorEastAsia"/>
          <w:b/>
          <w:color w:val="auto"/>
          <w:szCs w:val="21"/>
          <w:highlight w:val="none"/>
        </w:rPr>
        <w:t>联络</w:t>
      </w:r>
    </w:p>
    <w:p w14:paraId="0623F2BF">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1.7.1发包人和承包人应当在</w:t>
      </w:r>
      <w:r>
        <w:rPr>
          <w:rFonts w:hint="eastAsia" w:cs="宋体" w:asciiTheme="minorEastAsia" w:hAnsiTheme="minorEastAsia" w:eastAsiaTheme="minorEastAsia"/>
          <w:color w:val="auto"/>
          <w:kern w:val="0"/>
          <w:szCs w:val="21"/>
          <w:highlight w:val="none"/>
          <w:u w:val="single"/>
        </w:rPr>
        <w:t>发包人要求之日</w:t>
      </w:r>
      <w:r>
        <w:rPr>
          <w:rFonts w:cs="宋体" w:asciiTheme="minorEastAsia" w:hAnsiTheme="minorEastAsia" w:eastAsiaTheme="minorEastAsia"/>
          <w:color w:val="auto"/>
          <w:szCs w:val="21"/>
          <w:highlight w:val="none"/>
          <w:u w:val="single"/>
        </w:rPr>
        <w:t>7</w:t>
      </w:r>
      <w:r>
        <w:rPr>
          <w:rFonts w:hint="eastAsia" w:cs="宋体" w:asciiTheme="minorEastAsia" w:hAnsiTheme="minorEastAsia" w:eastAsiaTheme="minorEastAsia"/>
          <w:color w:val="auto"/>
          <w:kern w:val="0"/>
          <w:szCs w:val="21"/>
          <w:highlight w:val="none"/>
        </w:rPr>
        <w:t>天内将与合同有关的通知、批准、证明、证书、指示、指令、要求、请求、同意、意见、确定和决定等书面函件送达对方当事人。</w:t>
      </w:r>
    </w:p>
    <w:p w14:paraId="59FE461B">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xml:space="preserve">1.7.2 </w:t>
      </w:r>
      <w:r>
        <w:rPr>
          <w:rFonts w:hint="eastAsia" w:cs="宋体" w:asciiTheme="minorEastAsia" w:hAnsiTheme="minorEastAsia" w:eastAsiaTheme="minorEastAsia"/>
          <w:color w:val="auto"/>
          <w:kern w:val="0"/>
          <w:szCs w:val="21"/>
          <w:highlight w:val="none"/>
        </w:rPr>
        <w:t>发包人接收文件的地点：</w:t>
      </w:r>
      <w:r>
        <w:rPr>
          <w:rFonts w:hint="eastAsia" w:cs="宋体" w:asciiTheme="minorEastAsia" w:hAnsiTheme="minorEastAsia" w:eastAsiaTheme="minorEastAsia"/>
          <w:color w:val="auto"/>
          <w:szCs w:val="21"/>
          <w:highlight w:val="none"/>
          <w:u w:val="single"/>
        </w:rPr>
        <w:t>发包人项目经理部</w:t>
      </w:r>
      <w:r>
        <w:rPr>
          <w:rFonts w:cs="宋体" w:asciiTheme="minorEastAsia" w:hAnsiTheme="minorEastAsia" w:eastAsiaTheme="minorEastAsia"/>
          <w:color w:val="auto"/>
          <w:szCs w:val="21"/>
          <w:highlight w:val="none"/>
          <w:u w:val="single"/>
        </w:rPr>
        <w:t>/发包人公司办公地点</w:t>
      </w:r>
      <w:r>
        <w:rPr>
          <w:rFonts w:hint="eastAsia" w:cs="宋体" w:asciiTheme="minorEastAsia" w:hAnsiTheme="minorEastAsia" w:eastAsiaTheme="minorEastAsia"/>
          <w:color w:val="auto"/>
          <w:kern w:val="0"/>
          <w:szCs w:val="21"/>
          <w:highlight w:val="none"/>
        </w:rPr>
        <w:t>；</w:t>
      </w:r>
    </w:p>
    <w:p w14:paraId="7389DC81">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发包人指定的接收人为：</w:t>
      </w:r>
      <w:r>
        <w:rPr>
          <w:rFonts w:hint="eastAsia" w:cs="宋体" w:asciiTheme="minorEastAsia" w:hAnsiTheme="minorEastAsia" w:eastAsiaTheme="minorEastAsia"/>
          <w:color w:val="auto"/>
          <w:szCs w:val="21"/>
          <w:highlight w:val="none"/>
          <w:u w:val="single"/>
        </w:rPr>
        <w:t>发包人代表</w:t>
      </w:r>
      <w:r>
        <w:rPr>
          <w:rFonts w:cs="宋体" w:asciiTheme="minorEastAsia" w:hAnsiTheme="minorEastAsia" w:eastAsiaTheme="minorEastAsia"/>
          <w:color w:val="auto"/>
          <w:szCs w:val="21"/>
          <w:highlight w:val="none"/>
          <w:u w:val="single"/>
        </w:rPr>
        <w:t>/发包人公司法人</w:t>
      </w:r>
      <w:r>
        <w:rPr>
          <w:rFonts w:hint="eastAsia" w:cs="宋体" w:asciiTheme="minorEastAsia" w:hAnsiTheme="minorEastAsia" w:eastAsiaTheme="minorEastAsia"/>
          <w:color w:val="auto"/>
          <w:kern w:val="0"/>
          <w:szCs w:val="21"/>
          <w:highlight w:val="none"/>
        </w:rPr>
        <w:t>；</w:t>
      </w:r>
    </w:p>
    <w:p w14:paraId="059ADD53">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承包人接收文件的地点：</w:t>
      </w:r>
      <w:r>
        <w:rPr>
          <w:rFonts w:hint="eastAsia" w:cs="宋体" w:asciiTheme="minorEastAsia" w:hAnsiTheme="minorEastAsia" w:eastAsiaTheme="minorEastAsia"/>
          <w:color w:val="auto"/>
          <w:szCs w:val="21"/>
          <w:highlight w:val="none"/>
          <w:u w:val="single"/>
        </w:rPr>
        <w:t>承包人项目部</w:t>
      </w:r>
      <w:r>
        <w:rPr>
          <w:rFonts w:cs="宋体" w:asciiTheme="minorEastAsia" w:hAnsiTheme="minorEastAsia" w:eastAsiaTheme="minorEastAsia"/>
          <w:color w:val="auto"/>
          <w:szCs w:val="21"/>
          <w:highlight w:val="none"/>
          <w:u w:val="single"/>
        </w:rPr>
        <w:t>/承包公司办公地点</w:t>
      </w:r>
      <w:r>
        <w:rPr>
          <w:rFonts w:hint="eastAsia" w:cs="宋体" w:asciiTheme="minorEastAsia" w:hAnsiTheme="minorEastAsia" w:eastAsiaTheme="minorEastAsia"/>
          <w:color w:val="auto"/>
          <w:kern w:val="0"/>
          <w:szCs w:val="21"/>
          <w:highlight w:val="none"/>
        </w:rPr>
        <w:t>；</w:t>
      </w:r>
    </w:p>
    <w:p w14:paraId="301D0335">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承包人指定的接收人为：</w:t>
      </w:r>
      <w:r>
        <w:rPr>
          <w:rFonts w:hint="eastAsia" w:cs="宋体" w:asciiTheme="minorEastAsia" w:hAnsiTheme="minorEastAsia" w:eastAsiaTheme="minorEastAsia"/>
          <w:color w:val="auto"/>
          <w:szCs w:val="21"/>
          <w:highlight w:val="none"/>
          <w:u w:val="single"/>
        </w:rPr>
        <w:t>承包人项目经理</w:t>
      </w:r>
      <w:r>
        <w:rPr>
          <w:rFonts w:cs="宋体" w:asciiTheme="minorEastAsia" w:hAnsiTheme="minorEastAsia" w:eastAsiaTheme="minorEastAsia"/>
          <w:color w:val="auto"/>
          <w:szCs w:val="21"/>
          <w:highlight w:val="none"/>
          <w:u w:val="single"/>
        </w:rPr>
        <w:t>/承包人公司法人</w:t>
      </w:r>
      <w:r>
        <w:rPr>
          <w:rFonts w:hint="eastAsia" w:cs="宋体" w:asciiTheme="minorEastAsia" w:hAnsiTheme="minorEastAsia" w:eastAsiaTheme="minorEastAsia"/>
          <w:color w:val="auto"/>
          <w:kern w:val="0"/>
          <w:szCs w:val="21"/>
          <w:highlight w:val="none"/>
        </w:rPr>
        <w:t>；</w:t>
      </w:r>
    </w:p>
    <w:p w14:paraId="47D0C227">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监理人接收文件的地点：</w:t>
      </w:r>
      <w:r>
        <w:rPr>
          <w:rFonts w:hint="eastAsia" w:cs="宋体" w:asciiTheme="minorEastAsia" w:hAnsiTheme="minorEastAsia" w:eastAsiaTheme="minorEastAsia"/>
          <w:color w:val="auto"/>
          <w:szCs w:val="21"/>
          <w:highlight w:val="none"/>
          <w:u w:val="single"/>
        </w:rPr>
        <w:t>监理人项目部</w:t>
      </w:r>
      <w:r>
        <w:rPr>
          <w:rFonts w:cs="宋体" w:asciiTheme="minorEastAsia" w:hAnsiTheme="minorEastAsia" w:eastAsiaTheme="minorEastAsia"/>
          <w:color w:val="auto"/>
          <w:szCs w:val="21"/>
          <w:highlight w:val="none"/>
          <w:u w:val="single"/>
        </w:rPr>
        <w:t>/监理公司办公地点</w:t>
      </w:r>
      <w:r>
        <w:rPr>
          <w:rFonts w:hint="eastAsia" w:cs="宋体" w:asciiTheme="minorEastAsia" w:hAnsiTheme="minorEastAsia" w:eastAsiaTheme="minorEastAsia"/>
          <w:color w:val="auto"/>
          <w:kern w:val="0"/>
          <w:szCs w:val="21"/>
          <w:highlight w:val="none"/>
        </w:rPr>
        <w:t>；</w:t>
      </w:r>
    </w:p>
    <w:p w14:paraId="08CA1BF3">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监理人指定的接收人为：</w:t>
      </w:r>
      <w:r>
        <w:rPr>
          <w:rFonts w:hint="eastAsia" w:cs="宋体" w:asciiTheme="minorEastAsia" w:hAnsiTheme="minorEastAsia" w:eastAsiaTheme="minorEastAsia"/>
          <w:color w:val="auto"/>
          <w:szCs w:val="21"/>
          <w:highlight w:val="none"/>
          <w:u w:val="single"/>
        </w:rPr>
        <w:t>监理工程师</w:t>
      </w:r>
      <w:r>
        <w:rPr>
          <w:rFonts w:cs="宋体" w:asciiTheme="minorEastAsia" w:hAnsiTheme="minorEastAsia" w:eastAsiaTheme="minorEastAsia"/>
          <w:color w:val="auto"/>
          <w:szCs w:val="21"/>
          <w:highlight w:val="none"/>
          <w:u w:val="single"/>
        </w:rPr>
        <w:t>/监理公司法人</w:t>
      </w:r>
      <w:r>
        <w:rPr>
          <w:rFonts w:hint="eastAsia" w:cs="宋体" w:asciiTheme="minorEastAsia" w:hAnsiTheme="minorEastAsia" w:eastAsiaTheme="minorEastAsia"/>
          <w:color w:val="auto"/>
          <w:kern w:val="0"/>
          <w:szCs w:val="21"/>
          <w:highlight w:val="none"/>
        </w:rPr>
        <w:t>。</w:t>
      </w:r>
    </w:p>
    <w:p w14:paraId="61FB6C09">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1.10 </w:t>
      </w:r>
      <w:r>
        <w:rPr>
          <w:rFonts w:hint="eastAsia" w:cs="宋体" w:asciiTheme="minorEastAsia" w:hAnsiTheme="minorEastAsia" w:eastAsiaTheme="minorEastAsia"/>
          <w:b/>
          <w:color w:val="auto"/>
          <w:szCs w:val="21"/>
          <w:highlight w:val="none"/>
        </w:rPr>
        <w:t>知识产权</w:t>
      </w:r>
    </w:p>
    <w:p w14:paraId="264B143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1.10.1 </w:t>
      </w:r>
      <w:r>
        <w:rPr>
          <w:rFonts w:hint="eastAsia" w:cs="宋体" w:asciiTheme="minorEastAsia" w:hAnsiTheme="minorEastAsia" w:eastAsiaTheme="minorEastAsia"/>
          <w:color w:val="auto"/>
          <w:szCs w:val="21"/>
          <w:highlight w:val="none"/>
        </w:rPr>
        <w:t>由发包人（或以发包人名义）编制的《发包人要求》和其他文件的著作权归属：</w:t>
      </w:r>
      <w:r>
        <w:rPr>
          <w:rFonts w:hint="eastAsia" w:cs="宋体" w:asciiTheme="minorEastAsia" w:hAnsiTheme="minorEastAsia" w:eastAsiaTheme="minorEastAsia"/>
          <w:color w:val="auto"/>
          <w:szCs w:val="21"/>
          <w:highlight w:val="none"/>
          <w:u w:val="single"/>
        </w:rPr>
        <w:t>发包人。承包人未经发包人许可不得泄露给第三方，不得任意扩大接触和使用范围，不得泄露给与本工程无关的其他人员，因承包人原因造成泄密的，应承担赔偿损失等法律责任</w:t>
      </w:r>
      <w:r>
        <w:rPr>
          <w:rFonts w:hint="eastAsia" w:cs="宋体" w:asciiTheme="minorEastAsia" w:hAnsiTheme="minorEastAsia" w:eastAsiaTheme="minorEastAsia"/>
          <w:color w:val="auto"/>
          <w:szCs w:val="21"/>
          <w:highlight w:val="none"/>
        </w:rPr>
        <w:t>。</w:t>
      </w:r>
    </w:p>
    <w:p w14:paraId="0C3D736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1.10.2 </w:t>
      </w:r>
      <w:r>
        <w:rPr>
          <w:rFonts w:hint="eastAsia" w:cs="宋体" w:asciiTheme="minorEastAsia" w:hAnsiTheme="minorEastAsia" w:eastAsiaTheme="minorEastAsia"/>
          <w:color w:val="auto"/>
          <w:szCs w:val="21"/>
          <w:highlight w:val="none"/>
        </w:rPr>
        <w:t>由承包人（或以承包人名义）为实施工程所编制的文件、承包人完成的设计工作成果和建造完成的建筑物的知识产权归属：</w:t>
      </w:r>
      <w:r>
        <w:rPr>
          <w:rFonts w:hint="eastAsia" w:cs="宋体" w:asciiTheme="minorEastAsia" w:hAnsiTheme="minorEastAsia" w:eastAsiaTheme="minorEastAsia"/>
          <w:color w:val="auto"/>
          <w:szCs w:val="21"/>
          <w:highlight w:val="none"/>
          <w:u w:val="single"/>
        </w:rPr>
        <w:t>发包人。承包人未经发包人许可不得泄露给第三方，不得任意扩大接触和使用范围，不得泄露给与本工程无关的其他人员，因承包人原因造成泄密的，应承担赔偿损失等法律责任</w:t>
      </w:r>
      <w:r>
        <w:rPr>
          <w:rFonts w:hint="eastAsia" w:cs="宋体" w:asciiTheme="minorEastAsia" w:hAnsiTheme="minorEastAsia" w:eastAsiaTheme="minorEastAsia"/>
          <w:color w:val="auto"/>
          <w:szCs w:val="21"/>
          <w:highlight w:val="none"/>
        </w:rPr>
        <w:t>。</w:t>
      </w:r>
    </w:p>
    <w:p w14:paraId="65AA20D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1.10.4 </w:t>
      </w:r>
      <w:r>
        <w:rPr>
          <w:rFonts w:hint="eastAsia" w:cs="宋体" w:asciiTheme="minorEastAsia" w:hAnsiTheme="minorEastAsia" w:eastAsiaTheme="minorEastAsia"/>
          <w:color w:val="auto"/>
          <w:szCs w:val="21"/>
          <w:highlight w:val="none"/>
        </w:rPr>
        <w:t>承包人在投标文件中采用的专利、专有技术、技术秘密的使用费的承担方式：</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w:t>
      </w:r>
    </w:p>
    <w:p w14:paraId="0D6FB187">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1.11 </w:t>
      </w:r>
      <w:r>
        <w:rPr>
          <w:rFonts w:hint="eastAsia" w:cs="宋体" w:asciiTheme="minorEastAsia" w:hAnsiTheme="minorEastAsia" w:eastAsiaTheme="minorEastAsia"/>
          <w:b/>
          <w:color w:val="auto"/>
          <w:szCs w:val="21"/>
          <w:highlight w:val="none"/>
        </w:rPr>
        <w:t>保密</w:t>
      </w:r>
    </w:p>
    <w:p w14:paraId="099FCAF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双方订立的商业保密协议（名称）：</w:t>
      </w:r>
      <w:r>
        <w:rPr>
          <w:rFonts w:hint="eastAsia" w:cs="宋体" w:asciiTheme="minorEastAsia" w:hAnsiTheme="minorEastAsia" w:eastAsiaTheme="minorEastAsia"/>
          <w:color w:val="auto"/>
          <w:szCs w:val="21"/>
          <w:highlight w:val="none"/>
          <w:u w:val="single"/>
        </w:rPr>
        <w:t>双方根据实际情况，另行协商确定</w:t>
      </w:r>
      <w:r>
        <w:rPr>
          <w:rFonts w:hint="eastAsia" w:cs="宋体" w:asciiTheme="minorEastAsia" w:hAnsiTheme="minorEastAsia" w:eastAsiaTheme="minorEastAsia"/>
          <w:color w:val="auto"/>
          <w:szCs w:val="21"/>
          <w:highlight w:val="none"/>
        </w:rPr>
        <w:t>，作为本合同附件。</w:t>
      </w:r>
    </w:p>
    <w:p w14:paraId="59D351F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双方订立的技术保密协议（名称）：</w:t>
      </w:r>
      <w:r>
        <w:rPr>
          <w:rFonts w:hint="eastAsia" w:cs="宋体" w:asciiTheme="minorEastAsia" w:hAnsiTheme="minorEastAsia" w:eastAsiaTheme="minorEastAsia"/>
          <w:color w:val="auto"/>
          <w:szCs w:val="21"/>
          <w:highlight w:val="none"/>
          <w:u w:val="single"/>
        </w:rPr>
        <w:t>坐标、主体结构参数等，其它事项双方根据实际情况，另行协商确定</w:t>
      </w:r>
      <w:r>
        <w:rPr>
          <w:rFonts w:hint="eastAsia" w:cs="宋体" w:asciiTheme="minorEastAsia" w:hAnsiTheme="minorEastAsia" w:eastAsiaTheme="minorEastAsia"/>
          <w:color w:val="auto"/>
          <w:szCs w:val="21"/>
          <w:highlight w:val="none"/>
        </w:rPr>
        <w:t>，作为本合同附件。</w:t>
      </w:r>
    </w:p>
    <w:p w14:paraId="3C0019F8">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1.13 </w:t>
      </w:r>
      <w:r>
        <w:rPr>
          <w:rFonts w:hint="eastAsia" w:cs="宋体" w:asciiTheme="minorEastAsia" w:hAnsiTheme="minorEastAsia" w:eastAsiaTheme="minorEastAsia"/>
          <w:b/>
          <w:color w:val="auto"/>
          <w:szCs w:val="21"/>
          <w:highlight w:val="none"/>
        </w:rPr>
        <w:t>责任限制</w:t>
      </w:r>
    </w:p>
    <w:p w14:paraId="76469F5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承包人对发包人赔偿责任的最高限额为：</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w:t>
      </w:r>
    </w:p>
    <w:p w14:paraId="488BE314">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1.14 </w:t>
      </w:r>
      <w:r>
        <w:rPr>
          <w:rFonts w:hint="eastAsia" w:cs="宋体" w:asciiTheme="minorEastAsia" w:hAnsiTheme="minorEastAsia" w:eastAsiaTheme="minorEastAsia"/>
          <w:b/>
          <w:color w:val="auto"/>
          <w:szCs w:val="21"/>
          <w:highlight w:val="none"/>
        </w:rPr>
        <w:t>建筑信息模型技术的应用</w:t>
      </w:r>
    </w:p>
    <w:p w14:paraId="60FF1E8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关于建筑信息模型技术的开发、使用、存储、传输、交付及费用约定如下：</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57CB2C8C">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03" w:name="_Toc54862333"/>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2条 </w:t>
      </w:r>
      <w:r>
        <w:rPr>
          <w:rFonts w:hint="eastAsia" w:cs="宋体" w:asciiTheme="minorEastAsia" w:hAnsiTheme="minorEastAsia" w:eastAsiaTheme="minorEastAsia"/>
          <w:b/>
          <w:color w:val="auto"/>
          <w:szCs w:val="21"/>
          <w:highlight w:val="none"/>
        </w:rPr>
        <w:t>发包人</w:t>
      </w:r>
      <w:bookmarkEnd w:id="703"/>
    </w:p>
    <w:p w14:paraId="42A7E99B">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2.2 </w:t>
      </w:r>
      <w:r>
        <w:rPr>
          <w:rFonts w:hint="eastAsia" w:cs="宋体" w:asciiTheme="minorEastAsia" w:hAnsiTheme="minorEastAsia" w:eastAsiaTheme="minorEastAsia"/>
          <w:b/>
          <w:color w:val="auto"/>
          <w:szCs w:val="21"/>
          <w:highlight w:val="none"/>
        </w:rPr>
        <w:t>提供施工现场和工作条件</w:t>
      </w:r>
    </w:p>
    <w:p w14:paraId="7AE7AB8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2.2.1 </w:t>
      </w:r>
      <w:r>
        <w:rPr>
          <w:rFonts w:hint="eastAsia" w:cs="宋体" w:asciiTheme="minorEastAsia" w:hAnsiTheme="minorEastAsia" w:eastAsiaTheme="minorEastAsia"/>
          <w:color w:val="auto"/>
          <w:szCs w:val="21"/>
          <w:highlight w:val="none"/>
        </w:rPr>
        <w:t>提供施工现场</w:t>
      </w:r>
    </w:p>
    <w:p w14:paraId="74E771A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关于发包人提供施工现场的范围和期限：</w:t>
      </w:r>
      <w:r>
        <w:rPr>
          <w:rFonts w:hint="eastAsia" w:cs="宋体" w:asciiTheme="minorEastAsia" w:hAnsiTheme="minorEastAsia" w:eastAsiaTheme="minorEastAsia"/>
          <w:color w:val="auto"/>
          <w:szCs w:val="21"/>
          <w:highlight w:val="none"/>
          <w:u w:val="single"/>
        </w:rPr>
        <w:t>按照通用条款执行</w:t>
      </w:r>
      <w:r>
        <w:rPr>
          <w:rFonts w:hint="eastAsia" w:cs="宋体" w:asciiTheme="minorEastAsia" w:hAnsiTheme="minorEastAsia" w:eastAsiaTheme="minorEastAsia"/>
          <w:color w:val="auto"/>
          <w:szCs w:val="21"/>
          <w:highlight w:val="none"/>
        </w:rPr>
        <w:t>。</w:t>
      </w:r>
    </w:p>
    <w:p w14:paraId="203D00A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2.2.2 </w:t>
      </w:r>
      <w:r>
        <w:rPr>
          <w:rFonts w:hint="eastAsia" w:cs="宋体" w:asciiTheme="minorEastAsia" w:hAnsiTheme="minorEastAsia" w:eastAsiaTheme="minorEastAsia"/>
          <w:color w:val="auto"/>
          <w:szCs w:val="21"/>
          <w:highlight w:val="none"/>
        </w:rPr>
        <w:t>提供工作条件</w:t>
      </w:r>
    </w:p>
    <w:p w14:paraId="4005775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关于发包人应负责提供的工作条件包括：</w:t>
      </w:r>
      <w:r>
        <w:rPr>
          <w:rFonts w:hint="eastAsia" w:cs="宋体" w:asciiTheme="minorEastAsia" w:hAnsiTheme="minorEastAsia" w:eastAsiaTheme="minorEastAsia"/>
          <w:color w:val="auto"/>
          <w:szCs w:val="21"/>
          <w:highlight w:val="none"/>
          <w:u w:val="single"/>
        </w:rPr>
        <w:t>周边市政给水及雨污水管道尚未接通，承包人应自行解决施工、生活用水及排污问题，相关费用承包人自行承担。</w:t>
      </w:r>
      <w:r>
        <w:rPr>
          <w:rFonts w:cs="宋体" w:asciiTheme="minorEastAsia" w:hAnsiTheme="minorEastAsia" w:eastAsiaTheme="minorEastAsia"/>
          <w:color w:val="auto"/>
          <w:szCs w:val="21"/>
          <w:highlight w:val="none"/>
          <w:u w:val="single"/>
        </w:rPr>
        <w:t>计量设备由承包人自行解决并承担全部费用。承包人每月底向发包人缴纳水费、电费，或由发包人直接在工程款支付中扣除水费、电费（水费、电费标准执行施工当地有效标准）。承包人用水量、用电量以现场水电费扣款单为准进行确认；施工场地与公共道路的通道已开通；开工前提供工程地质和地下管线数据；合同签订后五日内将水平点与坐标控制点以书面形式交给承包人，并进行现场交验，由承包人引入施工现场；开工前进行图纸会审和设计交底；协调处理施工场地周围地下管线和邻近建筑物、构筑物（含文物保护建筑）、古树名木的保护工作（发包人在开工前负责告知承包人情况，发包人和承包人有义务共同相互协助做好这方面工作。开工后由承包人负责此项工作，并自行承担费用及由此引发的法律责任）。通讯线路和设备由施工单位自行解决并承担其费用</w:t>
      </w:r>
      <w:r>
        <w:rPr>
          <w:rFonts w:hint="eastAsia" w:cs="宋体" w:asciiTheme="minorEastAsia" w:hAnsiTheme="minorEastAsia" w:eastAsiaTheme="minorEastAsia"/>
          <w:color w:val="auto"/>
          <w:szCs w:val="21"/>
          <w:highlight w:val="none"/>
        </w:rPr>
        <w:t>。</w:t>
      </w:r>
    </w:p>
    <w:p w14:paraId="7DF46076">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2.3 </w:t>
      </w:r>
      <w:r>
        <w:rPr>
          <w:rFonts w:hint="eastAsia" w:cs="宋体" w:asciiTheme="minorEastAsia" w:hAnsiTheme="minorEastAsia" w:eastAsiaTheme="minorEastAsia"/>
          <w:b/>
          <w:color w:val="auto"/>
          <w:szCs w:val="21"/>
          <w:highlight w:val="none"/>
        </w:rPr>
        <w:t>提供基础资料</w:t>
      </w:r>
    </w:p>
    <w:p w14:paraId="119CB34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关于发包人应提供的基础资料的范围和期限：</w:t>
      </w:r>
      <w:r>
        <w:rPr>
          <w:rFonts w:hint="eastAsia" w:cs="宋体" w:asciiTheme="minorEastAsia" w:hAnsiTheme="minorEastAsia" w:eastAsiaTheme="minorEastAsia"/>
          <w:color w:val="auto"/>
          <w:szCs w:val="21"/>
          <w:highlight w:val="none"/>
          <w:u w:val="single"/>
        </w:rPr>
        <w:t>发包人已完成的设计文件，以及发包人现有的其他与建设工程有关的原始资料。合同签订后</w:t>
      </w:r>
      <w:r>
        <w:rPr>
          <w:rFonts w:cs="宋体" w:asciiTheme="minorEastAsia" w:hAnsiTheme="minorEastAsia" w:eastAsiaTheme="minorEastAsia"/>
          <w:color w:val="auto"/>
          <w:szCs w:val="21"/>
          <w:highlight w:val="none"/>
          <w:u w:val="single"/>
        </w:rPr>
        <w:t>7日内根据项目进度计划，发包人可分批分期提供资料一式3套</w:t>
      </w:r>
      <w:r>
        <w:rPr>
          <w:rFonts w:hint="eastAsia" w:cs="宋体" w:asciiTheme="minorEastAsia" w:hAnsiTheme="minorEastAsia" w:eastAsiaTheme="minorEastAsia"/>
          <w:color w:val="auto"/>
          <w:szCs w:val="21"/>
          <w:highlight w:val="none"/>
        </w:rPr>
        <w:t>。</w:t>
      </w:r>
    </w:p>
    <w:p w14:paraId="00BAC1BB">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2.5 </w:t>
      </w:r>
      <w:r>
        <w:rPr>
          <w:rFonts w:hint="eastAsia" w:cs="宋体" w:asciiTheme="minorEastAsia" w:hAnsiTheme="minorEastAsia" w:eastAsiaTheme="minorEastAsia"/>
          <w:b/>
          <w:color w:val="auto"/>
          <w:szCs w:val="21"/>
          <w:highlight w:val="none"/>
        </w:rPr>
        <w:t>支付合同价款</w:t>
      </w:r>
    </w:p>
    <w:p w14:paraId="4AF00E5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2.5.2 </w:t>
      </w:r>
      <w:r>
        <w:rPr>
          <w:rFonts w:hint="eastAsia" w:cs="宋体" w:asciiTheme="minorEastAsia" w:hAnsiTheme="minorEastAsia" w:eastAsiaTheme="minorEastAsia"/>
          <w:color w:val="auto"/>
          <w:szCs w:val="21"/>
          <w:highlight w:val="none"/>
        </w:rPr>
        <w:t>发包人提供资金来源证明及资金安排的期限要求：</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2A360E0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2.5.3 </w:t>
      </w:r>
      <w:r>
        <w:rPr>
          <w:rFonts w:hint="eastAsia" w:cs="宋体" w:asciiTheme="minorEastAsia" w:hAnsiTheme="minorEastAsia" w:eastAsiaTheme="minorEastAsia"/>
          <w:color w:val="auto"/>
          <w:szCs w:val="21"/>
          <w:highlight w:val="none"/>
        </w:rPr>
        <w:t>发包人提供支付担保的形式、期限、金额（或比例）：</w:t>
      </w:r>
      <w:r>
        <w:rPr>
          <w:rFonts w:hint="eastAsia" w:cs="宋体" w:asciiTheme="minorEastAsia" w:hAnsiTheme="minorEastAsia" w:eastAsiaTheme="minorEastAsia"/>
          <w:color w:val="auto"/>
          <w:szCs w:val="21"/>
          <w:highlight w:val="none"/>
          <w:u w:val="single"/>
        </w:rPr>
        <w:t>担保的形式：</w:t>
      </w:r>
      <w:r>
        <w:rPr>
          <w:rFonts w:hint="eastAsia" w:cs="宋体" w:asciiTheme="minorEastAsia" w:hAnsiTheme="minorEastAsia" w:eastAsiaTheme="minorEastAsia"/>
          <w:color w:val="auto"/>
          <w:kern w:val="0"/>
          <w:szCs w:val="21"/>
          <w:highlight w:val="none"/>
          <w:u w:val="single"/>
        </w:rPr>
        <w:t>现金转账、</w:t>
      </w:r>
      <w:r>
        <w:rPr>
          <w:rFonts w:hint="eastAsia" w:cs="宋体" w:asciiTheme="minorEastAsia" w:hAnsiTheme="minorEastAsia" w:eastAsiaTheme="minorEastAsia"/>
          <w:color w:val="auto"/>
          <w:szCs w:val="21"/>
          <w:highlight w:val="none"/>
          <w:u w:val="single"/>
        </w:rPr>
        <w:t>银行保函或工程信用担保；担保有效期：自合同签订之日起至竣工验收；担保的金额（或比例）：</w:t>
      </w:r>
      <w:r>
        <w:rPr>
          <w:rFonts w:hint="eastAsia" w:cs="宋体" w:asciiTheme="minorEastAsia" w:hAnsiTheme="minorEastAsia" w:eastAsiaTheme="minorEastAsia"/>
          <w:color w:val="FF0000"/>
          <w:szCs w:val="21"/>
          <w:highlight w:val="none"/>
          <w:u w:val="single"/>
        </w:rPr>
        <w:t>建筑安装工程费的10%</w:t>
      </w:r>
      <w:bookmarkStart w:id="1099" w:name="_GoBack"/>
      <w:bookmarkEnd w:id="1099"/>
      <w:r>
        <w:rPr>
          <w:rFonts w:hint="eastAsia" w:cs="宋体" w:asciiTheme="minorEastAsia" w:hAnsiTheme="minorEastAsia" w:eastAsiaTheme="minorEastAsia"/>
          <w:color w:val="FF0000"/>
          <w:szCs w:val="21"/>
          <w:highlight w:val="none"/>
          <w:u w:val="single"/>
        </w:rPr>
        <w:t>（不含暂估价工程、暂列金额）</w:t>
      </w:r>
      <w:r>
        <w:rPr>
          <w:rFonts w:cs="宋体" w:asciiTheme="minorEastAsia" w:hAnsiTheme="minorEastAsia" w:eastAsiaTheme="minorEastAsia"/>
          <w:color w:val="auto"/>
          <w:szCs w:val="21"/>
          <w:highlight w:val="none"/>
          <w:u w:val="single"/>
        </w:rPr>
        <w:t>（即¥</w:t>
      </w:r>
      <w:r>
        <w:rPr>
          <w:rFonts w:hint="eastAsia" w:cs="宋体" w:asciiTheme="minorEastAsia" w:hAnsiTheme="minorEastAsia" w:eastAsiaTheme="minorEastAsia"/>
          <w:color w:val="FF0000"/>
          <w:szCs w:val="21"/>
          <w:highlight w:val="none"/>
          <w:u w:val="single"/>
        </w:rPr>
        <w:t>24729373.46</w:t>
      </w:r>
      <w:r>
        <w:rPr>
          <w:rFonts w:cs="宋体" w:asciiTheme="minorEastAsia" w:hAnsiTheme="minorEastAsia" w:eastAsiaTheme="minorEastAsia"/>
          <w:color w:val="auto"/>
          <w:szCs w:val="21"/>
          <w:highlight w:val="none"/>
          <w:u w:val="single"/>
        </w:rPr>
        <w:t>元）</w:t>
      </w:r>
      <w:r>
        <w:rPr>
          <w:rFonts w:hint="eastAsia" w:cs="宋体" w:asciiTheme="minorEastAsia" w:hAnsiTheme="minorEastAsia" w:eastAsiaTheme="minorEastAsia"/>
          <w:color w:val="auto"/>
          <w:szCs w:val="21"/>
          <w:highlight w:val="none"/>
        </w:rPr>
        <w:t>。</w:t>
      </w:r>
    </w:p>
    <w:p w14:paraId="0AAE32A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支付保证金的退还：</w:t>
      </w:r>
      <w:r>
        <w:rPr>
          <w:rFonts w:hint="eastAsia" w:cs="宋体" w:asciiTheme="minorEastAsia" w:hAnsiTheme="minorEastAsia" w:eastAsiaTheme="minorEastAsia"/>
          <w:color w:val="auto"/>
          <w:szCs w:val="21"/>
          <w:highlight w:val="none"/>
          <w:u w:val="single"/>
        </w:rPr>
        <w:t>在工程竣工验收合格后</w:t>
      </w:r>
      <w:r>
        <w:rPr>
          <w:rFonts w:cs="宋体" w:asciiTheme="minorEastAsia" w:hAnsiTheme="minorEastAsia" w:eastAsiaTheme="minorEastAsia"/>
          <w:color w:val="auto"/>
          <w:szCs w:val="21"/>
          <w:highlight w:val="none"/>
          <w:u w:val="single"/>
        </w:rPr>
        <w:t>30天后，无息退还发包人支付保证金</w:t>
      </w:r>
      <w:r>
        <w:rPr>
          <w:rFonts w:hint="eastAsia" w:cs="宋体" w:asciiTheme="minorEastAsia" w:hAnsiTheme="minorEastAsia" w:eastAsiaTheme="minorEastAsia"/>
          <w:color w:val="auto"/>
          <w:szCs w:val="21"/>
          <w:highlight w:val="none"/>
        </w:rPr>
        <w:t>。</w:t>
      </w:r>
    </w:p>
    <w:p w14:paraId="320B5ADA">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2.7 </w:t>
      </w:r>
      <w:r>
        <w:rPr>
          <w:rFonts w:hint="eastAsia" w:cs="宋体" w:asciiTheme="minorEastAsia" w:hAnsiTheme="minorEastAsia" w:eastAsiaTheme="minorEastAsia"/>
          <w:b/>
          <w:color w:val="auto"/>
          <w:szCs w:val="21"/>
          <w:highlight w:val="none"/>
        </w:rPr>
        <w:t>其他义务</w:t>
      </w:r>
    </w:p>
    <w:p w14:paraId="365961C7">
      <w:pPr>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发包人应履行的其他义务：</w:t>
      </w:r>
      <w:r>
        <w:rPr>
          <w:rFonts w:hint="eastAsia" w:cs="宋体" w:asciiTheme="minorEastAsia" w:hAnsiTheme="minorEastAsia" w:eastAsiaTheme="minorEastAsia"/>
          <w:color w:val="auto"/>
          <w:szCs w:val="21"/>
          <w:highlight w:val="none"/>
          <w:u w:val="single"/>
        </w:rPr>
        <w:t>因发包人原因未能及时办理完毕包括但不限于建设用地规划许可证、建设工程规划许可证、建设工程施工许可证、施工所需临水、临电、中断道路交通、临时占用土地等许可和批准，发包人有权根据实际情况决定工程进度，并及时告知承包人，工期可以相应顺延，不认定为任一方违约，发包人可按照本合同专用条款约定的付款进度顺延付款</w:t>
      </w:r>
      <w:r>
        <w:rPr>
          <w:rFonts w:hint="eastAsia" w:cs="宋体" w:asciiTheme="minorEastAsia" w:hAnsiTheme="minorEastAsia" w:eastAsiaTheme="minorEastAsia"/>
          <w:color w:val="auto"/>
          <w:szCs w:val="21"/>
          <w:highlight w:val="none"/>
        </w:rPr>
        <w:t>。</w:t>
      </w:r>
    </w:p>
    <w:p w14:paraId="18418C04">
      <w:pPr>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桩基检测、基坑变形监测、沉降观测、消防、防雷、人防、环评、节能、能评、主体检测等由发包人委托检测。</w:t>
      </w:r>
    </w:p>
    <w:p w14:paraId="077E430A">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04" w:name="_Toc54862334"/>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3条 </w:t>
      </w:r>
      <w:r>
        <w:rPr>
          <w:rFonts w:hint="eastAsia" w:cs="宋体" w:asciiTheme="minorEastAsia" w:hAnsiTheme="minorEastAsia" w:eastAsiaTheme="minorEastAsia"/>
          <w:b/>
          <w:color w:val="auto"/>
          <w:szCs w:val="21"/>
          <w:highlight w:val="none"/>
        </w:rPr>
        <w:t>发包人的管理</w:t>
      </w:r>
      <w:bookmarkEnd w:id="704"/>
    </w:p>
    <w:p w14:paraId="7FFF9448">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3.1 </w:t>
      </w:r>
      <w:r>
        <w:rPr>
          <w:rFonts w:hint="eastAsia" w:cs="宋体" w:asciiTheme="minorEastAsia" w:hAnsiTheme="minorEastAsia" w:eastAsiaTheme="minorEastAsia"/>
          <w:b/>
          <w:color w:val="auto"/>
          <w:szCs w:val="21"/>
          <w:highlight w:val="none"/>
        </w:rPr>
        <w:t>发包人代表</w:t>
      </w:r>
    </w:p>
    <w:p w14:paraId="228B482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发包人代表的姓名：</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lang w:eastAsia="zh-CN"/>
        </w:rPr>
        <w:t>沈玢</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6CC3B65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发包人代表的身份证号：</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lang w:val="en-US" w:eastAsia="zh-CN"/>
        </w:rPr>
        <w:t>/</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7D48CCE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发包人代表的职务：</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lang w:eastAsia="zh-CN"/>
        </w:rPr>
        <w:t>发包人项目经理</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72C9AFB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发包人代表的联系电话：</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lang w:val="en-US" w:eastAsia="zh-CN"/>
        </w:rPr>
        <w:t>/</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55B9DBE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发包人代表的电子邮箱：</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lang w:val="en-US" w:eastAsia="zh-CN"/>
        </w:rPr>
        <w:t>/</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34D24F0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发包人代表的通信地址：</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lang w:val="en-US" w:eastAsia="zh-CN"/>
        </w:rPr>
        <w:t>/</w:t>
      </w:r>
      <w:r>
        <w:rPr>
          <w:rFonts w:cs="宋体" w:asciiTheme="minorEastAsia" w:hAnsiTheme="minorEastAsia" w:eastAsiaTheme="minorEastAsia"/>
          <w:color w:val="auto"/>
          <w:szCs w:val="21"/>
          <w:highlight w:val="none"/>
          <w:u w:val="single"/>
        </w:rPr>
        <w:t xml:space="preserve">         </w:t>
      </w:r>
    </w:p>
    <w:p w14:paraId="165F784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发包人对发包人代表的授权范围如下：</w:t>
      </w:r>
      <w:r>
        <w:rPr>
          <w:rFonts w:hint="eastAsia" w:cs="宋体" w:asciiTheme="minorEastAsia" w:hAnsiTheme="minorEastAsia" w:eastAsiaTheme="minorEastAsia"/>
          <w:color w:val="auto"/>
          <w:szCs w:val="21"/>
          <w:highlight w:val="none"/>
          <w:u w:val="single"/>
        </w:rPr>
        <w:t>代表发包人履行本合同，负责施工现场工程管理的一切事务，负责协调各施工方、监理方及发包人的关系，以及发包人授权的其他权利。除发包人代表对工程款支付、索赔、工期延长等关系项目进度及结算的权利行使需要征得发包人的书面同意方为有效外，发包人代表工作中的行为和指令均视为发包方具有法律效力的行为或指令。发包人代表的任何指令、签证，与本合同的约定有冲突的无效，除非经发包人书面追认。发包人代表超越职权或授权的行为无效，但经发包人书面追认的除外。发包人代表的具体权限以发包人书面的授权为准。发包人代表无权修改、变更本合同</w:t>
      </w:r>
      <w:r>
        <w:rPr>
          <w:rFonts w:hint="eastAsia" w:cs="宋体" w:asciiTheme="minorEastAsia" w:hAnsiTheme="minorEastAsia" w:eastAsiaTheme="minorEastAsia"/>
          <w:color w:val="auto"/>
          <w:szCs w:val="21"/>
          <w:highlight w:val="none"/>
        </w:rPr>
        <w:t>。</w:t>
      </w:r>
    </w:p>
    <w:p w14:paraId="2F8B656D">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3.2 </w:t>
      </w:r>
      <w:r>
        <w:rPr>
          <w:rFonts w:hint="eastAsia" w:cs="宋体" w:asciiTheme="minorEastAsia" w:hAnsiTheme="minorEastAsia" w:eastAsiaTheme="minorEastAsia"/>
          <w:b/>
          <w:color w:val="auto"/>
          <w:szCs w:val="21"/>
          <w:highlight w:val="none"/>
        </w:rPr>
        <w:t>发包人人员</w:t>
      </w:r>
    </w:p>
    <w:p w14:paraId="0BFF88B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发包人人员姓名：</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2B09521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发包人人员职务：</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12C42AB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发包人人员职责：</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7E2F4751">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3.3 </w:t>
      </w:r>
      <w:r>
        <w:rPr>
          <w:rFonts w:hint="eastAsia" w:cs="宋体" w:asciiTheme="minorEastAsia" w:hAnsiTheme="minorEastAsia" w:eastAsiaTheme="minorEastAsia"/>
          <w:b/>
          <w:color w:val="auto"/>
          <w:szCs w:val="21"/>
          <w:highlight w:val="none"/>
        </w:rPr>
        <w:t>工程师</w:t>
      </w:r>
    </w:p>
    <w:p w14:paraId="64D319B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3.3.1 </w:t>
      </w:r>
      <w:r>
        <w:rPr>
          <w:rFonts w:hint="eastAsia" w:cs="宋体" w:asciiTheme="minorEastAsia" w:hAnsiTheme="minorEastAsia" w:eastAsiaTheme="minorEastAsia"/>
          <w:color w:val="auto"/>
          <w:szCs w:val="21"/>
          <w:highlight w:val="none"/>
        </w:rPr>
        <w:t>工程师名称：</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；工程师监督管理范围、内容：</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；工程师权限：</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36284305">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3.6 </w:t>
      </w:r>
      <w:r>
        <w:rPr>
          <w:rFonts w:hint="eastAsia" w:cs="宋体" w:asciiTheme="minorEastAsia" w:hAnsiTheme="minorEastAsia" w:eastAsiaTheme="minorEastAsia"/>
          <w:b/>
          <w:color w:val="auto"/>
          <w:szCs w:val="21"/>
          <w:highlight w:val="none"/>
        </w:rPr>
        <w:t>商定或确定</w:t>
      </w:r>
    </w:p>
    <w:p w14:paraId="63D12E3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3.6.2 </w:t>
      </w:r>
      <w:r>
        <w:rPr>
          <w:rFonts w:hint="eastAsia" w:cs="宋体" w:asciiTheme="minorEastAsia" w:hAnsiTheme="minorEastAsia" w:eastAsiaTheme="minorEastAsia"/>
          <w:color w:val="auto"/>
          <w:szCs w:val="21"/>
          <w:highlight w:val="none"/>
        </w:rPr>
        <w:t>关于商定时间限制的具体约定：</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w:t>
      </w:r>
    </w:p>
    <w:p w14:paraId="4B91E71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3.6.3 </w:t>
      </w:r>
      <w:r>
        <w:rPr>
          <w:rFonts w:hint="eastAsia" w:cs="宋体" w:asciiTheme="minorEastAsia" w:hAnsiTheme="minorEastAsia" w:eastAsiaTheme="minorEastAsia"/>
          <w:color w:val="auto"/>
          <w:szCs w:val="21"/>
          <w:highlight w:val="none"/>
        </w:rPr>
        <w:t>关于商定或确定效力的具体约定：</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；关于对工程师的确定提出异议的具体约定：</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w:t>
      </w:r>
    </w:p>
    <w:p w14:paraId="064D4924">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3.7 </w:t>
      </w:r>
      <w:r>
        <w:rPr>
          <w:rFonts w:hint="eastAsia" w:cs="宋体" w:asciiTheme="minorEastAsia" w:hAnsiTheme="minorEastAsia" w:eastAsiaTheme="minorEastAsia"/>
          <w:b/>
          <w:color w:val="auto"/>
          <w:szCs w:val="21"/>
          <w:highlight w:val="none"/>
        </w:rPr>
        <w:t>会议</w:t>
      </w:r>
    </w:p>
    <w:p w14:paraId="7509B8D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3.7.1 </w:t>
      </w:r>
      <w:r>
        <w:rPr>
          <w:rFonts w:hint="eastAsia" w:cs="宋体" w:asciiTheme="minorEastAsia" w:hAnsiTheme="minorEastAsia" w:eastAsiaTheme="minorEastAsia"/>
          <w:color w:val="auto"/>
          <w:szCs w:val="21"/>
          <w:highlight w:val="none"/>
        </w:rPr>
        <w:t>关于召开会议的具体约定：</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7276761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3.7.2 </w:t>
      </w:r>
      <w:r>
        <w:rPr>
          <w:rFonts w:hint="eastAsia" w:cs="宋体" w:asciiTheme="minorEastAsia" w:hAnsiTheme="minorEastAsia" w:eastAsiaTheme="minorEastAsia"/>
          <w:color w:val="auto"/>
          <w:szCs w:val="21"/>
          <w:highlight w:val="none"/>
        </w:rPr>
        <w:t>关于保存和提供会议纪要的具体约定：</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0FD4CFF0">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05" w:name="_Toc54862335"/>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4条 </w:t>
      </w:r>
      <w:r>
        <w:rPr>
          <w:rFonts w:hint="eastAsia" w:cs="宋体" w:asciiTheme="minorEastAsia" w:hAnsiTheme="minorEastAsia" w:eastAsiaTheme="minorEastAsia"/>
          <w:b/>
          <w:color w:val="auto"/>
          <w:szCs w:val="21"/>
          <w:highlight w:val="none"/>
        </w:rPr>
        <w:t>承包人</w:t>
      </w:r>
      <w:bookmarkEnd w:id="705"/>
    </w:p>
    <w:p w14:paraId="71256399">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4.1 </w:t>
      </w:r>
      <w:r>
        <w:rPr>
          <w:rFonts w:hint="eastAsia" w:cs="宋体" w:asciiTheme="minorEastAsia" w:hAnsiTheme="minorEastAsia" w:eastAsiaTheme="minorEastAsia"/>
          <w:b/>
          <w:color w:val="auto"/>
          <w:szCs w:val="21"/>
          <w:highlight w:val="none"/>
        </w:rPr>
        <w:t>承包人的一般义务</w:t>
      </w:r>
    </w:p>
    <w:p w14:paraId="0B38565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承包人应履行的其他义务：</w:t>
      </w:r>
    </w:p>
    <w:p w14:paraId="469C4F6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rPr>
        <w:t>应提供计划、报表的名称及完成时间：①工程开工前</w:t>
      </w:r>
      <w:r>
        <w:rPr>
          <w:rFonts w:cs="宋体" w:asciiTheme="minorEastAsia" w:hAnsiTheme="minorEastAsia" w:eastAsiaTheme="minorEastAsia"/>
          <w:color w:val="auto"/>
          <w:szCs w:val="21"/>
          <w:highlight w:val="none"/>
          <w:u w:val="single"/>
        </w:rPr>
        <w:t>7天内向发包方代表、总监理工程师提交施工组织设计和施工总进度计划，并根据工程进度至少每一个月，或按照工程师的指令进行总进度计划的修订；②每月20日前提交下月详细工程进度计划（内容包括施工进度安排、材料及劳动力安排等）；③进场前7天内提供施工用电、用水计划。</w:t>
      </w:r>
    </w:p>
    <w:p w14:paraId="202B958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在签订合同之前已查看了工地及周围的环境，掌握了所有与工程施工有关或对施工有影响的情况，如地质土壤情况、水源、当地气候情况、道路、交通流量、劳动力的提供范围等。发包人将施工场地移交给承包人后，承包人有责任和义务保护自身合法权益，应对施工场地上发生的一切负责，若发生非政府原因（如当地居民干扰施工），或非发包人指令而影响施工导致的工期拖延及财产损失，发包人概不负责，由承包人自行承担。</w:t>
      </w:r>
    </w:p>
    <w:p w14:paraId="601E418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土方施工方案、测量施工方案、</w:t>
      </w:r>
      <w:r>
        <w:rPr>
          <w:rFonts w:hint="eastAsia" w:cs="宋体" w:asciiTheme="minorEastAsia" w:hAnsiTheme="minorEastAsia" w:eastAsiaTheme="minorEastAsia"/>
          <w:color w:val="auto"/>
          <w:szCs w:val="21"/>
          <w:highlight w:val="none"/>
          <w:u w:val="single"/>
          <w:lang w:eastAsia="zh-CN"/>
        </w:rPr>
        <w:t>防水工程施工方案、</w:t>
      </w:r>
      <w:r>
        <w:rPr>
          <w:rFonts w:hint="eastAsia" w:cs="宋体" w:asciiTheme="minorEastAsia" w:hAnsiTheme="minorEastAsia" w:eastAsiaTheme="minorEastAsia"/>
          <w:color w:val="auto"/>
          <w:szCs w:val="21"/>
          <w:highlight w:val="none"/>
          <w:u w:val="single"/>
        </w:rPr>
        <w:t>钢筋施工方案、模板施工方案、混凝土施工方案、钢结构施工方案、冬雨季施工方案、基础施工方案、电气施工方案、暖通施工方案、脚手架施工方案、职业健康与安全方案、环境方案、治污减霾方案、安装调试方案、各专项方案等，上述方案在施工前</w:t>
      </w:r>
      <w:r>
        <w:rPr>
          <w:rFonts w:cs="宋体" w:asciiTheme="minorEastAsia" w:hAnsiTheme="minorEastAsia" w:eastAsiaTheme="minorEastAsia"/>
          <w:color w:val="auto"/>
          <w:szCs w:val="21"/>
          <w:highlight w:val="none"/>
          <w:u w:val="single"/>
        </w:rPr>
        <w:t>7天向</w:t>
      </w:r>
      <w:r>
        <w:rPr>
          <w:rFonts w:hint="eastAsia" w:cs="宋体" w:asciiTheme="minorEastAsia" w:hAnsiTheme="minorEastAsia" w:eastAsiaTheme="minorEastAsia"/>
          <w:color w:val="auto"/>
          <w:szCs w:val="21"/>
          <w:highlight w:val="none"/>
          <w:u w:val="single"/>
        </w:rPr>
        <w:t>发包</w:t>
      </w:r>
      <w:r>
        <w:rPr>
          <w:rFonts w:cs="宋体" w:asciiTheme="minorEastAsia" w:hAnsiTheme="minorEastAsia" w:eastAsiaTheme="minorEastAsia"/>
          <w:color w:val="auto"/>
          <w:szCs w:val="21"/>
          <w:highlight w:val="none"/>
          <w:u w:val="single"/>
        </w:rPr>
        <w:t>人提供</w:t>
      </w:r>
      <w:r>
        <w:rPr>
          <w:rFonts w:hint="eastAsia" w:cs="宋体" w:asciiTheme="minorEastAsia" w:hAnsiTheme="minorEastAsia" w:eastAsiaTheme="minorEastAsia"/>
          <w:color w:val="auto"/>
          <w:szCs w:val="21"/>
          <w:highlight w:val="none"/>
          <w:u w:val="single"/>
        </w:rPr>
        <w:t>，份数满足发包人要求</w:t>
      </w:r>
      <w:r>
        <w:rPr>
          <w:rFonts w:cs="宋体" w:asciiTheme="minorEastAsia" w:hAnsiTheme="minorEastAsia" w:eastAsiaTheme="minorEastAsia"/>
          <w:color w:val="auto"/>
          <w:szCs w:val="21"/>
          <w:highlight w:val="none"/>
          <w:u w:val="single"/>
        </w:rPr>
        <w:t>。若因非承包人原因需调整施工方案，</w:t>
      </w:r>
      <w:r>
        <w:rPr>
          <w:rFonts w:hint="eastAsia" w:cs="宋体" w:asciiTheme="minorEastAsia" w:hAnsiTheme="minorEastAsia" w:eastAsiaTheme="minorEastAsia"/>
          <w:color w:val="auto"/>
          <w:szCs w:val="21"/>
          <w:highlight w:val="none"/>
          <w:u w:val="single"/>
          <w:lang w:eastAsia="zh-CN"/>
        </w:rPr>
        <w:t>不涉及</w:t>
      </w:r>
      <w:r>
        <w:rPr>
          <w:rFonts w:cs="宋体" w:asciiTheme="minorEastAsia" w:hAnsiTheme="minorEastAsia" w:eastAsiaTheme="minorEastAsia"/>
          <w:color w:val="auto"/>
          <w:szCs w:val="21"/>
          <w:highlight w:val="none"/>
          <w:u w:val="single"/>
        </w:rPr>
        <w:t>费用</w:t>
      </w:r>
      <w:r>
        <w:rPr>
          <w:rFonts w:hint="eastAsia" w:cs="宋体" w:asciiTheme="minorEastAsia" w:hAnsiTheme="minorEastAsia" w:eastAsiaTheme="minorEastAsia"/>
          <w:color w:val="auto"/>
          <w:szCs w:val="21"/>
          <w:highlight w:val="none"/>
          <w:u w:val="single"/>
          <w:lang w:eastAsia="zh-CN"/>
        </w:rPr>
        <w:t>调整</w:t>
      </w:r>
      <w:r>
        <w:rPr>
          <w:rFonts w:cs="宋体" w:asciiTheme="minorEastAsia" w:hAnsiTheme="minorEastAsia" w:eastAsiaTheme="minorEastAsia"/>
          <w:color w:val="auto"/>
          <w:szCs w:val="21"/>
          <w:highlight w:val="none"/>
          <w:u w:val="single"/>
        </w:rPr>
        <w:t>的施工方案经监理单位及发包人审批同意后实施，若涉及费用</w:t>
      </w:r>
      <w:r>
        <w:rPr>
          <w:rFonts w:hint="eastAsia" w:cs="宋体" w:asciiTheme="minorEastAsia" w:hAnsiTheme="minorEastAsia" w:eastAsiaTheme="minorEastAsia"/>
          <w:color w:val="auto"/>
          <w:szCs w:val="21"/>
          <w:highlight w:val="none"/>
          <w:u w:val="single"/>
          <w:lang w:eastAsia="zh-CN"/>
        </w:rPr>
        <w:t>调整的</w:t>
      </w:r>
      <w:r>
        <w:rPr>
          <w:rFonts w:cs="宋体" w:asciiTheme="minorEastAsia" w:hAnsiTheme="minorEastAsia" w:eastAsiaTheme="minorEastAsia"/>
          <w:color w:val="auto"/>
          <w:szCs w:val="21"/>
          <w:highlight w:val="none"/>
          <w:u w:val="single"/>
        </w:rPr>
        <w:t>，需经</w:t>
      </w:r>
      <w:r>
        <w:rPr>
          <w:rFonts w:hint="eastAsia" w:cs="宋体" w:asciiTheme="minorEastAsia" w:hAnsiTheme="minorEastAsia" w:eastAsiaTheme="minorEastAsia"/>
          <w:color w:val="auto"/>
          <w:szCs w:val="21"/>
          <w:highlight w:val="none"/>
          <w:u w:val="single"/>
        </w:rPr>
        <w:t>发包</w:t>
      </w:r>
      <w:r>
        <w:rPr>
          <w:rFonts w:cs="宋体" w:asciiTheme="minorEastAsia" w:hAnsiTheme="minorEastAsia" w:eastAsiaTheme="minorEastAsia"/>
          <w:color w:val="auto"/>
          <w:szCs w:val="21"/>
          <w:highlight w:val="none"/>
          <w:u w:val="single"/>
        </w:rPr>
        <w:t>人（成本管理部、招标采供部及其主管领导）审核确认，再经发包人内部审批最终审定后方可作为结算依据</w:t>
      </w:r>
      <w:r>
        <w:rPr>
          <w:rFonts w:hint="eastAsia" w:cs="宋体" w:asciiTheme="minorEastAsia" w:hAnsiTheme="minorEastAsia" w:eastAsiaTheme="minorEastAsia"/>
          <w:color w:val="auto"/>
          <w:szCs w:val="21"/>
          <w:highlight w:val="none"/>
          <w:u w:val="single"/>
          <w:lang w:eastAsia="zh-CN"/>
        </w:rPr>
        <w:t>；不及时报送的每次扣罚</w:t>
      </w:r>
      <w:r>
        <w:rPr>
          <w:rFonts w:hint="eastAsia" w:cs="宋体" w:asciiTheme="minorEastAsia" w:hAnsiTheme="minorEastAsia" w:eastAsiaTheme="minorEastAsia"/>
          <w:color w:val="auto"/>
          <w:szCs w:val="21"/>
          <w:highlight w:val="none"/>
          <w:u w:val="single"/>
          <w:lang w:val="en-US" w:eastAsia="zh-CN"/>
        </w:rPr>
        <w:t>1万元</w:t>
      </w:r>
      <w:r>
        <w:rPr>
          <w:rFonts w:cs="宋体" w:asciiTheme="minorEastAsia" w:hAnsiTheme="minorEastAsia" w:eastAsiaTheme="minorEastAsia"/>
          <w:color w:val="auto"/>
          <w:szCs w:val="21"/>
          <w:highlight w:val="none"/>
          <w:u w:val="single"/>
        </w:rPr>
        <w:t>。</w:t>
      </w:r>
    </w:p>
    <w:p w14:paraId="14ABA44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rPr>
        <w:t>承担施工安全保卫工作及非夜间施工照明的责任和要求：</w:t>
      </w:r>
    </w:p>
    <w:p w14:paraId="479C48B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在工程实施过程中，承包人应对其承担范围内的所有现场操作的稳定性和安全负全部责任，并且应对施工现场的所有人员进行安全管理和定期培训。</w:t>
      </w:r>
    </w:p>
    <w:p w14:paraId="52817E6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现场的主要出入口、道路、基坑坡道等要求硬化，主要出入口安装洗车设施。采取一切合理措施，保护工地及工地周围的环境，避免污染环境，噪音扰民。费用已包含在措施费安全文明施工费中内。</w:t>
      </w:r>
    </w:p>
    <w:p w14:paraId="1C1EA77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承包人在施工道路的两端设置交通安全警示标志和车辆导向标志；夜间应当设置警灯等照明灯，便于车辆、行人安全通行，相关费用已包含在措施费安全文明施工费中内。</w:t>
      </w:r>
    </w:p>
    <w:p w14:paraId="0CB5B95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承包人严格按照《施工现场临时用电安全技术规范》JGJ46－2005和《建设工程施工现场供用电安全规范》GB50194－2014组织施工，相关费用已包含在措施费安全文明施工费中内。</w:t>
      </w:r>
    </w:p>
    <w:p w14:paraId="1A7223A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要求承包人在施工现场及生活区等区域，安装监控设施，监控范围不得留有死角，监控影像数据保留一年，备案待查，相关费用已包含在措施费安全文明施工费中内。</w:t>
      </w:r>
    </w:p>
    <w:p w14:paraId="7437C66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应保持施工现场和施工过程井然有序，避免发生人身事故。为了保护工程或为了公众及其他人员的安全及方便，在必要的时间和地点，或在监理工程师和有关主管单位提出要求时，承包人应以自己的费用提供并维修所有的照明、护栏、围墙、警告标志及守卫设施。承包人在收到发包人发出的中标通知书后，必须与发包人安监部门进行联系，熟悉并接受发包人在安全、文明施工方面的管理规定。</w:t>
      </w:r>
    </w:p>
    <w:p w14:paraId="2F9FD88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如果在工程施工中发生安全事故、发包人有权按指定的《现场安全文明施工管理条例》对承包人进行考核和扣罚。如发生质量、安全事故等应在2小时内上报发包人及监理工程师，如有隐瞒、谎报，如经查实，每次处以50000元罚款，同时追究相关经济及法律责任。</w:t>
      </w:r>
    </w:p>
    <w:p w14:paraId="7678F61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按国家、省、市有关政策文件执行，需满足夜间施工照明的需要，发生费用自负。</w:t>
      </w:r>
    </w:p>
    <w:p w14:paraId="527BB73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因承包人未能履行上述义务，造成工程财产和人身伤害，由承包人承担责任及发生的费用。承包人自行承担施工过程中一切人身、财产纠纷、损失和法律责任。</w:t>
      </w:r>
    </w:p>
    <w:p w14:paraId="630BDA1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3）向发包人提供的办公和生活房屋及设施的要求：</w:t>
      </w:r>
      <w:r>
        <w:rPr>
          <w:rFonts w:hint="eastAsia" w:cs="宋体" w:asciiTheme="minorEastAsia" w:hAnsiTheme="minorEastAsia" w:eastAsiaTheme="minorEastAsia"/>
          <w:color w:val="auto"/>
          <w:szCs w:val="21"/>
          <w:highlight w:val="none"/>
          <w:u w:val="single"/>
        </w:rPr>
        <w:t>免费提供监理三间现场办公室两间值班宿舍，免费提供发包人四间现场办公室</w:t>
      </w:r>
      <w:r>
        <w:rPr>
          <w:rFonts w:hint="eastAsia" w:cs="宋体" w:asciiTheme="minorEastAsia" w:hAnsiTheme="minorEastAsia" w:eastAsiaTheme="minorEastAsia"/>
          <w:color w:val="auto"/>
          <w:szCs w:val="21"/>
          <w:highlight w:val="none"/>
          <w:u w:val="single"/>
          <w:lang w:eastAsia="zh-CN"/>
        </w:rPr>
        <w:t>、</w:t>
      </w:r>
      <w:r>
        <w:rPr>
          <w:rFonts w:hint="eastAsia" w:cs="宋体" w:asciiTheme="minorEastAsia" w:hAnsiTheme="minorEastAsia" w:eastAsiaTheme="minorEastAsia"/>
          <w:color w:val="auto"/>
          <w:szCs w:val="21"/>
          <w:highlight w:val="none"/>
          <w:u w:val="single"/>
        </w:rPr>
        <w:t>一间值班宿舍</w:t>
      </w:r>
      <w:r>
        <w:rPr>
          <w:rFonts w:hint="eastAsia" w:cs="宋体" w:asciiTheme="minorEastAsia" w:hAnsiTheme="minorEastAsia" w:eastAsiaTheme="minorEastAsia"/>
          <w:color w:val="auto"/>
          <w:szCs w:val="21"/>
          <w:highlight w:val="none"/>
          <w:u w:val="single"/>
          <w:lang w:eastAsia="zh-CN"/>
        </w:rPr>
        <w:t>、五间食堂</w:t>
      </w:r>
      <w:r>
        <w:rPr>
          <w:rFonts w:hint="eastAsia" w:cs="宋体" w:asciiTheme="minorEastAsia" w:hAnsiTheme="minorEastAsia" w:eastAsiaTheme="minorEastAsia"/>
          <w:color w:val="auto"/>
          <w:szCs w:val="21"/>
          <w:highlight w:val="none"/>
          <w:u w:val="single"/>
        </w:rPr>
        <w:t>，具体数量以发包人项目部现场要求为准，</w:t>
      </w:r>
      <w:r>
        <w:rPr>
          <w:rFonts w:hint="eastAsia" w:cs="宋体" w:asciiTheme="minorEastAsia" w:hAnsiTheme="minorEastAsia" w:eastAsiaTheme="minorEastAsia"/>
          <w:color w:val="auto"/>
          <w:szCs w:val="21"/>
          <w:highlight w:val="none"/>
          <w:u w:val="single"/>
          <w:lang w:val="en-US" w:eastAsia="zh-CN"/>
        </w:rPr>
        <w:t>办公区及生活区应每两天打扫一次，设施费、卫生费及生活垃圾外运</w:t>
      </w:r>
      <w:r>
        <w:rPr>
          <w:rFonts w:hint="eastAsia" w:cs="宋体" w:asciiTheme="minorEastAsia" w:hAnsiTheme="minorEastAsia" w:eastAsiaTheme="minorEastAsia"/>
          <w:color w:val="auto"/>
          <w:szCs w:val="21"/>
          <w:highlight w:val="none"/>
          <w:u w:val="single"/>
        </w:rPr>
        <w:t>其费用已包含在措施费安全文明施工费中内</w:t>
      </w:r>
      <w:r>
        <w:rPr>
          <w:rFonts w:hint="eastAsia" w:cs="宋体" w:asciiTheme="minorEastAsia" w:hAnsiTheme="minorEastAsia" w:eastAsiaTheme="minorEastAsia"/>
          <w:color w:val="auto"/>
          <w:szCs w:val="21"/>
          <w:highlight w:val="none"/>
        </w:rPr>
        <w:t>。</w:t>
      </w:r>
    </w:p>
    <w:p w14:paraId="2237C13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w:t>
      </w:r>
      <w:r>
        <w:rPr>
          <w:rFonts w:hint="eastAsia" w:cs="宋体" w:asciiTheme="minorEastAsia" w:hAnsiTheme="minorEastAsia" w:eastAsiaTheme="minorEastAsia"/>
          <w:color w:val="auto"/>
          <w:szCs w:val="21"/>
          <w:highlight w:val="none"/>
          <w:u w:val="single"/>
        </w:rPr>
        <w:t>需承包人办理的有关施工场地交通、环卫和施工噪音管理等手续：按照政府部门相关规定办理，发包人提供协助。如因承包人未遵守管理手续或承包人原因导致建审手续办理滞后，造成的一切罚款和法律责任，均由承包人自行承担</w:t>
      </w:r>
      <w:r>
        <w:rPr>
          <w:rFonts w:hint="eastAsia" w:cs="宋体" w:asciiTheme="minorEastAsia" w:hAnsiTheme="minorEastAsia" w:eastAsiaTheme="minorEastAsia"/>
          <w:color w:val="auto"/>
          <w:szCs w:val="21"/>
          <w:highlight w:val="none"/>
        </w:rPr>
        <w:t>。</w:t>
      </w:r>
    </w:p>
    <w:p w14:paraId="723140E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w:t>
      </w:r>
      <w:r>
        <w:rPr>
          <w:rFonts w:hint="eastAsia" w:cs="宋体" w:asciiTheme="minorEastAsia" w:hAnsiTheme="minorEastAsia" w:eastAsiaTheme="minorEastAsia"/>
          <w:color w:val="auto"/>
          <w:szCs w:val="21"/>
          <w:highlight w:val="none"/>
          <w:u w:val="single"/>
        </w:rPr>
        <w:t>已完工程成品保护的特殊要求及费用承担：工程竣工、移交</w:t>
      </w:r>
      <w:r>
        <w:rPr>
          <w:rFonts w:hint="eastAsia" w:cs="宋体" w:asciiTheme="minorEastAsia" w:hAnsiTheme="minorEastAsia" w:eastAsiaTheme="minorEastAsia"/>
          <w:bCs/>
          <w:color w:val="auto"/>
          <w:szCs w:val="21"/>
          <w:highlight w:val="none"/>
          <w:u w:val="single"/>
        </w:rPr>
        <w:t>发包方</w:t>
      </w:r>
      <w:r>
        <w:rPr>
          <w:rFonts w:hint="eastAsia" w:cs="宋体" w:asciiTheme="minorEastAsia" w:hAnsiTheme="minorEastAsia" w:eastAsiaTheme="minorEastAsia"/>
          <w:color w:val="auto"/>
          <w:szCs w:val="21"/>
          <w:highlight w:val="none"/>
          <w:u w:val="single"/>
        </w:rPr>
        <w:t>前由承包人负责，在此期间发生的损坏由承包人自费负责予以修复，移交后由发包人负责。已竣工工程未正式向发包人移交之前，承包人应当负责对已完工程的保护工作（包括：发包人对工程某些特殊部位和部分设施、设备保护提出的特殊要求；发包人自行采购的设备设施、运营备品等），费用由承包人承担，包含在合同价格内。承包人施工不得对建筑工程的主体结构以及其它已完工程造成破坏，施工期间发生的损坏由承包人自费负责予以修复，在此期间对非承包人施工有监管责任，否则所发生的修复费用和延误的工期由承包人承担，并不得影响项目整体竣工移交工作。</w:t>
      </w:r>
    </w:p>
    <w:p w14:paraId="23E98FD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w:t>
      </w:r>
      <w:r>
        <w:rPr>
          <w:rFonts w:hint="eastAsia" w:cs="宋体" w:asciiTheme="minorEastAsia" w:hAnsiTheme="minorEastAsia" w:eastAsiaTheme="minorEastAsia"/>
          <w:color w:val="auto"/>
          <w:szCs w:val="21"/>
          <w:highlight w:val="none"/>
          <w:u w:val="single"/>
        </w:rPr>
        <w:t>施工场地周围地下管线和邻近建筑物、构筑物（含文物保护建筑）、古树名木的保护要求及费用承担：按照有关规定做好保护工作，承担因施工管理不当造成对施工场地周围地下管线和邻近建筑物、构筑物（含文物保护建筑）、古树名木损坏而发生的费用；承包人在工程实施前负责做好周密的勘察工作，应充分考虑到当地环境状况及一切不利于施工的因素，提出具体的、可行的、科学的方案措施，对工地现场影响范围内的地下管线、道路、周边建筑物、构筑物（包括文物保护建筑、古树名木）等采取必要的加固措施，施工结束后进行必要的维修，确保正常使用和安全，同时应自行解决好与当地村民之间的任何纠纷，不应因此影响工期，涉及到的相关费用由承包人承担。未经发包人书面同意，承包人擅自拆改原建筑物结构或设备管线，由此发生的损失或事故（包括罚款），由承包人承担全部责任</w:t>
      </w:r>
      <w:r>
        <w:rPr>
          <w:rFonts w:hint="eastAsia" w:cs="宋体" w:asciiTheme="minorEastAsia" w:hAnsiTheme="minorEastAsia" w:eastAsiaTheme="minorEastAsia"/>
          <w:color w:val="auto"/>
          <w:szCs w:val="21"/>
          <w:highlight w:val="none"/>
        </w:rPr>
        <w:t>。</w:t>
      </w:r>
    </w:p>
    <w:p w14:paraId="2629B9C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w:t>
      </w:r>
      <w:r>
        <w:rPr>
          <w:rFonts w:hint="eastAsia" w:cs="宋体" w:asciiTheme="minorEastAsia" w:hAnsiTheme="minorEastAsia" w:eastAsiaTheme="minorEastAsia"/>
          <w:color w:val="auto"/>
          <w:szCs w:val="21"/>
          <w:highlight w:val="none"/>
          <w:u w:val="single"/>
        </w:rPr>
        <w:t>施工场地清洁卫生的要求：应达到建设行政主管部门要求的“省级文明工地”标准。同时满足发包人的有关规定，并无偿配合创卫、创文及治污减霾工作。按省级文明工地标准要求组织施工，保证施工现场清洁符合卫生管理的有关规定，交工前清理现场达到建筑物无污染，现场无建筑垃圾。承包人负责外立面清洗（在竣工验收前至少一次及向发包人交付前至少一次）及内幕墙的清洗，现场临建基础及各类施工设备基础、临建道路等全部拆除，拆除垃圾全部外运，费用包括在措施费安全文明施工费中。若承包人未按要求完成以上内容。发包人可安排第三方实施，费用从承包人结算款中</w:t>
      </w:r>
      <w:r>
        <w:rPr>
          <w:rFonts w:cs="宋体" w:asciiTheme="minorEastAsia" w:hAnsiTheme="minorEastAsia" w:eastAsiaTheme="minorEastAsia"/>
          <w:color w:val="auto"/>
          <w:szCs w:val="21"/>
          <w:highlight w:val="none"/>
          <w:u w:val="single"/>
        </w:rPr>
        <w:t>200%扣除，同时因承包人未履行本条约定，由此引发的费用、罚款及法律责任均由承包人承担</w:t>
      </w:r>
      <w:r>
        <w:rPr>
          <w:rFonts w:hint="eastAsia" w:cs="宋体" w:asciiTheme="minorEastAsia" w:hAnsiTheme="minorEastAsia" w:eastAsiaTheme="minorEastAsia"/>
          <w:color w:val="auto"/>
          <w:szCs w:val="21"/>
          <w:highlight w:val="none"/>
        </w:rPr>
        <w:t>。</w:t>
      </w:r>
    </w:p>
    <w:p w14:paraId="6017D00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8）承包人应履行的设计相关义务：</w:t>
      </w:r>
    </w:p>
    <w:p w14:paraId="1BF3D9E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按国家规定和合同约定的技术规范、标准进行设计，按本合同规定的内容、时间及份数向发包人交付设计文件（经发包人认可的有关交付设计文件顺延的情况除外）。并对提交的设计文件的质量负责。设计合理使用年限满足国家相关规定。相关设计规范承包人必须按投标时适用的版本进行设计，因与规范不符发生变更引起的工期延长或费用增加均由承包人负责。</w:t>
      </w:r>
    </w:p>
    <w:p w14:paraId="2C0FA7D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负责对设计资料进行审查，负责该合同项目的设计联络工作。包括协助发包人与有关机构（包括政府部门或与发包人签约的其它设计单位）就项目工程进行联系、报批等。</w:t>
      </w:r>
    </w:p>
    <w:p w14:paraId="63984D0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交付设计文件后，按规定参加有关职能机构的设计审查，并根据审查结论负责相关内容的调整修改。承包人按合同规定时限交付设计文件，项目施工时负责向发包人及施工单位进行设计图纸技术交底、及时处理施工中现场发现的相关技术问题，遇到重要技术问题承包人应按发包人的通知要求时间委派相关设计人员到指定地点处理解决施工中的技术问题，按发包人通知时间参加相关阶段的验收工作直至项目竣工交付完成。</w:t>
      </w:r>
    </w:p>
    <w:p w14:paraId="69E7CAC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按合同要求的设计成果提交内容、进度及份数向发包人交付资料及文件。根据发包人办理政府职能机构的规划、消防、环保、节能、园林等建审手续办理的需要，承包人须在时间上需满足发包人办理手续的进度要求，且该费用已包含在本合同总价中。</w:t>
      </w:r>
    </w:p>
    <w:p w14:paraId="39A1D09B">
      <w:pPr>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施工图设计在确定主要技术方案前须经过比较，包括但不限于：地基处理、基础方案、地下室技术方案、防水处理、主体结构方案、供电方案、空调方案、主要设备选型等关键技术环节，应在由发包人参加的方案比较论证通过后方可实施，并向发包人提出方案比较报告书，因承包人不配合或者延迟配合造成发包人损失，各项验收延误，承包人负赔偿责任及承担损失，工期不予顺延。</w:t>
      </w:r>
    </w:p>
    <w:p w14:paraId="5887EFD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承包人应对其他二次设计提供技术支持与服务，协助其通过政府有关部门的设计审查工作。</w:t>
      </w:r>
    </w:p>
    <w:p w14:paraId="1483AC2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承包人应加强各专业设计过程中的协调统一工作，避免因设计质量原因而发生的设计变更。</w:t>
      </w:r>
    </w:p>
    <w:p w14:paraId="55C6E1B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承包人在提供的设计资料及文件中，应注明建筑材料、构配件和设备的规格、型号等技术指标，不得指定生产厂、供应商等。承包人应根据发包人确定的设备及时调整设计。</w:t>
      </w:r>
    </w:p>
    <w:p w14:paraId="4EDEAB8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凡涉及有门窗工程设计中幕墙工程的设计，承包人须配合工程质监部门的施工图审查及相关论证。</w:t>
      </w:r>
    </w:p>
    <w:p w14:paraId="05CCE0F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承包人不得向第三人泄露、转让发包人提交的产品图纸等技术经济资料，如发生以上情况并给发包人造成经济损失，发包人有权向承包人索赔相应损失，最高索赔赔偿的最大额度是本合同标的款。</w:t>
      </w:r>
    </w:p>
    <w:p w14:paraId="44E5865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项目测量的配合，根据发包人需求另行提供功能房间及车位定线图、界点图等，另行提供办理测量等相关证件的图纸、资料及电子版设计成果。</w:t>
      </w:r>
    </w:p>
    <w:p w14:paraId="7859925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提供必要的配合及技术支持，包括但不限于参与相关技术论证，配合报建（根据发包人要求，为本项目前期设计报批提供图签、盖章等服务），图纸审核及阶段技术成果的审查变更，配合施工工艺、技术规范、功能使用变化的设计变更等。</w:t>
      </w:r>
    </w:p>
    <w:p w14:paraId="2CB4D29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按合同规定时限交付设计资料及文件后，按发包人通知的时间到达发包人指定地点，负责向发包人及施工单位进行设计技术交底、处理有关设计问题的现场配合和参加重要部位及竣工验收，做好技术服务工作，对于工程存在技术难点的施工阶段承包人应派驻现场代表，并随工程进度调整现场代表专业（设立时间由发包人确定）。承包人应在发包人指定地点提供现场技术服务工作。</w:t>
      </w:r>
    </w:p>
    <w:p w14:paraId="43DBCE2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由于承包人对设计文件出现的遗漏或错误自行负责修改或补充。由于承包人设计错误造成工程质量事故损失，承包人除负责采取补救措施外，应免收受损失部分的设计费，并向发包人赔偿损失（损失严重的根据损失的程度和承包人责任大小向发包人支付赔偿金，赔偿金为实际工程损失的</w:t>
      </w:r>
      <w:r>
        <w:rPr>
          <w:rFonts w:cs="宋体" w:asciiTheme="minorEastAsia" w:hAnsiTheme="minorEastAsia" w:eastAsiaTheme="minorEastAsia"/>
          <w:color w:val="auto"/>
          <w:szCs w:val="21"/>
          <w:highlight w:val="none"/>
          <w:u w:val="single"/>
        </w:rPr>
        <w:t xml:space="preserve"> 3%，设计方的失误赔偿的最大额度是本合同标的款。）</w:t>
      </w:r>
      <w:r>
        <w:rPr>
          <w:rFonts w:hint="eastAsia" w:cs="宋体" w:asciiTheme="minorEastAsia" w:hAnsiTheme="minorEastAsia" w:eastAsiaTheme="minorEastAsia"/>
          <w:color w:val="auto"/>
          <w:szCs w:val="21"/>
          <w:highlight w:val="none"/>
          <w:u w:val="single"/>
        </w:rPr>
        <w:t>承包人应对各专业设计图纸进行仔细核对，因各专业图纸错漏碰造成的损失由承包人自行承担。</w:t>
      </w:r>
    </w:p>
    <w:p w14:paraId="4AB7716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由于承包人原因，延误了设计文件交付时间，每延误一天，应减收该项目应收设计费的千分之二。延误超过十天，则发包人有权终止合同。</w:t>
      </w:r>
    </w:p>
    <w:p w14:paraId="6859E09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因项目规模较大，所以设计方根据项目施工阶段的需求，派遣至少一名驻场设计师及时配合解决设计及现场技术问题，此费用应包含在合同内不再另计。</w:t>
      </w:r>
    </w:p>
    <w:p w14:paraId="67DC435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本项目所设的设计总负责人不得随意更换，或更换时须取得发包人的同意。</w:t>
      </w:r>
    </w:p>
    <w:p w14:paraId="7CC6EAD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9）双方约定承包人应做的其他工作：</w:t>
      </w:r>
    </w:p>
    <w:p w14:paraId="6D15174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承包人范围内的检测及调试、所用的耗材费用、发包人委托检测范围内的不合格和超标准检测费用等均由承包人承担。</w:t>
      </w:r>
    </w:p>
    <w:p w14:paraId="435E3EB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材料、设备和工程的试验和检验的费用：（</w:t>
      </w:r>
      <w:r>
        <w:rPr>
          <w:rFonts w:cs="宋体" w:asciiTheme="minorEastAsia" w:hAnsiTheme="minorEastAsia" w:eastAsiaTheme="minorEastAsia"/>
          <w:color w:val="auto"/>
          <w:szCs w:val="21"/>
          <w:highlight w:val="none"/>
          <w:u w:val="single"/>
        </w:rPr>
        <w:t xml:space="preserve">1）按《建设工程质量管理条例》 </w:t>
      </w:r>
      <w:r>
        <w:rPr>
          <w:rFonts w:hint="eastAsia" w:cs="宋体" w:asciiTheme="minorEastAsia" w:hAnsiTheme="minorEastAsia" w:eastAsiaTheme="minorEastAsia"/>
          <w:color w:val="auto"/>
          <w:szCs w:val="21"/>
          <w:highlight w:val="none"/>
          <w:u w:val="single"/>
        </w:rPr>
        <w:t>《建设工程质量检测管理办法》《房屋建筑工程和市政基础设施工程实行见证取样和送检的规定》等及省、市地方有关工程质量检测的有关规定实施。对建筑材料、构件和建筑安装物进行一般鉴定、检查所发生的费用，包括建设工程质量见证取样检测费、建筑施工企业配合检测及自设试验室进行试验所耗用的材料和化学药品等费用由承包人承担；</w:t>
      </w:r>
    </w:p>
    <w:p w14:paraId="4615C27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2）当发包人或监理人指示承包人为核实本工程某一部分或某种材料设备是否有缺陷时，承包人应按要求进行检（试）验。如果该检（试）验表明确有缺陷存在，则检（试）验和试样的费用，发包人供应材料设备的，由发包人承担；承包人采购材料设备的，由承包人承担，费用从进度款中扣除。如果该检（试）验表明没有缺陷，则由发包人承担检（试）验和试样的费用。</w:t>
      </w:r>
    </w:p>
    <w:p w14:paraId="59D874B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3）当质量安全管理机构根据相关规范要求开展，要求发包人与承包人开展本工程某一部分质量实体或某项材料设备质量监督抽检，如地基基础工程检测、主体结构工程现场实体检测、建筑节能检验、空气检测等专项检测需要时，发包人与承包人应配合，按要求进行检（试）验，检测、恢复费用由发包人承担。如检测不合格，则由承包人承担本次及重新检测、恢复费用，费用从进度款中扣除。</w:t>
      </w:r>
    </w:p>
    <w:p w14:paraId="6D8A1DC7">
      <w:pPr>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u w:val="single"/>
          <w:lang w:eastAsia="zh-CN"/>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4）依据《陕西省建设工程质量和安全生产管理条例》规定，建设工程主体结构现场检测；房屋建筑工程土建、安装建筑材料、构配件进场复试及见证取样</w:t>
      </w:r>
      <w:r>
        <w:rPr>
          <w:rFonts w:hint="eastAsia" w:cs="宋体" w:asciiTheme="minorEastAsia" w:hAnsiTheme="minorEastAsia" w:eastAsiaTheme="minorEastAsia"/>
          <w:color w:val="auto"/>
          <w:szCs w:val="21"/>
          <w:highlight w:val="none"/>
          <w:u w:val="single"/>
          <w:lang w:eastAsia="zh-CN"/>
        </w:rPr>
        <w:t>等</w:t>
      </w:r>
      <w:r>
        <w:rPr>
          <w:rFonts w:cs="宋体" w:asciiTheme="minorEastAsia" w:hAnsiTheme="minorEastAsia" w:eastAsiaTheme="minorEastAsia"/>
          <w:color w:val="auto"/>
          <w:szCs w:val="21"/>
          <w:highlight w:val="none"/>
          <w:u w:val="single"/>
        </w:rPr>
        <w:t>检测必须由发包人委托具有相应资质的检测单位进行，并签订合同。但检验试验费已包含在投标措施费中。因此，此部分费用须由承包人承担，结算时从承包人结算造价中扣除</w:t>
      </w:r>
      <w:r>
        <w:rPr>
          <w:rFonts w:hint="eastAsia" w:cs="宋体" w:asciiTheme="minorEastAsia" w:hAnsiTheme="minorEastAsia" w:eastAsiaTheme="minorEastAsia"/>
          <w:color w:val="auto"/>
          <w:szCs w:val="21"/>
          <w:highlight w:val="none"/>
          <w:u w:val="single"/>
          <w:lang w:eastAsia="zh-CN"/>
        </w:rPr>
        <w:t>。</w:t>
      </w:r>
    </w:p>
    <w:p w14:paraId="34E1C4F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承包人负责临时设施的设计、建造、运行、维护、管理和拆除</w:t>
      </w:r>
      <w:r>
        <w:rPr>
          <w:rFonts w:hint="eastAsia" w:cs="宋体" w:asciiTheme="minorEastAsia" w:hAnsiTheme="minorEastAsia" w:eastAsiaTheme="minorEastAsia"/>
          <w:color w:val="auto"/>
          <w:szCs w:val="21"/>
          <w:highlight w:val="none"/>
        </w:rPr>
        <w:t>。</w:t>
      </w:r>
    </w:p>
    <w:p w14:paraId="4BBC6223">
      <w:pPr>
        <w:adjustRightInd w:val="0"/>
        <w:snapToGrid w:val="0"/>
        <w:spacing w:line="500" w:lineRule="exact"/>
        <w:ind w:firstLine="420" w:firstLineChars="200"/>
        <w:outlineLvl w:val="9"/>
        <w:rPr>
          <w:rFonts w:cs="宋体" w:asciiTheme="minorEastAsia" w:hAnsiTheme="minorEastAsia" w:eastAsiaTheme="minorEastAsia"/>
          <w:bCs/>
          <w:color w:val="auto"/>
          <w:szCs w:val="21"/>
          <w:highlight w:val="none"/>
          <w:u w:val="single"/>
        </w:rPr>
      </w:pPr>
      <w:r>
        <w:rPr>
          <w:rFonts w:hint="eastAsia" w:cs="宋体" w:asciiTheme="minorEastAsia" w:hAnsiTheme="minorEastAsia" w:eastAsiaTheme="minorEastAsia"/>
          <w:color w:val="auto"/>
          <w:szCs w:val="21"/>
          <w:highlight w:val="none"/>
          <w:u w:val="single"/>
        </w:rPr>
        <w:t>承包人应在发包人规定的场地范围内布置施工现场，若超出规定范围，必须经发包人同意。否则，应承担因此造成的损害或损失。</w:t>
      </w:r>
      <w:r>
        <w:rPr>
          <w:rFonts w:hint="eastAsia" w:cs="宋体" w:asciiTheme="minorEastAsia" w:hAnsiTheme="minorEastAsia" w:eastAsiaTheme="minorEastAsia"/>
          <w:b w:val="0"/>
          <w:bCs/>
          <w:color w:val="auto"/>
          <w:szCs w:val="21"/>
          <w:highlight w:val="none"/>
          <w:u w:val="single"/>
        </w:rPr>
        <w:t>因现场场地限制，承包人生活和办公区位置应红线外自行解决，由承包人考虑在投标报价中。</w:t>
      </w:r>
    </w:p>
    <w:p w14:paraId="32F1AA6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在施工过程中，应遵守有关环境保护和水土保持的法律法规等规章制度。承包人应在施工组织设计中列明环境保护的具体措施。在合同履行期间，承包人应采取合理措施保护施工现场环境。对施工作业过程中可能引起的大气、水、噪音以及固体废物污染采取具体可行的防范措施。承包人应当承担因其原因引起的环境污染侵权损害赔偿责任，因上述环境污染引起纠纷而导致暂停施工的，由此增加的费用和（或）延误的工期由承包人承担</w:t>
      </w:r>
      <w:r>
        <w:rPr>
          <w:rFonts w:hint="eastAsia" w:cs="宋体" w:asciiTheme="minorEastAsia" w:hAnsiTheme="minorEastAsia" w:eastAsiaTheme="minorEastAsia"/>
          <w:color w:val="auto"/>
          <w:szCs w:val="21"/>
          <w:highlight w:val="none"/>
        </w:rPr>
        <w:t>。</w:t>
      </w:r>
    </w:p>
    <w:p w14:paraId="3156DCF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负责竣工资料汇编、整理，负责整个施工区域的安全保卫、协调工作。整体工程竣工验收后，尚有部分未竣工工程的，承包人应继续负责未竣工工程的照管和维护工作，直到竣工后移交给发包人为止</w:t>
      </w:r>
      <w:r>
        <w:rPr>
          <w:rFonts w:hint="eastAsia" w:cs="宋体" w:asciiTheme="minorEastAsia" w:hAnsiTheme="minorEastAsia" w:eastAsiaTheme="minorEastAsia"/>
          <w:color w:val="auto"/>
          <w:szCs w:val="21"/>
          <w:highlight w:val="none"/>
        </w:rPr>
        <w:t>。</w:t>
      </w:r>
    </w:p>
    <w:p w14:paraId="3BEC992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工程竣工后，承包人应按照发包人要求从现场撤走所有剩余的承包人设备、材料、残余物、垃圾和临时工程等。如果所有这些物品，在发包人要求的</w:t>
      </w:r>
      <w:r>
        <w:rPr>
          <w:rFonts w:cs="宋体" w:asciiTheme="minorEastAsia" w:hAnsiTheme="minorEastAsia" w:eastAsiaTheme="minorEastAsia"/>
          <w:color w:val="auto"/>
          <w:szCs w:val="21"/>
          <w:highlight w:val="none"/>
          <w:u w:val="single"/>
        </w:rPr>
        <w:t>7天内，尚未被运走，视为承包人对所有权的放弃，发包人可以出售或另行处理。发包人有权收回出售这些物品的费用，如果出售收入少于发包人恢复现场所支出的费用，承包人应将差额付给发包人</w:t>
      </w:r>
      <w:r>
        <w:rPr>
          <w:rFonts w:hint="eastAsia" w:cs="宋体" w:asciiTheme="minorEastAsia" w:hAnsiTheme="minorEastAsia" w:eastAsiaTheme="minorEastAsia"/>
          <w:color w:val="auto"/>
          <w:szCs w:val="21"/>
          <w:highlight w:val="none"/>
        </w:rPr>
        <w:t>。</w:t>
      </w:r>
    </w:p>
    <w:p w14:paraId="5AE4A5E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在合同实施过程中，承包人应无条件兑现投标文件中所有承诺。若承包人施工队伍素质、力量、机械配备等不符合承包人投标书中的承诺，或现场管理混乱，施工质量、进度、安全文明施工等明显达不到合同要求，发包人有权要求承包人采取调整、充实力量，加强管理等有效措施；措施无效时，发包人有权对承包人进行经济处罚；情节严重的，如：工期延误达</w:t>
      </w:r>
      <w:r>
        <w:rPr>
          <w:rFonts w:cs="宋体" w:asciiTheme="minorEastAsia" w:hAnsiTheme="minorEastAsia" w:eastAsiaTheme="minorEastAsia"/>
          <w:color w:val="auto"/>
          <w:szCs w:val="21"/>
          <w:highlight w:val="none"/>
          <w:u w:val="single"/>
        </w:rPr>
        <w:t>30日以上时，发包人有权单方解除合同，承包人应承担一切后果及责任，并负责赔偿因此给发包人造成的全部损失并视情节处以每次5~20万元罚款</w:t>
      </w:r>
      <w:r>
        <w:rPr>
          <w:rFonts w:hint="eastAsia" w:cs="宋体" w:asciiTheme="minorEastAsia" w:hAnsiTheme="minorEastAsia" w:eastAsiaTheme="minorEastAsia"/>
          <w:color w:val="auto"/>
          <w:szCs w:val="21"/>
          <w:highlight w:val="none"/>
        </w:rPr>
        <w:t>。</w:t>
      </w:r>
    </w:p>
    <w:p w14:paraId="6507342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承包人按照发包人要求及时交付已竣工工程，否则承担违约责任</w:t>
      </w:r>
      <w:r>
        <w:rPr>
          <w:rFonts w:hint="eastAsia" w:cs="宋体" w:asciiTheme="minorEastAsia" w:hAnsiTheme="minorEastAsia" w:eastAsiaTheme="minorEastAsia"/>
          <w:color w:val="auto"/>
          <w:szCs w:val="21"/>
          <w:highlight w:val="none"/>
        </w:rPr>
        <w:t>。</w:t>
      </w:r>
    </w:p>
    <w:p w14:paraId="52E96A4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施工机构组成人员须与投标时所报人员相同，确需变动时须报发包人同意，合同有效期内接受监理单位监理</w:t>
      </w:r>
      <w:r>
        <w:rPr>
          <w:rFonts w:hint="eastAsia" w:cs="宋体" w:asciiTheme="minorEastAsia" w:hAnsiTheme="minorEastAsia" w:eastAsiaTheme="minorEastAsia"/>
          <w:color w:val="auto"/>
          <w:szCs w:val="21"/>
          <w:highlight w:val="none"/>
        </w:rPr>
        <w:t>。</w:t>
      </w:r>
    </w:p>
    <w:p w14:paraId="162084E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承包人必须建立完善的组织机构</w:t>
      </w:r>
      <w:r>
        <w:rPr>
          <w:rFonts w:cs="宋体" w:asciiTheme="minorEastAsia" w:hAnsiTheme="minorEastAsia" w:eastAsiaTheme="minorEastAsia"/>
          <w:color w:val="auto"/>
          <w:szCs w:val="21"/>
          <w:highlight w:val="none"/>
          <w:u w:val="single"/>
        </w:rPr>
        <w:t xml:space="preserve">,保证组织机构的人员数量、人员素质,并保证技术管理体系、质量管理体系、安全管理体系、安全保证体系的有效运行, </w:t>
      </w:r>
      <w:r>
        <w:rPr>
          <w:rFonts w:hint="eastAsia" w:cs="宋体" w:asciiTheme="minorEastAsia" w:hAnsiTheme="minorEastAsia" w:eastAsiaTheme="minorEastAsia"/>
          <w:color w:val="auto"/>
          <w:szCs w:val="21"/>
          <w:highlight w:val="none"/>
          <w:u w:val="single"/>
        </w:rPr>
        <w:t>并接受监理单位的监督。承包人应按照《</w:t>
      </w:r>
      <w:r>
        <w:rPr>
          <w:rFonts w:hint="eastAsia" w:cs="宋体" w:asciiTheme="minorEastAsia" w:hAnsiTheme="minorEastAsia" w:eastAsiaTheme="minorEastAsia"/>
          <w:bCs/>
          <w:color w:val="auto"/>
          <w:szCs w:val="21"/>
          <w:highlight w:val="none"/>
          <w:u w:val="single"/>
        </w:rPr>
        <w:t>建设项目工程总承包合同</w:t>
      </w:r>
      <w:r>
        <w:rPr>
          <w:rFonts w:hint="eastAsia" w:cs="宋体" w:asciiTheme="minorEastAsia" w:hAnsiTheme="minorEastAsia" w:eastAsiaTheme="minorEastAsia"/>
          <w:color w:val="auto"/>
          <w:szCs w:val="21"/>
          <w:highlight w:val="none"/>
          <w:u w:val="single"/>
        </w:rPr>
        <w:t>》》（示范文本）》（</w:t>
      </w:r>
      <w:r>
        <w:rPr>
          <w:rFonts w:cs="宋体" w:asciiTheme="minorEastAsia" w:hAnsiTheme="minorEastAsia" w:eastAsiaTheme="minorEastAsia"/>
          <w:color w:val="auto"/>
          <w:szCs w:val="21"/>
          <w:highlight w:val="none"/>
          <w:u w:val="single"/>
        </w:rPr>
        <w:t>GF-2020-0216）要求按照法律规定对现场施工人员提供劳动保护和必要的膳宿条件和生活环境</w:t>
      </w:r>
      <w:r>
        <w:rPr>
          <w:rFonts w:hint="eastAsia" w:cs="宋体" w:asciiTheme="minorEastAsia" w:hAnsiTheme="minorEastAsia" w:eastAsiaTheme="minorEastAsia"/>
          <w:color w:val="auto"/>
          <w:szCs w:val="21"/>
          <w:highlight w:val="none"/>
        </w:rPr>
        <w:t>。</w:t>
      </w:r>
    </w:p>
    <w:p w14:paraId="0D6A389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承包人选择的材料供货商应取得发包人同意，承包人对任何供货商的材料设备质量、行为和遗漏负责</w:t>
      </w:r>
      <w:r>
        <w:rPr>
          <w:rFonts w:hint="eastAsia" w:cs="宋体" w:asciiTheme="minorEastAsia" w:hAnsiTheme="minorEastAsia" w:eastAsiaTheme="minorEastAsia"/>
          <w:color w:val="auto"/>
          <w:szCs w:val="21"/>
          <w:highlight w:val="none"/>
        </w:rPr>
        <w:t>。</w:t>
      </w:r>
    </w:p>
    <w:p w14:paraId="63092CD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承包人在履行合同过程中应遵守法律，并保证发包人免于因承包人违反法律及本协议相关约定而引起的任何责任、纠纷或诉讼，否则应承担发包人由此产生或遭受的所有费用及损失</w:t>
      </w:r>
      <w:r>
        <w:rPr>
          <w:rFonts w:hint="eastAsia" w:cs="宋体" w:asciiTheme="minorEastAsia" w:hAnsiTheme="minorEastAsia" w:eastAsiaTheme="minorEastAsia"/>
          <w:color w:val="auto"/>
          <w:szCs w:val="21"/>
          <w:highlight w:val="none"/>
        </w:rPr>
        <w:t>。</w:t>
      </w:r>
    </w:p>
    <w:p w14:paraId="11C1F5E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在施工、完成工程及保修过程中，承包人所必需的一切操作均不应对公众的便利及公用道路，以及发包人或他人财产安全和生产生活产生不必要及不适当的干扰。承包人的施工管理区及施工场地应设有临时的污水处理设施和施工排水设施，生活、施工垃圾等处置应妥当，施工材料如涂料、化学品等妥善存放，并设有防雨、防风等措施</w:t>
      </w:r>
      <w:r>
        <w:rPr>
          <w:rFonts w:hint="eastAsia" w:cs="宋体" w:asciiTheme="minorEastAsia" w:hAnsiTheme="minorEastAsia" w:eastAsiaTheme="minorEastAsia"/>
          <w:color w:val="auto"/>
          <w:szCs w:val="21"/>
          <w:highlight w:val="none"/>
        </w:rPr>
        <w:t>。</w:t>
      </w:r>
    </w:p>
    <w:p w14:paraId="63A3904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全权负责其劳务及资源的雇佣、工资的支付、房屋、膳食及运输的安排。承包人在任何时候应采取一切合理的预防措施，以防止其职员发生任何违法的、妨碍治安的行为，承包人有义务维护治安并对上述行为造成的破坏承担赔偿责任。承包人有责任在本项工程中按照发包人的要求安排一定数量身体状况良好、符合承包人用人标准的失地农民用工</w:t>
      </w:r>
      <w:r>
        <w:rPr>
          <w:rFonts w:hint="eastAsia" w:cs="宋体" w:asciiTheme="minorEastAsia" w:hAnsiTheme="minorEastAsia" w:eastAsiaTheme="minorEastAsia"/>
          <w:color w:val="auto"/>
          <w:szCs w:val="21"/>
          <w:highlight w:val="none"/>
        </w:rPr>
        <w:t>。</w:t>
      </w:r>
    </w:p>
    <w:p w14:paraId="4D0CD03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地方政府管理部门规定应由承包人交纳的费用，如承包人不能按要求支付而影响办理工程相关手续时，发包人可代其支付，所发生的费用从支付给承包人的工程款中双倍扣除</w:t>
      </w:r>
      <w:r>
        <w:rPr>
          <w:rFonts w:hint="eastAsia" w:cs="宋体" w:asciiTheme="minorEastAsia" w:hAnsiTheme="minorEastAsia" w:eastAsiaTheme="minorEastAsia"/>
          <w:color w:val="auto"/>
          <w:szCs w:val="21"/>
          <w:highlight w:val="none"/>
        </w:rPr>
        <w:t>。</w:t>
      </w:r>
    </w:p>
    <w:p w14:paraId="717E5E6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必须服从发包人及监理工程师的管理，以上各单位有权对承包人不服从管理的行为按照国家或发包人相关规定进行处罚。罚金从履约保证金中扣除。同时经监理单位与发包人一致认定不称职的承包人的管理人员，发包人有权要求更换</w:t>
      </w:r>
      <w:r>
        <w:rPr>
          <w:rFonts w:hint="eastAsia" w:cs="宋体" w:asciiTheme="minorEastAsia" w:hAnsiTheme="minorEastAsia" w:eastAsiaTheme="minorEastAsia"/>
          <w:color w:val="auto"/>
          <w:szCs w:val="21"/>
          <w:highlight w:val="none"/>
        </w:rPr>
        <w:t>。</w:t>
      </w:r>
    </w:p>
    <w:p w14:paraId="38D77D4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承包人应负责各分包人在施工过程的之前、之中、之后协调工作，包括工序、场地、材料堆放、人员食宿、水、电供应等，所发生的费用由承包人自行承担</w:t>
      </w:r>
      <w:r>
        <w:rPr>
          <w:rFonts w:hint="eastAsia" w:cs="宋体" w:asciiTheme="minorEastAsia" w:hAnsiTheme="minorEastAsia" w:eastAsiaTheme="minorEastAsia"/>
          <w:color w:val="auto"/>
          <w:szCs w:val="21"/>
          <w:highlight w:val="none"/>
        </w:rPr>
        <w:t>。</w:t>
      </w:r>
    </w:p>
    <w:p w14:paraId="694F5AF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承包人应负责实施本工程的档案管理，竣工数据的检查汇总及各分包人的资料汇总</w:t>
      </w:r>
      <w:r>
        <w:rPr>
          <w:rFonts w:hint="eastAsia" w:cs="宋体" w:asciiTheme="minorEastAsia" w:hAnsiTheme="minorEastAsia" w:eastAsiaTheme="minorEastAsia"/>
          <w:color w:val="auto"/>
          <w:szCs w:val="21"/>
          <w:highlight w:val="none"/>
        </w:rPr>
        <w:t>。</w:t>
      </w:r>
    </w:p>
    <w:p w14:paraId="6B5B0CD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本工程施工中的内外运输，必须遵守陕西省及西安市有关交通、环卫、安全、防噪声等行业管理法规的规定，按照有关规定办理相关手续，承担相关费用，并承担违反前述规定所引发的全部罚款和法律责任</w:t>
      </w:r>
      <w:r>
        <w:rPr>
          <w:rFonts w:hint="eastAsia" w:cs="宋体" w:asciiTheme="minorEastAsia" w:hAnsiTheme="minorEastAsia" w:eastAsiaTheme="minorEastAsia"/>
          <w:color w:val="auto"/>
          <w:szCs w:val="21"/>
          <w:highlight w:val="none"/>
        </w:rPr>
        <w:t>。</w:t>
      </w:r>
      <w:r>
        <w:rPr>
          <w:rFonts w:hint="eastAsia" w:cs="宋体" w:asciiTheme="minorEastAsia" w:hAnsiTheme="minorEastAsia" w:eastAsiaTheme="minorEastAsia"/>
          <w:color w:val="auto"/>
          <w:szCs w:val="21"/>
          <w:highlight w:val="none"/>
          <w:u w:val="single"/>
        </w:rPr>
        <w:t>根据《西安市商混运输车辆清洁替代专项实施方案》要求，本工程优先使用新能源或国六排放标准商混运输车辆运送混凝土。</w:t>
      </w:r>
    </w:p>
    <w:p w14:paraId="452C81D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承包人施工中因违反本市有关规定，引起政府职能部门罚款和停工整改，由此责任而发生的费用与损失将由承包人自行承担</w:t>
      </w:r>
      <w:r>
        <w:rPr>
          <w:rFonts w:hint="eastAsia" w:cs="宋体" w:asciiTheme="minorEastAsia" w:hAnsiTheme="minorEastAsia" w:eastAsiaTheme="minorEastAsia"/>
          <w:color w:val="auto"/>
          <w:szCs w:val="21"/>
          <w:highlight w:val="none"/>
        </w:rPr>
        <w:t>。</w:t>
      </w:r>
    </w:p>
    <w:p w14:paraId="678CBEA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已承诺并经发包人认定的本工程相应资质的专业技术、管理人员，包括：项目副经理、技术负责人、给排水、土建、强弱电工程师、安全员、合同商务负责人、资料员未经发包人同意，不得任意调换或撤离，否则视为违约。如确需调换或撤离需提前一周以书面形式上报监理，监理确认后上报发包人，经发包人同意后方可调换或撤离</w:t>
      </w:r>
      <w:r>
        <w:rPr>
          <w:rFonts w:hint="eastAsia" w:cs="宋体" w:asciiTheme="minorEastAsia" w:hAnsiTheme="minorEastAsia" w:eastAsiaTheme="minorEastAsia"/>
          <w:color w:val="auto"/>
          <w:szCs w:val="21"/>
          <w:highlight w:val="none"/>
        </w:rPr>
        <w:t>。</w:t>
      </w:r>
    </w:p>
    <w:p w14:paraId="2895E16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承包人负责投保有关下属员工的工伤赔偿、现场所有材料、设备的损失或损毁等所需的保险费用。承包人必须对其员工的意外或伤亡负全责，承包人需保障发包人免负任何有关的索赔诉讼等费用和支出</w:t>
      </w:r>
      <w:r>
        <w:rPr>
          <w:rFonts w:hint="eastAsia" w:cs="宋体" w:asciiTheme="minorEastAsia" w:hAnsiTheme="minorEastAsia" w:eastAsiaTheme="minorEastAsia"/>
          <w:color w:val="auto"/>
          <w:szCs w:val="21"/>
          <w:highlight w:val="none"/>
        </w:rPr>
        <w:t>。</w:t>
      </w:r>
    </w:p>
    <w:p w14:paraId="31EECAE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按招标文件规定提交每项计划用于本工程的材料样品及相关证明资料于发包人，经发包人、监理和建筑师审定后作为样本进行封样使用，以验证以后用于工程的材料，是否符合要求，若未经发包人同意私自调换别的品牌材料，处以所使用材料投标报价时价格乘以已用于工程材料数量之总价</w:t>
      </w:r>
      <w:r>
        <w:rPr>
          <w:rFonts w:cs="宋体" w:asciiTheme="minorEastAsia" w:hAnsiTheme="minorEastAsia" w:eastAsiaTheme="minorEastAsia"/>
          <w:color w:val="auto"/>
          <w:szCs w:val="21"/>
          <w:highlight w:val="none"/>
          <w:u w:val="single"/>
        </w:rPr>
        <w:t>200%罚款，并重新返工使用满足发包人要求的材料，一切责任承包人自负，工期不予顺延</w:t>
      </w:r>
      <w:r>
        <w:rPr>
          <w:rFonts w:hint="eastAsia" w:cs="宋体" w:asciiTheme="minorEastAsia" w:hAnsiTheme="minorEastAsia" w:eastAsiaTheme="minorEastAsia"/>
          <w:color w:val="auto"/>
          <w:szCs w:val="21"/>
          <w:highlight w:val="none"/>
        </w:rPr>
        <w:t>。</w:t>
      </w:r>
    </w:p>
    <w:p w14:paraId="0950650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承包人应在工程开始安装之前提供以下数据供发包人批准之用</w:t>
      </w:r>
      <w:r>
        <w:rPr>
          <w:rFonts w:hint="eastAsia" w:cs="宋体" w:asciiTheme="minorEastAsia" w:hAnsiTheme="minorEastAsia" w:eastAsiaTheme="minorEastAsia"/>
          <w:color w:val="auto"/>
          <w:szCs w:val="21"/>
          <w:highlight w:val="none"/>
        </w:rPr>
        <w:t>：</w:t>
      </w:r>
    </w:p>
    <w:p w14:paraId="25973AD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a、加工制作规范</w:t>
      </w:r>
      <w:r>
        <w:rPr>
          <w:rFonts w:hint="eastAsia" w:cs="宋体" w:asciiTheme="minorEastAsia" w:hAnsiTheme="minorEastAsia" w:eastAsiaTheme="minorEastAsia"/>
          <w:color w:val="auto"/>
          <w:szCs w:val="21"/>
          <w:highlight w:val="none"/>
        </w:rPr>
        <w:t>；</w:t>
      </w:r>
    </w:p>
    <w:p w14:paraId="161D093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b、材料性能试验报告</w:t>
      </w:r>
      <w:r>
        <w:rPr>
          <w:rFonts w:hint="eastAsia" w:cs="宋体" w:asciiTheme="minorEastAsia" w:hAnsiTheme="minorEastAsia" w:eastAsiaTheme="minorEastAsia"/>
          <w:color w:val="auto"/>
          <w:szCs w:val="21"/>
          <w:highlight w:val="none"/>
        </w:rPr>
        <w:t>；</w:t>
      </w:r>
    </w:p>
    <w:p w14:paraId="42B5B7B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c、材料制造和制作过程中的质量检查报告</w:t>
      </w:r>
      <w:r>
        <w:rPr>
          <w:rFonts w:hint="eastAsia" w:cs="宋体" w:asciiTheme="minorEastAsia" w:hAnsiTheme="minorEastAsia" w:eastAsiaTheme="minorEastAsia"/>
          <w:color w:val="auto"/>
          <w:szCs w:val="21"/>
          <w:highlight w:val="none"/>
        </w:rPr>
        <w:t>；</w:t>
      </w:r>
    </w:p>
    <w:p w14:paraId="792E528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d、安装施工及验收规范；</w:t>
      </w:r>
    </w:p>
    <w:p w14:paraId="4BCBAB4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e、施工组织设计，应含测量放线方案、质量保证措施、质量检查计划、安装进度计划</w:t>
      </w:r>
      <w:r>
        <w:rPr>
          <w:rFonts w:hint="eastAsia" w:cs="宋体" w:asciiTheme="minorEastAsia" w:hAnsiTheme="minorEastAsia" w:eastAsiaTheme="minorEastAsia"/>
          <w:color w:val="auto"/>
          <w:szCs w:val="21"/>
          <w:highlight w:val="none"/>
        </w:rPr>
        <w:t>；</w:t>
      </w:r>
    </w:p>
    <w:p w14:paraId="4C1BA6F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f、工程材料及已完工程的保护方案计划</w:t>
      </w:r>
      <w:r>
        <w:rPr>
          <w:rFonts w:hint="eastAsia" w:cs="宋体" w:asciiTheme="minorEastAsia" w:hAnsiTheme="minorEastAsia" w:eastAsiaTheme="minorEastAsia"/>
          <w:color w:val="auto"/>
          <w:szCs w:val="21"/>
          <w:highlight w:val="none"/>
        </w:rPr>
        <w:t>；</w:t>
      </w:r>
    </w:p>
    <w:p w14:paraId="2AD69FA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承包人必须服从发包人及监理工程师的管理，发包人和监理工程师有权对承包人不服从管理的行为进行处罚</w:t>
      </w:r>
      <w:r>
        <w:rPr>
          <w:rFonts w:hint="eastAsia" w:cs="宋体" w:asciiTheme="minorEastAsia" w:hAnsiTheme="minorEastAsia" w:eastAsiaTheme="minorEastAsia"/>
          <w:color w:val="auto"/>
          <w:szCs w:val="21"/>
          <w:highlight w:val="none"/>
        </w:rPr>
        <w:t>。</w:t>
      </w:r>
    </w:p>
    <w:p w14:paraId="3B814D4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承包人在安全、消防和治安方面的违章按国家相关规定执行</w:t>
      </w:r>
      <w:r>
        <w:rPr>
          <w:rFonts w:hint="eastAsia" w:cs="宋体" w:asciiTheme="minorEastAsia" w:hAnsiTheme="minorEastAsia" w:eastAsiaTheme="minorEastAsia"/>
          <w:color w:val="auto"/>
          <w:szCs w:val="21"/>
          <w:highlight w:val="none"/>
        </w:rPr>
        <w:t>。</w:t>
      </w:r>
    </w:p>
    <w:p w14:paraId="3A98AA1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必须服从发包人对总平面管理和现场平面管理的要求，现场设施搭建必须按发包人批准的搭建方案实施。严禁擅自乱建或扩大面积。未经批准承包人自行搭建的临时设施，发包人有权要求承包人限期拆除，并由承包人自行承担一切责任及费用。工程竣工后，承包人必须及时、无偿地将所建临时建筑、剩余材料、物资全部拆除撤离现场，做到工完场清。承包人如逾期不迁，发包人有权强制清场，费用由承包人负责。承包人应在开工前根据发包人要求报送开工报告和施工组织设计及施工方案，并按发包人批准的方案组织实施</w:t>
      </w:r>
      <w:r>
        <w:rPr>
          <w:rFonts w:hint="eastAsia" w:cs="宋体" w:asciiTheme="minorEastAsia" w:hAnsiTheme="minorEastAsia" w:eastAsiaTheme="minorEastAsia"/>
          <w:color w:val="auto"/>
          <w:szCs w:val="21"/>
          <w:highlight w:val="none"/>
        </w:rPr>
        <w:t>。</w:t>
      </w:r>
    </w:p>
    <w:p w14:paraId="28C0746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承包人应按发包人规定的日期，按时报送年、季建设、资金计划和月度施工计划及相应的统计、财务报表，并确保发包人下达的年、季计划的完成。有关计划、统计和财务的管理均按发包人现行的办法执行</w:t>
      </w:r>
      <w:r>
        <w:rPr>
          <w:rFonts w:hint="eastAsia" w:cs="宋体" w:asciiTheme="minorEastAsia" w:hAnsiTheme="minorEastAsia" w:eastAsiaTheme="minorEastAsia"/>
          <w:color w:val="auto"/>
          <w:szCs w:val="21"/>
          <w:highlight w:val="none"/>
        </w:rPr>
        <w:t>。</w:t>
      </w:r>
    </w:p>
    <w:p w14:paraId="2C27218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承包人应按发包人与监理人签订的监理委托合同的规定，接受监理工程师的监督、检查和指导，并按监理规定提供相关文件和数据</w:t>
      </w:r>
      <w:r>
        <w:rPr>
          <w:rFonts w:hint="eastAsia" w:cs="宋体" w:asciiTheme="minorEastAsia" w:hAnsiTheme="minorEastAsia" w:eastAsiaTheme="minorEastAsia"/>
          <w:color w:val="auto"/>
          <w:szCs w:val="21"/>
          <w:highlight w:val="none"/>
        </w:rPr>
        <w:t>。</w:t>
      </w:r>
    </w:p>
    <w:p w14:paraId="0E5E2FA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相关行业（如：自来水、电力、热力、天然气、电信等）的总承包管理服务费在报价中自行考虑，发包人不再考虑此方面发生的任何费用。配合内容详见附件</w:t>
      </w:r>
      <w:r>
        <w:rPr>
          <w:rFonts w:hint="eastAsia" w:cs="宋体" w:asciiTheme="minorEastAsia" w:hAnsiTheme="minorEastAsia" w:eastAsiaTheme="minorEastAsia"/>
          <w:color w:val="auto"/>
          <w:szCs w:val="21"/>
          <w:highlight w:val="none"/>
        </w:rPr>
        <w:t>。</w:t>
      </w:r>
    </w:p>
    <w:p w14:paraId="776305B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承包人无条件配合桩基检测及主体检测单位工作，负责回填试桩探孔</w:t>
      </w:r>
      <w:r>
        <w:rPr>
          <w:rFonts w:hint="eastAsia" w:cs="宋体" w:asciiTheme="minorEastAsia" w:hAnsiTheme="minorEastAsia" w:eastAsiaTheme="minorEastAsia"/>
          <w:color w:val="auto"/>
          <w:szCs w:val="21"/>
          <w:highlight w:val="none"/>
        </w:rPr>
        <w:t>。</w:t>
      </w:r>
    </w:p>
    <w:p w14:paraId="0268E36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土方回填时，承包人优先使用发包人场外堆土或其他项目的外运土方。室外回填时为种植土，土方中不应包含垃圾等杂物，后期清理出的杂物应无条件清理，产生的费用不予认可。</w:t>
      </w:r>
    </w:p>
    <w:p w14:paraId="74D6612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在合同履行期间，承包人应采取合理措施保护施工现场环境。对施工作业过程中可能引起的大气、水、噪音以及固体废物污染采取具体可行的防范措施</w:t>
      </w:r>
      <w:r>
        <w:rPr>
          <w:rFonts w:hint="eastAsia" w:cs="宋体" w:asciiTheme="minorEastAsia" w:hAnsiTheme="minorEastAsia" w:eastAsiaTheme="minorEastAsia"/>
          <w:color w:val="auto"/>
          <w:szCs w:val="21"/>
          <w:highlight w:val="none"/>
        </w:rPr>
        <w:t>。</w:t>
      </w:r>
    </w:p>
    <w:p w14:paraId="6E3D452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承包人应当承担因其原因引起的环境污染侵权损害赔偿责任，因上述环境污染引起纠纷而导致暂停施工的，由此增加的费用和（或）延误的工期由承包人承担</w:t>
      </w:r>
      <w:r>
        <w:rPr>
          <w:rFonts w:hint="eastAsia" w:cs="宋体" w:asciiTheme="minorEastAsia" w:hAnsiTheme="minorEastAsia" w:eastAsiaTheme="minorEastAsia"/>
          <w:color w:val="auto"/>
          <w:szCs w:val="21"/>
          <w:highlight w:val="none"/>
        </w:rPr>
        <w:t>。</w:t>
      </w:r>
    </w:p>
    <w:p w14:paraId="2850D5B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隐蔽工程验收前主动确定预留配件、预埋套筒、管子槽、孔洞、榫眼等的位置，所需费用包含在措施项目费中</w:t>
      </w:r>
      <w:r>
        <w:rPr>
          <w:rFonts w:hint="eastAsia" w:cs="宋体" w:asciiTheme="minorEastAsia" w:hAnsiTheme="minorEastAsia" w:eastAsiaTheme="minorEastAsia"/>
          <w:color w:val="auto"/>
          <w:szCs w:val="21"/>
          <w:highlight w:val="none"/>
        </w:rPr>
        <w:t>。</w:t>
      </w:r>
    </w:p>
    <w:p w14:paraId="58D6B3A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本工程冲洗设备若发包人安装完成，承包人进场后由发包人移交给承包人，</w:t>
      </w:r>
      <w:r>
        <w:rPr>
          <w:rFonts w:hint="eastAsia" w:cs="宋体" w:asciiTheme="minorEastAsia" w:hAnsiTheme="minorEastAsia" w:eastAsiaTheme="minorEastAsia"/>
          <w:color w:val="auto"/>
          <w:szCs w:val="21"/>
          <w:highlight w:val="none"/>
          <w:u w:val="single"/>
          <w:lang w:eastAsia="zh-CN"/>
        </w:rPr>
        <w:t>洗车</w:t>
      </w:r>
      <w:r>
        <w:rPr>
          <w:rFonts w:hint="eastAsia" w:cs="宋体" w:asciiTheme="minorEastAsia" w:hAnsiTheme="minorEastAsia" w:eastAsiaTheme="minorEastAsia"/>
          <w:color w:val="auto"/>
          <w:szCs w:val="21"/>
          <w:highlight w:val="none"/>
          <w:u w:val="single"/>
        </w:rPr>
        <w:t>设备、雾桩</w:t>
      </w:r>
      <w:r>
        <w:rPr>
          <w:rFonts w:hint="eastAsia" w:cs="宋体" w:asciiTheme="minorEastAsia" w:hAnsiTheme="minorEastAsia" w:eastAsiaTheme="minorEastAsia"/>
          <w:color w:val="auto"/>
          <w:szCs w:val="21"/>
          <w:highlight w:val="none"/>
          <w:u w:val="single"/>
          <w:lang w:eastAsia="zh-CN"/>
        </w:rPr>
        <w:t>、雾炮机、环境空气颗粒物在线监测系统、喷淋系统、洗车台、洗车机、临时道路硬化混凝土路面、出入口沥青道路、</w:t>
      </w:r>
      <w:r>
        <w:rPr>
          <w:rFonts w:hint="eastAsia" w:cs="宋体" w:asciiTheme="minorEastAsia" w:hAnsiTheme="minorEastAsia" w:eastAsiaTheme="minorEastAsia"/>
          <w:color w:val="auto"/>
          <w:szCs w:val="21"/>
          <w:highlight w:val="none"/>
          <w:u w:val="single"/>
          <w:lang w:val="en-US" w:eastAsia="zh-CN"/>
        </w:rPr>
        <w:t>GRC围墙、零星砖砌围墙、大门、水表井、防尘降噪棚、配电箱、水表、PE给水管、阀门</w:t>
      </w:r>
      <w:r>
        <w:rPr>
          <w:rFonts w:hint="eastAsia" w:cs="宋体" w:asciiTheme="minorEastAsia" w:hAnsiTheme="minorEastAsia" w:eastAsiaTheme="minorEastAsia"/>
          <w:color w:val="auto"/>
          <w:szCs w:val="21"/>
          <w:highlight w:val="none"/>
          <w:u w:val="single"/>
        </w:rPr>
        <w:t>等相关费用按</w:t>
      </w:r>
      <w:r>
        <w:rPr>
          <w:rFonts w:hint="eastAsia" w:cs="宋体" w:asciiTheme="minorEastAsia" w:hAnsiTheme="minorEastAsia" w:eastAsiaTheme="minorEastAsia"/>
          <w:color w:val="auto"/>
          <w:szCs w:val="21"/>
          <w:highlight w:val="none"/>
          <w:u w:val="single"/>
          <w:lang w:eastAsia="zh-CN"/>
        </w:rPr>
        <w:t>发包人确认的承包人实际接收的数量乘以</w:t>
      </w:r>
      <w:r>
        <w:rPr>
          <w:rFonts w:hint="eastAsia" w:cs="宋体" w:asciiTheme="minorEastAsia" w:hAnsiTheme="minorEastAsia" w:eastAsiaTheme="minorEastAsia"/>
          <w:color w:val="auto"/>
          <w:szCs w:val="21"/>
          <w:highlight w:val="none"/>
          <w:u w:val="single"/>
        </w:rPr>
        <w:t>三通一平工程中标价</w:t>
      </w:r>
      <w:r>
        <w:rPr>
          <w:rFonts w:hint="eastAsia" w:cs="宋体" w:asciiTheme="minorEastAsia" w:hAnsiTheme="minorEastAsia" w:eastAsiaTheme="minorEastAsia"/>
          <w:color w:val="auto"/>
          <w:szCs w:val="21"/>
          <w:highlight w:val="none"/>
          <w:u w:val="single"/>
          <w:lang w:eastAsia="zh-CN"/>
        </w:rPr>
        <w:t>在承包人结算时</w:t>
      </w:r>
      <w:r>
        <w:rPr>
          <w:rFonts w:hint="eastAsia" w:cs="宋体" w:asciiTheme="minorEastAsia" w:hAnsiTheme="minorEastAsia" w:eastAsiaTheme="minorEastAsia"/>
          <w:color w:val="auto"/>
          <w:szCs w:val="21"/>
          <w:highlight w:val="none"/>
          <w:u w:val="single"/>
        </w:rPr>
        <w:t>扣除。砼模板施工方案</w:t>
      </w:r>
      <w:r>
        <w:rPr>
          <w:rFonts w:hint="eastAsia" w:cs="宋体" w:asciiTheme="minorEastAsia" w:hAnsiTheme="minorEastAsia" w:eastAsiaTheme="minorEastAsia"/>
          <w:color w:val="auto"/>
          <w:szCs w:val="21"/>
          <w:highlight w:val="none"/>
          <w:u w:val="single"/>
          <w:lang w:eastAsia="zh-CN"/>
        </w:rPr>
        <w:t>满足现场</w:t>
      </w:r>
      <w:r>
        <w:rPr>
          <w:rFonts w:hint="eastAsia" w:cs="宋体" w:asciiTheme="minorEastAsia" w:hAnsiTheme="minorEastAsia" w:eastAsiaTheme="minorEastAsia"/>
          <w:color w:val="auto"/>
          <w:szCs w:val="21"/>
          <w:highlight w:val="none"/>
          <w:u w:val="single"/>
        </w:rPr>
        <w:t>有关规定，拆模后达到发包人要求的标准。</w:t>
      </w:r>
    </w:p>
    <w:p w14:paraId="44E6C1B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围墙施工图以附件要求《经发地产施工现场环境工作标准》为准，所有费用包含在措施项目费中。</w:t>
      </w:r>
    </w:p>
    <w:p w14:paraId="3FE5210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协调联合体之间工作衔接，管理分包单位，协调外部事宜。其他未尽事宜由双方协商</w:t>
      </w:r>
      <w:r>
        <w:rPr>
          <w:rFonts w:hint="eastAsia" w:cs="宋体" w:asciiTheme="minorEastAsia" w:hAnsiTheme="minorEastAsia" w:eastAsiaTheme="minorEastAsia"/>
          <w:color w:val="auto"/>
          <w:szCs w:val="21"/>
          <w:highlight w:val="none"/>
        </w:rPr>
        <w:t>。</w:t>
      </w:r>
    </w:p>
    <w:p w14:paraId="2C93401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工程照管与成品、半成品保护：</w:t>
      </w:r>
    </w:p>
    <w:p w14:paraId="5A2CECFA">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u w:val="single"/>
        </w:rPr>
      </w:pPr>
      <w:r>
        <w:rPr>
          <w:rFonts w:hint="eastAsia" w:cs="宋体" w:asciiTheme="minorEastAsia" w:hAnsiTheme="minorEastAsia" w:eastAsiaTheme="minorEastAsia"/>
          <w:color w:val="auto"/>
          <w:kern w:val="0"/>
          <w:szCs w:val="21"/>
          <w:highlight w:val="none"/>
        </w:rPr>
        <w:t>承包人负责照管工程及工程相关的材料、工程设备的起始时间：</w:t>
      </w:r>
      <w:r>
        <w:rPr>
          <w:rFonts w:hint="eastAsia" w:cs="宋体" w:asciiTheme="minorEastAsia" w:hAnsiTheme="minorEastAsia" w:eastAsiaTheme="minorEastAsia"/>
          <w:color w:val="auto"/>
          <w:kern w:val="0"/>
          <w:szCs w:val="21"/>
          <w:highlight w:val="none"/>
          <w:u w:val="single"/>
        </w:rPr>
        <w:t>从开工之日起直到竣工移交之日止，承包人自行施工工程及其它已移交承包人的专业工程工作成果的照管与成品保护由承包人负责。在承包人负责照管期间，由于承包人保护措施不到位造成其自行施工工程本身或其它专业工程成品、半成品和材料设备损坏的，所有修复、更换费用由承包人承担</w:t>
      </w:r>
      <w:r>
        <w:rPr>
          <w:rFonts w:hint="eastAsia" w:cs="宋体" w:asciiTheme="minorEastAsia" w:hAnsiTheme="minorEastAsia" w:eastAsiaTheme="minorEastAsia"/>
          <w:color w:val="auto"/>
          <w:kern w:val="0"/>
          <w:szCs w:val="21"/>
          <w:highlight w:val="none"/>
        </w:rPr>
        <w:t>。</w:t>
      </w:r>
    </w:p>
    <w:p w14:paraId="10636FA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u w:val="single"/>
        </w:rPr>
        <w:t>发包人直接发包的专业分包工程项目，自专业分包工程承包人进场至退场期间，承包人应配合各专业分包工程承包人做好其成品及半成品的保护工作，若因承包人原因造成专业工程成品或半成品损坏、丢失，则其修复、更换费用由承包人承担</w:t>
      </w:r>
      <w:r>
        <w:rPr>
          <w:rFonts w:hint="eastAsia" w:cs="宋体" w:asciiTheme="minorEastAsia" w:hAnsiTheme="minorEastAsia" w:eastAsiaTheme="minorEastAsia"/>
          <w:color w:val="auto"/>
          <w:kern w:val="0"/>
          <w:szCs w:val="21"/>
          <w:highlight w:val="none"/>
        </w:rPr>
        <w:t>。</w:t>
      </w:r>
    </w:p>
    <w:p w14:paraId="52FFA5B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承包人应及时办理入陕、入市备案，按期配合完成各类图审以确保施工许可证的正常办理。因承包人不及时办理相关手续引起施工许可证办理延误，延误的工期由承包人全部承担。</w:t>
      </w:r>
    </w:p>
    <w:p w14:paraId="44EEB1A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承包人应积极配合发包人的各项图审及验收工作（如消防、人防、节能、环保验收等），因承包人不配合造成发包人损失，承包人负赔偿责任，工期不予顺延。</w:t>
      </w:r>
    </w:p>
    <w:p w14:paraId="0AB487E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承包人无条件配合发包人办理市政配套费的缴纳及相关手续办理，产生的配合费用发包人审核后予以认可并随结算款另行支付。</w:t>
      </w:r>
    </w:p>
    <w:p w14:paraId="7513D8C4">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06" w:name="_Toc54862336"/>
      <w:r>
        <w:rPr>
          <w:rFonts w:cs="宋体" w:asciiTheme="minorEastAsia" w:hAnsiTheme="minorEastAsia" w:eastAsiaTheme="minorEastAsia"/>
          <w:b/>
          <w:color w:val="auto"/>
          <w:szCs w:val="21"/>
          <w:highlight w:val="none"/>
        </w:rPr>
        <w:t xml:space="preserve">4.2 </w:t>
      </w:r>
      <w:r>
        <w:rPr>
          <w:rFonts w:hint="eastAsia" w:cs="宋体" w:asciiTheme="minorEastAsia" w:hAnsiTheme="minorEastAsia" w:eastAsiaTheme="minorEastAsia"/>
          <w:b/>
          <w:color w:val="auto"/>
          <w:szCs w:val="21"/>
          <w:highlight w:val="none"/>
        </w:rPr>
        <w:t>履约担保</w:t>
      </w:r>
    </w:p>
    <w:p w14:paraId="794367A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承包人提供履约担保的形式、期限、金额（或比例）：</w:t>
      </w:r>
      <w:r>
        <w:rPr>
          <w:rFonts w:hint="eastAsia" w:cs="宋体" w:asciiTheme="minorEastAsia" w:hAnsiTheme="minorEastAsia" w:eastAsiaTheme="minorEastAsia"/>
          <w:color w:val="auto"/>
          <w:szCs w:val="21"/>
          <w:highlight w:val="none"/>
          <w:u w:val="single"/>
        </w:rPr>
        <w:t>承包人应在本合同签订后首次付款前向发包人提供履约担保。担保的形式：</w:t>
      </w:r>
      <w:r>
        <w:rPr>
          <w:rFonts w:hint="eastAsia" w:cs="宋体" w:asciiTheme="minorEastAsia" w:hAnsiTheme="minorEastAsia" w:eastAsiaTheme="minorEastAsia"/>
          <w:color w:val="auto"/>
          <w:kern w:val="0"/>
          <w:szCs w:val="21"/>
          <w:highlight w:val="none"/>
          <w:u w:val="single"/>
        </w:rPr>
        <w:t>现金转账</w:t>
      </w:r>
      <w:r>
        <w:rPr>
          <w:rFonts w:hint="eastAsia" w:cs="宋体" w:asciiTheme="minorEastAsia" w:hAnsiTheme="minorEastAsia" w:eastAsiaTheme="minorEastAsia"/>
          <w:color w:val="auto"/>
          <w:kern w:val="0"/>
          <w:szCs w:val="21"/>
          <w:highlight w:val="none"/>
          <w:u w:val="single"/>
          <w:lang w:val="en-US" w:eastAsia="zh-CN"/>
        </w:rPr>
        <w:t>或</w:t>
      </w:r>
      <w:r>
        <w:rPr>
          <w:rFonts w:hint="eastAsia" w:cs="宋体" w:asciiTheme="minorEastAsia" w:hAnsiTheme="minorEastAsia" w:eastAsiaTheme="minorEastAsia"/>
          <w:color w:val="auto"/>
          <w:szCs w:val="21"/>
          <w:highlight w:val="none"/>
          <w:u w:val="single"/>
        </w:rPr>
        <w:t>银行保函</w:t>
      </w:r>
      <w:r>
        <w:rPr>
          <w:rFonts w:hint="eastAsia" w:cs="宋体" w:asciiTheme="minorEastAsia" w:hAnsiTheme="minorEastAsia" w:eastAsiaTheme="minorEastAsia"/>
          <w:color w:val="auto"/>
          <w:szCs w:val="21"/>
          <w:highlight w:val="none"/>
          <w:u w:val="single"/>
          <w:lang w:val="en-US" w:eastAsia="zh-CN"/>
        </w:rPr>
        <w:t>等</w:t>
      </w:r>
      <w:r>
        <w:rPr>
          <w:rFonts w:hint="eastAsia" w:cs="宋体" w:asciiTheme="minorEastAsia" w:hAnsiTheme="minorEastAsia" w:eastAsiaTheme="minorEastAsia"/>
          <w:color w:val="auto"/>
          <w:szCs w:val="21"/>
          <w:highlight w:val="none"/>
          <w:u w:val="single"/>
        </w:rPr>
        <w:t>；担保有效期：自合同签订之日起至竣工验收；担保的金额（或比例）：</w:t>
      </w:r>
      <w:r>
        <w:rPr>
          <w:rFonts w:hint="eastAsia" w:asciiTheme="minorEastAsia" w:hAnsiTheme="minorEastAsia" w:eastAsiaTheme="minorEastAsia" w:cstheme="minorEastAsia"/>
          <w:color w:val="FF0000"/>
          <w:szCs w:val="21"/>
          <w:highlight w:val="none"/>
          <w:u w:val="single"/>
        </w:rPr>
        <w:t>建筑安装工程费（不含暂估价工程、暂列金额）</w:t>
      </w:r>
      <w:r>
        <w:rPr>
          <w:rFonts w:hint="eastAsia" w:asciiTheme="minorEastAsia" w:hAnsiTheme="minorEastAsia" w:eastAsiaTheme="minorEastAsia" w:cstheme="minorEastAsia"/>
          <w:color w:val="auto"/>
          <w:szCs w:val="21"/>
          <w:highlight w:val="none"/>
          <w:u w:val="single"/>
        </w:rPr>
        <w:t>的10%</w:t>
      </w:r>
      <w:r>
        <w:rPr>
          <w:rFonts w:cs="宋体" w:asciiTheme="minorEastAsia" w:hAnsiTheme="minorEastAsia" w:eastAsiaTheme="minorEastAsia"/>
          <w:color w:val="auto"/>
          <w:szCs w:val="21"/>
          <w:highlight w:val="none"/>
          <w:u w:val="single"/>
        </w:rPr>
        <w:t>（即¥</w:t>
      </w:r>
      <w:r>
        <w:rPr>
          <w:rFonts w:hint="eastAsia" w:cs="宋体" w:asciiTheme="minorEastAsia" w:hAnsiTheme="minorEastAsia" w:eastAsiaTheme="minorEastAsia"/>
          <w:color w:val="FF0000"/>
          <w:szCs w:val="21"/>
          <w:highlight w:val="none"/>
          <w:u w:val="single"/>
          <w:lang w:val="en-US" w:eastAsia="zh-CN"/>
        </w:rPr>
        <w:t>24729373.46</w:t>
      </w:r>
      <w:r>
        <w:rPr>
          <w:rFonts w:cs="宋体" w:asciiTheme="minorEastAsia" w:hAnsiTheme="minorEastAsia" w:eastAsiaTheme="minorEastAsia"/>
          <w:color w:val="auto"/>
          <w:szCs w:val="21"/>
          <w:highlight w:val="none"/>
          <w:u w:val="single"/>
        </w:rPr>
        <w:t>元）。履约担保在担保有效期期间不退还，履约担保到期未竣工验收的，应办理续期，新担保未生效前，相关合同款项暂停支付</w:t>
      </w:r>
      <w:r>
        <w:rPr>
          <w:rFonts w:hint="eastAsia" w:cs="宋体" w:asciiTheme="minorEastAsia" w:hAnsiTheme="minorEastAsia" w:eastAsiaTheme="minorEastAsia"/>
          <w:color w:val="auto"/>
          <w:szCs w:val="21"/>
          <w:highlight w:val="none"/>
        </w:rPr>
        <w:t>。</w:t>
      </w:r>
    </w:p>
    <w:p w14:paraId="4222F09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履约保证金的退还：</w:t>
      </w:r>
      <w:r>
        <w:rPr>
          <w:rFonts w:hint="eastAsia" w:cs="宋体" w:asciiTheme="minorEastAsia" w:hAnsiTheme="minorEastAsia" w:eastAsiaTheme="minorEastAsia"/>
          <w:color w:val="auto"/>
          <w:szCs w:val="21"/>
          <w:highlight w:val="none"/>
          <w:u w:val="single"/>
        </w:rPr>
        <w:t>在工程竣工验收合格并办理履约保证金退还手续</w:t>
      </w:r>
      <w:r>
        <w:rPr>
          <w:rFonts w:cs="宋体" w:asciiTheme="minorEastAsia" w:hAnsiTheme="minorEastAsia" w:eastAsiaTheme="minorEastAsia"/>
          <w:color w:val="auto"/>
          <w:szCs w:val="21"/>
          <w:highlight w:val="none"/>
          <w:u w:val="single"/>
        </w:rPr>
        <w:t>30天后，无息退还承包人履约保证金</w:t>
      </w:r>
      <w:r>
        <w:rPr>
          <w:rFonts w:hint="eastAsia" w:cs="宋体" w:asciiTheme="minorEastAsia" w:hAnsiTheme="minorEastAsia" w:eastAsiaTheme="minorEastAsia"/>
          <w:color w:val="auto"/>
          <w:szCs w:val="21"/>
          <w:highlight w:val="none"/>
        </w:rPr>
        <w:t>。</w:t>
      </w:r>
    </w:p>
    <w:p w14:paraId="4B0AB5A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在下列情况下，履约保证金将被扣除或没收（承包人提供履约保函的，发包人有权凭履约保函向银行索取保证金作为赔偿），并追究承包人相应法律责任：</w:t>
      </w:r>
      <w:r>
        <w:rPr>
          <w:rFonts w:cs="宋体" w:asciiTheme="minorEastAsia" w:hAnsiTheme="minorEastAsia" w:eastAsiaTheme="minorEastAsia"/>
          <w:color w:val="auto"/>
          <w:szCs w:val="21"/>
          <w:highlight w:val="none"/>
          <w:u w:val="single"/>
        </w:rPr>
        <w:t xml:space="preserve"> a.承包人不经过发包人同意，在施工期间更换投标时确定的项目经理。b .中标人在合同履行过程中，未按合同条款执行，在发包人两次书面督促情况下，但还未执行时</w:t>
      </w:r>
      <w:r>
        <w:rPr>
          <w:rFonts w:hint="eastAsia" w:cs="宋体" w:asciiTheme="minorEastAsia" w:hAnsiTheme="minorEastAsia" w:eastAsiaTheme="minorEastAsia"/>
          <w:color w:val="auto"/>
          <w:szCs w:val="21"/>
          <w:highlight w:val="none"/>
        </w:rPr>
        <w:t>。</w:t>
      </w:r>
    </w:p>
    <w:p w14:paraId="5A39B52E">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4.3 </w:t>
      </w:r>
      <w:r>
        <w:rPr>
          <w:rFonts w:hint="eastAsia" w:cs="宋体" w:asciiTheme="minorEastAsia" w:hAnsiTheme="minorEastAsia" w:eastAsiaTheme="minorEastAsia"/>
          <w:b/>
          <w:color w:val="auto"/>
          <w:szCs w:val="21"/>
          <w:highlight w:val="none"/>
        </w:rPr>
        <w:t>工程总承包项目经理</w:t>
      </w:r>
    </w:p>
    <w:p w14:paraId="6C36F8D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4.3.1 </w:t>
      </w:r>
      <w:r>
        <w:rPr>
          <w:rFonts w:hint="eastAsia" w:cs="宋体" w:asciiTheme="minorEastAsia" w:hAnsiTheme="minorEastAsia" w:eastAsiaTheme="minorEastAsia"/>
          <w:color w:val="auto"/>
          <w:szCs w:val="21"/>
          <w:highlight w:val="none"/>
        </w:rPr>
        <w:t>工程总承包项目经理姓名：</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吕朝江</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507BF13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执业资格或职称类型：</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一级建造师 建筑工程</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78B2DBE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执业资格证或职称证号码：</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 xml:space="preserve">鲁1372016201611519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1CEDA18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联系电话：</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13457995875</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484F89C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电子邮箱：</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370957348@qq.com</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7745669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通信地址：</w:t>
      </w:r>
      <w:r>
        <w:rPr>
          <w:rFonts w:hint="eastAsia" w:cs="宋体" w:asciiTheme="minorEastAsia" w:hAnsiTheme="minorEastAsia" w:eastAsiaTheme="minorEastAsia"/>
          <w:color w:val="auto"/>
          <w:szCs w:val="21"/>
          <w:highlight w:val="none"/>
          <w:u w:val="single"/>
        </w:rPr>
        <w:t xml:space="preserve">  </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陕西省西安市经济技术开发区凤城二路白桦林金融创新中心</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6CEC3BB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承包人未提交劳动合同，以及没有为工程总承包项目经理缴纳社会保险证明的违约责任：</w:t>
      </w:r>
      <w:r>
        <w:rPr>
          <w:rFonts w:hint="eastAsia" w:cs="宋体" w:asciiTheme="minorEastAsia" w:hAnsiTheme="minorEastAsia" w:eastAsiaTheme="minorEastAsia"/>
          <w:color w:val="auto"/>
          <w:szCs w:val="21"/>
          <w:highlight w:val="none"/>
          <w:u w:val="single"/>
        </w:rPr>
        <w:t>处以</w:t>
      </w:r>
      <w:r>
        <w:rPr>
          <w:rFonts w:cs="宋体" w:asciiTheme="minorEastAsia" w:hAnsiTheme="minorEastAsia" w:eastAsiaTheme="minorEastAsia"/>
          <w:color w:val="auto"/>
          <w:szCs w:val="21"/>
          <w:highlight w:val="none"/>
          <w:u w:val="single"/>
        </w:rPr>
        <w:t>3万元违约金，并应按照发包人要求限期提交劳动合同并补缴社会保险。由此造成的一切后果由承包人承担，由此给发包人造成的损失由承包人承担</w:t>
      </w:r>
      <w:r>
        <w:rPr>
          <w:rFonts w:hint="eastAsia" w:cs="宋体" w:asciiTheme="minorEastAsia" w:hAnsiTheme="minorEastAsia" w:eastAsiaTheme="minorEastAsia"/>
          <w:color w:val="auto"/>
          <w:szCs w:val="21"/>
          <w:highlight w:val="none"/>
        </w:rPr>
        <w:t>。</w:t>
      </w:r>
    </w:p>
    <w:p w14:paraId="761A542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4.3.2 </w:t>
      </w:r>
      <w:r>
        <w:rPr>
          <w:rFonts w:hint="eastAsia" w:cs="宋体" w:asciiTheme="minorEastAsia" w:hAnsiTheme="minorEastAsia" w:eastAsiaTheme="minorEastAsia"/>
          <w:color w:val="auto"/>
          <w:szCs w:val="21"/>
          <w:highlight w:val="none"/>
        </w:rPr>
        <w:t>工程总承包项目经理每月在现场的时间要求：</w:t>
      </w:r>
      <w:r>
        <w:rPr>
          <w:rFonts w:hint="eastAsia" w:cs="宋体" w:asciiTheme="minorEastAsia" w:hAnsiTheme="minorEastAsia" w:eastAsiaTheme="minorEastAsia"/>
          <w:color w:val="auto"/>
          <w:szCs w:val="21"/>
          <w:highlight w:val="none"/>
          <w:u w:val="single"/>
        </w:rPr>
        <w:t>项目经理全过程配置，至结算完成。不得设置执行经理，副经理及项目总工（技术负责人）等不得以执行经理名义执行项目经理职责。项目经理要求驻工地时间每周不少于</w:t>
      </w:r>
      <w:r>
        <w:rPr>
          <w:rFonts w:cs="宋体" w:asciiTheme="minorEastAsia" w:hAnsiTheme="minorEastAsia" w:eastAsiaTheme="minorEastAsia"/>
          <w:color w:val="auto"/>
          <w:szCs w:val="21"/>
          <w:highlight w:val="none"/>
          <w:u w:val="single"/>
        </w:rPr>
        <w:t>6天，每月参加监理例会不少于4次。项目经理不得迟到早退，应经常性巡查施工作业面，现场巡查时间每天不少于4小时。驻工地时间和每月参加监理例会次数不足时，按照相关约定处罚，并通报承包人公司</w:t>
      </w:r>
      <w:r>
        <w:rPr>
          <w:rFonts w:hint="eastAsia" w:cs="宋体" w:asciiTheme="minorEastAsia" w:hAnsiTheme="minorEastAsia" w:eastAsiaTheme="minorEastAsia"/>
          <w:color w:val="auto"/>
          <w:szCs w:val="21"/>
          <w:highlight w:val="none"/>
        </w:rPr>
        <w:t>。</w:t>
      </w:r>
      <w:r>
        <w:rPr>
          <w:rFonts w:hint="eastAsia" w:cs="宋体" w:asciiTheme="minorEastAsia" w:hAnsiTheme="minorEastAsia" w:eastAsiaTheme="minorEastAsia"/>
          <w:color w:val="auto"/>
          <w:szCs w:val="21"/>
          <w:highlight w:val="none"/>
          <w:u w:val="single"/>
        </w:rPr>
        <w:t>项目经理每</w:t>
      </w:r>
      <w:r>
        <w:rPr>
          <w:rFonts w:hint="eastAsia" w:cs="宋体" w:asciiTheme="minorEastAsia" w:hAnsiTheme="minorEastAsia" w:eastAsiaTheme="minorEastAsia"/>
          <w:color w:val="auto"/>
          <w:szCs w:val="21"/>
          <w:highlight w:val="none"/>
          <w:u w:val="single"/>
          <w:lang w:val="en-US" w:eastAsia="zh-CN"/>
        </w:rPr>
        <w:t>周驻场</w:t>
      </w:r>
      <w:r>
        <w:rPr>
          <w:rFonts w:hint="eastAsia" w:cs="宋体" w:asciiTheme="minorEastAsia" w:hAnsiTheme="minorEastAsia" w:eastAsiaTheme="minorEastAsia"/>
          <w:color w:val="auto"/>
          <w:szCs w:val="21"/>
          <w:highlight w:val="none"/>
          <w:u w:val="single"/>
        </w:rPr>
        <w:t>时间不</w:t>
      </w:r>
      <w:r>
        <w:rPr>
          <w:rFonts w:hint="eastAsia" w:cs="宋体" w:asciiTheme="minorEastAsia" w:hAnsiTheme="minorEastAsia" w:eastAsiaTheme="minorEastAsia"/>
          <w:color w:val="auto"/>
          <w:szCs w:val="21"/>
          <w:highlight w:val="none"/>
          <w:u w:val="single"/>
          <w:lang w:val="en-US" w:eastAsia="zh-CN"/>
        </w:rPr>
        <w:t>足的，</w:t>
      </w:r>
      <w:r>
        <w:rPr>
          <w:rFonts w:cs="宋体" w:asciiTheme="minorEastAsia" w:hAnsiTheme="minorEastAsia" w:eastAsiaTheme="minorEastAsia"/>
          <w:color w:val="auto"/>
          <w:szCs w:val="21"/>
          <w:highlight w:val="none"/>
          <w:u w:val="single"/>
        </w:rPr>
        <w:t>每</w:t>
      </w:r>
      <w:r>
        <w:rPr>
          <w:rFonts w:hint="eastAsia" w:cs="宋体" w:asciiTheme="minorEastAsia" w:hAnsiTheme="minorEastAsia" w:eastAsiaTheme="minorEastAsia"/>
          <w:color w:val="auto"/>
          <w:szCs w:val="21"/>
          <w:highlight w:val="none"/>
          <w:u w:val="single"/>
          <w:lang w:val="en-US" w:eastAsia="zh-CN"/>
        </w:rPr>
        <w:t>少</w:t>
      </w:r>
      <w:r>
        <w:rPr>
          <w:rFonts w:cs="宋体" w:asciiTheme="minorEastAsia" w:hAnsiTheme="minorEastAsia" w:eastAsiaTheme="minorEastAsia"/>
          <w:color w:val="auto"/>
          <w:szCs w:val="21"/>
          <w:highlight w:val="none"/>
          <w:u w:val="single"/>
        </w:rPr>
        <w:t>一天，承包人承担2000元的违约金。项目经理须参加</w:t>
      </w:r>
      <w:r>
        <w:rPr>
          <w:rFonts w:hint="eastAsia" w:cs="宋体" w:asciiTheme="minorEastAsia" w:hAnsiTheme="minorEastAsia" w:eastAsiaTheme="minorEastAsia"/>
          <w:color w:val="auto"/>
          <w:szCs w:val="21"/>
          <w:highlight w:val="none"/>
          <w:u w:val="single"/>
          <w:lang w:val="en-US" w:eastAsia="zh-CN"/>
        </w:rPr>
        <w:t>监理例会、</w:t>
      </w:r>
      <w:r>
        <w:rPr>
          <w:rFonts w:cs="宋体" w:asciiTheme="minorEastAsia" w:hAnsiTheme="minorEastAsia" w:eastAsiaTheme="minorEastAsia"/>
          <w:color w:val="auto"/>
          <w:szCs w:val="21"/>
          <w:highlight w:val="none"/>
          <w:u w:val="single"/>
        </w:rPr>
        <w:t>月度质量会议及现场协调会</w:t>
      </w:r>
      <w:r>
        <w:rPr>
          <w:rFonts w:hint="eastAsia" w:cs="宋体" w:asciiTheme="minorEastAsia" w:hAnsiTheme="minorEastAsia" w:eastAsiaTheme="minorEastAsia"/>
          <w:color w:val="auto"/>
          <w:szCs w:val="21"/>
          <w:highlight w:val="none"/>
          <w:u w:val="single"/>
          <w:lang w:val="en-US" w:eastAsia="zh-CN"/>
        </w:rPr>
        <w:t>等</w:t>
      </w:r>
      <w:r>
        <w:rPr>
          <w:rFonts w:cs="宋体" w:asciiTheme="minorEastAsia" w:hAnsiTheme="minorEastAsia" w:eastAsiaTheme="minorEastAsia"/>
          <w:color w:val="auto"/>
          <w:szCs w:val="21"/>
          <w:highlight w:val="none"/>
          <w:u w:val="single"/>
        </w:rPr>
        <w:t xml:space="preserve">，每缺席一次承包人承担 1000 </w:t>
      </w:r>
      <w:r>
        <w:rPr>
          <w:rFonts w:hint="eastAsia" w:cs="宋体" w:asciiTheme="minorEastAsia" w:hAnsiTheme="minorEastAsia" w:eastAsiaTheme="minorEastAsia"/>
          <w:color w:val="auto"/>
          <w:szCs w:val="21"/>
          <w:highlight w:val="none"/>
          <w:u w:val="single"/>
        </w:rPr>
        <w:t>元的违约金</w:t>
      </w:r>
      <w:r>
        <w:rPr>
          <w:rFonts w:hint="eastAsia" w:cs="宋体" w:asciiTheme="minorEastAsia" w:hAnsiTheme="minorEastAsia" w:eastAsiaTheme="minorEastAsia"/>
          <w:color w:val="auto"/>
          <w:szCs w:val="21"/>
          <w:highlight w:val="none"/>
        </w:rPr>
        <w:t>。</w:t>
      </w:r>
    </w:p>
    <w:p w14:paraId="3670A58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工程总承包项目经理未经批准擅自离开施工现场的违约责任：</w:t>
      </w:r>
      <w:r>
        <w:rPr>
          <w:rFonts w:hint="eastAsia" w:cs="宋体" w:asciiTheme="minorEastAsia" w:hAnsiTheme="minorEastAsia" w:eastAsiaTheme="minorEastAsia"/>
          <w:color w:val="auto"/>
          <w:szCs w:val="21"/>
          <w:highlight w:val="none"/>
          <w:u w:val="single"/>
        </w:rPr>
        <w:t>处以</w:t>
      </w:r>
      <w:r>
        <w:rPr>
          <w:rFonts w:cs="宋体" w:asciiTheme="minorEastAsia" w:hAnsiTheme="minorEastAsia" w:eastAsiaTheme="minorEastAsia"/>
          <w:color w:val="auto"/>
          <w:szCs w:val="21"/>
          <w:highlight w:val="none"/>
          <w:u w:val="single"/>
        </w:rPr>
        <w:t>2000元违约金/次。由此造成的一切后果由承包人承担，由此给发包人造成的损失由承包人承担</w:t>
      </w:r>
      <w:r>
        <w:rPr>
          <w:rFonts w:hint="eastAsia" w:cs="宋体" w:asciiTheme="minorEastAsia" w:hAnsiTheme="minorEastAsia" w:eastAsiaTheme="minorEastAsia"/>
          <w:color w:val="auto"/>
          <w:szCs w:val="21"/>
          <w:highlight w:val="none"/>
        </w:rPr>
        <w:t>。</w:t>
      </w:r>
    </w:p>
    <w:p w14:paraId="406CC4A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4.3.3 </w:t>
      </w:r>
      <w:r>
        <w:rPr>
          <w:rFonts w:hint="eastAsia" w:cs="宋体" w:asciiTheme="minorEastAsia" w:hAnsiTheme="minorEastAsia" w:eastAsiaTheme="minorEastAsia"/>
          <w:color w:val="auto"/>
          <w:szCs w:val="21"/>
          <w:highlight w:val="none"/>
        </w:rPr>
        <w:t>承包人对工程总承包项目经理的授权范围：</w:t>
      </w:r>
    </w:p>
    <w:p w14:paraId="2FD7E4D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承包人原则上在本项目实施期间不得更换项目经理。承包人确实因特殊原因需要更换项目经理的（发包人提出要求更换的情况除外），需符合项目经理变更条件，至少提前</w:t>
      </w:r>
      <w:r>
        <w:rPr>
          <w:rFonts w:cs="宋体" w:asciiTheme="minorEastAsia" w:hAnsiTheme="minorEastAsia" w:eastAsiaTheme="minorEastAsia"/>
          <w:color w:val="auto"/>
          <w:szCs w:val="21"/>
          <w:highlight w:val="none"/>
          <w:u w:val="single"/>
        </w:rPr>
        <w:t>20天以书面形式通知发包人，未经发包人书面同意，承包人不得更换项目经理；发包人同意的，也应进行全面详细的交接工作，发包人对后任项目经理满意后，才能进行正式更换；同时承包人需到</w:t>
      </w:r>
      <w:r>
        <w:rPr>
          <w:rFonts w:hint="eastAsia" w:cs="宋体" w:asciiTheme="minorEastAsia" w:hAnsiTheme="minorEastAsia" w:eastAsiaTheme="minorEastAsia"/>
          <w:color w:val="auto"/>
          <w:szCs w:val="21"/>
          <w:highlight w:val="none"/>
          <w:u w:val="single"/>
        </w:rPr>
        <w:t>西安市</w:t>
      </w:r>
      <w:r>
        <w:rPr>
          <w:rFonts w:cs="宋体" w:asciiTheme="minorEastAsia" w:hAnsiTheme="minorEastAsia" w:eastAsiaTheme="minorEastAsia"/>
          <w:color w:val="auto"/>
          <w:szCs w:val="21"/>
          <w:highlight w:val="none"/>
          <w:u w:val="single"/>
        </w:rPr>
        <w:t>招办进行备案，执行经开区《关于项目经理（总监）变更的相关规定（暂行）》；否则发包人有权终止合同，承包人应无条件撤出现场，由此造成的一切后果，由承包人承担</w:t>
      </w:r>
      <w:r>
        <w:rPr>
          <w:rFonts w:hint="eastAsia" w:cs="宋体" w:asciiTheme="minorEastAsia" w:hAnsiTheme="minorEastAsia" w:eastAsiaTheme="minorEastAsia"/>
          <w:color w:val="auto"/>
          <w:szCs w:val="21"/>
          <w:highlight w:val="none"/>
        </w:rPr>
        <w:t>。</w:t>
      </w:r>
    </w:p>
    <w:p w14:paraId="3F95F0A9">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发包人提出更换不称职项目经理，承包人应在收到发包人通知后</w:t>
      </w:r>
      <w:r>
        <w:rPr>
          <w:rFonts w:cs="宋体" w:asciiTheme="minorEastAsia" w:hAnsiTheme="minorEastAsia" w:eastAsiaTheme="minorEastAsia"/>
          <w:color w:val="auto"/>
          <w:szCs w:val="21"/>
          <w:highlight w:val="none"/>
          <w:u w:val="single"/>
        </w:rPr>
        <w:t>72小时内更换符合要求的项目经理，在新的项目经理到岗前，原项目经理仍应继续履行职责。新的项目经理到岗后，原项目经理也应当与其后任者在现场共同工作一段时间，认真、详细交接工作，发包人对后任项目经理满意后，才能进行正式更换；发包人对承包人选派的后任者不满意的，承包人应当另行选派，直至发包人满意后才能进行项目经理的更换。后任者继续行使合同文件约定，行使前任的职权，履行前任的义务。承包人不予更换时，发包人有权单方终止合同，承包人应无条件撤出现场，由此造成的一切后果，由承包人承担</w:t>
      </w:r>
      <w:r>
        <w:rPr>
          <w:rFonts w:hint="eastAsia" w:cs="宋体" w:asciiTheme="minorEastAsia" w:hAnsiTheme="minorEastAsia" w:eastAsiaTheme="minorEastAsia"/>
          <w:color w:val="auto"/>
          <w:szCs w:val="21"/>
          <w:highlight w:val="none"/>
          <w:u w:val="single"/>
        </w:rPr>
        <w:t>。</w:t>
      </w:r>
    </w:p>
    <w:p w14:paraId="1B0D4256">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承包人未按本条约定流程擅自更换项目经理，应按</w:t>
      </w:r>
      <w:r>
        <w:rPr>
          <w:rFonts w:cs="宋体" w:asciiTheme="minorEastAsia" w:hAnsiTheme="minorEastAsia" w:eastAsiaTheme="minorEastAsia"/>
          <w:color w:val="auto"/>
          <w:szCs w:val="21"/>
          <w:highlight w:val="none"/>
          <w:u w:val="single"/>
        </w:rPr>
        <w:t>5万元/人次的标准向发包人支付违约金</w:t>
      </w:r>
      <w:r>
        <w:rPr>
          <w:rFonts w:hint="eastAsia" w:cs="宋体" w:asciiTheme="minorEastAsia" w:hAnsiTheme="minorEastAsia" w:eastAsiaTheme="minorEastAsia"/>
          <w:color w:val="auto"/>
          <w:szCs w:val="21"/>
          <w:highlight w:val="none"/>
          <w:u w:val="single"/>
        </w:rPr>
        <w:t>。在新项目经理未获发包人、监理人认可前，暂停一切工程款上报及支付。</w:t>
      </w:r>
    </w:p>
    <w:p w14:paraId="1E71403D">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擅自更换设计负责人的违约约定：</w:t>
      </w:r>
      <w:r>
        <w:rPr>
          <w:rFonts w:cs="宋体" w:asciiTheme="minorEastAsia" w:hAnsiTheme="minorEastAsia" w:eastAsiaTheme="minorEastAsia"/>
          <w:color w:val="auto"/>
          <w:szCs w:val="21"/>
          <w:highlight w:val="none"/>
          <w:u w:val="single"/>
        </w:rPr>
        <w:t>1）承包人原因擅自更换设计负责人，并且未按约定通知发包人，承包人除按相关规定解决问题外，处以违约金</w:t>
      </w:r>
      <w:r>
        <w:rPr>
          <w:rFonts w:hint="eastAsia" w:cs="宋体" w:asciiTheme="minorEastAsia" w:hAnsiTheme="minorEastAsia" w:eastAsiaTheme="minorEastAsia"/>
          <w:color w:val="auto"/>
          <w:szCs w:val="21"/>
          <w:highlight w:val="none"/>
          <w:u w:val="single"/>
        </w:rPr>
        <w:t>5</w:t>
      </w:r>
      <w:r>
        <w:rPr>
          <w:rFonts w:cs="宋体" w:asciiTheme="minorEastAsia" w:hAnsiTheme="minorEastAsia" w:eastAsiaTheme="minorEastAsia"/>
          <w:color w:val="auto"/>
          <w:szCs w:val="21"/>
          <w:highlight w:val="none"/>
          <w:u w:val="single"/>
        </w:rPr>
        <w:t>万元； 2）设计负责人只能更换一次，如更换后的设计负责人仍旧不能胜任本职工作，发包人有权解除合同。3）由于承包人原因或设计负责人不能胜任工作而导致更换项目设计负责人时，承包人须向发包人交纳违约金</w:t>
      </w:r>
      <w:r>
        <w:rPr>
          <w:rFonts w:hint="eastAsia" w:cs="宋体" w:asciiTheme="minorEastAsia" w:hAnsiTheme="minorEastAsia" w:eastAsiaTheme="minorEastAsia"/>
          <w:color w:val="auto"/>
          <w:szCs w:val="21"/>
          <w:highlight w:val="none"/>
          <w:u w:val="single"/>
        </w:rPr>
        <w:t>5</w:t>
      </w:r>
      <w:r>
        <w:rPr>
          <w:rFonts w:cs="宋体" w:asciiTheme="minorEastAsia" w:hAnsiTheme="minorEastAsia" w:eastAsiaTheme="minorEastAsia"/>
          <w:color w:val="auto"/>
          <w:szCs w:val="21"/>
          <w:highlight w:val="none"/>
          <w:u w:val="single"/>
        </w:rPr>
        <w:t>万元人民币；</w:t>
      </w:r>
    </w:p>
    <w:p w14:paraId="7D63327F">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承包人未按本条约定拒绝更换项目经理，应按5万元/人次的标准向发包人支付违约金。在新项目经理未到位、能力未获发包人、监理人认可前，暂停一切工程款上报及支付。</w:t>
      </w:r>
    </w:p>
    <w:p w14:paraId="34294545">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项目经理按发包人认可的施工组织设计（施工方案）和发包人依据合同发出的指令组织施工。在情况紧急且无法与工程师联系时，项目经理应当采取保证人员生命和工程、财产安全的紧急措施，并在采取措施后</w:t>
      </w:r>
      <w:r>
        <w:rPr>
          <w:rFonts w:cs="宋体" w:asciiTheme="minorEastAsia" w:hAnsiTheme="minorEastAsia" w:eastAsiaTheme="minorEastAsia"/>
          <w:color w:val="auto"/>
          <w:szCs w:val="21"/>
          <w:highlight w:val="none"/>
          <w:u w:val="single"/>
        </w:rPr>
        <w:t>48小时内向工程师送交报告。责任在发包人或第三人的，由发包人或第三人承担由此发生的追加合同价款，相应顺延工期；责任在承包人的，由承包人承担费用，不顺延工期</w:t>
      </w:r>
      <w:r>
        <w:rPr>
          <w:rFonts w:hint="eastAsia" w:cs="宋体" w:asciiTheme="minorEastAsia" w:hAnsiTheme="minorEastAsia" w:eastAsiaTheme="minorEastAsia"/>
          <w:color w:val="auto"/>
          <w:szCs w:val="21"/>
          <w:highlight w:val="none"/>
        </w:rPr>
        <w:t>。</w:t>
      </w:r>
    </w:p>
    <w:p w14:paraId="408419BC">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没有承包人项目经理签字及签章的一切文件，监理工程师及发包人有权拒绝接受，或可视为无效文件</w:t>
      </w:r>
      <w:r>
        <w:rPr>
          <w:rFonts w:hint="eastAsia" w:cs="宋体" w:asciiTheme="minorEastAsia" w:hAnsiTheme="minorEastAsia" w:eastAsiaTheme="minorEastAsia"/>
          <w:color w:val="auto"/>
          <w:szCs w:val="21"/>
          <w:highlight w:val="none"/>
        </w:rPr>
        <w:t>。</w:t>
      </w:r>
    </w:p>
    <w:p w14:paraId="122D03A2">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承包人项目经理的其他权利和责任依据合同、承包人授权和法律、法规、规章的规定，承包人项目经理超越职权或授权的行为无效，但经承包人盖章追认的除外。承包人项目经理无权修改、变更本合同</w:t>
      </w:r>
      <w:r>
        <w:rPr>
          <w:rFonts w:hint="eastAsia" w:cs="宋体" w:asciiTheme="minorEastAsia" w:hAnsiTheme="minorEastAsia" w:eastAsiaTheme="minorEastAsia"/>
          <w:color w:val="auto"/>
          <w:szCs w:val="21"/>
          <w:highlight w:val="none"/>
        </w:rPr>
        <w:t>。</w:t>
      </w:r>
    </w:p>
    <w:p w14:paraId="1BCC139F">
      <w:pPr>
        <w:spacing w:line="500" w:lineRule="exact"/>
        <w:ind w:firstLine="422"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b/>
          <w:color w:val="auto"/>
          <w:szCs w:val="21"/>
          <w:highlight w:val="none"/>
        </w:rPr>
        <w:t>4.4承包人人员</w:t>
      </w:r>
    </w:p>
    <w:p w14:paraId="6BBD7621">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 xml:space="preserve">4.4.1 </w:t>
      </w:r>
      <w:r>
        <w:rPr>
          <w:rFonts w:hint="eastAsia" w:cs="宋体" w:asciiTheme="minorEastAsia" w:hAnsiTheme="minorEastAsia" w:eastAsiaTheme="minorEastAsia"/>
          <w:color w:val="auto"/>
          <w:szCs w:val="21"/>
          <w:highlight w:val="none"/>
        </w:rPr>
        <w:t>人员安排</w:t>
      </w:r>
    </w:p>
    <w:p w14:paraId="2E8C0C23">
      <w:pPr>
        <w:pStyle w:val="17"/>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承包人提交项目管理机构及施工现场人员安排的报告的期限：</w:t>
      </w:r>
      <w:r>
        <w:rPr>
          <w:rFonts w:hint="eastAsia" w:cs="宋体" w:asciiTheme="minorEastAsia" w:hAnsiTheme="minorEastAsia" w:eastAsiaTheme="minorEastAsia"/>
          <w:color w:val="auto"/>
          <w:szCs w:val="21"/>
          <w:highlight w:val="none"/>
          <w:u w:val="single"/>
        </w:rPr>
        <w:t>签订合同后</w:t>
      </w:r>
      <w:r>
        <w:rPr>
          <w:rFonts w:cs="宋体" w:asciiTheme="minorEastAsia" w:hAnsiTheme="minorEastAsia" w:eastAsiaTheme="minorEastAsia"/>
          <w:color w:val="auto"/>
          <w:szCs w:val="21"/>
          <w:highlight w:val="none"/>
          <w:u w:val="single"/>
        </w:rPr>
        <w:t>15日内</w:t>
      </w:r>
      <w:r>
        <w:rPr>
          <w:rFonts w:hint="eastAsia" w:cs="宋体" w:asciiTheme="minorEastAsia" w:hAnsiTheme="minorEastAsia" w:eastAsiaTheme="minorEastAsia"/>
          <w:color w:val="auto"/>
          <w:szCs w:val="21"/>
          <w:highlight w:val="none"/>
        </w:rPr>
        <w:t>。</w:t>
      </w:r>
    </w:p>
    <w:p w14:paraId="1A193DFC">
      <w:pPr>
        <w:pStyle w:val="17"/>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承包人提交关键人员信息及注册执业资格等证明其具备担任关键人员能力的相关文件的期限：</w:t>
      </w:r>
      <w:r>
        <w:rPr>
          <w:rFonts w:hint="eastAsia" w:cs="宋体" w:asciiTheme="minorEastAsia" w:hAnsiTheme="minorEastAsia" w:eastAsiaTheme="minorEastAsia"/>
          <w:color w:val="auto"/>
          <w:szCs w:val="21"/>
          <w:highlight w:val="none"/>
          <w:u w:val="single"/>
        </w:rPr>
        <w:t>合同签订后</w:t>
      </w:r>
      <w:r>
        <w:rPr>
          <w:rFonts w:cs="宋体" w:asciiTheme="minorEastAsia" w:hAnsiTheme="minorEastAsia" w:eastAsiaTheme="minorEastAsia"/>
          <w:color w:val="auto"/>
          <w:szCs w:val="21"/>
          <w:highlight w:val="none"/>
          <w:u w:val="single"/>
        </w:rPr>
        <w:t>15日内</w:t>
      </w:r>
      <w:r>
        <w:rPr>
          <w:rFonts w:hint="eastAsia" w:cs="宋体" w:asciiTheme="minorEastAsia" w:hAnsiTheme="minorEastAsia" w:eastAsiaTheme="minorEastAsia"/>
          <w:color w:val="auto"/>
          <w:szCs w:val="21"/>
          <w:highlight w:val="none"/>
        </w:rPr>
        <w:t>。</w:t>
      </w:r>
    </w:p>
    <w:p w14:paraId="11968FC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人力资源计划一览表的格式、内容、份数和提交时间：</w:t>
      </w:r>
      <w:r>
        <w:rPr>
          <w:rFonts w:hint="eastAsia" w:cs="宋体" w:asciiTheme="minorEastAsia" w:hAnsiTheme="minorEastAsia" w:eastAsiaTheme="minorEastAsia"/>
          <w:color w:val="auto"/>
          <w:szCs w:val="21"/>
          <w:highlight w:val="none"/>
          <w:u w:val="single"/>
        </w:rPr>
        <w:t>签订合同后</w:t>
      </w:r>
      <w:r>
        <w:rPr>
          <w:rFonts w:cs="宋体" w:asciiTheme="minorEastAsia" w:hAnsiTheme="minorEastAsia" w:eastAsiaTheme="minorEastAsia"/>
          <w:color w:val="auto"/>
          <w:szCs w:val="21"/>
          <w:highlight w:val="none"/>
          <w:u w:val="single"/>
        </w:rPr>
        <w:t>15日内提交人力资源配置表，主要包括项目经理、驻场设计人员、施工现场管理人员等满足工程总承包要求的人员，即项目开始前，向发包人提交项目组织体系架构框图/表一份</w:t>
      </w:r>
      <w:r>
        <w:rPr>
          <w:rFonts w:hint="eastAsia" w:cs="宋体" w:asciiTheme="minorEastAsia" w:hAnsiTheme="minorEastAsia" w:eastAsiaTheme="minorEastAsia"/>
          <w:color w:val="auto"/>
          <w:szCs w:val="21"/>
          <w:highlight w:val="none"/>
        </w:rPr>
        <w:t>。</w:t>
      </w:r>
    </w:p>
    <w:p w14:paraId="7EA59CE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人力资源实际进场的报表格式、份数和报告期：</w:t>
      </w:r>
      <w:r>
        <w:rPr>
          <w:rFonts w:hint="eastAsia" w:cs="宋体" w:asciiTheme="minorEastAsia" w:hAnsiTheme="minorEastAsia" w:eastAsiaTheme="minorEastAsia"/>
          <w:color w:val="auto"/>
          <w:szCs w:val="21"/>
          <w:highlight w:val="none"/>
          <w:u w:val="single"/>
        </w:rPr>
        <w:t>同上</w:t>
      </w:r>
      <w:r>
        <w:rPr>
          <w:rFonts w:hint="eastAsia" w:cs="宋体" w:asciiTheme="minorEastAsia" w:hAnsiTheme="minorEastAsia" w:eastAsiaTheme="minorEastAsia"/>
          <w:color w:val="auto"/>
          <w:szCs w:val="21"/>
          <w:highlight w:val="none"/>
        </w:rPr>
        <w:t>。</w:t>
      </w:r>
    </w:p>
    <w:p w14:paraId="0A7D458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承包人委派的材料签收人、资料签收人需出具有效的授权委托书并提交至发包人代表处进行备案</w:t>
      </w:r>
      <w:r>
        <w:rPr>
          <w:rFonts w:hint="eastAsia" w:cs="宋体" w:asciiTheme="minorEastAsia" w:hAnsiTheme="minorEastAsia" w:eastAsiaTheme="minorEastAsia"/>
          <w:color w:val="auto"/>
          <w:szCs w:val="21"/>
          <w:highlight w:val="none"/>
        </w:rPr>
        <w:t>。</w:t>
      </w:r>
    </w:p>
    <w:p w14:paraId="5FBFC16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4.4.2 </w:t>
      </w:r>
      <w:r>
        <w:rPr>
          <w:rFonts w:hint="eastAsia" w:cs="宋体" w:asciiTheme="minorEastAsia" w:hAnsiTheme="minorEastAsia" w:eastAsiaTheme="minorEastAsia"/>
          <w:color w:val="auto"/>
          <w:szCs w:val="21"/>
          <w:highlight w:val="none"/>
        </w:rPr>
        <w:t>关键人员更换</w:t>
      </w:r>
    </w:p>
    <w:p w14:paraId="541AFCF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承包人擅自更换关键人员的违约责任：</w:t>
      </w:r>
      <w:r>
        <w:rPr>
          <w:rFonts w:hint="eastAsia" w:cs="宋体" w:asciiTheme="minorEastAsia" w:hAnsiTheme="minorEastAsia" w:eastAsiaTheme="minorEastAsia"/>
          <w:color w:val="auto"/>
          <w:szCs w:val="21"/>
          <w:highlight w:val="none"/>
          <w:u w:val="single"/>
        </w:rPr>
        <w:t>承包人未按本条约定流程擅自更换主要施工管理人员，应按</w:t>
      </w:r>
      <w:r>
        <w:rPr>
          <w:rFonts w:cs="宋体" w:asciiTheme="minorEastAsia" w:hAnsiTheme="minorEastAsia" w:eastAsiaTheme="minorEastAsia"/>
          <w:color w:val="auto"/>
          <w:szCs w:val="21"/>
          <w:highlight w:val="none"/>
          <w:u w:val="single"/>
        </w:rPr>
        <w:t>5000元/人次的标准向发包人支付违约金，并且承包人应承担前述违约给发包人造成的一切损失。在更换的主要施工管理人员未获发包人、监理人认可前，暂停一切工程款上报及支付</w:t>
      </w:r>
      <w:r>
        <w:rPr>
          <w:rFonts w:hint="eastAsia" w:cs="宋体" w:asciiTheme="minorEastAsia" w:hAnsiTheme="minorEastAsia" w:eastAsiaTheme="minorEastAsia"/>
          <w:color w:val="auto"/>
          <w:szCs w:val="21"/>
          <w:highlight w:val="none"/>
        </w:rPr>
        <w:t>。</w:t>
      </w:r>
    </w:p>
    <w:p w14:paraId="4F9265D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承包人无正当理由拒绝撤换关键人员的违约责任：</w:t>
      </w:r>
      <w:r>
        <w:rPr>
          <w:rFonts w:hint="eastAsia" w:cs="宋体" w:asciiTheme="minorEastAsia" w:hAnsiTheme="minorEastAsia" w:eastAsiaTheme="minorEastAsia"/>
          <w:color w:val="auto"/>
          <w:szCs w:val="21"/>
          <w:highlight w:val="none"/>
          <w:u w:val="single"/>
        </w:rPr>
        <w:t>承包人未按本条约定拒绝更换主要施工管理人员，应按</w:t>
      </w:r>
      <w:r>
        <w:rPr>
          <w:rFonts w:cs="宋体" w:asciiTheme="minorEastAsia" w:hAnsiTheme="minorEastAsia" w:eastAsiaTheme="minorEastAsia"/>
          <w:color w:val="auto"/>
          <w:szCs w:val="21"/>
          <w:highlight w:val="none"/>
          <w:u w:val="single"/>
        </w:rPr>
        <w:t>5000元/人次的标准向发包人支付违约金，并且承包人应承担前述违约给发包人造成的一切损失。在更换的主要施工管理人员未到位、能力未获发包人、监理人认可前，暂停一切工程款上报及支付</w:t>
      </w:r>
      <w:r>
        <w:rPr>
          <w:rFonts w:hint="eastAsia" w:cs="宋体" w:asciiTheme="minorEastAsia" w:hAnsiTheme="minorEastAsia" w:eastAsiaTheme="minorEastAsia"/>
          <w:color w:val="auto"/>
          <w:szCs w:val="21"/>
          <w:highlight w:val="none"/>
        </w:rPr>
        <w:t>。</w:t>
      </w:r>
    </w:p>
    <w:p w14:paraId="78D0AEE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4.4.3 </w:t>
      </w:r>
      <w:r>
        <w:rPr>
          <w:rFonts w:hint="eastAsia" w:cs="宋体" w:asciiTheme="minorEastAsia" w:hAnsiTheme="minorEastAsia" w:eastAsiaTheme="minorEastAsia"/>
          <w:color w:val="auto"/>
          <w:szCs w:val="21"/>
          <w:highlight w:val="none"/>
        </w:rPr>
        <w:t>现场管理关键人员在岗要求</w:t>
      </w:r>
    </w:p>
    <w:p w14:paraId="56134E4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承包人现场管理关键人员离开施工现场的批准要求：</w:t>
      </w:r>
      <w:r>
        <w:rPr>
          <w:rFonts w:cs="宋体" w:asciiTheme="minorEastAsia" w:hAnsiTheme="minorEastAsia" w:eastAsiaTheme="minorEastAsia"/>
          <w:color w:val="auto"/>
          <w:szCs w:val="21"/>
          <w:highlight w:val="none"/>
          <w:u w:val="single"/>
        </w:rPr>
        <w:t>在正常工作期间，承包人委派现场的项目经理、项目副经理、技术负责人一天内离开工地现场超过4小时，应向发包人驻现场代表请假并获得批准后方可离开；项目经理离开期间，项目副经理履行项目经理的义务。发包人紧急情况下召集上述人员处理有关事宜时，上述人员未能在规定时间内到达指定地点超过半小时的，承包人承担每次每缺一人2000元的违约金</w:t>
      </w:r>
      <w:r>
        <w:rPr>
          <w:rFonts w:hint="eastAsia" w:cs="宋体" w:asciiTheme="minorEastAsia" w:hAnsiTheme="minorEastAsia" w:eastAsiaTheme="minorEastAsia"/>
          <w:color w:val="auto"/>
          <w:szCs w:val="21"/>
          <w:highlight w:val="none"/>
        </w:rPr>
        <w:t>。</w:t>
      </w:r>
    </w:p>
    <w:p w14:paraId="5E6A2F0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承包人现场管理关键人员擅自离开施工现场的违约责任：</w:t>
      </w:r>
      <w:r>
        <w:rPr>
          <w:rFonts w:hint="eastAsia" w:cs="宋体" w:asciiTheme="minorEastAsia" w:hAnsiTheme="minorEastAsia" w:eastAsiaTheme="minorEastAsia"/>
          <w:color w:val="auto"/>
          <w:szCs w:val="21"/>
          <w:highlight w:val="none"/>
          <w:u w:val="single"/>
        </w:rPr>
        <w:t>承包人主要施工管理人员未经监理人或发包人同意擅自离开施工现场的，应按</w:t>
      </w:r>
      <w:r>
        <w:rPr>
          <w:rFonts w:cs="宋体" w:asciiTheme="minorEastAsia" w:hAnsiTheme="minorEastAsia" w:eastAsiaTheme="minorEastAsia"/>
          <w:color w:val="auto"/>
          <w:szCs w:val="21"/>
          <w:highlight w:val="none"/>
          <w:u w:val="single"/>
        </w:rPr>
        <w:t>1000元/人次的标准向发包人支付违约金，并且承包人应承担前述违约给发包人造成的一切损失</w:t>
      </w:r>
      <w:r>
        <w:rPr>
          <w:rFonts w:hint="eastAsia" w:cs="宋体" w:asciiTheme="minorEastAsia" w:hAnsiTheme="minorEastAsia" w:eastAsiaTheme="minorEastAsia"/>
          <w:color w:val="auto"/>
          <w:szCs w:val="21"/>
          <w:highlight w:val="none"/>
        </w:rPr>
        <w:t>。</w:t>
      </w:r>
    </w:p>
    <w:p w14:paraId="491FBEE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主要人员配置及相关要求满足现场要求，暂定如下：</w:t>
      </w:r>
    </w:p>
    <w:p w14:paraId="5AC2A2B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土建工程师：全过程配置，至竣工交付。</w:t>
      </w:r>
    </w:p>
    <w:p w14:paraId="5AD4F3B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结构工程师：全过程配置，至竣工交付。</w:t>
      </w:r>
    </w:p>
    <w:p w14:paraId="5A67033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给排水工程师：全过程配置，至竣工交付。</w:t>
      </w:r>
    </w:p>
    <w:p w14:paraId="568CA4A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电气工程师：全过程配置，至竣工交付。</w:t>
      </w:r>
    </w:p>
    <w:p w14:paraId="1A71870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暖通工程师：全过程配置，至竣工交付。</w:t>
      </w:r>
    </w:p>
    <w:p w14:paraId="0A7E295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安全专项管理人员：全过程配置，至竣工交付。</w:t>
      </w:r>
    </w:p>
    <w:p w14:paraId="5FF6DF1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文明工地及治污减霾专项管理人员：全过程配置，至竣工交付。</w:t>
      </w:r>
    </w:p>
    <w:p w14:paraId="5C1092F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预算人员：按照专业全过程配置，至结算完成。</w:t>
      </w:r>
    </w:p>
    <w:p w14:paraId="105AA89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资料员：全过程配置，至结算完成。</w:t>
      </w:r>
    </w:p>
    <w:p w14:paraId="7733FCB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以上各专业主要人员配置数量应满足现场管理要求，应为注册于承包人公司的一二级专业注册建造师、注册造价工程师等专业人员。项目开工前，承包人提交加盖公司公章的项目主要人员配置名单和注册建造师证明，人员更换时相同。</w:t>
      </w:r>
    </w:p>
    <w:p w14:paraId="6731174E">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4.5 </w:t>
      </w:r>
      <w:r>
        <w:rPr>
          <w:rFonts w:hint="eastAsia" w:cs="宋体" w:asciiTheme="minorEastAsia" w:hAnsiTheme="minorEastAsia" w:eastAsiaTheme="minorEastAsia"/>
          <w:b/>
          <w:color w:val="auto"/>
          <w:szCs w:val="21"/>
          <w:highlight w:val="none"/>
        </w:rPr>
        <w:t>分包</w:t>
      </w:r>
    </w:p>
    <w:p w14:paraId="6FB8C96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4.5.1 </w:t>
      </w:r>
      <w:r>
        <w:rPr>
          <w:rFonts w:hint="eastAsia" w:cs="宋体" w:asciiTheme="minorEastAsia" w:hAnsiTheme="minorEastAsia" w:eastAsiaTheme="minorEastAsia"/>
          <w:color w:val="auto"/>
          <w:szCs w:val="21"/>
          <w:highlight w:val="none"/>
        </w:rPr>
        <w:t>一般约定</w:t>
      </w:r>
    </w:p>
    <w:p w14:paraId="7C9C9FC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禁止分包的工程包括：</w:t>
      </w:r>
      <w:r>
        <w:rPr>
          <w:rFonts w:hint="eastAsia" w:cs="宋体" w:asciiTheme="minorEastAsia" w:hAnsiTheme="minorEastAsia" w:eastAsiaTheme="minorEastAsia"/>
          <w:color w:val="auto"/>
          <w:szCs w:val="21"/>
          <w:highlight w:val="none"/>
          <w:u w:val="single"/>
        </w:rPr>
        <w:t>承包人不得将其承包的全部工程转包给第三人，或将其承包的全部工程肢解后以分包的名义转包给第三人，承包人不得将工程的主体结构、关键性工作的设计、采购及施工及双方约定禁止分包的专业工程分包给第三人</w:t>
      </w:r>
      <w:r>
        <w:rPr>
          <w:rFonts w:hint="eastAsia" w:cs="宋体" w:asciiTheme="minorEastAsia" w:hAnsiTheme="minorEastAsia" w:eastAsiaTheme="minorEastAsia"/>
          <w:color w:val="auto"/>
          <w:szCs w:val="21"/>
          <w:highlight w:val="none"/>
        </w:rPr>
        <w:t>。</w:t>
      </w:r>
    </w:p>
    <w:p w14:paraId="2441E078">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主体结构、关键性工作的范围：</w:t>
      </w:r>
      <w:r>
        <w:rPr>
          <w:rFonts w:hint="eastAsia" w:cs="宋体" w:asciiTheme="minorEastAsia" w:hAnsiTheme="minorEastAsia" w:eastAsiaTheme="minorEastAsia"/>
          <w:color w:val="auto"/>
          <w:szCs w:val="21"/>
          <w:highlight w:val="none"/>
          <w:u w:val="single"/>
        </w:rPr>
        <w:t>包括降水支护、桩基、地块范围内所有主要建筑单体、地下车库（包含地下室管网）、室外总体图（室外管网、道路及竖向等）、楼顶部构架、人防楼梯出入口等主体结构及关键性工作。</w:t>
      </w:r>
    </w:p>
    <w:p w14:paraId="39641493">
      <w:pPr>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关于分包的其他要求：</w:t>
      </w:r>
    </w:p>
    <w:p w14:paraId="3B91D1ED">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本工程不得转包，否则发包人有权单方面终止合同，一切责任及后果由承包人承担。承包人应主动安排好自己与其他有关分包单位间的配合，积极执行发包人及监理工程师安排的施工进度计划</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在与本工程有关的上、下道工序施工时承包人应派专人值班，处理工序之间的干扰和矛盾，保证施工正常进行。承包人应与有关分包单位核对各专业图纸后须统一尺寸、标高等</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及时为发包人提供相关的数据</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防止因轴线尺寸、标高不清造成返工。承包人必须认真审核图纸，在未施工前应发现建筑图纸、结构图纸与安装图纸三者相互之间的矛盾及明显错误，否则，由此产生的返工及一切损失由承包人自行承担</w:t>
      </w:r>
      <w:r>
        <w:rPr>
          <w:rFonts w:hint="eastAsia" w:cs="宋体" w:asciiTheme="minorEastAsia" w:hAnsiTheme="minorEastAsia" w:eastAsiaTheme="minorEastAsia"/>
          <w:color w:val="auto"/>
          <w:szCs w:val="21"/>
          <w:highlight w:val="none"/>
        </w:rPr>
        <w:t>。</w:t>
      </w:r>
    </w:p>
    <w:p w14:paraId="394E5E93">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分包合同条款内容不免除承包人根据合同应担负的责任或应尽的义务，承包人应在分包场地派驻相应管理人员保证本合同的履行。分包人的任何违约行为或疏忽导致工程损坏、损害，给发包人或第三人造成损失的，承包人应承担连带责任</w:t>
      </w:r>
      <w:r>
        <w:rPr>
          <w:rFonts w:hint="eastAsia" w:cs="宋体" w:asciiTheme="minorEastAsia" w:hAnsiTheme="minorEastAsia" w:eastAsiaTheme="minorEastAsia"/>
          <w:color w:val="auto"/>
          <w:szCs w:val="21"/>
          <w:highlight w:val="none"/>
        </w:rPr>
        <w:t>。</w:t>
      </w:r>
    </w:p>
    <w:p w14:paraId="16F2328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当分包商就其所承包部分工程的施工质量向承包人保证的质量保修责任期限超过发包人与承包人之间合同规定的质量保修期限时，承包人应在与发包人合同规定的质量保修期结束后，将其对分包商的该项权利无偿转让给发包人</w:t>
      </w:r>
      <w:r>
        <w:rPr>
          <w:rFonts w:hint="eastAsia" w:cs="宋体" w:asciiTheme="minorEastAsia" w:hAnsiTheme="minorEastAsia" w:eastAsiaTheme="minorEastAsia"/>
          <w:color w:val="auto"/>
          <w:szCs w:val="21"/>
          <w:highlight w:val="none"/>
        </w:rPr>
        <w:t>。</w:t>
      </w:r>
    </w:p>
    <w:p w14:paraId="744D416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4.5.2 </w:t>
      </w:r>
      <w:r>
        <w:rPr>
          <w:rFonts w:hint="eastAsia" w:cs="宋体" w:asciiTheme="minorEastAsia" w:hAnsiTheme="minorEastAsia" w:eastAsiaTheme="minorEastAsia"/>
          <w:color w:val="auto"/>
          <w:szCs w:val="21"/>
          <w:highlight w:val="none"/>
        </w:rPr>
        <w:t>分包的确定</w:t>
      </w:r>
    </w:p>
    <w:p w14:paraId="0576C46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允许分包的工程包括：</w:t>
      </w:r>
      <w:r>
        <w:rPr>
          <w:rFonts w:hint="eastAsia" w:cs="宋体" w:asciiTheme="minorEastAsia" w:hAnsiTheme="minorEastAsia" w:eastAsiaTheme="minorEastAsia"/>
          <w:color w:val="auto"/>
          <w:szCs w:val="21"/>
          <w:highlight w:val="none"/>
          <w:u w:val="single"/>
        </w:rPr>
        <w:t>合同范围内专业工程暂估价及其他允许分包的项目等。</w:t>
      </w:r>
    </w:p>
    <w:p w14:paraId="2B60DF8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其他关于分包的约定：</w:t>
      </w:r>
      <w:r>
        <w:rPr>
          <w:rFonts w:hint="eastAsia" w:cs="宋体" w:asciiTheme="minorEastAsia" w:hAnsiTheme="minorEastAsia" w:eastAsiaTheme="minorEastAsia"/>
          <w:color w:val="auto"/>
          <w:szCs w:val="21"/>
          <w:highlight w:val="none"/>
          <w:u w:val="single"/>
        </w:rPr>
        <w:t>专业工程暂估价应按国家、省（市）相关文件要求并经发包人同意后，由承包人按照招投标有关法律法规进行发包。发包人有权依据法律相关规定或工程实际情况对暂估价工程自行招标，承包人应无条件配合。关于专业工程暂估价项目的发包，承包人须对发包采购活动中的各环节严格把控，协调处理各类问题，依法依规完成发包工作。</w:t>
      </w:r>
    </w:p>
    <w:p w14:paraId="656ED18F">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4.6 </w:t>
      </w:r>
      <w:r>
        <w:rPr>
          <w:rFonts w:hint="eastAsia" w:cs="宋体" w:asciiTheme="minorEastAsia" w:hAnsiTheme="minorEastAsia" w:eastAsiaTheme="minorEastAsia"/>
          <w:b/>
          <w:color w:val="auto"/>
          <w:szCs w:val="21"/>
          <w:highlight w:val="none"/>
        </w:rPr>
        <w:t>联合体</w:t>
      </w:r>
    </w:p>
    <w:p w14:paraId="6B3DB0F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4.6.2 </w:t>
      </w:r>
      <w:r>
        <w:rPr>
          <w:rFonts w:hint="eastAsia" w:cs="宋体" w:asciiTheme="minorEastAsia" w:hAnsiTheme="minorEastAsia" w:eastAsiaTheme="minorEastAsia"/>
          <w:color w:val="auto"/>
          <w:szCs w:val="21"/>
          <w:highlight w:val="none"/>
        </w:rPr>
        <w:t>联合体各成员的分工、费用收取、发票开具等事项：</w:t>
      </w:r>
      <w:r>
        <w:rPr>
          <w:rFonts w:hint="eastAsia" w:cs="宋体" w:asciiTheme="minorEastAsia" w:hAnsiTheme="minorEastAsia" w:eastAsiaTheme="minorEastAsia"/>
          <w:color w:val="auto"/>
          <w:szCs w:val="21"/>
          <w:highlight w:val="none"/>
          <w:u w:val="single"/>
        </w:rPr>
        <w:t>以联合体协议为准。</w:t>
      </w:r>
    </w:p>
    <w:p w14:paraId="5F06C413">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4.7 </w:t>
      </w:r>
      <w:r>
        <w:rPr>
          <w:rFonts w:hint="eastAsia" w:cs="宋体" w:asciiTheme="minorEastAsia" w:hAnsiTheme="minorEastAsia" w:eastAsiaTheme="minorEastAsia"/>
          <w:b/>
          <w:color w:val="auto"/>
          <w:szCs w:val="21"/>
          <w:highlight w:val="none"/>
        </w:rPr>
        <w:t>承包人现场查勘</w:t>
      </w:r>
    </w:p>
    <w:p w14:paraId="49DC510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4.7.1 </w:t>
      </w:r>
      <w:r>
        <w:rPr>
          <w:rFonts w:hint="eastAsia" w:cs="宋体" w:asciiTheme="minorEastAsia" w:hAnsiTheme="minorEastAsia" w:eastAsiaTheme="minorEastAsia"/>
          <w:color w:val="auto"/>
          <w:szCs w:val="21"/>
          <w:highlight w:val="none"/>
        </w:rPr>
        <w:t>双方当事人对现场查勘的责任承担的约定：</w:t>
      </w:r>
      <w:r>
        <w:rPr>
          <w:rFonts w:hint="eastAsia" w:cs="宋体" w:asciiTheme="minorEastAsia" w:hAnsiTheme="minorEastAsia" w:eastAsiaTheme="minorEastAsia"/>
          <w:color w:val="auto"/>
          <w:szCs w:val="21"/>
          <w:highlight w:val="none"/>
          <w:u w:val="single"/>
        </w:rPr>
        <w:t>承包人应对施工现场和施工条件进行查勘，并充分了解工程所在地的气象条件、交通条件及其他与完成合同工作有关的其他资料，因承包人未能充分查勘、了解前述情况或未能充分估计前述情况可能产生后果的，承包人承担由此增加的费用和延误的工期</w:t>
      </w:r>
      <w:r>
        <w:rPr>
          <w:rFonts w:hint="eastAsia" w:cs="宋体" w:asciiTheme="minorEastAsia" w:hAnsiTheme="minorEastAsia" w:eastAsiaTheme="minorEastAsia"/>
          <w:color w:val="auto"/>
          <w:szCs w:val="21"/>
          <w:highlight w:val="none"/>
        </w:rPr>
        <w:t>。</w:t>
      </w:r>
    </w:p>
    <w:p w14:paraId="7D2E8DB8">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4.8不可预见的困难</w:t>
      </w:r>
    </w:p>
    <w:p w14:paraId="1F0859B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不可预见的困难包括：</w:t>
      </w:r>
      <w:r>
        <w:rPr>
          <w:rFonts w:hint="eastAsia" w:cs="宋体" w:asciiTheme="minorEastAsia" w:hAnsiTheme="minorEastAsia" w:eastAsiaTheme="minorEastAsia"/>
          <w:color w:val="auto"/>
          <w:szCs w:val="21"/>
          <w:highlight w:val="none"/>
          <w:u w:val="single"/>
        </w:rPr>
        <w:t>同通用条款</w:t>
      </w:r>
      <w:r>
        <w:rPr>
          <w:rFonts w:hint="eastAsia" w:cs="宋体" w:asciiTheme="minorEastAsia" w:hAnsiTheme="minorEastAsia" w:eastAsiaTheme="minorEastAsia"/>
          <w:color w:val="auto"/>
          <w:szCs w:val="21"/>
          <w:highlight w:val="none"/>
        </w:rPr>
        <w:t>。</w:t>
      </w:r>
    </w:p>
    <w:p w14:paraId="74AA227E">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5条 </w:t>
      </w:r>
      <w:r>
        <w:rPr>
          <w:rFonts w:hint="eastAsia" w:cs="宋体" w:asciiTheme="minorEastAsia" w:hAnsiTheme="minorEastAsia" w:eastAsiaTheme="minorEastAsia"/>
          <w:b/>
          <w:color w:val="auto"/>
          <w:szCs w:val="21"/>
          <w:highlight w:val="none"/>
        </w:rPr>
        <w:t>设计</w:t>
      </w:r>
      <w:bookmarkEnd w:id="706"/>
    </w:p>
    <w:p w14:paraId="6544B4C1">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07" w:name="_Toc54862337"/>
      <w:r>
        <w:rPr>
          <w:rFonts w:cs="宋体" w:asciiTheme="minorEastAsia" w:hAnsiTheme="minorEastAsia" w:eastAsiaTheme="minorEastAsia"/>
          <w:b/>
          <w:color w:val="auto"/>
          <w:szCs w:val="21"/>
          <w:highlight w:val="none"/>
        </w:rPr>
        <w:t>5.1承包人义务</w:t>
      </w:r>
    </w:p>
    <w:p w14:paraId="55EC1EB3">
      <w:pPr>
        <w:adjustRightInd w:val="0"/>
        <w:snapToGrid w:val="0"/>
        <w:spacing w:line="500" w:lineRule="exact"/>
        <w:ind w:firstLine="420" w:firstLineChars="200"/>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5.1.1</w:t>
      </w:r>
      <w:r>
        <w:rPr>
          <w:rFonts w:hint="eastAsia" w:cs="宋体" w:asciiTheme="minorEastAsia" w:hAnsiTheme="minorEastAsia" w:eastAsiaTheme="minorEastAsia"/>
          <w:color w:val="auto"/>
          <w:szCs w:val="21"/>
          <w:highlight w:val="none"/>
          <w:u w:val="single"/>
        </w:rPr>
        <w:t>承包人应根据项目投资估算限额（成本部确认的成本限额）、设计任务书要求及国家法律法规规定进行限额设计</w:t>
      </w:r>
      <w:r>
        <w:rPr>
          <w:rFonts w:hint="eastAsia" w:cs="宋体" w:asciiTheme="minorEastAsia" w:hAnsiTheme="minorEastAsia" w:eastAsiaTheme="minorEastAsia"/>
          <w:color w:val="auto"/>
          <w:szCs w:val="21"/>
          <w:highlight w:val="none"/>
        </w:rPr>
        <w:t>。</w:t>
      </w:r>
    </w:p>
    <w:p w14:paraId="39F2F424">
      <w:pPr>
        <w:adjustRightInd w:val="0"/>
        <w:snapToGrid w:val="0"/>
        <w:spacing w:line="500" w:lineRule="exact"/>
        <w:ind w:firstLine="420" w:firstLineChars="200"/>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施工图纸设计完成后，承包人应协助配合发包人及时办理施工图审批相关的所有手续。施工图审批完成后，承包人应及时编制施工图预算，并报发包人进行审核，承包人应保证设计概算小于成本部确认的成本限额。经发包人审核后的施工图预算，将作为本项目建安工程费用进度款支付及结算依据</w:t>
      </w:r>
      <w:r>
        <w:rPr>
          <w:rFonts w:hint="eastAsia" w:cs="宋体" w:asciiTheme="minorEastAsia" w:hAnsiTheme="minorEastAsia" w:eastAsiaTheme="minorEastAsia"/>
          <w:color w:val="auto"/>
          <w:szCs w:val="21"/>
          <w:highlight w:val="none"/>
        </w:rPr>
        <w:t>。如最终结算造价超过成本部确认的成本限额，则最终结算金额只能小于等于成本部确认的成本限额，超出部分不予认可。因设计单位未能及时优化施工图，使最终结算造价超出成本部确认的成本限额，则相应扣除设计费（扣除金额为（结算造价</w:t>
      </w:r>
      <w:r>
        <w:rPr>
          <w:rFonts w:cs="宋体" w:asciiTheme="minorEastAsia" w:hAnsiTheme="minorEastAsia" w:eastAsiaTheme="minorEastAsia"/>
          <w:color w:val="auto"/>
          <w:szCs w:val="21"/>
          <w:highlight w:val="none"/>
        </w:rPr>
        <w:t>-</w:t>
      </w:r>
      <w:r>
        <w:rPr>
          <w:rFonts w:hint="eastAsia" w:cs="宋体" w:asciiTheme="minorEastAsia" w:hAnsiTheme="minorEastAsia" w:eastAsiaTheme="minorEastAsia"/>
          <w:color w:val="auto"/>
          <w:szCs w:val="21"/>
          <w:highlight w:val="none"/>
        </w:rPr>
        <w:t>成本部确认的成本限额</w:t>
      </w:r>
      <w:r>
        <w:rPr>
          <w:rFonts w:cs="宋体" w:asciiTheme="minorEastAsia" w:hAnsiTheme="minorEastAsia" w:eastAsiaTheme="minorEastAsia"/>
          <w:color w:val="auto"/>
          <w:szCs w:val="21"/>
          <w:highlight w:val="none"/>
        </w:rPr>
        <w:t>）*10%）</w:t>
      </w:r>
      <w:r>
        <w:rPr>
          <w:rFonts w:hint="eastAsia" w:cs="宋体" w:asciiTheme="minorEastAsia" w:hAnsiTheme="minorEastAsia" w:eastAsiaTheme="minorEastAsia"/>
          <w:color w:val="auto"/>
          <w:szCs w:val="21"/>
          <w:highlight w:val="none"/>
          <w:lang w:eastAsia="zh-CN"/>
        </w:rPr>
        <w:t>，成本部确认的成本限额系发包人内部管控要求</w:t>
      </w:r>
      <w:r>
        <w:rPr>
          <w:rFonts w:cs="宋体" w:asciiTheme="minorEastAsia" w:hAnsiTheme="minorEastAsia" w:eastAsiaTheme="minorEastAsia"/>
          <w:color w:val="auto"/>
          <w:szCs w:val="21"/>
          <w:highlight w:val="none"/>
        </w:rPr>
        <w:t>。</w:t>
      </w:r>
    </w:p>
    <w:p w14:paraId="596EA4C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承包人应按工程进度及施工现场需求提供符合要求的施工图纸</w:t>
      </w:r>
      <w:r>
        <w:rPr>
          <w:rFonts w:hint="eastAsia" w:cs="宋体" w:asciiTheme="minorEastAsia" w:hAnsiTheme="minorEastAsia" w:eastAsiaTheme="minorEastAsia"/>
          <w:color w:val="auto"/>
          <w:szCs w:val="21"/>
          <w:highlight w:val="none"/>
        </w:rPr>
        <w:t>。</w:t>
      </w:r>
    </w:p>
    <w:p w14:paraId="1821D55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本项目设计范围详见第四章《发包人要求》中的《设计任务书》。</w:t>
      </w:r>
    </w:p>
    <w:p w14:paraId="6C15D02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5.2.2</w:t>
      </w:r>
      <w:r>
        <w:rPr>
          <w:rFonts w:hint="eastAsia" w:cs="宋体" w:asciiTheme="minorEastAsia" w:hAnsiTheme="minorEastAsia" w:eastAsiaTheme="minorEastAsia"/>
          <w:color w:val="auto"/>
          <w:szCs w:val="21"/>
          <w:highlight w:val="none"/>
          <w:u w:val="single"/>
        </w:rPr>
        <w:t>承包人应在限定期限内提供符合设计任务书要求的各项设计方案。如承包人不能在限定期限内提供符合要求时，发包人有权另行委托设计单位进行，所产生的设计费用由承包人支付，承包人应按发包人确定的设计要求组织施工图设计及施工</w:t>
      </w:r>
      <w:r>
        <w:rPr>
          <w:rFonts w:hint="eastAsia" w:cs="宋体" w:asciiTheme="minorEastAsia" w:hAnsiTheme="minorEastAsia" w:eastAsiaTheme="minorEastAsia"/>
          <w:color w:val="auto"/>
          <w:szCs w:val="21"/>
          <w:highlight w:val="none"/>
        </w:rPr>
        <w:t>。</w:t>
      </w:r>
    </w:p>
    <w:p w14:paraId="1B7D795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5.1.3</w:t>
      </w:r>
      <w:r>
        <w:rPr>
          <w:rFonts w:hint="eastAsia" w:cs="宋体" w:asciiTheme="minorEastAsia" w:hAnsiTheme="minorEastAsia" w:eastAsiaTheme="minorEastAsia"/>
          <w:color w:val="auto"/>
          <w:szCs w:val="21"/>
          <w:highlight w:val="none"/>
          <w:u w:val="single"/>
        </w:rPr>
        <w:t>承包人向发包人提供施工图纸纸质版（</w:t>
      </w:r>
      <w:r>
        <w:rPr>
          <w:rFonts w:cs="宋体" w:asciiTheme="minorEastAsia" w:hAnsiTheme="minorEastAsia" w:eastAsiaTheme="minorEastAsia"/>
          <w:color w:val="auto"/>
          <w:szCs w:val="21"/>
          <w:highlight w:val="none"/>
          <w:u w:val="single"/>
        </w:rPr>
        <w:t>16套），同时提供上述资料的原格式电子版文件</w:t>
      </w:r>
      <w:r>
        <w:rPr>
          <w:rFonts w:hint="eastAsia" w:cs="宋体" w:asciiTheme="minorEastAsia" w:hAnsiTheme="minorEastAsia" w:eastAsiaTheme="minorEastAsia"/>
          <w:color w:val="auto"/>
          <w:szCs w:val="21"/>
          <w:highlight w:val="none"/>
        </w:rPr>
        <w:t>。</w:t>
      </w:r>
    </w:p>
    <w:p w14:paraId="454C1A6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5.1.4</w:t>
      </w:r>
      <w:r>
        <w:rPr>
          <w:rFonts w:hint="eastAsia" w:cs="宋体" w:asciiTheme="minorEastAsia" w:hAnsiTheme="minorEastAsia" w:eastAsiaTheme="minorEastAsia"/>
          <w:color w:val="auto"/>
          <w:szCs w:val="21"/>
          <w:highlight w:val="none"/>
          <w:u w:val="single"/>
        </w:rPr>
        <w:t>承包人必须无偿提供本项目各个设计阶段的电子版图纸等成果文件</w:t>
      </w:r>
      <w:r>
        <w:rPr>
          <w:rFonts w:hint="eastAsia" w:cs="宋体" w:asciiTheme="minorEastAsia" w:hAnsiTheme="minorEastAsia" w:eastAsiaTheme="minorEastAsia"/>
          <w:color w:val="auto"/>
          <w:szCs w:val="21"/>
          <w:highlight w:val="none"/>
        </w:rPr>
        <w:t>。</w:t>
      </w:r>
    </w:p>
    <w:p w14:paraId="296381F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5.1.5 </w:t>
      </w:r>
      <w:r>
        <w:rPr>
          <w:rFonts w:hint="eastAsia" w:cs="宋体" w:asciiTheme="minorEastAsia" w:hAnsiTheme="minorEastAsia" w:eastAsiaTheme="minorEastAsia"/>
          <w:color w:val="auto"/>
          <w:szCs w:val="21"/>
          <w:highlight w:val="none"/>
        </w:rPr>
        <w:t>设计文件的份数和提交时间：</w:t>
      </w:r>
    </w:p>
    <w:p w14:paraId="7B53B96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方案设计阶段设计文件的份数和提交时间：</w:t>
      </w:r>
      <w:r>
        <w:rPr>
          <w:rFonts w:hint="eastAsia" w:cs="宋体" w:asciiTheme="minorEastAsia" w:hAnsiTheme="minorEastAsia" w:eastAsiaTheme="minorEastAsia"/>
          <w:color w:val="auto"/>
          <w:szCs w:val="21"/>
          <w:highlight w:val="none"/>
          <w:u w:val="single"/>
        </w:rPr>
        <w:t>中标通知书发出后</w:t>
      </w:r>
      <w:r>
        <w:rPr>
          <w:rFonts w:cs="宋体" w:asciiTheme="minorEastAsia" w:hAnsiTheme="minorEastAsia" w:eastAsiaTheme="minorEastAsia"/>
          <w:color w:val="auto"/>
          <w:szCs w:val="21"/>
          <w:highlight w:val="none"/>
          <w:u w:val="single"/>
        </w:rPr>
        <w:t>10日内按发包人要求提供设计方案8份（不包括报建及中间沟通）</w:t>
      </w:r>
      <w:r>
        <w:rPr>
          <w:rFonts w:cs="宋体" w:asciiTheme="minorEastAsia" w:hAnsiTheme="minorEastAsia" w:eastAsiaTheme="minorEastAsia"/>
          <w:color w:val="auto"/>
          <w:szCs w:val="21"/>
          <w:highlight w:val="none"/>
        </w:rPr>
        <w:t xml:space="preserve"> 。</w:t>
      </w:r>
    </w:p>
    <w:p w14:paraId="2770FB9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初步设计阶段设计文件的份数和提交时间：</w:t>
      </w:r>
      <w:r>
        <w:rPr>
          <w:rFonts w:hint="eastAsia" w:cs="宋体" w:asciiTheme="minorEastAsia" w:hAnsiTheme="minorEastAsia" w:eastAsiaTheme="minorEastAsia"/>
          <w:color w:val="auto"/>
          <w:szCs w:val="21"/>
          <w:highlight w:val="none"/>
          <w:u w:val="single"/>
        </w:rPr>
        <w:t>以发包人要求为准</w:t>
      </w:r>
      <w:r>
        <w:rPr>
          <w:rFonts w:hint="eastAsia" w:cs="宋体" w:asciiTheme="minorEastAsia" w:hAnsiTheme="minorEastAsia" w:eastAsiaTheme="minorEastAsia"/>
          <w:color w:val="auto"/>
          <w:szCs w:val="21"/>
          <w:highlight w:val="none"/>
        </w:rPr>
        <w:t>。</w:t>
      </w:r>
    </w:p>
    <w:p w14:paraId="41E24DB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施工图设计阶段设计文件的份数和提交时间：</w:t>
      </w:r>
      <w:r>
        <w:rPr>
          <w:rFonts w:hint="eastAsia" w:cs="宋体" w:asciiTheme="minorEastAsia" w:hAnsiTheme="minorEastAsia" w:eastAsiaTheme="minorEastAsia"/>
          <w:color w:val="auto"/>
          <w:szCs w:val="21"/>
          <w:highlight w:val="none"/>
          <w:u w:val="single"/>
        </w:rPr>
        <w:t>承包人将经审查合格后的施工图设计图纸报发包人，经发包人确认后作为施工依据，提供图纸的份数以发包人要求为准，图纸费用包含在设计费中</w:t>
      </w:r>
      <w:r>
        <w:rPr>
          <w:rFonts w:hint="eastAsia" w:cs="宋体" w:asciiTheme="minorEastAsia" w:hAnsiTheme="minorEastAsia" w:eastAsiaTheme="minorEastAsia"/>
          <w:color w:val="auto"/>
          <w:szCs w:val="21"/>
          <w:highlight w:val="none"/>
        </w:rPr>
        <w:t>。</w:t>
      </w:r>
    </w:p>
    <w:p w14:paraId="1DC2A5E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承包人除向发包人提交纸板设计资料及文件外，还应提交所有资料最终版电子文件</w:t>
      </w:r>
      <w:r>
        <w:rPr>
          <w:rFonts w:cs="宋体" w:asciiTheme="minorEastAsia" w:hAnsiTheme="minorEastAsia" w:eastAsiaTheme="minorEastAsia"/>
          <w:color w:val="auto"/>
          <w:szCs w:val="21"/>
          <w:highlight w:val="none"/>
          <w:u w:val="single"/>
        </w:rPr>
        <w:t>2份（除效果图外，图纸格式为dwg及PDF格式）</w:t>
      </w:r>
      <w:r>
        <w:rPr>
          <w:rFonts w:hint="eastAsia" w:cs="宋体" w:asciiTheme="minorEastAsia" w:hAnsiTheme="minorEastAsia" w:eastAsiaTheme="minorEastAsia"/>
          <w:color w:val="auto"/>
          <w:szCs w:val="21"/>
          <w:highlight w:val="none"/>
        </w:rPr>
        <w:t>。</w:t>
      </w:r>
    </w:p>
    <w:p w14:paraId="0166039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以上所有设计成果应在发包人所在地或指定的其他地点交付</w:t>
      </w:r>
      <w:r>
        <w:rPr>
          <w:rFonts w:hint="eastAsia" w:cs="宋体" w:asciiTheme="minorEastAsia" w:hAnsiTheme="minorEastAsia" w:eastAsiaTheme="minorEastAsia"/>
          <w:color w:val="auto"/>
          <w:szCs w:val="21"/>
          <w:highlight w:val="none"/>
        </w:rPr>
        <w:t>。</w:t>
      </w:r>
    </w:p>
    <w:p w14:paraId="05A7653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发包人应在规定的时间内向承包人提交基础资料及文件，并对其完整性、正确性及时限负责。发包人不得要求承包人违反国家有关标准进行设计。若因发包人向设计人提交资料及文件超过规定期限</w:t>
      </w:r>
      <w:r>
        <w:rPr>
          <w:rFonts w:cs="宋体" w:asciiTheme="minorEastAsia" w:hAnsiTheme="minorEastAsia" w:eastAsiaTheme="minorEastAsia"/>
          <w:color w:val="auto"/>
          <w:szCs w:val="21"/>
          <w:highlight w:val="none"/>
        </w:rPr>
        <w:t>15天以内，承包人交付设计文件时间顺延；超过规定期限15天以上时，经发包人确认可重新确定提交设计文件的时间；由于发包人失误或国家规范标准更改造成设计变更的，发包人承担所产生的所有设计及其他相关费用。</w:t>
      </w:r>
    </w:p>
    <w:p w14:paraId="3C62785C">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5.2 </w:t>
      </w:r>
      <w:r>
        <w:rPr>
          <w:rFonts w:hint="eastAsia" w:cs="宋体" w:asciiTheme="minorEastAsia" w:hAnsiTheme="minorEastAsia" w:eastAsiaTheme="minorEastAsia"/>
          <w:b/>
          <w:color w:val="auto"/>
          <w:szCs w:val="21"/>
          <w:highlight w:val="none"/>
        </w:rPr>
        <w:t>承包人文件审查</w:t>
      </w:r>
    </w:p>
    <w:p w14:paraId="25CBAA2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5.2.1 </w:t>
      </w:r>
      <w:r>
        <w:rPr>
          <w:rFonts w:hint="eastAsia" w:cs="宋体" w:asciiTheme="minorEastAsia" w:hAnsiTheme="minorEastAsia" w:eastAsiaTheme="minorEastAsia"/>
          <w:color w:val="auto"/>
          <w:szCs w:val="21"/>
          <w:highlight w:val="none"/>
        </w:rPr>
        <w:t>设计审查阶段及审查会议时间</w:t>
      </w:r>
    </w:p>
    <w:p w14:paraId="2B6DB922">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（1）本工程的设计阶段（名称）：深化设计、施工图设计。</w:t>
      </w:r>
    </w:p>
    <w:p w14:paraId="34C8CDBE">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（2）承包人应根据项目投资估算限额（拦标价）、设计任务书要求及国家法律法规规定进行限额设计。</w:t>
      </w:r>
    </w:p>
    <w:p w14:paraId="4CF7AD56">
      <w:pPr>
        <w:spacing w:line="500" w:lineRule="exact"/>
        <w:ind w:firstLine="420" w:firstLineChars="200"/>
        <w:outlineLvl w:val="9"/>
        <w:rPr>
          <w:rFonts w:cs="宋体" w:asciiTheme="minorEastAsia" w:hAnsiTheme="minorEastAsia" w:eastAsiaTheme="minorEastAsia"/>
          <w:bCs/>
          <w:color w:val="auto"/>
          <w:szCs w:val="21"/>
          <w:highlight w:val="none"/>
          <w:u w:val="single"/>
        </w:rPr>
      </w:pPr>
      <w:r>
        <w:rPr>
          <w:rFonts w:hint="eastAsia" w:cs="宋体" w:asciiTheme="minorEastAsia" w:hAnsiTheme="minorEastAsia" w:eastAsiaTheme="minorEastAsia"/>
          <w:color w:val="auto"/>
          <w:szCs w:val="21"/>
          <w:highlight w:val="none"/>
          <w:u w:val="single"/>
        </w:rPr>
        <w:t>承包人应对建设项目成本控制承担责任，并确保项目建安工程费不超经审批的成本限额。</w:t>
      </w:r>
    </w:p>
    <w:p w14:paraId="59AD2793">
      <w:pPr>
        <w:spacing w:line="500" w:lineRule="exact"/>
        <w:ind w:firstLine="420" w:firstLineChars="200"/>
        <w:outlineLvl w:val="9"/>
        <w:rPr>
          <w:rFonts w:cs="宋体" w:asciiTheme="minorEastAsia" w:hAnsiTheme="minorEastAsia" w:eastAsiaTheme="minorEastAsia"/>
          <w:bCs/>
          <w:color w:val="auto"/>
          <w:szCs w:val="21"/>
          <w:highlight w:val="none"/>
          <w:u w:val="single"/>
        </w:rPr>
      </w:pPr>
      <w:r>
        <w:rPr>
          <w:rFonts w:hint="eastAsia" w:cs="宋体" w:asciiTheme="minorEastAsia" w:hAnsiTheme="minorEastAsia" w:eastAsiaTheme="minorEastAsia"/>
          <w:bCs/>
          <w:color w:val="auto"/>
          <w:szCs w:val="21"/>
          <w:highlight w:val="none"/>
          <w:u w:val="single"/>
        </w:rPr>
        <w:t>（</w:t>
      </w:r>
      <w:r>
        <w:rPr>
          <w:rFonts w:cs="宋体" w:asciiTheme="minorEastAsia" w:hAnsiTheme="minorEastAsia" w:eastAsiaTheme="minorEastAsia"/>
          <w:bCs/>
          <w:color w:val="auto"/>
          <w:szCs w:val="21"/>
          <w:highlight w:val="none"/>
          <w:u w:val="single"/>
        </w:rPr>
        <w:t>3）承包人施工项目部须成立设计技术服务部，配齐各专业设计人员，且有负责人牵头。</w:t>
      </w:r>
    </w:p>
    <w:p w14:paraId="4AB22F23">
      <w:pPr>
        <w:spacing w:line="500" w:lineRule="exact"/>
        <w:ind w:firstLine="420" w:firstLineChars="200"/>
        <w:outlineLvl w:val="9"/>
        <w:rPr>
          <w:rFonts w:cs="宋体" w:asciiTheme="minorEastAsia" w:hAnsiTheme="minorEastAsia" w:eastAsiaTheme="minorEastAsia"/>
          <w:bCs/>
          <w:color w:val="auto"/>
          <w:szCs w:val="21"/>
          <w:highlight w:val="none"/>
          <w:u w:val="single"/>
        </w:rPr>
      </w:pPr>
      <w:r>
        <w:rPr>
          <w:rFonts w:hint="eastAsia" w:cs="宋体" w:asciiTheme="minorEastAsia" w:hAnsiTheme="minorEastAsia" w:eastAsiaTheme="minorEastAsia"/>
          <w:bCs/>
          <w:color w:val="auto"/>
          <w:szCs w:val="21"/>
          <w:highlight w:val="none"/>
        </w:rPr>
        <w:t>（</w:t>
      </w:r>
      <w:r>
        <w:rPr>
          <w:rFonts w:cs="宋体" w:asciiTheme="minorEastAsia" w:hAnsiTheme="minorEastAsia" w:eastAsiaTheme="minorEastAsia"/>
          <w:bCs/>
          <w:color w:val="auto"/>
          <w:szCs w:val="21"/>
          <w:highlight w:val="none"/>
        </w:rPr>
        <w:t>4）</w:t>
      </w:r>
      <w:r>
        <w:rPr>
          <w:rFonts w:hint="eastAsia" w:cs="宋体" w:asciiTheme="minorEastAsia" w:hAnsiTheme="minorEastAsia" w:eastAsiaTheme="minorEastAsia"/>
          <w:bCs/>
          <w:color w:val="auto"/>
          <w:szCs w:val="21"/>
          <w:highlight w:val="none"/>
          <w:u w:val="single"/>
        </w:rPr>
        <w:t>承包人应在限定期限内提供符合设计任务书要求的各项设计方案。如承包人不能在限定期限内提供符合要求时，发包人有权另行委托设计单位进行，所产生的设计费用由承包人支付，承包人应按发包人确定的设计要求组织施工图设计及施工。</w:t>
      </w:r>
    </w:p>
    <w:p w14:paraId="36F38258">
      <w:pPr>
        <w:spacing w:line="500" w:lineRule="exact"/>
        <w:ind w:firstLine="420" w:firstLineChars="200"/>
        <w:outlineLvl w:val="9"/>
        <w:rPr>
          <w:rFonts w:cs="宋体" w:asciiTheme="minorEastAsia" w:hAnsiTheme="minorEastAsia" w:eastAsiaTheme="minorEastAsia"/>
          <w:bCs/>
          <w:color w:val="auto"/>
          <w:szCs w:val="21"/>
          <w:highlight w:val="none"/>
          <w:u w:val="single"/>
        </w:rPr>
      </w:pPr>
      <w:r>
        <w:rPr>
          <w:rFonts w:hint="eastAsia" w:cs="宋体" w:asciiTheme="minorEastAsia" w:hAnsiTheme="minorEastAsia" w:eastAsiaTheme="minorEastAsia"/>
          <w:bCs/>
          <w:color w:val="auto"/>
          <w:szCs w:val="21"/>
          <w:highlight w:val="none"/>
        </w:rPr>
        <w:t>（</w:t>
      </w:r>
      <w:r>
        <w:rPr>
          <w:rFonts w:cs="宋体" w:asciiTheme="minorEastAsia" w:hAnsiTheme="minorEastAsia" w:eastAsiaTheme="minorEastAsia"/>
          <w:bCs/>
          <w:color w:val="auto"/>
          <w:szCs w:val="21"/>
          <w:highlight w:val="none"/>
        </w:rPr>
        <w:t>5）</w:t>
      </w:r>
      <w:r>
        <w:rPr>
          <w:rFonts w:hint="eastAsia" w:cs="宋体" w:asciiTheme="minorEastAsia" w:hAnsiTheme="minorEastAsia" w:eastAsiaTheme="minorEastAsia"/>
          <w:bCs/>
          <w:color w:val="auto"/>
          <w:szCs w:val="21"/>
          <w:highlight w:val="none"/>
          <w:u w:val="single"/>
        </w:rPr>
        <w:t>承包人向发包人提供各类施工图纸纸质版</w:t>
      </w:r>
      <w:r>
        <w:rPr>
          <w:rFonts w:cs="宋体" w:asciiTheme="minorEastAsia" w:hAnsiTheme="minorEastAsia" w:eastAsiaTheme="minorEastAsia"/>
          <w:bCs/>
          <w:color w:val="auto"/>
          <w:szCs w:val="21"/>
          <w:highlight w:val="none"/>
          <w:u w:val="single"/>
        </w:rPr>
        <w:t>1</w:t>
      </w:r>
      <w:r>
        <w:rPr>
          <w:rFonts w:hint="eastAsia" w:cs="宋体" w:asciiTheme="minorEastAsia" w:hAnsiTheme="minorEastAsia" w:eastAsiaTheme="minorEastAsia"/>
          <w:bCs/>
          <w:color w:val="auto"/>
          <w:szCs w:val="21"/>
          <w:highlight w:val="none"/>
          <w:u w:val="single"/>
        </w:rPr>
        <w:t>4</w:t>
      </w:r>
      <w:r>
        <w:rPr>
          <w:rFonts w:cs="宋体" w:asciiTheme="minorEastAsia" w:hAnsiTheme="minorEastAsia" w:eastAsiaTheme="minorEastAsia"/>
          <w:bCs/>
          <w:color w:val="auto"/>
          <w:szCs w:val="21"/>
          <w:highlight w:val="none"/>
          <w:u w:val="single"/>
        </w:rPr>
        <w:t>份（</w:t>
      </w:r>
      <w:r>
        <w:rPr>
          <w:rFonts w:hint="eastAsia" w:cs="宋体" w:asciiTheme="minorEastAsia" w:hAnsiTheme="minorEastAsia" w:eastAsiaTheme="minorEastAsia"/>
          <w:bCs/>
          <w:color w:val="auto"/>
          <w:szCs w:val="21"/>
          <w:highlight w:val="none"/>
          <w:u w:val="single"/>
        </w:rPr>
        <w:t>须满足发包人要求</w:t>
      </w:r>
      <w:r>
        <w:rPr>
          <w:rFonts w:cs="宋体" w:asciiTheme="minorEastAsia" w:hAnsiTheme="minorEastAsia" w:eastAsiaTheme="minorEastAsia"/>
          <w:bCs/>
          <w:color w:val="auto"/>
          <w:szCs w:val="21"/>
          <w:highlight w:val="none"/>
          <w:u w:val="single"/>
        </w:rPr>
        <w:t>），同时提供上述资料的原格式电子版文件（版本号以发包人要求为准）。</w:t>
      </w:r>
    </w:p>
    <w:p w14:paraId="376BAEA0">
      <w:pPr>
        <w:spacing w:line="500" w:lineRule="exact"/>
        <w:ind w:firstLine="420" w:firstLineChars="200"/>
        <w:outlineLvl w:val="9"/>
        <w:rPr>
          <w:rFonts w:cs="宋体" w:asciiTheme="minorEastAsia" w:hAnsiTheme="minorEastAsia" w:eastAsiaTheme="minorEastAsia"/>
          <w:color w:val="auto"/>
          <w:kern w:val="1"/>
          <w:szCs w:val="21"/>
          <w:highlight w:val="none"/>
        </w:rPr>
      </w:pPr>
      <w:r>
        <w:rPr>
          <w:rFonts w:hint="eastAsia" w:cs="宋体" w:asciiTheme="minorEastAsia" w:hAnsiTheme="minorEastAsia" w:eastAsiaTheme="minorEastAsia"/>
          <w:color w:val="auto"/>
          <w:kern w:val="1"/>
          <w:szCs w:val="21"/>
          <w:highlight w:val="none"/>
        </w:rPr>
        <w:t>（</w:t>
      </w:r>
      <w:r>
        <w:rPr>
          <w:rFonts w:cs="宋体" w:asciiTheme="minorEastAsia" w:hAnsiTheme="minorEastAsia" w:eastAsiaTheme="minorEastAsia"/>
          <w:color w:val="auto"/>
          <w:kern w:val="1"/>
          <w:szCs w:val="21"/>
          <w:highlight w:val="none"/>
        </w:rPr>
        <w:t>6）</w:t>
      </w:r>
      <w:r>
        <w:rPr>
          <w:rFonts w:hint="eastAsia" w:cs="宋体" w:asciiTheme="minorEastAsia" w:hAnsiTheme="minorEastAsia" w:eastAsiaTheme="minorEastAsia"/>
          <w:bCs/>
          <w:color w:val="auto"/>
          <w:szCs w:val="21"/>
          <w:highlight w:val="none"/>
          <w:u w:val="single"/>
        </w:rPr>
        <w:t>承包人应充分考虑设计任务书要求及国家法律法规、建设规范规定，如因承包人原因造成的设计漏项而引起的造价突破设计概算的，工程费用由承包人承担，并且原设计方案标准不得降低。</w:t>
      </w:r>
    </w:p>
    <w:p w14:paraId="55F2229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w:t>
      </w:r>
      <w:r>
        <w:rPr>
          <w:rFonts w:hint="eastAsia" w:cs="宋体" w:asciiTheme="minorEastAsia" w:hAnsiTheme="minorEastAsia" w:eastAsiaTheme="minorEastAsia"/>
          <w:bCs/>
          <w:color w:val="auto"/>
          <w:szCs w:val="21"/>
          <w:highlight w:val="none"/>
          <w:u w:val="single"/>
        </w:rPr>
        <w:t>因承包人原因的设计错误、施工返工、工期延误，产生的工程费用及延误工期，工程费用不予增加，工期不予顺延，除按合同约定支付违约金外，还就承担因此给发包人造成的一切损失。所有施工图，未按规范及使用需求提供的技术文件，所产生的费用由承</w:t>
      </w:r>
      <w:r>
        <w:rPr>
          <w:rFonts w:hint="eastAsia" w:cs="宋体" w:asciiTheme="minorEastAsia" w:hAnsiTheme="minorEastAsia" w:eastAsiaTheme="minorEastAsia"/>
          <w:color w:val="auto"/>
          <w:szCs w:val="21"/>
          <w:highlight w:val="none"/>
        </w:rPr>
        <w:t>包人承担。</w:t>
      </w:r>
    </w:p>
    <w:p w14:paraId="11A6C3B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8）承包人必须无偿提供本项目各个设计阶段的电子版图纸等成果文件。</w:t>
      </w:r>
    </w:p>
    <w:p w14:paraId="7780117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5.2.2</w:t>
      </w:r>
      <w:r>
        <w:rPr>
          <w:rFonts w:hint="eastAsia" w:cs="宋体" w:asciiTheme="minorEastAsia" w:hAnsiTheme="minorEastAsia" w:eastAsiaTheme="minorEastAsia"/>
          <w:color w:val="auto"/>
          <w:szCs w:val="21"/>
          <w:highlight w:val="none"/>
          <w:u w:val="single"/>
        </w:rPr>
        <w:t>承包人应积极配合施工图设计审查单位进行审查工作，提供开展审查所需要的资料。发包人可委托其聘请的咨询公司或组织由有关专家和技术人员组成审查小组，对承包人完成的各阶段设计文件进行审查，承包人应积极配合。发包人组织的专家审查意见仅供承包人参考，承包人并不能因专家的审查意见而豁免其应承担的设计责任。</w:t>
      </w:r>
    </w:p>
    <w:p w14:paraId="5CBC46B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承包人各阶段的设计文件，应达到绿色建筑的要求，对新工艺、新技术、新材料、新设备的运用，应报发包人书面确认，必要时组织有关专家论证。</w:t>
      </w:r>
    </w:p>
    <w:p w14:paraId="4A610FA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5.2.3设计文件需要政府部门审批的，由发包人牵头负责报送，承包人协助。承包人应配合发包人将设计文件报送规划、建设、环保、消防、人防等主管部门审查，承包人并按其审查意见修改完善设计，时间由承包人自行计划，政府审批时间已包含在项目合同工期中。</w:t>
      </w:r>
    </w:p>
    <w:p w14:paraId="5277006C">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5.3 </w:t>
      </w:r>
      <w:r>
        <w:rPr>
          <w:rFonts w:hint="eastAsia" w:cs="宋体" w:asciiTheme="minorEastAsia" w:hAnsiTheme="minorEastAsia" w:eastAsiaTheme="minorEastAsia"/>
          <w:b/>
          <w:color w:val="auto"/>
          <w:szCs w:val="21"/>
          <w:highlight w:val="none"/>
        </w:rPr>
        <w:t>培训</w:t>
      </w:r>
    </w:p>
    <w:p w14:paraId="40C9C87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培训的时长为</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，承包人应为培训提供的人员、设施和其它必要条件为</w:t>
      </w:r>
      <w:r>
        <w:rPr>
          <w:rFonts w:hint="eastAsia" w:cs="宋体" w:asciiTheme="minorEastAsia" w:hAnsiTheme="minorEastAsia" w:eastAsiaTheme="minorEastAsia"/>
          <w:color w:val="auto"/>
          <w:szCs w:val="21"/>
          <w:highlight w:val="none"/>
          <w:u w:val="single"/>
        </w:rPr>
        <w:t>承包人应对发包人提供的培训人员免费培训，并且达到培训人员完全使用熟悉操作为止</w:t>
      </w:r>
      <w:r>
        <w:rPr>
          <w:rFonts w:hint="eastAsia" w:cs="宋体" w:asciiTheme="minorEastAsia" w:hAnsiTheme="minorEastAsia" w:eastAsiaTheme="minorEastAsia"/>
          <w:color w:val="auto"/>
          <w:szCs w:val="21"/>
          <w:highlight w:val="none"/>
        </w:rPr>
        <w:t>。</w:t>
      </w:r>
    </w:p>
    <w:p w14:paraId="5BC689A4">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5.4 </w:t>
      </w:r>
      <w:r>
        <w:rPr>
          <w:rFonts w:hint="eastAsia" w:cs="宋体" w:asciiTheme="minorEastAsia" w:hAnsiTheme="minorEastAsia" w:eastAsiaTheme="minorEastAsia"/>
          <w:b/>
          <w:color w:val="auto"/>
          <w:szCs w:val="21"/>
          <w:highlight w:val="none"/>
        </w:rPr>
        <w:t>竣工文件</w:t>
      </w:r>
    </w:p>
    <w:p w14:paraId="4C08762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5.4.1 </w:t>
      </w:r>
      <w:r>
        <w:rPr>
          <w:rFonts w:hint="eastAsia" w:cs="宋体" w:asciiTheme="minorEastAsia" w:hAnsiTheme="minorEastAsia" w:eastAsiaTheme="minorEastAsia"/>
          <w:color w:val="auto"/>
          <w:szCs w:val="21"/>
          <w:highlight w:val="none"/>
        </w:rPr>
        <w:t>竣工文件的形式、提供的份数、技术标准以及其它相关要求：</w:t>
      </w:r>
    </w:p>
    <w:p w14:paraId="4394DA1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承包人在发包人竣工验收批准后</w:t>
      </w:r>
      <w:r>
        <w:rPr>
          <w:rFonts w:cs="宋体" w:asciiTheme="minorEastAsia" w:hAnsiTheme="minorEastAsia" w:eastAsiaTheme="minorEastAsia"/>
          <w:color w:val="auto"/>
          <w:szCs w:val="21"/>
          <w:highlight w:val="none"/>
          <w:u w:val="single"/>
        </w:rPr>
        <w:t>30天内向发包人提交竣工资料及竣工报告，格式按国家相关规定实行</w:t>
      </w:r>
      <w:r>
        <w:rPr>
          <w:rFonts w:hint="eastAsia" w:cs="宋体" w:asciiTheme="minorEastAsia" w:hAnsiTheme="minorEastAsia" w:eastAsiaTheme="minorEastAsia"/>
          <w:color w:val="auto"/>
          <w:szCs w:val="21"/>
          <w:highlight w:val="none"/>
        </w:rPr>
        <w:t>。</w:t>
      </w:r>
    </w:p>
    <w:p w14:paraId="1905A1B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承包人需要提交的竣工资料套数：</w:t>
      </w:r>
      <w:r>
        <w:rPr>
          <w:rFonts w:cs="宋体" w:asciiTheme="minorEastAsia" w:hAnsiTheme="minorEastAsia" w:eastAsiaTheme="minorEastAsia"/>
          <w:color w:val="auto"/>
          <w:szCs w:val="21"/>
          <w:highlight w:val="none"/>
          <w:u w:val="single"/>
        </w:rPr>
        <w:t>6套</w:t>
      </w:r>
      <w:r>
        <w:rPr>
          <w:rFonts w:hint="eastAsia" w:cs="宋体" w:asciiTheme="minorEastAsia" w:hAnsiTheme="minorEastAsia" w:eastAsiaTheme="minorEastAsia"/>
          <w:color w:val="auto"/>
          <w:szCs w:val="21"/>
          <w:highlight w:val="none"/>
        </w:rPr>
        <w:t>。</w:t>
      </w:r>
    </w:p>
    <w:p w14:paraId="6CC7DC5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承包人提交的竣工资料移交时间：</w:t>
      </w:r>
      <w:r>
        <w:rPr>
          <w:rFonts w:hint="eastAsia" w:cs="宋体" w:asciiTheme="minorEastAsia" w:hAnsiTheme="minorEastAsia" w:eastAsiaTheme="minorEastAsia"/>
          <w:color w:val="auto"/>
          <w:szCs w:val="21"/>
          <w:highlight w:val="none"/>
          <w:u w:val="single"/>
        </w:rPr>
        <w:t>承包人在发包人竣工验收批准后</w:t>
      </w:r>
      <w:r>
        <w:rPr>
          <w:rFonts w:cs="宋体" w:asciiTheme="minorEastAsia" w:hAnsiTheme="minorEastAsia" w:eastAsiaTheme="minorEastAsia"/>
          <w:color w:val="auto"/>
          <w:szCs w:val="21"/>
          <w:highlight w:val="none"/>
          <w:u w:val="single"/>
        </w:rPr>
        <w:t>30天内</w:t>
      </w:r>
      <w:r>
        <w:rPr>
          <w:rFonts w:hint="eastAsia" w:cs="宋体" w:asciiTheme="minorEastAsia" w:hAnsiTheme="minorEastAsia" w:eastAsiaTheme="minorEastAsia"/>
          <w:color w:val="auto"/>
          <w:szCs w:val="21"/>
          <w:highlight w:val="none"/>
        </w:rPr>
        <w:t>。</w:t>
      </w:r>
    </w:p>
    <w:p w14:paraId="075E258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承包人提交的竣工资料形式要求：</w:t>
      </w:r>
      <w:r>
        <w:rPr>
          <w:rFonts w:hint="eastAsia" w:cs="宋体" w:asciiTheme="minorEastAsia" w:hAnsiTheme="minorEastAsia" w:eastAsiaTheme="minorEastAsia"/>
          <w:color w:val="auto"/>
          <w:szCs w:val="21"/>
          <w:highlight w:val="none"/>
          <w:u w:val="single"/>
        </w:rPr>
        <w:t>纸版及电子版均需</w:t>
      </w:r>
      <w:r>
        <w:rPr>
          <w:rFonts w:hint="eastAsia" w:cs="宋体" w:asciiTheme="minorEastAsia" w:hAnsiTheme="minorEastAsia" w:eastAsiaTheme="minorEastAsia"/>
          <w:color w:val="auto"/>
          <w:szCs w:val="21"/>
          <w:highlight w:val="none"/>
        </w:rPr>
        <w:t>。</w:t>
      </w:r>
    </w:p>
    <w:p w14:paraId="1DF32A7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承包人提交的竣工资料的费用承担：</w:t>
      </w:r>
      <w:r>
        <w:rPr>
          <w:rFonts w:hint="eastAsia" w:cs="宋体" w:asciiTheme="minorEastAsia" w:hAnsiTheme="minorEastAsia" w:eastAsiaTheme="minorEastAsia"/>
          <w:color w:val="auto"/>
          <w:szCs w:val="21"/>
          <w:highlight w:val="none"/>
          <w:u w:val="single"/>
        </w:rPr>
        <w:t>承包人承担</w:t>
      </w:r>
      <w:r>
        <w:rPr>
          <w:rFonts w:hint="eastAsia" w:cs="宋体" w:asciiTheme="minorEastAsia" w:hAnsiTheme="minorEastAsia" w:eastAsiaTheme="minorEastAsia"/>
          <w:color w:val="auto"/>
          <w:szCs w:val="21"/>
          <w:highlight w:val="none"/>
        </w:rPr>
        <w:t>。</w:t>
      </w:r>
    </w:p>
    <w:p w14:paraId="0CED3E9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5.4.3 </w:t>
      </w:r>
      <w:r>
        <w:rPr>
          <w:rFonts w:hint="eastAsia" w:cs="宋体" w:asciiTheme="minorEastAsia" w:hAnsiTheme="minorEastAsia" w:eastAsiaTheme="minorEastAsia"/>
          <w:color w:val="auto"/>
          <w:szCs w:val="21"/>
          <w:highlight w:val="none"/>
        </w:rPr>
        <w:t>关于竣工文件的其他约定：</w:t>
      </w:r>
      <w:r>
        <w:rPr>
          <w:rFonts w:hint="eastAsia" w:cs="宋体" w:asciiTheme="minorEastAsia" w:hAnsiTheme="minorEastAsia" w:eastAsiaTheme="minorEastAsia"/>
          <w:color w:val="auto"/>
          <w:szCs w:val="21"/>
          <w:highlight w:val="none"/>
          <w:u w:val="single"/>
        </w:rPr>
        <w:t>竣工图纸必须将所有的变更标注到图纸上，竣工图纸变更反映不全面的，发包人不予受理。竣工图原则上不允许用计算机绘制，只接受在蓝图上手工修改的竣工图。如确因施工期间更改量巨大，在原蓝图上无法表达，可向</w:t>
      </w:r>
      <w:r>
        <w:rPr>
          <w:rFonts w:hint="eastAsia" w:cs="宋体" w:asciiTheme="minorEastAsia" w:hAnsiTheme="minorEastAsia" w:eastAsiaTheme="minorEastAsia"/>
          <w:color w:val="auto"/>
          <w:szCs w:val="21"/>
          <w:highlight w:val="none"/>
          <w:u w:val="single"/>
          <w:lang w:eastAsia="zh-CN"/>
        </w:rPr>
        <w:t>发包人</w:t>
      </w:r>
      <w:r>
        <w:rPr>
          <w:rFonts w:hint="eastAsia" w:cs="宋体" w:asciiTheme="minorEastAsia" w:hAnsiTheme="minorEastAsia" w:eastAsiaTheme="minorEastAsia"/>
          <w:color w:val="auto"/>
          <w:szCs w:val="21"/>
          <w:highlight w:val="none"/>
          <w:u w:val="single"/>
        </w:rPr>
        <w:t>项目部打报告申请用计算机绘制，项目部回复允许后方可实施，但必须附上原蓝图，并在原蓝图上用编号标注修改部位，计算机绘制的蓝图上也应该标出对应修改的部位及编号。其它内容不清晰的，以不利于承包人的情况进行结算。</w:t>
      </w:r>
    </w:p>
    <w:p w14:paraId="66F4207B">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5.5 </w:t>
      </w:r>
      <w:r>
        <w:rPr>
          <w:rFonts w:hint="eastAsia" w:cs="宋体" w:asciiTheme="minorEastAsia" w:hAnsiTheme="minorEastAsia" w:eastAsiaTheme="minorEastAsia"/>
          <w:b/>
          <w:color w:val="auto"/>
          <w:szCs w:val="21"/>
          <w:highlight w:val="none"/>
        </w:rPr>
        <w:t>操作和维修手册</w:t>
      </w:r>
    </w:p>
    <w:p w14:paraId="529E983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5.5.3 </w:t>
      </w:r>
      <w:r>
        <w:rPr>
          <w:rFonts w:hint="eastAsia" w:cs="宋体" w:asciiTheme="minorEastAsia" w:hAnsiTheme="minorEastAsia" w:eastAsiaTheme="minorEastAsia"/>
          <w:color w:val="auto"/>
          <w:szCs w:val="21"/>
          <w:highlight w:val="none"/>
        </w:rPr>
        <w:t>对最终操作和维修手册的约定：</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7A5F43AB">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6条 </w:t>
      </w:r>
      <w:r>
        <w:rPr>
          <w:rFonts w:hint="eastAsia" w:cs="宋体" w:asciiTheme="minorEastAsia" w:hAnsiTheme="minorEastAsia" w:eastAsiaTheme="minorEastAsia"/>
          <w:b/>
          <w:color w:val="auto"/>
          <w:szCs w:val="21"/>
          <w:highlight w:val="none"/>
        </w:rPr>
        <w:t>材料、工程设备</w:t>
      </w:r>
      <w:bookmarkEnd w:id="707"/>
    </w:p>
    <w:p w14:paraId="0C41FFD9">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6.1 </w:t>
      </w:r>
      <w:r>
        <w:rPr>
          <w:rFonts w:hint="eastAsia" w:cs="宋体" w:asciiTheme="minorEastAsia" w:hAnsiTheme="minorEastAsia" w:eastAsiaTheme="minorEastAsia"/>
          <w:b/>
          <w:color w:val="auto"/>
          <w:szCs w:val="21"/>
          <w:highlight w:val="none"/>
        </w:rPr>
        <w:t>实施方法</w:t>
      </w:r>
    </w:p>
    <w:p w14:paraId="65F6850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6.1.3该项目所使用材料设备必须满足国家标准及设计要求。</w:t>
      </w:r>
    </w:p>
    <w:p w14:paraId="31E44D4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6.1.4该项目所使用</w:t>
      </w:r>
      <w:r>
        <w:rPr>
          <w:rFonts w:hint="eastAsia" w:cs="宋体" w:asciiTheme="minorEastAsia" w:hAnsiTheme="minorEastAsia" w:eastAsiaTheme="minorEastAsia"/>
          <w:color w:val="auto"/>
          <w:szCs w:val="21"/>
          <w:highlight w:val="none"/>
        </w:rPr>
        <w:t>主要材料设备、重要材料设备</w:t>
      </w:r>
      <w:r>
        <w:rPr>
          <w:rFonts w:cs="宋体" w:asciiTheme="minorEastAsia" w:hAnsiTheme="minorEastAsia" w:eastAsiaTheme="minorEastAsia"/>
          <w:color w:val="auto"/>
          <w:szCs w:val="21"/>
          <w:highlight w:val="none"/>
        </w:rPr>
        <w:t>采购前应报送样品经监理、发包人检验合格满足国家标准及设计要求，经发包人批准后承包按照法定程序采购。未经发包人封样批准采购的材料设备承包自行承担一切损失。</w:t>
      </w:r>
    </w:p>
    <w:p w14:paraId="72B9A5A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6.1.5</w:t>
      </w:r>
      <w:r>
        <w:rPr>
          <w:rFonts w:hint="eastAsia" w:cs="宋体" w:asciiTheme="minorEastAsia" w:hAnsiTheme="minorEastAsia" w:eastAsiaTheme="minorEastAsia"/>
          <w:color w:val="auto"/>
          <w:szCs w:val="21"/>
          <w:highlight w:val="none"/>
          <w:u w:val="single"/>
        </w:rPr>
        <w:t>本工程的主要材料设备必须经监理及发包人验收合格后方可使用。未经监理人和发包人验收合格使用的材料设备造成的返工退货及工程质量等一切问题由承包人承担。</w:t>
      </w:r>
    </w:p>
    <w:p w14:paraId="18F350DD">
      <w:pPr>
        <w:adjustRightInd w:val="0"/>
        <w:snapToGrid w:val="0"/>
        <w:spacing w:line="500" w:lineRule="exact"/>
        <w:ind w:firstLine="422"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b/>
          <w:color w:val="auto"/>
          <w:szCs w:val="21"/>
          <w:highlight w:val="none"/>
        </w:rPr>
        <w:t xml:space="preserve">6.2 </w:t>
      </w:r>
      <w:r>
        <w:rPr>
          <w:rFonts w:hint="eastAsia" w:cs="宋体" w:asciiTheme="minorEastAsia" w:hAnsiTheme="minorEastAsia" w:eastAsiaTheme="minorEastAsia"/>
          <w:b/>
          <w:color w:val="auto"/>
          <w:szCs w:val="21"/>
          <w:highlight w:val="none"/>
        </w:rPr>
        <w:t>材料和工程设备</w:t>
      </w:r>
    </w:p>
    <w:p w14:paraId="034146F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6.2.1 </w:t>
      </w:r>
      <w:r>
        <w:rPr>
          <w:rFonts w:hint="eastAsia" w:cs="宋体" w:asciiTheme="minorEastAsia" w:hAnsiTheme="minorEastAsia" w:eastAsiaTheme="minorEastAsia"/>
          <w:color w:val="auto"/>
          <w:szCs w:val="21"/>
          <w:highlight w:val="none"/>
        </w:rPr>
        <w:t>发包人提供的材料和工程设备：</w:t>
      </w:r>
      <w:r>
        <w:rPr>
          <w:rFonts w:cs="宋体" w:asciiTheme="minorEastAsia" w:hAnsiTheme="minorEastAsia" w:eastAsiaTheme="minorEastAsia"/>
          <w:color w:val="auto"/>
          <w:szCs w:val="21"/>
          <w:highlight w:val="none"/>
          <w:u w:val="single"/>
        </w:rPr>
        <w:t xml:space="preserve">  无 </w:t>
      </w:r>
    </w:p>
    <w:p w14:paraId="53B784B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6.2.2 </w:t>
      </w:r>
      <w:r>
        <w:rPr>
          <w:rFonts w:hint="eastAsia" w:cs="宋体" w:asciiTheme="minorEastAsia" w:hAnsiTheme="minorEastAsia" w:eastAsiaTheme="minorEastAsia"/>
          <w:color w:val="auto"/>
          <w:szCs w:val="21"/>
          <w:highlight w:val="none"/>
        </w:rPr>
        <w:t>承包人提供的材料和工程设备</w:t>
      </w:r>
    </w:p>
    <w:p w14:paraId="3ECC4F0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材料和工程设备的类别、估算数量：</w:t>
      </w:r>
      <w:r>
        <w:rPr>
          <w:rFonts w:hint="eastAsia" w:cs="宋体" w:asciiTheme="minorEastAsia" w:hAnsiTheme="minorEastAsia" w:eastAsiaTheme="minorEastAsia"/>
          <w:color w:val="auto"/>
          <w:szCs w:val="21"/>
          <w:highlight w:val="none"/>
          <w:u w:val="single"/>
        </w:rPr>
        <w:t>所有构成工程实体的设备、材料、部件及备品备件均由承包人提供。属于暂估价的，达到招标要求的须由承包人进行公开招标</w:t>
      </w:r>
      <w:r>
        <w:rPr>
          <w:rFonts w:hint="eastAsia" w:cs="宋体" w:asciiTheme="minorEastAsia" w:hAnsiTheme="minorEastAsia" w:eastAsiaTheme="minorEastAsia"/>
          <w:color w:val="auto"/>
          <w:szCs w:val="21"/>
          <w:highlight w:val="none"/>
        </w:rPr>
        <w:t>。</w:t>
      </w:r>
    </w:p>
    <w:p w14:paraId="21976B9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竣工后试验的生产性材料的类别或（和）清单：</w:t>
      </w:r>
      <w:r>
        <w:rPr>
          <w:rFonts w:hint="eastAsia" w:cs="宋体" w:asciiTheme="minorEastAsia" w:hAnsiTheme="minorEastAsia" w:eastAsiaTheme="minorEastAsia"/>
          <w:color w:val="auto"/>
          <w:szCs w:val="21"/>
          <w:highlight w:val="none"/>
          <w:u w:val="single"/>
        </w:rPr>
        <w:t>承包人根据实验所需充分考虑，发包人不再支付费用</w:t>
      </w:r>
      <w:r>
        <w:rPr>
          <w:rFonts w:hint="eastAsia" w:cs="宋体" w:asciiTheme="minorEastAsia" w:hAnsiTheme="minorEastAsia" w:eastAsiaTheme="minorEastAsia"/>
          <w:color w:val="auto"/>
          <w:szCs w:val="21"/>
          <w:highlight w:val="none"/>
        </w:rPr>
        <w:t>。</w:t>
      </w:r>
    </w:p>
    <w:p w14:paraId="2751F97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附件《承包人供应材料设备参考品牌范围表》有材料设备参考品牌的，承包人必须参考品牌要求采购材料设备。否则发包人有权拒付该笔材料价款，并由承包人赔偿发包人因此造成的一切损失</w:t>
      </w:r>
      <w:r>
        <w:rPr>
          <w:rFonts w:hint="eastAsia" w:cs="宋体" w:asciiTheme="minorEastAsia" w:hAnsiTheme="minorEastAsia" w:eastAsiaTheme="minorEastAsia"/>
          <w:color w:val="auto"/>
          <w:szCs w:val="21"/>
          <w:highlight w:val="none"/>
        </w:rPr>
        <w:t>。</w:t>
      </w:r>
    </w:p>
    <w:p w14:paraId="181BD13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如承包人所供材料设备品牌未按附件《承包人供应材料设备参考品牌范围表》约定执行、须发生变更，按以下办法处理：①详细说明合同范围内品牌不能使用的原因，以工作联系单的形式发送发包人；②将拟供新品牌的材料设备样品、样册、检验报告、生产厂家资质等技术资料送至发包人项目部；③发包人项目部牵头上工程管理委员会并得到发包人同意后按认质认价流程报发包人招标采供部；④发包人招标采供部对变更后的材料重新进行认质认价确认。材料、设备仅品牌变更的，按发包人招标采供部确认的“原品牌与变更后品牌同期市场价格差价”调整结算</w:t>
      </w:r>
      <w:r>
        <w:rPr>
          <w:rFonts w:hint="eastAsia" w:cs="宋体" w:asciiTheme="minorEastAsia" w:hAnsiTheme="minorEastAsia" w:eastAsiaTheme="minorEastAsia"/>
          <w:color w:val="auto"/>
          <w:szCs w:val="21"/>
          <w:highlight w:val="none"/>
        </w:rPr>
        <w:t>。</w:t>
      </w:r>
    </w:p>
    <w:p w14:paraId="3DBE4E7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本工程所有主要材料须执行事前认质制度。需要认质的材料设备应在进场前由发包人认质，未经认质的不得进场及使用。实际使用不得出现以次充好的现象。</w:t>
      </w:r>
    </w:p>
    <w:p w14:paraId="5147ECE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必须严格按施工图及招标文件约定选择材料，认质单中详细注明材料的规格型号、品牌、产地及用量等。所选材料必须是符合国家行业部门检测的合格产品，符合国家环境污染控制有关规范，具备三证（出厂证明、质量检验证、产品合格证及相关检验证明）</w:t>
      </w:r>
      <w:r>
        <w:rPr>
          <w:rFonts w:hint="eastAsia" w:cs="宋体" w:asciiTheme="minorEastAsia" w:hAnsiTheme="minorEastAsia" w:eastAsiaTheme="minorEastAsia"/>
          <w:color w:val="auto"/>
          <w:szCs w:val="21"/>
          <w:highlight w:val="none"/>
        </w:rPr>
        <w:t>。</w:t>
      </w:r>
    </w:p>
    <w:p w14:paraId="4BB95450">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在发包人按合同规定付款情况下，承包人应严格按材料、设备采购合同约定的付款方式向供货商支付材料、设备货款。如果拖欠或拒不支付货款，影响工程进度经发包人确认属实的，发包人有权直接从承包人工程进度款中扣除材料、设备货款，直接支付给材料、设备供货商，对此承包人不得有异议</w:t>
      </w:r>
      <w:r>
        <w:rPr>
          <w:rFonts w:hint="eastAsia" w:cs="宋体" w:asciiTheme="minorEastAsia" w:hAnsiTheme="minorEastAsia" w:eastAsiaTheme="minorEastAsia"/>
          <w:color w:val="auto"/>
          <w:szCs w:val="21"/>
          <w:highlight w:val="none"/>
        </w:rPr>
        <w:t>。</w:t>
      </w:r>
    </w:p>
    <w:p w14:paraId="669F5A1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对承包人自行采购的材料，发包人保留自行采购的权利，承包人应无条件配合</w:t>
      </w:r>
      <w:r>
        <w:rPr>
          <w:rFonts w:hint="eastAsia" w:cs="宋体" w:asciiTheme="minorEastAsia" w:hAnsiTheme="minorEastAsia" w:eastAsiaTheme="minorEastAsia"/>
          <w:color w:val="auto"/>
          <w:szCs w:val="21"/>
          <w:highlight w:val="none"/>
        </w:rPr>
        <w:t>。</w:t>
      </w:r>
    </w:p>
    <w:p w14:paraId="4465BB2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承包人保证自购的材料设备符合法律规定及工程建设需要，并自行承担因材料、设备问题导致的一切损失和法律责任</w:t>
      </w:r>
      <w:r>
        <w:rPr>
          <w:rFonts w:hint="eastAsia" w:cs="宋体" w:asciiTheme="minorEastAsia" w:hAnsiTheme="minorEastAsia" w:eastAsiaTheme="minorEastAsia"/>
          <w:color w:val="auto"/>
          <w:szCs w:val="21"/>
          <w:highlight w:val="none"/>
        </w:rPr>
        <w:t>。</w:t>
      </w:r>
    </w:p>
    <w:p w14:paraId="4ED475B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发包人按承包人所提供计划将材料、设备供应到现场，承包人不能及时组织卸车或以暂不需要、标准、质量不合格、无法保存等理由为借口拒绝接受，造成的一切责任及损失由承包人承担</w:t>
      </w:r>
      <w:r>
        <w:rPr>
          <w:rFonts w:hint="eastAsia" w:cs="宋体" w:asciiTheme="minorEastAsia" w:hAnsiTheme="minorEastAsia" w:eastAsiaTheme="minorEastAsia"/>
          <w:color w:val="auto"/>
          <w:szCs w:val="21"/>
          <w:highlight w:val="none"/>
        </w:rPr>
        <w:t>。</w:t>
      </w:r>
    </w:p>
    <w:p w14:paraId="2EBC785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材料、设备的质量保证：</w:t>
      </w:r>
    </w:p>
    <w:p w14:paraId="1B757B4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采购的所有材料均应达到国家规范“合格”标准以上，并应向发包人和监理机构提供产品合格证明和检验资料，因材料质量引起的工程质量问题由承包人承担所造成的一切损失。如发包人或监理对该部分材料的质量有异议，有权提出停止使用或再次见证取样复试的要求，质量不合格，由此而发生的工期延迟和一切费用由承包人负担。主要材料、设备或发包人有特别要求的材料设备必须按发包人限定的品牌采购，材料进场前承包人须事先向发包人及监理人提供产品资料及样品。发包人及监理人发现不合格材料、设备用于工程中，承包人应无条件返工且费用自理，同时，承包人应承担由此给发包人造成的包括工期损失在内的全部经济损失</w:t>
      </w:r>
      <w:r>
        <w:rPr>
          <w:rFonts w:hint="eastAsia" w:cs="宋体" w:asciiTheme="minorEastAsia" w:hAnsiTheme="minorEastAsia" w:eastAsiaTheme="minorEastAsia"/>
          <w:color w:val="auto"/>
          <w:szCs w:val="21"/>
          <w:highlight w:val="none"/>
        </w:rPr>
        <w:t>。</w:t>
      </w:r>
    </w:p>
    <w:p w14:paraId="4712FA3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未经发包人同意，承包人不得擅自挪用现场其他材料、设备，不得私自占有，不得自行运出施工现场，不得偷梁换柱、以次充好，承包人如有上述行为，应按发包人要求进行整改，并向发包人支付违约金人民币壹拾万元，且工期不顺延。若因此给发包人及任何第三方造成损失，均由承包人承担全部责任，发包人有权向承包人追偿而不受本补充合同工程质量保修期的限制</w:t>
      </w:r>
      <w:r>
        <w:rPr>
          <w:rFonts w:hint="eastAsia" w:cs="宋体" w:asciiTheme="minorEastAsia" w:hAnsiTheme="minorEastAsia" w:eastAsiaTheme="minorEastAsia"/>
          <w:color w:val="auto"/>
          <w:szCs w:val="21"/>
          <w:highlight w:val="none"/>
        </w:rPr>
        <w:t>。</w:t>
      </w:r>
    </w:p>
    <w:p w14:paraId="28E0752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负责照管的材料设备发生损坏或丢失，承包人应及时修补或照价赔偿，并应赔偿由此给发包人造成的损失，而且发包人有权从未付给承包人的工程款中将此部分款项扣除。由于分包单位原因造成的材料设备发生损坏或丢失，承包人有权追索，对此发包人应予以配合</w:t>
      </w:r>
      <w:r>
        <w:rPr>
          <w:rFonts w:hint="eastAsia" w:cs="宋体" w:asciiTheme="minorEastAsia" w:hAnsiTheme="minorEastAsia" w:eastAsiaTheme="minorEastAsia"/>
          <w:color w:val="auto"/>
          <w:szCs w:val="21"/>
          <w:highlight w:val="none"/>
        </w:rPr>
        <w:t>。</w:t>
      </w:r>
    </w:p>
    <w:p w14:paraId="4E42F24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承包人采购的材料设备时必须满足发包人技术要求，若因实际采购的材料设备不满足发包人技术要求，引起的一切责任由承包人承担。</w:t>
      </w:r>
    </w:p>
    <w:p w14:paraId="158A789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6.2.3 </w:t>
      </w:r>
      <w:r>
        <w:rPr>
          <w:rFonts w:hint="eastAsia" w:cs="宋体" w:asciiTheme="minorEastAsia" w:hAnsiTheme="minorEastAsia" w:eastAsiaTheme="minorEastAsia"/>
          <w:color w:val="auto"/>
          <w:szCs w:val="21"/>
          <w:highlight w:val="none"/>
        </w:rPr>
        <w:t>材料和工程设备的保管</w:t>
      </w:r>
    </w:p>
    <w:p w14:paraId="4D171EB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发包人不提供任何的库房、仓库设施，但现场现有空地，经批准后，可提供给承包人作为临时堆场或建为临时仓储设施，其建设费用由承包人承担；发包人供应的材料和工程设备的保管费用由发包人承担，材料及设备</w:t>
      </w:r>
      <w:r>
        <w:rPr>
          <w:rFonts w:cs="宋体" w:asciiTheme="minorEastAsia" w:hAnsiTheme="minorEastAsia" w:eastAsiaTheme="minorEastAsia"/>
          <w:color w:val="auto"/>
          <w:szCs w:val="21"/>
          <w:highlight w:val="none"/>
          <w:u w:val="single"/>
        </w:rPr>
        <w:t>保管费</w:t>
      </w:r>
      <w:r>
        <w:rPr>
          <w:rFonts w:hint="eastAsia" w:cs="宋体" w:asciiTheme="minorEastAsia" w:hAnsiTheme="minorEastAsia" w:eastAsiaTheme="minorEastAsia"/>
          <w:color w:val="auto"/>
          <w:szCs w:val="21"/>
          <w:highlight w:val="none"/>
          <w:u w:val="single"/>
        </w:rPr>
        <w:t>已综合考虑在承包人投标报价中</w:t>
      </w:r>
      <w:r>
        <w:rPr>
          <w:rFonts w:cs="宋体" w:asciiTheme="minorEastAsia" w:hAnsiTheme="minorEastAsia" w:eastAsiaTheme="minorEastAsia"/>
          <w:color w:val="auto"/>
          <w:szCs w:val="21"/>
          <w:highlight w:val="none"/>
          <w:u w:val="single"/>
        </w:rPr>
        <w:t>。发包人接收工程之前，所有工程物资均由承包人负责保管。</w:t>
      </w:r>
    </w:p>
    <w:p w14:paraId="383203C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承包人提交保管、维护方案的时间：</w:t>
      </w:r>
      <w:r>
        <w:rPr>
          <w:rFonts w:hint="eastAsia" w:cs="宋体" w:asciiTheme="minorEastAsia" w:hAnsiTheme="minorEastAsia" w:eastAsiaTheme="minorEastAsia"/>
          <w:color w:val="auto"/>
          <w:szCs w:val="21"/>
          <w:highlight w:val="none"/>
          <w:u w:val="single"/>
        </w:rPr>
        <w:t>开工前</w:t>
      </w:r>
      <w:r>
        <w:rPr>
          <w:rFonts w:cs="宋体" w:asciiTheme="minorEastAsia" w:hAnsiTheme="minorEastAsia" w:eastAsiaTheme="minorEastAsia"/>
          <w:color w:val="auto"/>
          <w:szCs w:val="21"/>
          <w:highlight w:val="none"/>
          <w:u w:val="single"/>
        </w:rPr>
        <w:t>7日</w:t>
      </w:r>
      <w:r>
        <w:rPr>
          <w:rFonts w:hint="eastAsia" w:cs="宋体" w:asciiTheme="minorEastAsia" w:hAnsiTheme="minorEastAsia" w:eastAsiaTheme="minorEastAsia"/>
          <w:color w:val="auto"/>
          <w:szCs w:val="21"/>
          <w:highlight w:val="none"/>
        </w:rPr>
        <w:t>。</w:t>
      </w:r>
    </w:p>
    <w:p w14:paraId="4F265CB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发包人提供的库房、堆场、设施和设备：</w:t>
      </w:r>
      <w:r>
        <w:rPr>
          <w:rFonts w:cs="宋体" w:asciiTheme="minorEastAsia" w:hAnsiTheme="minorEastAsia" w:eastAsiaTheme="minorEastAsia"/>
          <w:color w:val="auto"/>
          <w:szCs w:val="21"/>
          <w:highlight w:val="none"/>
          <w:u w:val="single"/>
        </w:rPr>
        <w:t xml:space="preserve">   无   </w:t>
      </w:r>
      <w:r>
        <w:rPr>
          <w:rFonts w:hint="eastAsia" w:cs="宋体" w:asciiTheme="minorEastAsia" w:hAnsiTheme="minorEastAsia" w:eastAsiaTheme="minorEastAsia"/>
          <w:color w:val="auto"/>
          <w:szCs w:val="21"/>
          <w:highlight w:val="none"/>
        </w:rPr>
        <w:t>。</w:t>
      </w:r>
    </w:p>
    <w:p w14:paraId="09BB9B8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未经发包人同意的材料及设备承包人不得擅自使用。否则，承包人应按照发包人要求进行整改，工期不予顺延。并且，承包人应赔偿因此给发包人造成的全部损失</w:t>
      </w:r>
      <w:r>
        <w:rPr>
          <w:rFonts w:hint="eastAsia" w:cs="宋体" w:asciiTheme="minorEastAsia" w:hAnsiTheme="minorEastAsia" w:eastAsiaTheme="minorEastAsia"/>
          <w:color w:val="auto"/>
          <w:szCs w:val="21"/>
          <w:highlight w:val="none"/>
        </w:rPr>
        <w:t>。</w:t>
      </w:r>
    </w:p>
    <w:p w14:paraId="07132071">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6.3 </w:t>
      </w:r>
      <w:r>
        <w:rPr>
          <w:rFonts w:hint="eastAsia" w:cs="宋体" w:asciiTheme="minorEastAsia" w:hAnsiTheme="minorEastAsia" w:eastAsiaTheme="minorEastAsia"/>
          <w:b/>
          <w:color w:val="auto"/>
          <w:szCs w:val="21"/>
          <w:highlight w:val="none"/>
        </w:rPr>
        <w:t>样品</w:t>
      </w:r>
    </w:p>
    <w:p w14:paraId="532D4D4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6.3.1 </w:t>
      </w:r>
      <w:r>
        <w:rPr>
          <w:rFonts w:hint="eastAsia" w:cs="宋体" w:asciiTheme="minorEastAsia" w:hAnsiTheme="minorEastAsia" w:eastAsiaTheme="minorEastAsia"/>
          <w:color w:val="auto"/>
          <w:szCs w:val="21"/>
          <w:highlight w:val="none"/>
        </w:rPr>
        <w:t>样品的报送与封存</w:t>
      </w:r>
    </w:p>
    <w:p w14:paraId="63DF531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需要承包人报送样品的材料或工程设备：</w:t>
      </w:r>
      <w:r>
        <w:rPr>
          <w:rFonts w:hint="eastAsia" w:cs="宋体" w:asciiTheme="minorEastAsia" w:hAnsiTheme="minorEastAsia" w:eastAsiaTheme="minorEastAsia"/>
          <w:color w:val="auto"/>
          <w:szCs w:val="21"/>
          <w:highlight w:val="none"/>
          <w:u w:val="single"/>
        </w:rPr>
        <w:t>对于观感类材料，承包人应自施工图确认之日起</w:t>
      </w:r>
      <w:r>
        <w:rPr>
          <w:rFonts w:cs="宋体" w:asciiTheme="minorEastAsia" w:hAnsiTheme="minorEastAsia" w:eastAsiaTheme="minorEastAsia"/>
          <w:color w:val="auto"/>
          <w:szCs w:val="21"/>
          <w:highlight w:val="none"/>
          <w:u w:val="single"/>
        </w:rPr>
        <w:t>15个工作日内向发包人送样，</w:t>
      </w:r>
      <w:r>
        <w:rPr>
          <w:rFonts w:hint="eastAsia" w:cs="宋体" w:asciiTheme="minorEastAsia" w:hAnsiTheme="minorEastAsia" w:eastAsiaTheme="minorEastAsia"/>
          <w:color w:val="auto"/>
          <w:szCs w:val="21"/>
          <w:highlight w:val="none"/>
          <w:u w:val="single"/>
        </w:rPr>
        <w:t>发包人</w:t>
      </w:r>
      <w:r>
        <w:rPr>
          <w:rFonts w:cs="宋体" w:asciiTheme="minorEastAsia" w:hAnsiTheme="minorEastAsia" w:eastAsiaTheme="minorEastAsia"/>
          <w:color w:val="auto"/>
          <w:szCs w:val="21"/>
          <w:highlight w:val="none"/>
          <w:u w:val="single"/>
        </w:rPr>
        <w:t>总师办进行二次确认封样。承包人严格按照设计材料部品清单或实物样板要求提供相同品质、纹样或颜色的材料实物样板，每次送样至少提供2个相近样板供</w:t>
      </w:r>
      <w:r>
        <w:rPr>
          <w:rFonts w:hint="eastAsia" w:cs="宋体" w:asciiTheme="minorEastAsia" w:hAnsiTheme="minorEastAsia" w:eastAsiaTheme="minorEastAsia"/>
          <w:color w:val="auto"/>
          <w:szCs w:val="21"/>
          <w:highlight w:val="none"/>
          <w:u w:val="single"/>
        </w:rPr>
        <w:t>发包人</w:t>
      </w:r>
      <w:r>
        <w:rPr>
          <w:rFonts w:cs="宋体" w:asciiTheme="minorEastAsia" w:hAnsiTheme="minorEastAsia" w:eastAsiaTheme="minorEastAsia"/>
          <w:color w:val="auto"/>
          <w:szCs w:val="21"/>
          <w:highlight w:val="none"/>
          <w:u w:val="single"/>
        </w:rPr>
        <w:t>总师办选型。需要现场打样的，由</w:t>
      </w:r>
      <w:r>
        <w:rPr>
          <w:rFonts w:hint="eastAsia" w:cs="宋体" w:asciiTheme="minorEastAsia" w:hAnsiTheme="minorEastAsia" w:eastAsiaTheme="minorEastAsia"/>
          <w:color w:val="auto"/>
          <w:szCs w:val="21"/>
          <w:highlight w:val="none"/>
          <w:u w:val="single"/>
        </w:rPr>
        <w:t>发包人</w:t>
      </w:r>
      <w:r>
        <w:rPr>
          <w:rFonts w:cs="宋体" w:asciiTheme="minorEastAsia" w:hAnsiTheme="minorEastAsia" w:eastAsiaTheme="minorEastAsia"/>
          <w:color w:val="auto"/>
          <w:szCs w:val="21"/>
          <w:highlight w:val="none"/>
          <w:u w:val="single"/>
        </w:rPr>
        <w:t>总师办提供色板或样品，项目部组织现场打样，招标采供部配合，现场样板施工完成后由总师办负责确认。承包人送样工作每延误1天，罚款5000元，由</w:t>
      </w:r>
      <w:r>
        <w:rPr>
          <w:rFonts w:hint="eastAsia" w:cs="宋体" w:asciiTheme="minorEastAsia" w:hAnsiTheme="minorEastAsia" w:eastAsiaTheme="minorEastAsia"/>
          <w:color w:val="auto"/>
          <w:szCs w:val="21"/>
          <w:highlight w:val="none"/>
          <w:u w:val="single"/>
        </w:rPr>
        <w:t>发包人</w:t>
      </w:r>
      <w:r>
        <w:rPr>
          <w:rFonts w:cs="宋体" w:asciiTheme="minorEastAsia" w:hAnsiTheme="minorEastAsia" w:eastAsiaTheme="minorEastAsia"/>
          <w:color w:val="auto"/>
          <w:szCs w:val="21"/>
          <w:highlight w:val="none"/>
          <w:u w:val="single"/>
        </w:rPr>
        <w:t>项目部、总师办直接开具罚单，在支付工程进度款时扣除，因承包人未及时提供材料封样引起的工期延误和费用增加，均由承包人承担。具体约定详见附件《工程材料设备管理办法》</w:t>
      </w:r>
      <w:r>
        <w:rPr>
          <w:rFonts w:hint="eastAsia" w:cs="宋体" w:asciiTheme="minorEastAsia" w:hAnsiTheme="minorEastAsia" w:eastAsiaTheme="minorEastAsia"/>
          <w:color w:val="auto"/>
          <w:szCs w:val="21"/>
          <w:highlight w:val="none"/>
        </w:rPr>
        <w:t>。</w:t>
      </w:r>
    </w:p>
    <w:p w14:paraId="43E7FA80">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6.4 </w:t>
      </w:r>
      <w:r>
        <w:rPr>
          <w:rFonts w:hint="eastAsia" w:cs="宋体" w:asciiTheme="minorEastAsia" w:hAnsiTheme="minorEastAsia" w:eastAsiaTheme="minorEastAsia"/>
          <w:b/>
          <w:color w:val="auto"/>
          <w:szCs w:val="21"/>
          <w:highlight w:val="none"/>
        </w:rPr>
        <w:t>质量检查</w:t>
      </w:r>
    </w:p>
    <w:p w14:paraId="0470C8E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6.4.1 </w:t>
      </w:r>
      <w:r>
        <w:rPr>
          <w:rFonts w:hint="eastAsia" w:cs="宋体" w:asciiTheme="minorEastAsia" w:hAnsiTheme="minorEastAsia" w:eastAsiaTheme="minorEastAsia"/>
          <w:color w:val="auto"/>
          <w:szCs w:val="21"/>
          <w:highlight w:val="none"/>
        </w:rPr>
        <w:t>工程质量要求</w:t>
      </w:r>
    </w:p>
    <w:p w14:paraId="3AF2FE1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工程质量的特殊标准或要求：</w:t>
      </w:r>
      <w:r>
        <w:rPr>
          <w:rFonts w:hint="eastAsia" w:cs="宋体" w:asciiTheme="minorEastAsia" w:hAnsiTheme="minorEastAsia" w:eastAsiaTheme="minorEastAsia"/>
          <w:bCs/>
          <w:color w:val="auto"/>
          <w:szCs w:val="21"/>
          <w:highlight w:val="none"/>
          <w:u w:val="single"/>
        </w:rPr>
        <w:t>详见合同相关附件</w:t>
      </w:r>
      <w:r>
        <w:rPr>
          <w:rFonts w:hint="eastAsia" w:cs="宋体" w:asciiTheme="minorEastAsia" w:hAnsiTheme="minorEastAsia" w:eastAsiaTheme="minorEastAsia"/>
          <w:color w:val="auto"/>
          <w:szCs w:val="21"/>
          <w:highlight w:val="none"/>
        </w:rPr>
        <w:t>。</w:t>
      </w:r>
    </w:p>
    <w:p w14:paraId="3CC4A73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质检部位与参检方</w:t>
      </w:r>
    </w:p>
    <w:p w14:paraId="55C8893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三方参检的部位、标准及表格形式：</w:t>
      </w:r>
      <w:r>
        <w:rPr>
          <w:rFonts w:hint="eastAsia" w:cs="宋体" w:asciiTheme="minorEastAsia" w:hAnsiTheme="minorEastAsia" w:eastAsiaTheme="minorEastAsia"/>
          <w:bCs/>
          <w:color w:val="auto"/>
          <w:szCs w:val="21"/>
          <w:highlight w:val="none"/>
          <w:u w:val="single"/>
        </w:rPr>
        <w:t>三方验收为隐蔽工程验收、分项工程验收及分部工程验收，预验收、竣工验收，设备材料进场验收、工序验收、标准及表格按国家及地方规定执行</w:t>
      </w:r>
      <w:r>
        <w:rPr>
          <w:rFonts w:hint="eastAsia" w:cs="宋体" w:asciiTheme="minorEastAsia" w:hAnsiTheme="minorEastAsia" w:eastAsiaTheme="minorEastAsia"/>
          <w:bCs/>
          <w:color w:val="auto"/>
          <w:szCs w:val="21"/>
          <w:highlight w:val="none"/>
        </w:rPr>
        <w:t>。</w:t>
      </w:r>
    </w:p>
    <w:p w14:paraId="3938102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两方参检的部位、标准及表格形式：</w:t>
      </w:r>
      <w:r>
        <w:rPr>
          <w:rFonts w:hint="eastAsia" w:cs="宋体" w:asciiTheme="minorEastAsia" w:hAnsiTheme="minorEastAsia" w:eastAsiaTheme="minorEastAsia"/>
          <w:color w:val="auto"/>
          <w:szCs w:val="21"/>
          <w:highlight w:val="none"/>
          <w:u w:val="single"/>
        </w:rPr>
        <w:t>执行国家及地方强制性规范及行业标准</w:t>
      </w:r>
      <w:r>
        <w:rPr>
          <w:rFonts w:hint="eastAsia" w:cs="宋体" w:asciiTheme="minorEastAsia" w:hAnsiTheme="minorEastAsia" w:eastAsiaTheme="minorEastAsia"/>
          <w:color w:val="auto"/>
          <w:szCs w:val="21"/>
          <w:highlight w:val="none"/>
        </w:rPr>
        <w:t>。</w:t>
      </w:r>
    </w:p>
    <w:p w14:paraId="4D5A763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第三方检查的部位、标准及表格形式：</w:t>
      </w:r>
      <w:r>
        <w:rPr>
          <w:rFonts w:hint="eastAsia" w:cs="宋体" w:asciiTheme="minorEastAsia" w:hAnsiTheme="minorEastAsia" w:eastAsiaTheme="minorEastAsia"/>
          <w:color w:val="auto"/>
          <w:szCs w:val="21"/>
          <w:highlight w:val="none"/>
          <w:u w:val="single"/>
        </w:rPr>
        <w:t>执行国家及地方强制性规范及行业标准</w:t>
      </w:r>
      <w:r>
        <w:rPr>
          <w:rFonts w:hint="eastAsia" w:cs="宋体" w:asciiTheme="minorEastAsia" w:hAnsiTheme="minorEastAsia" w:eastAsiaTheme="minorEastAsia"/>
          <w:color w:val="auto"/>
          <w:szCs w:val="21"/>
          <w:highlight w:val="none"/>
        </w:rPr>
        <w:t>。</w:t>
      </w:r>
    </w:p>
    <w:p w14:paraId="64A7418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承包人自检的部位、标准及表格形式：</w:t>
      </w:r>
      <w:r>
        <w:rPr>
          <w:rFonts w:hint="eastAsia" w:cs="宋体" w:asciiTheme="minorEastAsia" w:hAnsiTheme="minorEastAsia" w:eastAsiaTheme="minorEastAsia"/>
          <w:color w:val="auto"/>
          <w:szCs w:val="21"/>
          <w:highlight w:val="none"/>
          <w:u w:val="single"/>
        </w:rPr>
        <w:t>执行国家及地方强制性规范及行业标准</w:t>
      </w:r>
      <w:r>
        <w:rPr>
          <w:rFonts w:hint="eastAsia" w:cs="宋体" w:asciiTheme="minorEastAsia" w:hAnsiTheme="minorEastAsia" w:eastAsiaTheme="minorEastAsia"/>
          <w:color w:val="auto"/>
          <w:szCs w:val="21"/>
          <w:highlight w:val="none"/>
        </w:rPr>
        <w:t>。</w:t>
      </w:r>
    </w:p>
    <w:p w14:paraId="4BA7F39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6.4.2 </w:t>
      </w:r>
      <w:r>
        <w:rPr>
          <w:rFonts w:hint="eastAsia" w:cs="宋体" w:asciiTheme="minorEastAsia" w:hAnsiTheme="minorEastAsia" w:eastAsiaTheme="minorEastAsia"/>
          <w:color w:val="auto"/>
          <w:szCs w:val="21"/>
          <w:highlight w:val="none"/>
        </w:rPr>
        <w:t>质量检查</w:t>
      </w:r>
    </w:p>
    <w:p w14:paraId="26DAE7A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除通用合同条件已列明的质量检查的地点外，发包人有权进行质量检查的其他地点：</w:t>
      </w:r>
      <w:r>
        <w:rPr>
          <w:rFonts w:hint="eastAsia" w:cs="宋体" w:asciiTheme="minorEastAsia" w:hAnsiTheme="minorEastAsia" w:eastAsiaTheme="minorEastAsia"/>
          <w:color w:val="auto"/>
          <w:szCs w:val="21"/>
          <w:highlight w:val="none"/>
          <w:u w:val="single"/>
        </w:rPr>
        <w:t>由发包人确定</w:t>
      </w:r>
      <w:r>
        <w:rPr>
          <w:rFonts w:hint="eastAsia" w:cs="宋体" w:asciiTheme="minorEastAsia" w:hAnsiTheme="minorEastAsia" w:eastAsiaTheme="minorEastAsia"/>
          <w:color w:val="auto"/>
          <w:szCs w:val="21"/>
          <w:highlight w:val="none"/>
        </w:rPr>
        <w:t>。</w:t>
      </w:r>
    </w:p>
    <w:p w14:paraId="7F7D060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6.4.3 </w:t>
      </w:r>
      <w:r>
        <w:rPr>
          <w:rFonts w:hint="eastAsia" w:cs="宋体" w:asciiTheme="minorEastAsia" w:hAnsiTheme="minorEastAsia" w:eastAsiaTheme="minorEastAsia"/>
          <w:color w:val="auto"/>
          <w:szCs w:val="21"/>
          <w:highlight w:val="none"/>
        </w:rPr>
        <w:t>隐蔽工程检查</w:t>
      </w:r>
    </w:p>
    <w:p w14:paraId="291A838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关于隐蔽工程和中间验收的特别约定：</w:t>
      </w:r>
      <w:r>
        <w:rPr>
          <w:rFonts w:hint="eastAsia" w:cs="宋体" w:asciiTheme="minorEastAsia" w:hAnsiTheme="minorEastAsia" w:eastAsiaTheme="minorEastAsia"/>
          <w:color w:val="auto"/>
          <w:szCs w:val="21"/>
          <w:highlight w:val="none"/>
          <w:u w:val="single"/>
        </w:rPr>
        <w:t>执行国家及地方规范及行业标准及满足</w:t>
      </w:r>
      <w:r>
        <w:rPr>
          <w:rFonts w:hint="eastAsia" w:cs="宋体" w:asciiTheme="minorEastAsia" w:hAnsiTheme="minorEastAsia" w:eastAsiaTheme="minorEastAsia"/>
          <w:bCs/>
          <w:color w:val="auto"/>
          <w:szCs w:val="21"/>
          <w:highlight w:val="none"/>
          <w:u w:val="single"/>
        </w:rPr>
        <w:t>合同相关附件</w:t>
      </w:r>
      <w:r>
        <w:rPr>
          <w:rFonts w:hint="eastAsia" w:cs="宋体" w:asciiTheme="minorEastAsia" w:hAnsiTheme="minorEastAsia" w:eastAsiaTheme="minorEastAsia"/>
          <w:color w:val="auto"/>
          <w:szCs w:val="21"/>
          <w:highlight w:val="none"/>
          <w:u w:val="single"/>
        </w:rPr>
        <w:t>标准化施工质量管理要求“合格”标准。发包人可自行验收或委托第三方检测机构检测</w:t>
      </w:r>
      <w:r>
        <w:rPr>
          <w:rFonts w:hint="eastAsia" w:cs="宋体" w:asciiTheme="minorEastAsia" w:hAnsiTheme="minorEastAsia" w:eastAsiaTheme="minorEastAsia"/>
          <w:color w:val="auto"/>
          <w:szCs w:val="21"/>
          <w:highlight w:val="none"/>
        </w:rPr>
        <w:t>。</w:t>
      </w:r>
    </w:p>
    <w:p w14:paraId="2DBE04B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发包人可随意抽选或对工程质量存在异议的隐蔽工程，由发包人委托第三方检测机构对该部分工程质量进行检测，承包人应予以积极配合，检测合格，检测费用由发包人承担；检测不合格，检测费用由承包人承担。（费用标准按照发包人与第三方检测机构签订合同价款为准）</w:t>
      </w:r>
      <w:r>
        <w:rPr>
          <w:rFonts w:hint="eastAsia" w:cs="宋体" w:asciiTheme="minorEastAsia" w:hAnsiTheme="minorEastAsia" w:eastAsiaTheme="minorEastAsia"/>
          <w:color w:val="auto"/>
          <w:szCs w:val="21"/>
          <w:highlight w:val="none"/>
        </w:rPr>
        <w:t>。</w:t>
      </w:r>
    </w:p>
    <w:p w14:paraId="28BD89C8">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6.5 </w:t>
      </w:r>
      <w:r>
        <w:rPr>
          <w:rFonts w:hint="eastAsia" w:cs="宋体" w:asciiTheme="minorEastAsia" w:hAnsiTheme="minorEastAsia" w:eastAsiaTheme="minorEastAsia"/>
          <w:b/>
          <w:color w:val="auto"/>
          <w:szCs w:val="21"/>
          <w:highlight w:val="none"/>
        </w:rPr>
        <w:t>由承包人试验和检验</w:t>
      </w:r>
    </w:p>
    <w:p w14:paraId="7230EF7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6.5.1 </w:t>
      </w:r>
      <w:r>
        <w:rPr>
          <w:rFonts w:hint="eastAsia" w:cs="宋体" w:asciiTheme="minorEastAsia" w:hAnsiTheme="minorEastAsia" w:eastAsiaTheme="minorEastAsia"/>
          <w:color w:val="auto"/>
          <w:szCs w:val="21"/>
          <w:highlight w:val="none"/>
        </w:rPr>
        <w:t>试验设备与试验人员</w:t>
      </w:r>
    </w:p>
    <w:p w14:paraId="3B14EA4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试验的内容、时间和地点：</w:t>
      </w:r>
      <w:r>
        <w:rPr>
          <w:rFonts w:hint="eastAsia" w:cs="宋体" w:asciiTheme="minorEastAsia" w:hAnsiTheme="minorEastAsia" w:eastAsiaTheme="minorEastAsia"/>
          <w:color w:val="auto"/>
          <w:szCs w:val="21"/>
          <w:highlight w:val="none"/>
          <w:u w:val="single"/>
        </w:rPr>
        <w:t>执行通用条款，达到国家相关规范及</w:t>
      </w:r>
      <w:r>
        <w:rPr>
          <w:rFonts w:cs="宋体" w:asciiTheme="minorEastAsia" w:hAnsiTheme="minorEastAsia" w:eastAsiaTheme="minorEastAsia"/>
          <w:color w:val="auto"/>
          <w:szCs w:val="21"/>
          <w:highlight w:val="none"/>
          <w:u w:val="single"/>
        </w:rPr>
        <w:t>ISO9000标准要求</w:t>
      </w:r>
      <w:r>
        <w:rPr>
          <w:rFonts w:hint="eastAsia" w:cs="宋体" w:asciiTheme="minorEastAsia" w:hAnsiTheme="minorEastAsia" w:eastAsiaTheme="minorEastAsia"/>
          <w:color w:val="auto"/>
          <w:szCs w:val="21"/>
          <w:highlight w:val="none"/>
        </w:rPr>
        <w:t>。</w:t>
      </w:r>
    </w:p>
    <w:p w14:paraId="30BC69F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试验所需要的试验设备、取样装置、试验场所和试验条件：</w:t>
      </w:r>
      <w:r>
        <w:rPr>
          <w:rFonts w:hint="eastAsia" w:cs="宋体" w:asciiTheme="minorEastAsia" w:hAnsiTheme="minorEastAsia" w:eastAsiaTheme="minorEastAsia"/>
          <w:color w:val="auto"/>
          <w:szCs w:val="21"/>
          <w:highlight w:val="none"/>
          <w:u w:val="single"/>
        </w:rPr>
        <w:t>承包人自行承担</w:t>
      </w:r>
      <w:r>
        <w:rPr>
          <w:rFonts w:hint="eastAsia" w:cs="宋体" w:asciiTheme="minorEastAsia" w:hAnsiTheme="minorEastAsia" w:eastAsiaTheme="minorEastAsia"/>
          <w:color w:val="auto"/>
          <w:szCs w:val="21"/>
          <w:highlight w:val="none"/>
        </w:rPr>
        <w:t>。</w:t>
      </w:r>
    </w:p>
    <w:p w14:paraId="321D988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试验和检验费用的计价原则：</w:t>
      </w:r>
      <w:r>
        <w:rPr>
          <w:rFonts w:hint="eastAsia" w:cs="宋体" w:asciiTheme="minorEastAsia" w:hAnsiTheme="minorEastAsia" w:eastAsiaTheme="minorEastAsia"/>
          <w:color w:val="auto"/>
          <w:szCs w:val="21"/>
          <w:highlight w:val="none"/>
          <w:u w:val="single"/>
        </w:rPr>
        <w:t>承包人自备或委托第三方进行检测试验，费用自理，发包人不再另行支付费用</w:t>
      </w:r>
      <w:r>
        <w:rPr>
          <w:rFonts w:hint="eastAsia" w:cs="宋体" w:asciiTheme="minorEastAsia" w:hAnsiTheme="minorEastAsia" w:eastAsiaTheme="minorEastAsia"/>
          <w:color w:val="auto"/>
          <w:szCs w:val="21"/>
          <w:highlight w:val="none"/>
        </w:rPr>
        <w:t>。</w:t>
      </w:r>
    </w:p>
    <w:p w14:paraId="42BF0D7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施工现场需要配置的试验场所：</w:t>
      </w:r>
      <w:r>
        <w:rPr>
          <w:rFonts w:hint="eastAsia" w:cs="宋体" w:asciiTheme="minorEastAsia" w:hAnsiTheme="minorEastAsia" w:eastAsiaTheme="minorEastAsia"/>
          <w:color w:val="auto"/>
          <w:szCs w:val="21"/>
          <w:highlight w:val="none"/>
          <w:u w:val="single"/>
        </w:rPr>
        <w:t>承包人自行承担</w:t>
      </w:r>
      <w:r>
        <w:rPr>
          <w:rFonts w:hint="eastAsia" w:cs="宋体" w:asciiTheme="minorEastAsia" w:hAnsiTheme="minorEastAsia" w:eastAsiaTheme="minorEastAsia"/>
          <w:color w:val="auto"/>
          <w:szCs w:val="21"/>
          <w:highlight w:val="none"/>
        </w:rPr>
        <w:t>。</w:t>
      </w:r>
    </w:p>
    <w:p w14:paraId="621D830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施工现场需要配备的试验设备：</w:t>
      </w:r>
      <w:r>
        <w:rPr>
          <w:rFonts w:hint="eastAsia" w:cs="宋体" w:asciiTheme="minorEastAsia" w:hAnsiTheme="minorEastAsia" w:eastAsiaTheme="minorEastAsia"/>
          <w:color w:val="auto"/>
          <w:szCs w:val="21"/>
          <w:highlight w:val="none"/>
          <w:u w:val="single"/>
        </w:rPr>
        <w:t>承包人自行承担</w:t>
      </w:r>
      <w:r>
        <w:rPr>
          <w:rFonts w:hint="eastAsia" w:cs="宋体" w:asciiTheme="minorEastAsia" w:hAnsiTheme="minorEastAsia" w:eastAsiaTheme="minorEastAsia"/>
          <w:color w:val="auto"/>
          <w:szCs w:val="21"/>
          <w:highlight w:val="none"/>
        </w:rPr>
        <w:t>。</w:t>
      </w:r>
    </w:p>
    <w:p w14:paraId="5B1F9B6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施工现场需要具备的其他试验条件：</w:t>
      </w:r>
      <w:r>
        <w:rPr>
          <w:rFonts w:hint="eastAsia" w:cs="宋体" w:asciiTheme="minorEastAsia" w:hAnsiTheme="minorEastAsia" w:eastAsiaTheme="minorEastAsia"/>
          <w:color w:val="auto"/>
          <w:szCs w:val="21"/>
          <w:highlight w:val="none"/>
          <w:u w:val="single"/>
        </w:rPr>
        <w:t>承包人自行承担</w:t>
      </w:r>
      <w:r>
        <w:rPr>
          <w:rFonts w:hint="eastAsia" w:cs="宋体" w:asciiTheme="minorEastAsia" w:hAnsiTheme="minorEastAsia" w:eastAsiaTheme="minorEastAsia"/>
          <w:color w:val="auto"/>
          <w:szCs w:val="21"/>
          <w:highlight w:val="none"/>
        </w:rPr>
        <w:t>。</w:t>
      </w:r>
    </w:p>
    <w:p w14:paraId="0DF2FE9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材料、设备进场检验：</w:t>
      </w:r>
    </w:p>
    <w:p w14:paraId="4270E0D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材料、设备进场后，承包人应按规范要求或协议书的约定，向发包人提出报验申请。材料、设备经检验合格且由发包人下发了《材料、设备使用许可证》后，承包人方可在工程施工中使用；经检验后被确认为不合格的，承包人应立即将相关材料、设备退出现场</w:t>
      </w:r>
      <w:r>
        <w:rPr>
          <w:rFonts w:hint="eastAsia" w:cs="宋体" w:asciiTheme="minorEastAsia" w:hAnsiTheme="minorEastAsia" w:eastAsiaTheme="minorEastAsia"/>
          <w:color w:val="auto"/>
          <w:szCs w:val="21"/>
          <w:highlight w:val="none"/>
        </w:rPr>
        <w:t>。</w:t>
      </w:r>
    </w:p>
    <w:p w14:paraId="3A05022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根据国家、省、市的规范和相关规定要求，材料、设备在使用前应进行检测的，承包人应承担完成材料、设备的全部检测工作，并在使用前将检测结果的正式报告提交给发包人</w:t>
      </w:r>
      <w:r>
        <w:rPr>
          <w:rFonts w:hint="eastAsia" w:cs="宋体" w:asciiTheme="minorEastAsia" w:hAnsiTheme="minorEastAsia" w:eastAsiaTheme="minorEastAsia"/>
          <w:color w:val="auto"/>
          <w:szCs w:val="21"/>
          <w:highlight w:val="none"/>
        </w:rPr>
        <w:t>。</w:t>
      </w:r>
    </w:p>
    <w:p w14:paraId="210C1DE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发包人有权制止承包人在工程施工中使用任何未通过法律、规范或合同要求检验与测试的材料、设备</w:t>
      </w:r>
      <w:r>
        <w:rPr>
          <w:rFonts w:hint="eastAsia" w:cs="宋体" w:asciiTheme="minorEastAsia" w:hAnsiTheme="minorEastAsia" w:eastAsiaTheme="minorEastAsia"/>
          <w:color w:val="auto"/>
          <w:szCs w:val="21"/>
          <w:highlight w:val="none"/>
        </w:rPr>
        <w:t>。</w:t>
      </w:r>
    </w:p>
    <w:p w14:paraId="78D0CAE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发包人可以要求承包人进行规范及合同中未要求的但发包人认为必要的检验和测试，以证明材料、设备性能或证实材料、设备满足合同中技术规格、指标和标准的要求。若经检验和测试，证实材料、设备满足合同中约定的技术规格、指标和标准，则所发生的费用由发包人负责，因此延误的工期相应顺延；若经检验和测试，证实材料、设备不符合合同约定的技术规格、指标和标准，则所发生的费用由承包人承担，承包人应无条件进行更换，且因此延误的工期不予顺延</w:t>
      </w:r>
      <w:r>
        <w:rPr>
          <w:rFonts w:hint="eastAsia" w:cs="宋体" w:asciiTheme="minorEastAsia" w:hAnsiTheme="minorEastAsia" w:eastAsiaTheme="minorEastAsia"/>
          <w:color w:val="auto"/>
          <w:szCs w:val="21"/>
          <w:highlight w:val="none"/>
        </w:rPr>
        <w:t>。</w:t>
      </w:r>
    </w:p>
    <w:p w14:paraId="29F3A1E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不因材料、设备的合格检验、测试或是检验报告的出具，而免除承包人应承担的合同约定的质量保修义务或其他义务</w:t>
      </w:r>
      <w:r>
        <w:rPr>
          <w:rFonts w:hint="eastAsia" w:cs="宋体" w:asciiTheme="minorEastAsia" w:hAnsiTheme="minorEastAsia" w:eastAsiaTheme="minorEastAsia"/>
          <w:color w:val="auto"/>
          <w:szCs w:val="21"/>
          <w:highlight w:val="none"/>
        </w:rPr>
        <w:t>。</w:t>
      </w:r>
    </w:p>
    <w:p w14:paraId="5F4577D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承包人自行使用未经检验、或虽经检验但被判定为不合格、或虽经检验并被判定合格但属假冒伪劣材料、设备的，承包人应向发包人承担违约责任</w:t>
      </w:r>
      <w:r>
        <w:rPr>
          <w:rFonts w:hint="eastAsia" w:cs="宋体" w:asciiTheme="minorEastAsia" w:hAnsiTheme="minorEastAsia" w:eastAsiaTheme="minorEastAsia"/>
          <w:color w:val="auto"/>
          <w:szCs w:val="21"/>
          <w:highlight w:val="none"/>
        </w:rPr>
        <w:t>。</w:t>
      </w:r>
    </w:p>
    <w:p w14:paraId="460F052B">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08" w:name="_Toc54862338"/>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7条 </w:t>
      </w:r>
      <w:r>
        <w:rPr>
          <w:rFonts w:hint="eastAsia" w:cs="宋体" w:asciiTheme="minorEastAsia" w:hAnsiTheme="minorEastAsia" w:eastAsiaTheme="minorEastAsia"/>
          <w:b/>
          <w:color w:val="auto"/>
          <w:szCs w:val="21"/>
          <w:highlight w:val="none"/>
        </w:rPr>
        <w:t>施工</w:t>
      </w:r>
      <w:bookmarkEnd w:id="708"/>
    </w:p>
    <w:p w14:paraId="5F065652">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7.1 </w:t>
      </w:r>
      <w:r>
        <w:rPr>
          <w:rFonts w:hint="eastAsia" w:cs="宋体" w:asciiTheme="minorEastAsia" w:hAnsiTheme="minorEastAsia" w:eastAsiaTheme="minorEastAsia"/>
          <w:b/>
          <w:color w:val="auto"/>
          <w:szCs w:val="21"/>
          <w:highlight w:val="none"/>
        </w:rPr>
        <w:t>交通运输</w:t>
      </w:r>
    </w:p>
    <w:p w14:paraId="6B9233B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7.1.1 </w:t>
      </w:r>
      <w:r>
        <w:rPr>
          <w:rFonts w:hint="eastAsia" w:cs="宋体" w:asciiTheme="minorEastAsia" w:hAnsiTheme="minorEastAsia" w:eastAsiaTheme="minorEastAsia"/>
          <w:color w:val="auto"/>
          <w:szCs w:val="21"/>
          <w:highlight w:val="none"/>
        </w:rPr>
        <w:t>出入现场的权利</w:t>
      </w:r>
    </w:p>
    <w:p w14:paraId="5AD1E29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关于出入现场的权利的约定：</w:t>
      </w:r>
      <w:r>
        <w:rPr>
          <w:rFonts w:hint="eastAsia" w:cs="宋体" w:asciiTheme="minorEastAsia" w:hAnsiTheme="minorEastAsia" w:eastAsiaTheme="minorEastAsia"/>
          <w:color w:val="auto"/>
          <w:szCs w:val="21"/>
          <w:highlight w:val="none"/>
          <w:u w:val="single"/>
        </w:rPr>
        <w:t>承包人负责现场管理，发包人遵守承包人现场管理的规定</w:t>
      </w:r>
      <w:r>
        <w:rPr>
          <w:rFonts w:hint="eastAsia" w:cs="宋体" w:asciiTheme="minorEastAsia" w:hAnsiTheme="minorEastAsia" w:eastAsiaTheme="minorEastAsia"/>
          <w:color w:val="auto"/>
          <w:szCs w:val="21"/>
          <w:highlight w:val="none"/>
        </w:rPr>
        <w:t>。</w:t>
      </w:r>
    </w:p>
    <w:p w14:paraId="458B14D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7.1.2 </w:t>
      </w:r>
      <w:r>
        <w:rPr>
          <w:rFonts w:hint="eastAsia" w:cs="宋体" w:asciiTheme="minorEastAsia" w:hAnsiTheme="minorEastAsia" w:eastAsiaTheme="minorEastAsia"/>
          <w:color w:val="auto"/>
          <w:szCs w:val="21"/>
          <w:highlight w:val="none"/>
        </w:rPr>
        <w:t>场外交通</w:t>
      </w:r>
    </w:p>
    <w:p w14:paraId="48556E3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关于场外交通的特别约定：</w:t>
      </w:r>
      <w:r>
        <w:rPr>
          <w:rFonts w:hint="eastAsia" w:cs="宋体" w:asciiTheme="minorEastAsia" w:hAnsiTheme="minorEastAsia" w:eastAsiaTheme="minorEastAsia"/>
          <w:color w:val="auto"/>
          <w:szCs w:val="21"/>
          <w:highlight w:val="none"/>
          <w:u w:val="single"/>
        </w:rPr>
        <w:t>项目周边市政道路正在建设中，承包人进场后应自行协调解决周边进出场道路</w:t>
      </w:r>
      <w:r>
        <w:rPr>
          <w:rFonts w:hint="eastAsia" w:cs="宋体" w:asciiTheme="minorEastAsia" w:hAnsiTheme="minorEastAsia" w:eastAsiaTheme="minorEastAsia"/>
          <w:color w:val="auto"/>
          <w:szCs w:val="21"/>
          <w:highlight w:val="none"/>
        </w:rPr>
        <w:t>。</w:t>
      </w:r>
    </w:p>
    <w:p w14:paraId="560BB6E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7.1.3 </w:t>
      </w:r>
      <w:r>
        <w:rPr>
          <w:rFonts w:hint="eastAsia" w:cs="宋体" w:asciiTheme="minorEastAsia" w:hAnsiTheme="minorEastAsia" w:eastAsiaTheme="minorEastAsia"/>
          <w:color w:val="auto"/>
          <w:szCs w:val="21"/>
          <w:highlight w:val="none"/>
        </w:rPr>
        <w:t>场内交通</w:t>
      </w:r>
    </w:p>
    <w:p w14:paraId="4F1F02A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关于场内交通的特别约定：</w:t>
      </w:r>
      <w:r>
        <w:rPr>
          <w:rFonts w:hint="eastAsia" w:cs="宋体" w:asciiTheme="minorEastAsia" w:hAnsiTheme="minorEastAsia" w:eastAsiaTheme="minorEastAsia"/>
          <w:color w:val="auto"/>
          <w:szCs w:val="21"/>
          <w:highlight w:val="none"/>
          <w:u w:val="single"/>
        </w:rPr>
        <w:t>承包人负责完成场内道路和交通设施，其费用包含在措施项目安全文明施工费中。确保满足施工运输的需要，保证施工期间的畅通</w:t>
      </w:r>
      <w:r>
        <w:rPr>
          <w:rFonts w:hint="eastAsia" w:cs="宋体" w:asciiTheme="minorEastAsia" w:hAnsiTheme="minorEastAsia" w:eastAsiaTheme="minorEastAsia"/>
          <w:color w:val="auto"/>
          <w:szCs w:val="21"/>
          <w:highlight w:val="none"/>
        </w:rPr>
        <w:t>。</w:t>
      </w:r>
    </w:p>
    <w:p w14:paraId="52E29B6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关于场内交通与场外交通边界的约定：</w:t>
      </w:r>
      <w:r>
        <w:rPr>
          <w:rFonts w:hint="eastAsia" w:cs="宋体" w:asciiTheme="minorEastAsia" w:hAnsiTheme="minorEastAsia" w:eastAsiaTheme="minorEastAsia"/>
          <w:color w:val="auto"/>
          <w:szCs w:val="21"/>
          <w:highlight w:val="none"/>
          <w:u w:val="single"/>
        </w:rPr>
        <w:t>以项目围墙为界</w:t>
      </w:r>
      <w:r>
        <w:rPr>
          <w:rFonts w:hint="eastAsia" w:cs="宋体" w:asciiTheme="minorEastAsia" w:hAnsiTheme="minorEastAsia" w:eastAsiaTheme="minorEastAsia"/>
          <w:color w:val="auto"/>
          <w:szCs w:val="21"/>
          <w:highlight w:val="none"/>
        </w:rPr>
        <w:t>。</w:t>
      </w:r>
    </w:p>
    <w:p w14:paraId="2E4B3EC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7.1.4 </w:t>
      </w:r>
      <w:r>
        <w:rPr>
          <w:rFonts w:hint="eastAsia" w:cs="宋体" w:asciiTheme="minorEastAsia" w:hAnsiTheme="minorEastAsia" w:eastAsiaTheme="minorEastAsia"/>
          <w:color w:val="auto"/>
          <w:szCs w:val="21"/>
          <w:highlight w:val="none"/>
        </w:rPr>
        <w:t>超大件和超重件的运输</w:t>
      </w:r>
    </w:p>
    <w:p w14:paraId="73605DE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运输超大件或超重件所需的道路和桥梁临时加固改造费用和其他有关费用由</w:t>
      </w:r>
      <w:r>
        <w:rPr>
          <w:rFonts w:hint="eastAsia" w:cs="宋体" w:asciiTheme="minorEastAsia" w:hAnsiTheme="minorEastAsia" w:eastAsiaTheme="minorEastAsia"/>
          <w:color w:val="auto"/>
          <w:szCs w:val="21"/>
          <w:highlight w:val="none"/>
          <w:u w:val="single"/>
        </w:rPr>
        <w:t>承包人自行承担，不单独列清单计费。费用包含在措施项目费中</w:t>
      </w:r>
      <w:r>
        <w:rPr>
          <w:rFonts w:hint="eastAsia" w:cs="宋体" w:asciiTheme="minorEastAsia" w:hAnsiTheme="minorEastAsia" w:eastAsiaTheme="minorEastAsia"/>
          <w:color w:val="auto"/>
          <w:szCs w:val="21"/>
          <w:highlight w:val="none"/>
        </w:rPr>
        <w:t>。</w:t>
      </w:r>
    </w:p>
    <w:p w14:paraId="01AB3481">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7.2 </w:t>
      </w:r>
      <w:r>
        <w:rPr>
          <w:rFonts w:hint="eastAsia" w:cs="宋体" w:asciiTheme="minorEastAsia" w:hAnsiTheme="minorEastAsia" w:eastAsiaTheme="minorEastAsia"/>
          <w:b/>
          <w:color w:val="auto"/>
          <w:szCs w:val="21"/>
          <w:highlight w:val="none"/>
        </w:rPr>
        <w:t>施工设备和临时设施</w:t>
      </w:r>
    </w:p>
    <w:p w14:paraId="2B1756E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7.2.1 </w:t>
      </w:r>
      <w:r>
        <w:rPr>
          <w:rFonts w:hint="eastAsia" w:cs="宋体" w:asciiTheme="minorEastAsia" w:hAnsiTheme="minorEastAsia" w:eastAsiaTheme="minorEastAsia"/>
          <w:color w:val="auto"/>
          <w:szCs w:val="21"/>
          <w:highlight w:val="none"/>
        </w:rPr>
        <w:t>承包人提供的施工设备和临时设施</w:t>
      </w:r>
    </w:p>
    <w:p w14:paraId="1C4192D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临时设施的费用和临时占地手续和费用承担的特别约定：</w:t>
      </w:r>
      <w:r>
        <w:rPr>
          <w:rFonts w:hint="eastAsia" w:cs="宋体" w:asciiTheme="minorEastAsia" w:hAnsiTheme="minorEastAsia" w:eastAsiaTheme="minorEastAsia"/>
          <w:color w:val="auto"/>
          <w:szCs w:val="21"/>
          <w:highlight w:val="none"/>
          <w:u w:val="single"/>
        </w:rPr>
        <w:t>承包人自行办理临时设施占用土地的申请手续并承担相应费用</w:t>
      </w:r>
      <w:r>
        <w:rPr>
          <w:rFonts w:hint="eastAsia" w:cs="宋体" w:asciiTheme="minorEastAsia" w:hAnsiTheme="minorEastAsia" w:eastAsiaTheme="minorEastAsia"/>
          <w:color w:val="auto"/>
          <w:szCs w:val="21"/>
          <w:highlight w:val="none"/>
        </w:rPr>
        <w:t>。</w:t>
      </w:r>
    </w:p>
    <w:p w14:paraId="0A845AD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提交主要机具计划一览表的格式、内容、份数和提交时间：</w:t>
      </w:r>
      <w:r>
        <w:rPr>
          <w:rFonts w:hint="eastAsia" w:cs="宋体" w:asciiTheme="minorEastAsia" w:hAnsiTheme="minorEastAsia" w:eastAsiaTheme="minorEastAsia"/>
          <w:color w:val="auto"/>
          <w:szCs w:val="21"/>
          <w:highlight w:val="none"/>
          <w:u w:val="single"/>
        </w:rPr>
        <w:t>承包人进场前</w:t>
      </w:r>
      <w:r>
        <w:rPr>
          <w:rFonts w:cs="宋体" w:asciiTheme="minorEastAsia" w:hAnsiTheme="minorEastAsia" w:eastAsiaTheme="minorEastAsia"/>
          <w:color w:val="auto"/>
          <w:szCs w:val="21"/>
          <w:highlight w:val="none"/>
          <w:u w:val="single"/>
        </w:rPr>
        <w:t>7日向发包人提交主要机具计划一览表一式三份，格式届时和发包人协商。</w:t>
      </w:r>
    </w:p>
    <w:p w14:paraId="46BCB03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主要机具实际进场的报表格式、份数和报告期：</w:t>
      </w:r>
      <w:r>
        <w:rPr>
          <w:rFonts w:hint="eastAsia" w:cs="宋体" w:asciiTheme="minorEastAsia" w:hAnsiTheme="minorEastAsia" w:eastAsiaTheme="minorEastAsia"/>
          <w:color w:val="auto"/>
          <w:szCs w:val="21"/>
          <w:highlight w:val="none"/>
          <w:u w:val="single"/>
        </w:rPr>
        <w:t>全部施工机具进场到位后</w:t>
      </w:r>
      <w:r>
        <w:rPr>
          <w:rFonts w:cs="宋体" w:asciiTheme="minorEastAsia" w:hAnsiTheme="minorEastAsia" w:eastAsiaTheme="minorEastAsia"/>
          <w:color w:val="auto"/>
          <w:szCs w:val="21"/>
          <w:highlight w:val="none"/>
          <w:u w:val="single"/>
        </w:rPr>
        <w:t>7日，向发包人提交主要机具实际进场一览表一式三份，格式届时和发包人协商。</w:t>
      </w:r>
    </w:p>
    <w:p w14:paraId="2D1E3B8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7.2.2 </w:t>
      </w:r>
      <w:r>
        <w:rPr>
          <w:rFonts w:hint="eastAsia" w:cs="宋体" w:asciiTheme="minorEastAsia" w:hAnsiTheme="minorEastAsia" w:eastAsiaTheme="minorEastAsia"/>
          <w:color w:val="auto"/>
          <w:szCs w:val="21"/>
          <w:highlight w:val="none"/>
        </w:rPr>
        <w:t>发包人提供的施工设备和临时设施</w:t>
      </w:r>
    </w:p>
    <w:p w14:paraId="6C60279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发包人提供的施工设备或临时设施范围：</w:t>
      </w:r>
      <w:r>
        <w:rPr>
          <w:rFonts w:cs="宋体" w:asciiTheme="minorEastAsia" w:hAnsiTheme="minorEastAsia" w:eastAsiaTheme="minorEastAsia"/>
          <w:color w:val="auto"/>
          <w:szCs w:val="21"/>
          <w:highlight w:val="none"/>
          <w:u w:val="single"/>
        </w:rPr>
        <w:t xml:space="preserve">   无    </w:t>
      </w:r>
      <w:r>
        <w:rPr>
          <w:rFonts w:hint="eastAsia" w:cs="宋体" w:asciiTheme="minorEastAsia" w:hAnsiTheme="minorEastAsia" w:eastAsiaTheme="minorEastAsia"/>
          <w:color w:val="auto"/>
          <w:szCs w:val="21"/>
          <w:highlight w:val="none"/>
        </w:rPr>
        <w:t>。</w:t>
      </w:r>
    </w:p>
    <w:p w14:paraId="0EC2509F">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7.3 </w:t>
      </w:r>
      <w:r>
        <w:rPr>
          <w:rFonts w:hint="eastAsia" w:cs="宋体" w:asciiTheme="minorEastAsia" w:hAnsiTheme="minorEastAsia" w:eastAsiaTheme="minorEastAsia"/>
          <w:b/>
          <w:color w:val="auto"/>
          <w:szCs w:val="21"/>
          <w:highlight w:val="none"/>
        </w:rPr>
        <w:t>现场合作</w:t>
      </w:r>
    </w:p>
    <w:p w14:paraId="30140BA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关于现场合作费用的特别约定：</w:t>
      </w:r>
      <w:r>
        <w:rPr>
          <w:rFonts w:hint="eastAsia" w:cs="宋体" w:asciiTheme="minorEastAsia" w:hAnsiTheme="minorEastAsia" w:eastAsiaTheme="minorEastAsia"/>
          <w:color w:val="auto"/>
          <w:szCs w:val="21"/>
          <w:highlight w:val="none"/>
          <w:u w:val="single"/>
        </w:rPr>
        <w:t>由承包人承担</w:t>
      </w:r>
      <w:r>
        <w:rPr>
          <w:rFonts w:hint="eastAsia" w:cs="宋体" w:asciiTheme="minorEastAsia" w:hAnsiTheme="minorEastAsia" w:eastAsiaTheme="minorEastAsia"/>
          <w:color w:val="auto"/>
          <w:szCs w:val="21"/>
          <w:highlight w:val="none"/>
        </w:rPr>
        <w:t>。</w:t>
      </w:r>
    </w:p>
    <w:p w14:paraId="539A6104">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7.4 </w:t>
      </w:r>
      <w:r>
        <w:rPr>
          <w:rFonts w:hint="eastAsia" w:cs="宋体" w:asciiTheme="minorEastAsia" w:hAnsiTheme="minorEastAsia" w:eastAsiaTheme="minorEastAsia"/>
          <w:b/>
          <w:color w:val="auto"/>
          <w:szCs w:val="21"/>
          <w:highlight w:val="none"/>
        </w:rPr>
        <w:t>测量放线</w:t>
      </w:r>
    </w:p>
    <w:p w14:paraId="1A6E873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7.4.1 </w:t>
      </w:r>
      <w:r>
        <w:rPr>
          <w:rFonts w:hint="eastAsia" w:cs="宋体" w:asciiTheme="minorEastAsia" w:hAnsiTheme="minorEastAsia" w:eastAsiaTheme="minorEastAsia"/>
          <w:color w:val="auto"/>
          <w:szCs w:val="21"/>
          <w:highlight w:val="none"/>
        </w:rPr>
        <w:t>关于测量放线的特别约定的技术规范：</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w:t>
      </w:r>
    </w:p>
    <w:p w14:paraId="142856C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7.4.2施工控制网资料的告知期限：</w:t>
      </w:r>
      <w:r>
        <w:rPr>
          <w:rFonts w:hint="eastAsia" w:cs="宋体" w:asciiTheme="minorEastAsia" w:hAnsiTheme="minorEastAsia" w:eastAsiaTheme="minorEastAsia"/>
          <w:color w:val="auto"/>
          <w:szCs w:val="21"/>
          <w:highlight w:val="none"/>
          <w:u w:val="single"/>
        </w:rPr>
        <w:t>开工日期前</w:t>
      </w:r>
      <w:r>
        <w:rPr>
          <w:rFonts w:cs="宋体" w:asciiTheme="minorEastAsia" w:hAnsiTheme="minorEastAsia" w:eastAsiaTheme="minorEastAsia"/>
          <w:color w:val="auto"/>
          <w:szCs w:val="21"/>
          <w:highlight w:val="none"/>
          <w:u w:val="single"/>
        </w:rPr>
        <w:t>7天，发包人通过监理人向承包人提供测量基准点、基准线和水准点及其书面资料</w:t>
      </w:r>
      <w:r>
        <w:rPr>
          <w:rFonts w:hint="eastAsia" w:cs="宋体" w:asciiTheme="minorEastAsia" w:hAnsiTheme="minorEastAsia" w:eastAsiaTheme="minorEastAsia"/>
          <w:color w:val="auto"/>
          <w:szCs w:val="21"/>
          <w:highlight w:val="none"/>
        </w:rPr>
        <w:t>。</w:t>
      </w:r>
    </w:p>
    <w:p w14:paraId="04D9B630">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7.5 </w:t>
      </w:r>
      <w:r>
        <w:rPr>
          <w:rFonts w:hint="eastAsia" w:cs="宋体" w:asciiTheme="minorEastAsia" w:hAnsiTheme="minorEastAsia" w:eastAsiaTheme="minorEastAsia"/>
          <w:b/>
          <w:color w:val="auto"/>
          <w:szCs w:val="21"/>
          <w:highlight w:val="none"/>
        </w:rPr>
        <w:t>现场劳动用工</w:t>
      </w:r>
    </w:p>
    <w:p w14:paraId="6FB63E7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7.5.2 </w:t>
      </w:r>
      <w:r>
        <w:rPr>
          <w:rFonts w:hint="eastAsia" w:cs="宋体" w:asciiTheme="minorEastAsia" w:hAnsiTheme="minorEastAsia" w:eastAsiaTheme="minorEastAsia"/>
          <w:color w:val="auto"/>
          <w:szCs w:val="21"/>
          <w:highlight w:val="none"/>
        </w:rPr>
        <w:t>合同当事人对建筑工人工资清偿事宜和违约责任的约定：</w:t>
      </w:r>
    </w:p>
    <w:p w14:paraId="0DF1278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承包人应建立农民工工资专用账户管理制度，实行农民工工资款（以下简称工资款）与其他工程款分账管理，并在开工前向发包人提供工资专用账户管理制度文本，与发包人、专户银行共同完成农民工工资专用账户协议的签署</w:t>
      </w:r>
      <w:r>
        <w:rPr>
          <w:rFonts w:hint="eastAsia" w:cs="宋体" w:asciiTheme="minorEastAsia" w:hAnsiTheme="minorEastAsia" w:eastAsiaTheme="minorEastAsia"/>
          <w:color w:val="auto"/>
          <w:szCs w:val="21"/>
          <w:highlight w:val="none"/>
        </w:rPr>
        <w:t>。</w:t>
      </w:r>
    </w:p>
    <w:p w14:paraId="701C2B13">
      <w:pPr>
        <w:tabs>
          <w:tab w:val="left" w:pos="8080"/>
        </w:tabs>
        <w:spacing w:line="500" w:lineRule="exact"/>
        <w:ind w:right="141" w:rightChars="67" w:firstLine="420" w:firstLineChars="200"/>
        <w:contextualSpacing/>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工资专用账户实行专款专用，专项用于支付本合同范围内工程建设项目农民工工资。工资专用账户不得开设企业网银、通兑等业务，账户内的资金除发放农民工工资外，不得用于其他用途。本施工合同项下只能开设一个工资专用账户，发包人只接受一个工资专用账户</w:t>
      </w:r>
      <w:r>
        <w:rPr>
          <w:rFonts w:hint="eastAsia" w:cs="宋体" w:asciiTheme="minorEastAsia" w:hAnsiTheme="minorEastAsia" w:eastAsiaTheme="minorEastAsia"/>
          <w:color w:val="auto"/>
          <w:szCs w:val="21"/>
          <w:highlight w:val="none"/>
        </w:rPr>
        <w:t>。</w:t>
      </w:r>
    </w:p>
    <w:p w14:paraId="3169302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zCs w:val="21"/>
          <w:highlight w:val="none"/>
          <w:u w:val="single"/>
        </w:rPr>
        <w:t>承包人应当依法与所招用的农民工订立劳动合同，并按照国家规定通过全国建筑工人管理服务信息平台进行用工实名登记及管理。承包人根据农民工实名登记信息，应当每月至少向农民工足额支付一次工资，不得因工程数量、质量、造价等产生争议不按规定支付工资。每月将经分包企业、施工班组签字确认的农民工工资清单审核报表报监理单位审核后，提交专户银行将工资直接划转至农民工个人工资卡（银行卡）上</w:t>
      </w:r>
      <w:r>
        <w:rPr>
          <w:rFonts w:hint="eastAsia" w:cs="宋体" w:asciiTheme="minorEastAsia" w:hAnsiTheme="minorEastAsia" w:eastAsiaTheme="minorEastAsia"/>
          <w:color w:val="auto"/>
          <w:szCs w:val="21"/>
          <w:highlight w:val="none"/>
        </w:rPr>
        <w:t>。</w:t>
      </w:r>
    </w:p>
    <w:p w14:paraId="3988466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w:t>
      </w:r>
      <w:r>
        <w:rPr>
          <w:rFonts w:hint="eastAsia" w:cs="宋体" w:asciiTheme="minorEastAsia" w:hAnsiTheme="minorEastAsia" w:eastAsiaTheme="minorEastAsia"/>
          <w:color w:val="auto"/>
          <w:szCs w:val="21"/>
          <w:highlight w:val="none"/>
          <w:u w:val="single"/>
        </w:rPr>
        <w:t>工程（交）竣工验收后，承包人应在现场对无拖欠农民工工资情况进行不少于</w:t>
      </w:r>
      <w:r>
        <w:rPr>
          <w:rFonts w:cs="宋体" w:asciiTheme="minorEastAsia" w:hAnsiTheme="minorEastAsia" w:eastAsiaTheme="minorEastAsia"/>
          <w:color w:val="auto"/>
          <w:szCs w:val="21"/>
          <w:highlight w:val="none"/>
          <w:u w:val="single"/>
        </w:rPr>
        <w:t>7个工作日的公示，公示结束后，如农民工未提出异议，可会同发包人办理工资专用账户撤销手续，工资专用账户余额由银行划转至合同约定的承包人账户</w:t>
      </w:r>
      <w:r>
        <w:rPr>
          <w:rFonts w:hint="eastAsia" w:cs="宋体" w:asciiTheme="minorEastAsia" w:hAnsiTheme="minorEastAsia" w:eastAsiaTheme="minorEastAsia"/>
          <w:color w:val="auto"/>
          <w:szCs w:val="21"/>
          <w:highlight w:val="none"/>
        </w:rPr>
        <w:t>。</w:t>
      </w:r>
    </w:p>
    <w:p w14:paraId="2ED53B0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w:t>
      </w:r>
      <w:r>
        <w:rPr>
          <w:rFonts w:hint="eastAsia" w:cs="宋体" w:asciiTheme="minorEastAsia" w:hAnsiTheme="minorEastAsia" w:eastAsiaTheme="minorEastAsia"/>
          <w:color w:val="auto"/>
          <w:szCs w:val="21"/>
          <w:highlight w:val="none"/>
          <w:u w:val="single"/>
        </w:rPr>
        <w:t>承包人不得以任何借口拖欠材料、设备货款及民工工资等费用，若出现此种现象，发包人有权代为支付其拖欠的材料、设备货款及民工工资，并从应付给承包人的工程款中扣除相应款项</w:t>
      </w:r>
      <w:r>
        <w:rPr>
          <w:rFonts w:hint="eastAsia" w:cs="宋体" w:asciiTheme="minorEastAsia" w:hAnsiTheme="minorEastAsia" w:eastAsiaTheme="minorEastAsia"/>
          <w:color w:val="auto"/>
          <w:szCs w:val="21"/>
          <w:highlight w:val="none"/>
        </w:rPr>
        <w:t>。</w:t>
      </w:r>
    </w:p>
    <w:p w14:paraId="568D132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w:t>
      </w:r>
      <w:r>
        <w:rPr>
          <w:rFonts w:hint="eastAsia" w:cs="宋体" w:asciiTheme="minorEastAsia" w:hAnsiTheme="minorEastAsia" w:eastAsiaTheme="minorEastAsia"/>
          <w:color w:val="auto"/>
          <w:szCs w:val="21"/>
          <w:highlight w:val="none"/>
          <w:u w:val="single"/>
        </w:rPr>
        <w:t>承包人应根据农民工实名登记信息，每月将经分包企业、施工班组签字确认的农民工工资清单审核报表报监理人审核并经发包人确认后，发包人根据农民工工资清单总额全额拨付至工资专用账户</w:t>
      </w:r>
      <w:r>
        <w:rPr>
          <w:rFonts w:hint="eastAsia" w:cs="宋体" w:asciiTheme="minorEastAsia" w:hAnsiTheme="minorEastAsia" w:eastAsiaTheme="minorEastAsia"/>
          <w:color w:val="auto"/>
          <w:szCs w:val="21"/>
          <w:highlight w:val="none"/>
        </w:rPr>
        <w:t>。</w:t>
      </w:r>
    </w:p>
    <w:p w14:paraId="7C429AED">
      <w:pPr>
        <w:pStyle w:val="33"/>
        <w:adjustRightInd w:val="0"/>
        <w:snapToGrid w:val="0"/>
        <w:spacing w:line="500" w:lineRule="exact"/>
        <w:ind w:left="0" w:leftChars="0"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w:t>
      </w:r>
      <w:r>
        <w:rPr>
          <w:rFonts w:hint="eastAsia" w:cs="宋体" w:asciiTheme="minorEastAsia" w:hAnsiTheme="minorEastAsia" w:eastAsiaTheme="minorEastAsia"/>
          <w:color w:val="auto"/>
          <w:szCs w:val="21"/>
          <w:highlight w:val="none"/>
          <w:u w:val="single"/>
        </w:rPr>
        <w:t>未按照合同约定按时足额支付农民工工资的，依法可由工程建设项目所在地人力资源社会保障行政部门责令限期向农民工支付所拖欠工资和自拖欠之日起按日加付万分之五的利息。逾期不支付所拖欠的工资及利息的，由工程建设项目所在地人力资源社会保障行政部门责令按照拖欠金额百分之五十以上百分之一百以下的标准，向农民工加付赔偿金，并对单位处拖欠金额一倍以上二倍以下的罚款，对法定代表人、实际控制人或者主要负责人处二万元以上五万元以下的罚款；构成犯罪的；依法追究刑事责任</w:t>
      </w:r>
      <w:r>
        <w:rPr>
          <w:rFonts w:hint="eastAsia" w:cs="宋体" w:asciiTheme="minorEastAsia" w:hAnsiTheme="minorEastAsia" w:eastAsiaTheme="minorEastAsia"/>
          <w:color w:val="auto"/>
          <w:szCs w:val="21"/>
          <w:highlight w:val="none"/>
        </w:rPr>
        <w:t>。</w:t>
      </w:r>
    </w:p>
    <w:p w14:paraId="6F112053">
      <w:pPr>
        <w:pStyle w:val="33"/>
        <w:adjustRightInd w:val="0"/>
        <w:snapToGrid w:val="0"/>
        <w:spacing w:line="500" w:lineRule="exact"/>
        <w:ind w:left="0" w:leftChars="0"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8）农民工工资必须按月足额按时支付给农民工，并将农民工工资支付凭证及明细报发包人，若发包人发现造假，对承包人每次罚款2万元。若发包人接到农民工欠薪投诉，经核实确认后，对承包人每次罚款2万元。</w:t>
      </w:r>
    </w:p>
    <w:p w14:paraId="46130E24">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7.6 </w:t>
      </w:r>
      <w:r>
        <w:rPr>
          <w:rFonts w:hint="eastAsia" w:cs="宋体" w:asciiTheme="minorEastAsia" w:hAnsiTheme="minorEastAsia" w:eastAsiaTheme="minorEastAsia"/>
          <w:b/>
          <w:color w:val="auto"/>
          <w:szCs w:val="21"/>
          <w:highlight w:val="none"/>
        </w:rPr>
        <w:t>安全文明施工</w:t>
      </w:r>
    </w:p>
    <w:p w14:paraId="27DF1FD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7.6.1 </w:t>
      </w:r>
      <w:r>
        <w:rPr>
          <w:rFonts w:hint="eastAsia" w:cs="宋体" w:asciiTheme="minorEastAsia" w:hAnsiTheme="minorEastAsia" w:eastAsiaTheme="minorEastAsia"/>
          <w:color w:val="auto"/>
          <w:szCs w:val="21"/>
          <w:highlight w:val="none"/>
        </w:rPr>
        <w:t>安全生产要求</w:t>
      </w:r>
    </w:p>
    <w:p w14:paraId="620EA2C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合同当事人对安全施工的要求：</w:t>
      </w:r>
    </w:p>
    <w:p w14:paraId="06EA9C2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安全目标为无死亡事故，工伤频率控制在西安市、经开区建筑施工安全管理法规规定的指标要求范围内。根据国家、省、市关于安全文明施工的要求，本工程必须达到省级文明工地验收标准。承包人应严格按照附件《建设工程安全防护、文明施工措施项目清单》规定的各项要求执行，切实有效的做好建筑工程安全防护、文明施工等工作。如达不到约定标准，发包人有权扣除承包人工程结算总价款</w:t>
      </w:r>
      <w:r>
        <w:rPr>
          <w:rFonts w:cs="宋体" w:asciiTheme="minorEastAsia" w:hAnsiTheme="minorEastAsia" w:eastAsiaTheme="minorEastAsia"/>
          <w:color w:val="auto"/>
          <w:szCs w:val="21"/>
          <w:highlight w:val="none"/>
          <w:u w:val="single"/>
        </w:rPr>
        <w:t>2%作为违约金</w:t>
      </w:r>
      <w:r>
        <w:rPr>
          <w:rFonts w:hint="eastAsia" w:cs="宋体" w:asciiTheme="minorEastAsia" w:hAnsiTheme="minorEastAsia" w:eastAsiaTheme="minorEastAsia"/>
          <w:color w:val="auto"/>
          <w:szCs w:val="21"/>
          <w:highlight w:val="none"/>
        </w:rPr>
        <w:t>。</w:t>
      </w:r>
    </w:p>
    <w:p w14:paraId="2001769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承包人负责在工程施工、竣工及保修的整个过程中施工现场全部人员的安全。发包人不承担承包人或其分包单位的工人或其他人员的伤亡赔偿或补偿责任</w:t>
      </w:r>
      <w:r>
        <w:rPr>
          <w:rFonts w:hint="eastAsia" w:cs="宋体" w:asciiTheme="minorEastAsia" w:hAnsiTheme="minorEastAsia" w:eastAsiaTheme="minorEastAsia"/>
          <w:color w:val="auto"/>
          <w:szCs w:val="21"/>
          <w:highlight w:val="none"/>
        </w:rPr>
        <w:t>。</w:t>
      </w:r>
    </w:p>
    <w:p w14:paraId="4F59FCA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zCs w:val="21"/>
          <w:highlight w:val="none"/>
          <w:u w:val="single"/>
        </w:rPr>
        <w:t>承包人在工程施工期间，必须配备专职安全员，配备一定数量的消防灭火器材</w:t>
      </w:r>
      <w:r>
        <w:rPr>
          <w:rFonts w:hint="eastAsia" w:cs="宋体" w:asciiTheme="minorEastAsia" w:hAnsiTheme="minorEastAsia" w:eastAsiaTheme="minorEastAsia"/>
          <w:color w:val="auto"/>
          <w:szCs w:val="21"/>
          <w:highlight w:val="none"/>
        </w:rPr>
        <w:t>。</w:t>
      </w:r>
    </w:p>
    <w:p w14:paraId="349B2699">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w:t>
      </w:r>
      <w:r>
        <w:rPr>
          <w:rFonts w:hint="eastAsia" w:cs="宋体" w:asciiTheme="minorEastAsia" w:hAnsiTheme="minorEastAsia" w:eastAsiaTheme="minorEastAsia"/>
          <w:color w:val="auto"/>
          <w:szCs w:val="21"/>
          <w:highlight w:val="none"/>
          <w:u w:val="single"/>
        </w:rPr>
        <w:t>承包人在工程施工期间，必须建立安全用电制度，确保施工用电设备的完好，并设置漏电保护装置，配电柜必须带锁，由专人看管，定期进行用电检查</w:t>
      </w:r>
      <w:r>
        <w:rPr>
          <w:rFonts w:hint="eastAsia" w:cs="宋体" w:asciiTheme="minorEastAsia" w:hAnsiTheme="minorEastAsia" w:eastAsiaTheme="minorEastAsia"/>
          <w:color w:val="auto"/>
          <w:szCs w:val="21"/>
          <w:highlight w:val="none"/>
        </w:rPr>
        <w:t>。</w:t>
      </w:r>
    </w:p>
    <w:p w14:paraId="7297F2D5">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w:t>
      </w:r>
      <w:r>
        <w:rPr>
          <w:rFonts w:hint="eastAsia" w:cs="宋体" w:asciiTheme="minorEastAsia" w:hAnsiTheme="minorEastAsia" w:eastAsiaTheme="minorEastAsia"/>
          <w:color w:val="auto"/>
          <w:szCs w:val="21"/>
          <w:highlight w:val="none"/>
          <w:u w:val="single"/>
        </w:rPr>
        <w:t>承包人必须采取有效措施确保在建工程已形成工程实体的安全，因承包人原因造成发包人设施设备或在建工程已形成工程实体的损坏，损失由承包人承担。凡遇基础开挖等项目，经发包人确认后，再行施工</w:t>
      </w:r>
      <w:r>
        <w:rPr>
          <w:rFonts w:hint="eastAsia" w:cs="宋体" w:asciiTheme="minorEastAsia" w:hAnsiTheme="minorEastAsia" w:eastAsiaTheme="minorEastAsia"/>
          <w:color w:val="auto"/>
          <w:szCs w:val="21"/>
          <w:highlight w:val="none"/>
        </w:rPr>
        <w:t>。</w:t>
      </w:r>
    </w:p>
    <w:p w14:paraId="203127A7">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w:t>
      </w:r>
      <w:r>
        <w:rPr>
          <w:rFonts w:hint="eastAsia" w:cs="宋体" w:asciiTheme="minorEastAsia" w:hAnsiTheme="minorEastAsia" w:eastAsiaTheme="minorEastAsia"/>
          <w:color w:val="auto"/>
          <w:szCs w:val="21"/>
          <w:highlight w:val="none"/>
          <w:u w:val="single"/>
        </w:rPr>
        <w:t>承包人应加强安全管理，有关商品砼、大型机械、渣土管理、车辆和人员进出场证、防台防汛、文明施工、现场测量及文明工地等均按国家及发包人有关规定执行</w:t>
      </w:r>
      <w:r>
        <w:rPr>
          <w:rFonts w:hint="eastAsia" w:cs="宋体" w:asciiTheme="minorEastAsia" w:hAnsiTheme="minorEastAsia" w:eastAsiaTheme="minorEastAsia"/>
          <w:color w:val="auto"/>
          <w:szCs w:val="21"/>
          <w:highlight w:val="none"/>
        </w:rPr>
        <w:t>。</w:t>
      </w:r>
    </w:p>
    <w:p w14:paraId="0AC1D4F9">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w:t>
      </w:r>
      <w:r>
        <w:rPr>
          <w:rFonts w:hint="eastAsia" w:cs="宋体" w:asciiTheme="minorEastAsia" w:hAnsiTheme="minorEastAsia" w:eastAsiaTheme="minorEastAsia"/>
          <w:color w:val="auto"/>
          <w:szCs w:val="21"/>
          <w:highlight w:val="none"/>
          <w:u w:val="single"/>
        </w:rPr>
        <w:t>临时围墙拆除后，每栋楼一层及地下室必须封堵完成，只留一个进出口，各栋楼设置专人看管，此费用已在合同总价中包括。设专人看管后，严禁外来人随意进出，每出现一次则承包人向发包人支付违约金</w:t>
      </w:r>
      <w:r>
        <w:rPr>
          <w:rFonts w:cs="宋体" w:asciiTheme="minorEastAsia" w:hAnsiTheme="minorEastAsia" w:eastAsiaTheme="minorEastAsia"/>
          <w:color w:val="auto"/>
          <w:szCs w:val="21"/>
          <w:highlight w:val="none"/>
          <w:u w:val="single"/>
        </w:rPr>
        <w:t>1000元</w:t>
      </w:r>
      <w:r>
        <w:rPr>
          <w:rFonts w:hint="eastAsia" w:cs="宋体" w:asciiTheme="minorEastAsia" w:hAnsiTheme="minorEastAsia" w:eastAsiaTheme="minorEastAsia"/>
          <w:color w:val="auto"/>
          <w:szCs w:val="21"/>
          <w:highlight w:val="none"/>
        </w:rPr>
        <w:t>。</w:t>
      </w:r>
    </w:p>
    <w:p w14:paraId="1B0B53D2">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8）</w:t>
      </w:r>
      <w:r>
        <w:rPr>
          <w:rFonts w:hint="eastAsia" w:cs="宋体" w:asciiTheme="minorEastAsia" w:hAnsiTheme="minorEastAsia" w:eastAsiaTheme="minorEastAsia"/>
          <w:color w:val="auto"/>
          <w:szCs w:val="21"/>
          <w:highlight w:val="none"/>
          <w:u w:val="single"/>
        </w:rPr>
        <w:t>承包人在施工过程中发生的一切安全事故及人身伤亡事件均由承包人及时处理并承担全部责任和费用。发生安全事故后，承包人应积极进行事故处理支付相关费用，如承包人拖延或拒绝支付费用或持放任态度不予处理，为了防止事态的扩大，发包人有权先行处理，处理费用全部由承包人承担，发包人可在承包人的履约保证金和工程款中予以扣除，发包人为承包人所代付的一切费用均视为承包人同意</w:t>
      </w:r>
      <w:r>
        <w:rPr>
          <w:rFonts w:hint="eastAsia" w:cs="宋体" w:asciiTheme="minorEastAsia" w:hAnsiTheme="minorEastAsia" w:eastAsiaTheme="minorEastAsia"/>
          <w:color w:val="auto"/>
          <w:szCs w:val="21"/>
          <w:highlight w:val="none"/>
        </w:rPr>
        <w:t>。</w:t>
      </w:r>
    </w:p>
    <w:p w14:paraId="3A844A84">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9）</w:t>
      </w:r>
      <w:r>
        <w:rPr>
          <w:rFonts w:hint="eastAsia" w:cs="宋体" w:asciiTheme="minorEastAsia" w:hAnsiTheme="minorEastAsia" w:eastAsiaTheme="minorEastAsia"/>
          <w:color w:val="auto"/>
          <w:szCs w:val="21"/>
          <w:highlight w:val="none"/>
          <w:u w:val="single"/>
        </w:rPr>
        <w:t>承包人安全管理人员及其他特殊岗位工种必须持证上岗，并报监理备案且接受发包人检查。安全管理人员负责检查现场和施工人员安全情况，如监理单位和发包人管理人员发现有不安全因素存在，经指出仍未纠正的每次罚款</w:t>
      </w:r>
      <w:r>
        <w:rPr>
          <w:rFonts w:cs="宋体" w:asciiTheme="minorEastAsia" w:hAnsiTheme="minorEastAsia" w:eastAsiaTheme="minorEastAsia"/>
          <w:color w:val="auto"/>
          <w:szCs w:val="21"/>
          <w:highlight w:val="none"/>
          <w:u w:val="single"/>
        </w:rPr>
        <w:t>500元人民币</w:t>
      </w:r>
      <w:r>
        <w:rPr>
          <w:rFonts w:hint="eastAsia" w:cs="宋体" w:asciiTheme="minorEastAsia" w:hAnsiTheme="minorEastAsia" w:eastAsiaTheme="minorEastAsia"/>
          <w:color w:val="auto"/>
          <w:szCs w:val="21"/>
          <w:highlight w:val="none"/>
        </w:rPr>
        <w:t>。</w:t>
      </w:r>
    </w:p>
    <w:p w14:paraId="06C9BE92">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10）</w:t>
      </w:r>
      <w:r>
        <w:rPr>
          <w:rFonts w:hint="eastAsia" w:cs="宋体" w:asciiTheme="minorEastAsia" w:hAnsiTheme="minorEastAsia" w:eastAsiaTheme="minorEastAsia"/>
          <w:color w:val="auto"/>
          <w:szCs w:val="21"/>
          <w:highlight w:val="none"/>
          <w:u w:val="single"/>
        </w:rPr>
        <w:t>合同工程临近动力设备、输电线路、地下管道、密封防震车间、易燃易爆地段、建（构）筑物以及临街交通要道施工时，按有关规定应当采取防护措施的，施工开始前承包人应向工程师提出安全防护措施，经工程师认可后实施。防护措施费由发包人承担</w:t>
      </w:r>
      <w:r>
        <w:rPr>
          <w:rFonts w:hint="eastAsia" w:cs="宋体" w:asciiTheme="minorEastAsia" w:hAnsiTheme="minorEastAsia" w:eastAsiaTheme="minorEastAsia"/>
          <w:color w:val="auto"/>
          <w:szCs w:val="21"/>
          <w:highlight w:val="none"/>
        </w:rPr>
        <w:t>。</w:t>
      </w:r>
    </w:p>
    <w:p w14:paraId="79FFD372">
      <w:pPr>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11）</w:t>
      </w:r>
      <w:r>
        <w:rPr>
          <w:rFonts w:hint="eastAsia" w:cs="宋体" w:asciiTheme="minorEastAsia" w:hAnsiTheme="minorEastAsia" w:eastAsiaTheme="minorEastAsia"/>
          <w:color w:val="auto"/>
          <w:szCs w:val="21"/>
          <w:highlight w:val="none"/>
          <w:u w:val="single"/>
        </w:rPr>
        <w:t>实施爆破作业，在放射、毒害性环境中施工（含储存、运输、使用）及使用毒害性、腐蚀性物品施工时，承包人应在施工前</w:t>
      </w:r>
      <w:r>
        <w:rPr>
          <w:rFonts w:cs="宋体" w:asciiTheme="minorEastAsia" w:hAnsiTheme="minorEastAsia" w:eastAsiaTheme="minorEastAsia"/>
          <w:color w:val="auto"/>
          <w:szCs w:val="21"/>
          <w:highlight w:val="none"/>
          <w:u w:val="single"/>
        </w:rPr>
        <w:t>14天以书面通知工程师，并提出相应的安全防护措施，经工程师认可后实施，由发包人承担安全防护措施费用</w:t>
      </w:r>
      <w:r>
        <w:rPr>
          <w:rFonts w:hint="eastAsia" w:cs="宋体" w:asciiTheme="minorEastAsia" w:hAnsiTheme="minorEastAsia" w:eastAsiaTheme="minorEastAsia"/>
          <w:color w:val="auto"/>
          <w:szCs w:val="21"/>
          <w:highlight w:val="none"/>
        </w:rPr>
        <w:t>。</w:t>
      </w:r>
    </w:p>
    <w:p w14:paraId="15E48F0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7.6.3 </w:t>
      </w:r>
      <w:r>
        <w:rPr>
          <w:rFonts w:hint="eastAsia" w:cs="宋体" w:asciiTheme="minorEastAsia" w:hAnsiTheme="minorEastAsia" w:eastAsiaTheme="minorEastAsia"/>
          <w:color w:val="auto"/>
          <w:szCs w:val="21"/>
          <w:highlight w:val="none"/>
        </w:rPr>
        <w:t>文明施工</w:t>
      </w:r>
    </w:p>
    <w:p w14:paraId="1768EB7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合同当事人对文明施工的要求：</w:t>
      </w:r>
      <w:r>
        <w:rPr>
          <w:rFonts w:hint="eastAsia" w:cs="宋体" w:asciiTheme="minorEastAsia" w:hAnsiTheme="minorEastAsia" w:eastAsiaTheme="minorEastAsia"/>
          <w:color w:val="auto"/>
          <w:szCs w:val="21"/>
          <w:highlight w:val="none"/>
          <w:u w:val="single"/>
        </w:rPr>
        <w:t>严格按</w:t>
      </w:r>
      <w:r>
        <w:rPr>
          <w:rFonts w:hint="eastAsia" w:cs="宋体" w:asciiTheme="minorEastAsia" w:hAnsiTheme="minorEastAsia" w:eastAsiaTheme="minorEastAsia"/>
          <w:color w:val="auto"/>
          <w:szCs w:val="21"/>
          <w:highlight w:val="none"/>
          <w:u w:val="single"/>
          <w:lang w:eastAsia="zh-CN"/>
        </w:rPr>
        <w:t>陕西省、</w:t>
      </w:r>
      <w:r>
        <w:rPr>
          <w:rFonts w:hint="eastAsia" w:cs="宋体" w:asciiTheme="minorEastAsia" w:hAnsiTheme="minorEastAsia" w:eastAsiaTheme="minorEastAsia"/>
          <w:color w:val="auto"/>
          <w:szCs w:val="21"/>
          <w:highlight w:val="none"/>
          <w:u w:val="single"/>
        </w:rPr>
        <w:t>西安市、经开区文明工地检查（验收）标准实施，同时应满足发包人附件《现场安全文明施工管理条例》的要求</w:t>
      </w:r>
      <w:r>
        <w:rPr>
          <w:rFonts w:hint="eastAsia" w:cs="宋体" w:asciiTheme="minorEastAsia" w:hAnsiTheme="minorEastAsia" w:eastAsiaTheme="minorEastAsia"/>
          <w:color w:val="auto"/>
          <w:szCs w:val="21"/>
          <w:highlight w:val="none"/>
          <w:u w:val="single"/>
          <w:lang w:eastAsia="zh-CN"/>
        </w:rPr>
        <w:t>，并达到</w:t>
      </w:r>
      <w:r>
        <w:rPr>
          <w:rFonts w:hint="eastAsia" w:cs="宋体" w:asciiTheme="minorEastAsia" w:hAnsiTheme="minorEastAsia" w:eastAsiaTheme="minorEastAsia"/>
          <w:color w:val="auto"/>
          <w:szCs w:val="21"/>
          <w:highlight w:val="none"/>
          <w:u w:val="single"/>
        </w:rPr>
        <w:t>省级安全文明工地</w:t>
      </w:r>
      <w:r>
        <w:rPr>
          <w:rFonts w:hint="eastAsia" w:cs="宋体" w:asciiTheme="minorEastAsia" w:hAnsiTheme="minorEastAsia" w:eastAsiaTheme="minorEastAsia"/>
          <w:color w:val="auto"/>
          <w:szCs w:val="21"/>
          <w:highlight w:val="none"/>
          <w:u w:val="single"/>
          <w:lang w:eastAsia="zh-CN"/>
        </w:rPr>
        <w:t>标准</w:t>
      </w:r>
      <w:r>
        <w:rPr>
          <w:rFonts w:hint="eastAsia" w:cs="宋体" w:asciiTheme="minorEastAsia" w:hAnsiTheme="minorEastAsia" w:eastAsiaTheme="minorEastAsia"/>
          <w:color w:val="auto"/>
          <w:szCs w:val="21"/>
          <w:highlight w:val="none"/>
        </w:rPr>
        <w:t>。</w:t>
      </w:r>
    </w:p>
    <w:p w14:paraId="56BF31AB">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施工项目现场安全文明管理实施细则：</w:t>
      </w:r>
    </w:p>
    <w:p w14:paraId="579A1085">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检验标准：《建筑施工安全检查标准》（</w:t>
      </w:r>
      <w:r>
        <w:rPr>
          <w:rFonts w:cs="宋体" w:asciiTheme="minorEastAsia" w:hAnsiTheme="minorEastAsia" w:eastAsiaTheme="minorEastAsia"/>
          <w:color w:val="auto"/>
          <w:szCs w:val="21"/>
          <w:highlight w:val="none"/>
          <w:u w:val="single"/>
        </w:rPr>
        <w:t>JGJ59-99）</w:t>
      </w:r>
    </w:p>
    <w:p w14:paraId="34A63915">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《建筑机械使用安全技术规范》（</w:t>
      </w:r>
      <w:r>
        <w:rPr>
          <w:rFonts w:cs="宋体" w:asciiTheme="minorEastAsia" w:hAnsiTheme="minorEastAsia" w:eastAsiaTheme="minorEastAsia"/>
          <w:color w:val="auto"/>
          <w:szCs w:val="21"/>
          <w:highlight w:val="none"/>
          <w:u w:val="single"/>
        </w:rPr>
        <w:t>JGJ33-86）</w:t>
      </w:r>
    </w:p>
    <w:p w14:paraId="04CE0506">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《建筑施工高处作业安全技术规范》（</w:t>
      </w:r>
      <w:r>
        <w:rPr>
          <w:rFonts w:cs="宋体" w:asciiTheme="minorEastAsia" w:hAnsiTheme="minorEastAsia" w:eastAsiaTheme="minorEastAsia"/>
          <w:color w:val="auto"/>
          <w:szCs w:val="21"/>
          <w:highlight w:val="none"/>
          <w:u w:val="single"/>
        </w:rPr>
        <w:t>JGJ80-91）</w:t>
      </w:r>
    </w:p>
    <w:p w14:paraId="1810826C">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《建设工程安全防护、文明措施项目清单》（</w:t>
      </w:r>
      <w:r>
        <w:rPr>
          <w:rFonts w:cs="宋体" w:asciiTheme="minorEastAsia" w:hAnsiTheme="minorEastAsia" w:eastAsiaTheme="minorEastAsia"/>
          <w:color w:val="auto"/>
          <w:szCs w:val="21"/>
          <w:highlight w:val="none"/>
          <w:u w:val="single"/>
        </w:rPr>
        <w:t>2005）</w:t>
      </w:r>
    </w:p>
    <w:p w14:paraId="092D854B">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承包人应严格按照以上标准文明施工管理。对管理不严、措施不力造成的后果承包人应向发包人缴纳违约金（详见附件《现场安全文明施工管理条例》）。</w:t>
      </w:r>
    </w:p>
    <w:p w14:paraId="14417259">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承包人应严格按文明工地施工，设立专用垃圾场，不得在施工区内任意堆放或乱倒垃圾，定期将建筑垃圾清理外运。服从发包人管理和门卫管理，遵守发包人的各项规章制度。施工人员及车辆要在发包人处办理出入许可证。施工人员必须挂牌上岗</w:t>
      </w:r>
      <w:r>
        <w:rPr>
          <w:rFonts w:cs="宋体" w:asciiTheme="minorEastAsia" w:hAnsiTheme="minorEastAsia" w:eastAsiaTheme="minorEastAsia"/>
          <w:color w:val="auto"/>
          <w:szCs w:val="21"/>
          <w:highlight w:val="none"/>
          <w:u w:val="single"/>
        </w:rPr>
        <w:t>(标明姓名、年龄、职务并贴照片)。本工程竣工后，应免费将建筑物周围和施工单位生活区周围内施工现场清除干净；无建筑材料、无建筑设备、无建筑垃圾、无坑池渠沟、无掩埋的硬化道路和施工垃圾，做到场地整洁。达到工程所在区“创卫”要求的标准。若承包人未及时清理，发包人有权委托其他单位进行清理，费用从承包人结算款中扣除。</w:t>
      </w:r>
    </w:p>
    <w:p w14:paraId="56669A57">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zCs w:val="21"/>
          <w:highlight w:val="none"/>
          <w:u w:val="single"/>
        </w:rPr>
        <w:t>施工过程中严格按照政府相关部门的要求，做好扬尘及噪声控制，运输车辆的遮盖、清洗和市政道路的清洁，负责与市容、环卫、城管等政府相关部门的及时协商并承担因承包人、分包人原因造成的罚款费用。</w:t>
      </w:r>
    </w:p>
    <w:p w14:paraId="1A3CB36F">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w:t>
      </w:r>
      <w:r>
        <w:rPr>
          <w:rFonts w:hint="eastAsia" w:cs="宋体" w:asciiTheme="minorEastAsia" w:hAnsiTheme="minorEastAsia" w:eastAsiaTheme="minorEastAsia"/>
          <w:color w:val="auto"/>
          <w:szCs w:val="21"/>
          <w:highlight w:val="none"/>
          <w:u w:val="single"/>
        </w:rPr>
        <w:t>承包人应遵守地方政府和有关部门对施工现场扬尘污染问题的规定，施工现场应达到</w:t>
      </w:r>
      <w:r>
        <w:rPr>
          <w:rFonts w:cs="宋体" w:asciiTheme="minorEastAsia" w:hAnsiTheme="minorEastAsia" w:eastAsiaTheme="minorEastAsia"/>
          <w:color w:val="auto"/>
          <w:szCs w:val="21"/>
          <w:highlight w:val="none"/>
          <w:u w:val="single"/>
        </w:rPr>
        <w:t>6个100%。工地施工道路必须100%硬化，必须进行净化处理，并配备专门的冲洗设备和人员，驶出建筑工地的车辆，必须100%冲洗干净，严禁带泥上路。若未达到上述标准，承包人除按每次1000元向发包人支付违约金外，还应承担因违反上述规定所发生的一切费用。对土方作业进行保护，确保不起灰不扬尘，裸露土方必须100%覆盖，严禁出现未及时覆盖现象，如未及时覆盖处2000元/次扣款。</w:t>
      </w:r>
    </w:p>
    <w:p w14:paraId="2F6482F7">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w:t>
      </w:r>
      <w:r>
        <w:rPr>
          <w:rFonts w:hint="eastAsia" w:cs="宋体" w:asciiTheme="minorEastAsia" w:hAnsiTheme="minorEastAsia" w:eastAsiaTheme="minorEastAsia"/>
          <w:color w:val="auto"/>
          <w:szCs w:val="21"/>
          <w:highlight w:val="none"/>
          <w:u w:val="single"/>
        </w:rPr>
        <w:t>承包人必须使用经发包人验收合格的新密目网</w:t>
      </w:r>
      <w:r>
        <w:rPr>
          <w:rFonts w:cs="宋体" w:asciiTheme="minorEastAsia" w:hAnsiTheme="minorEastAsia" w:eastAsiaTheme="minorEastAsia"/>
          <w:color w:val="auto"/>
          <w:szCs w:val="21"/>
          <w:highlight w:val="none"/>
          <w:u w:val="single"/>
        </w:rPr>
        <w:t>,当密目网磨损、断裂或破洞、霉变、细绳松脱、搭接处脱开、密目网破旧严重变色、严重变形断裂以及遇项目检查等节点经发包人代表认定影响环境的，承包人须无条件全部更换密目网。外脚手架钢管须经过除锈处理并涂刷红白相间或黄黑相间的油漆方可使用。以上费用已包括在已包括在</w:t>
      </w:r>
      <w:r>
        <w:rPr>
          <w:rFonts w:hint="eastAsia" w:cs="宋体" w:asciiTheme="minorEastAsia" w:hAnsiTheme="minorEastAsia" w:eastAsiaTheme="minorEastAsia"/>
          <w:color w:val="auto"/>
          <w:szCs w:val="21"/>
          <w:highlight w:val="none"/>
          <w:u w:val="single"/>
          <w:lang w:val="en-US" w:eastAsia="zh-CN"/>
        </w:rPr>
        <w:t>中标价</w:t>
      </w:r>
      <w:r>
        <w:rPr>
          <w:rFonts w:cs="宋体" w:asciiTheme="minorEastAsia" w:hAnsiTheme="minorEastAsia" w:eastAsiaTheme="minorEastAsia"/>
          <w:color w:val="auto"/>
          <w:szCs w:val="21"/>
          <w:highlight w:val="none"/>
          <w:u w:val="single"/>
        </w:rPr>
        <w:t>中，不再另行计取。</w:t>
      </w:r>
    </w:p>
    <w:p w14:paraId="426B556D">
      <w:pPr>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w:t>
      </w:r>
      <w:r>
        <w:rPr>
          <w:rFonts w:hint="eastAsia" w:cs="宋体" w:asciiTheme="minorEastAsia" w:hAnsiTheme="minorEastAsia" w:eastAsiaTheme="minorEastAsia"/>
          <w:color w:val="auto"/>
          <w:szCs w:val="21"/>
          <w:highlight w:val="none"/>
          <w:u w:val="single"/>
        </w:rPr>
        <w:t>垂直运输设备的安装位置应避开销售通道和样板房，基础设置应尽量避开室外管网的位置，同时控制好标高，尽量避免后期雨污布管或园建施工破除基础的现象。卸料平台应尽量设置在塔吊同侧，避开有销售通道一侧</w:t>
      </w:r>
      <w:r>
        <w:rPr>
          <w:rFonts w:hint="eastAsia" w:cs="宋体" w:asciiTheme="minorEastAsia" w:hAnsiTheme="minorEastAsia" w:eastAsiaTheme="minorEastAsia"/>
          <w:color w:val="auto"/>
          <w:szCs w:val="21"/>
          <w:highlight w:val="none"/>
        </w:rPr>
        <w:t>。</w:t>
      </w:r>
    </w:p>
    <w:p w14:paraId="29C4561C">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7）施工过程中相关部门检查引起承包人措施费增加包含在投标报价中，不另外单独计费。</w:t>
      </w:r>
    </w:p>
    <w:p w14:paraId="6CD3ECA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关于安全文明施工费支付比例和支付期限的约定：</w:t>
      </w:r>
      <w:r>
        <w:rPr>
          <w:rFonts w:hint="eastAsia" w:cs="宋体" w:asciiTheme="minorEastAsia" w:hAnsiTheme="minorEastAsia" w:eastAsiaTheme="minorEastAsia"/>
          <w:color w:val="auto"/>
          <w:szCs w:val="21"/>
          <w:highlight w:val="none"/>
          <w:u w:val="single"/>
        </w:rPr>
        <w:t>合同签订且总包进场后一个月内预付安全文明施工措施费100％。</w:t>
      </w:r>
    </w:p>
    <w:p w14:paraId="1EA4C803">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承包方应当确保安全文明施工措施费专款专用，在财务管理中单独列出安全文明施工措施项目费用清单，承包方不得挪用安全文明施工措施项目费。如发包人检查发现承包人安全文明施工不到位，发包人有权对施工不到位部分安全文明措施费进行扣除</w:t>
      </w:r>
      <w:r>
        <w:rPr>
          <w:rFonts w:hint="eastAsia" w:cs="宋体" w:asciiTheme="minorEastAsia" w:hAnsiTheme="minorEastAsia" w:eastAsiaTheme="minorEastAsia"/>
          <w:color w:val="auto"/>
          <w:szCs w:val="21"/>
          <w:highlight w:val="none"/>
        </w:rPr>
        <w:t>。</w:t>
      </w:r>
    </w:p>
    <w:p w14:paraId="1950C9D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承包人按照国家和当地政府有关规定应采取的任何必要安全防护措施已包含在承包人的合同价款当中，发包人不另行支付。承包人承担施工过程中发生的一切人身、财产事故责任和因此发生的费用</w:t>
      </w:r>
      <w:r>
        <w:rPr>
          <w:rFonts w:hint="eastAsia" w:cs="宋体" w:asciiTheme="minorEastAsia" w:hAnsiTheme="minorEastAsia" w:eastAsiaTheme="minorEastAsia"/>
          <w:color w:val="auto"/>
          <w:szCs w:val="21"/>
          <w:highlight w:val="none"/>
        </w:rPr>
        <w:t>。</w:t>
      </w:r>
    </w:p>
    <w:p w14:paraId="712C91C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7.6.4其它约定</w:t>
      </w:r>
    </w:p>
    <w:p w14:paraId="1F7C1CA3">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若因承包人责任发生工伤事故，有关费用全部由承包人承担，因此给发包人造成损失的，还应按照发包人的实际损失承担赔偿责任（包括但不限于发包人为此支付的赔偿金、违约金、律师费、诉讼费等）。发包人对承包人安全文明施工管理措施</w:t>
      </w:r>
      <w:r>
        <w:rPr>
          <w:rFonts w:hint="eastAsia" w:cs="宋体" w:asciiTheme="minorEastAsia" w:hAnsiTheme="minorEastAsia" w:eastAsiaTheme="minorEastAsia"/>
          <w:color w:val="auto"/>
          <w:szCs w:val="21"/>
          <w:highlight w:val="none"/>
        </w:rPr>
        <w:t>：</w:t>
      </w:r>
    </w:p>
    <w:p w14:paraId="0674F7DE">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发包人项目部或监理检查发现的安全问题、文明施工管理、治污减霾等方面问题，要求承包人限期正整改，若在规定期限内未按要求整改完成，发包人项目部或监理将根据问题大小扣除承包人</w:t>
      </w:r>
      <w:r>
        <w:rPr>
          <w:rFonts w:cs="宋体" w:asciiTheme="minorEastAsia" w:hAnsiTheme="minorEastAsia" w:eastAsiaTheme="minorEastAsia"/>
          <w:color w:val="auto"/>
          <w:szCs w:val="21"/>
          <w:highlight w:val="none"/>
          <w:u w:val="single"/>
        </w:rPr>
        <w:t>3000—5000元违约金，同时要求承包人继续整改</w:t>
      </w:r>
      <w:r>
        <w:rPr>
          <w:rFonts w:hint="eastAsia" w:cs="宋体" w:asciiTheme="minorEastAsia" w:hAnsiTheme="minorEastAsia" w:eastAsiaTheme="minorEastAsia"/>
          <w:color w:val="auto"/>
          <w:szCs w:val="21"/>
          <w:highlight w:val="none"/>
        </w:rPr>
        <w:t>。</w:t>
      </w:r>
    </w:p>
    <w:p w14:paraId="1D9A315C">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发包人工程管理部或办公室检查发现的安全问题、文明施工管理、治污减霾等方面问题，要求承包人限期正整改，若在规定期限内未按要求整改完成，发包人将根据问题大小扣除承包人</w:t>
      </w:r>
      <w:r>
        <w:rPr>
          <w:rFonts w:cs="宋体" w:asciiTheme="minorEastAsia" w:hAnsiTheme="minorEastAsia" w:eastAsiaTheme="minorEastAsia"/>
          <w:color w:val="auto"/>
          <w:szCs w:val="21"/>
          <w:highlight w:val="none"/>
          <w:u w:val="single"/>
        </w:rPr>
        <w:t>5000—10000元违约金，同时要求承包人继续整改</w:t>
      </w:r>
      <w:r>
        <w:rPr>
          <w:rFonts w:hint="eastAsia" w:cs="宋体" w:asciiTheme="minorEastAsia" w:hAnsiTheme="minorEastAsia" w:eastAsiaTheme="minorEastAsia"/>
          <w:color w:val="auto"/>
          <w:szCs w:val="21"/>
          <w:highlight w:val="none"/>
        </w:rPr>
        <w:t>。</w:t>
      </w:r>
    </w:p>
    <w:p w14:paraId="0924DBE5">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zCs w:val="21"/>
          <w:highlight w:val="none"/>
          <w:u w:val="single"/>
        </w:rPr>
        <w:t>发包人上级主管部门、政府职能部门检查发现或者网络、媒体曝光的安全问题、文明施工管理、治污减霾等方面问题，发包人将根据问题大小扣除承包人</w:t>
      </w:r>
      <w:r>
        <w:rPr>
          <w:rFonts w:cs="宋体" w:asciiTheme="minorEastAsia" w:hAnsiTheme="minorEastAsia" w:eastAsiaTheme="minorEastAsia"/>
          <w:color w:val="auto"/>
          <w:szCs w:val="21"/>
          <w:highlight w:val="none"/>
          <w:u w:val="single"/>
        </w:rPr>
        <w:t>10000—50000元违约金，同时要求承包人按照要求整改并自行处理后续事宜，承担相应的损失，在规定的时限内向相关部门予以书面回复</w:t>
      </w:r>
      <w:r>
        <w:rPr>
          <w:rFonts w:hint="eastAsia" w:cs="宋体" w:asciiTheme="minorEastAsia" w:hAnsiTheme="minorEastAsia" w:eastAsiaTheme="minorEastAsia"/>
          <w:color w:val="auto"/>
          <w:szCs w:val="21"/>
          <w:highlight w:val="none"/>
        </w:rPr>
        <w:t>。</w:t>
      </w:r>
    </w:p>
    <w:p w14:paraId="2D39A535">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w:t>
      </w:r>
      <w:r>
        <w:rPr>
          <w:rFonts w:hint="eastAsia" w:cs="宋体" w:asciiTheme="minorEastAsia" w:hAnsiTheme="minorEastAsia" w:eastAsiaTheme="minorEastAsia"/>
          <w:color w:val="auto"/>
          <w:szCs w:val="21"/>
          <w:highlight w:val="none"/>
          <w:u w:val="single"/>
        </w:rPr>
        <w:t>施工期间，承包人文明工地建设应建立长效机制，发包人将定期进行检查与督促，发现问题要求承包人限期整改，若累计三次未按要求整改到位，发包人将扣减文明工地施工费的</w:t>
      </w:r>
      <w:r>
        <w:rPr>
          <w:rFonts w:cs="宋体" w:asciiTheme="minorEastAsia" w:hAnsiTheme="minorEastAsia" w:eastAsiaTheme="minorEastAsia"/>
          <w:color w:val="auto"/>
          <w:szCs w:val="21"/>
          <w:highlight w:val="none"/>
          <w:u w:val="single"/>
        </w:rPr>
        <w:t>30%</w:t>
      </w:r>
      <w:r>
        <w:rPr>
          <w:rFonts w:hint="eastAsia" w:cs="宋体" w:asciiTheme="minorEastAsia" w:hAnsiTheme="minorEastAsia" w:eastAsiaTheme="minorEastAsia"/>
          <w:color w:val="auto"/>
          <w:szCs w:val="21"/>
          <w:highlight w:val="none"/>
        </w:rPr>
        <w:t>。</w:t>
      </w:r>
    </w:p>
    <w:p w14:paraId="103BCC33">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w:t>
      </w:r>
      <w:r>
        <w:rPr>
          <w:rFonts w:hint="eastAsia" w:cs="宋体" w:asciiTheme="minorEastAsia" w:hAnsiTheme="minorEastAsia" w:eastAsiaTheme="minorEastAsia"/>
          <w:color w:val="auto"/>
          <w:szCs w:val="21"/>
          <w:highlight w:val="none"/>
          <w:u w:val="single"/>
        </w:rPr>
        <w:t>基坑支护及临时硬化未按发包人项目部要求拆除、外运，一经发现，扣除违约金</w:t>
      </w:r>
      <w:r>
        <w:rPr>
          <w:rFonts w:cs="宋体" w:asciiTheme="minorEastAsia" w:hAnsiTheme="minorEastAsia" w:eastAsiaTheme="minorEastAsia"/>
          <w:color w:val="auto"/>
          <w:szCs w:val="21"/>
          <w:highlight w:val="none"/>
          <w:u w:val="single"/>
        </w:rPr>
        <w:t>3000元，并责令承包人整改到位</w:t>
      </w:r>
      <w:r>
        <w:rPr>
          <w:rFonts w:hint="eastAsia" w:cs="宋体" w:asciiTheme="minorEastAsia" w:hAnsiTheme="minorEastAsia" w:eastAsiaTheme="minorEastAsia"/>
          <w:color w:val="auto"/>
          <w:szCs w:val="21"/>
          <w:highlight w:val="none"/>
        </w:rPr>
        <w:t>。</w:t>
      </w:r>
    </w:p>
    <w:p w14:paraId="0EF15891">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6）</w:t>
      </w:r>
      <w:r>
        <w:rPr>
          <w:rFonts w:hint="eastAsia" w:cs="宋体" w:asciiTheme="minorEastAsia" w:hAnsiTheme="minorEastAsia" w:eastAsiaTheme="minorEastAsia"/>
          <w:color w:val="auto"/>
          <w:szCs w:val="21"/>
          <w:highlight w:val="none"/>
          <w:u w:val="single"/>
        </w:rPr>
        <w:t>承包人在施工管理中应严格按规范进行组织施工，并接受监理单位及发包人的管理。发包人在日常安全检查中发现安全问题，发包人按照附件《现场安全文明施工管理条例》对责任单位进行扣罚，扣款随当次进度款支付时扣除</w:t>
      </w:r>
      <w:r>
        <w:rPr>
          <w:rFonts w:hint="eastAsia" w:cs="宋体" w:asciiTheme="minorEastAsia" w:hAnsiTheme="minorEastAsia" w:eastAsiaTheme="minorEastAsia"/>
          <w:color w:val="auto"/>
          <w:szCs w:val="21"/>
          <w:highlight w:val="none"/>
        </w:rPr>
        <w:t>。</w:t>
      </w:r>
    </w:p>
    <w:p w14:paraId="51894CB6">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7）</w:t>
      </w:r>
      <w:r>
        <w:rPr>
          <w:rFonts w:hint="eastAsia" w:cs="宋体" w:asciiTheme="minorEastAsia" w:hAnsiTheme="minorEastAsia" w:eastAsiaTheme="minorEastAsia"/>
          <w:color w:val="auto"/>
          <w:szCs w:val="21"/>
          <w:highlight w:val="none"/>
          <w:u w:val="single"/>
        </w:rPr>
        <w:t>以上所有违约金在当月工程款中扣除</w:t>
      </w:r>
      <w:r>
        <w:rPr>
          <w:rFonts w:hint="eastAsia" w:cs="宋体" w:asciiTheme="minorEastAsia" w:hAnsiTheme="minorEastAsia" w:eastAsiaTheme="minorEastAsia"/>
          <w:color w:val="auto"/>
          <w:szCs w:val="21"/>
          <w:highlight w:val="none"/>
        </w:rPr>
        <w:t>。</w:t>
      </w:r>
    </w:p>
    <w:p w14:paraId="2658F8CB">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安全方面出现下列情况时，发包人有权进行处罚或终止合同：</w:t>
      </w:r>
    </w:p>
    <w:p w14:paraId="467C43F1">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出现安全隐患，经发包人、监理单位书面提出后，承包人应无条件整改到位，并按每次</w:t>
      </w:r>
      <w:r>
        <w:rPr>
          <w:rFonts w:cs="宋体" w:asciiTheme="minorEastAsia" w:hAnsiTheme="minorEastAsia" w:eastAsiaTheme="minorEastAsia"/>
          <w:color w:val="auto"/>
          <w:szCs w:val="21"/>
          <w:highlight w:val="none"/>
          <w:u w:val="single"/>
        </w:rPr>
        <w:t>1万元向发包人支付违约金。</w:t>
      </w:r>
    </w:p>
    <w:p w14:paraId="0D8DBE48">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若承包人没有及时采取有效措施进行补救，承包人必须整改到位，同时按每次</w:t>
      </w:r>
      <w:r>
        <w:rPr>
          <w:rFonts w:cs="宋体" w:asciiTheme="minorEastAsia" w:hAnsiTheme="minorEastAsia" w:eastAsiaTheme="minorEastAsia"/>
          <w:color w:val="auto"/>
          <w:szCs w:val="21"/>
          <w:highlight w:val="none"/>
          <w:u w:val="single"/>
        </w:rPr>
        <w:t>5万元向发包人支付违约金。</w:t>
      </w:r>
    </w:p>
    <w:p w14:paraId="1CE5B356">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zCs w:val="21"/>
          <w:highlight w:val="none"/>
          <w:u w:val="single"/>
        </w:rPr>
        <w:t>被建设行政部门因为安全问题通报一次承包人按</w:t>
      </w:r>
      <w:r>
        <w:rPr>
          <w:rFonts w:cs="宋体" w:asciiTheme="minorEastAsia" w:hAnsiTheme="minorEastAsia" w:eastAsiaTheme="minorEastAsia"/>
          <w:color w:val="auto"/>
          <w:szCs w:val="21"/>
          <w:highlight w:val="none"/>
          <w:u w:val="single"/>
        </w:rPr>
        <w:t>10万元向发包人支付违约金，通报两次发包人有权终止合同</w:t>
      </w:r>
      <w:r>
        <w:rPr>
          <w:rFonts w:hint="eastAsia" w:cs="宋体" w:asciiTheme="minorEastAsia" w:hAnsiTheme="minorEastAsia" w:eastAsiaTheme="minorEastAsia"/>
          <w:color w:val="auto"/>
          <w:szCs w:val="21"/>
          <w:highlight w:val="none"/>
        </w:rPr>
        <w:t>。</w:t>
      </w:r>
    </w:p>
    <w:p w14:paraId="0F7251B2">
      <w:pPr>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若因以上原因终止合同，本工程的履约保证金全部扣除不予支付；对于承包人已经施工完成的工程，若质量合格，发包人按本合同结算办法进行结算。无论因何种原因导致本合同解除、终止的，按附件《退场协议》执行</w:t>
      </w:r>
      <w:r>
        <w:rPr>
          <w:rFonts w:hint="eastAsia" w:cs="宋体" w:asciiTheme="minorEastAsia" w:hAnsiTheme="minorEastAsia" w:eastAsiaTheme="minorEastAsia"/>
          <w:color w:val="auto"/>
          <w:szCs w:val="21"/>
          <w:highlight w:val="none"/>
        </w:rPr>
        <w:t>。</w:t>
      </w:r>
    </w:p>
    <w:p w14:paraId="6784755F">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本工程须选择专业且具有合法资质的劳务队进行施工，保证合法用工，否则发包人有权要求承包人更换劳务队，若影响了工程进度计划，延迟一天承担</w:t>
      </w:r>
      <w:r>
        <w:rPr>
          <w:rFonts w:cs="宋体" w:asciiTheme="minorEastAsia" w:hAnsiTheme="minorEastAsia" w:eastAsiaTheme="minorEastAsia"/>
          <w:color w:val="auto"/>
          <w:szCs w:val="21"/>
          <w:highlight w:val="none"/>
          <w:u w:val="single"/>
        </w:rPr>
        <w:t>1000元/天违约金</w:t>
      </w:r>
      <w:r>
        <w:rPr>
          <w:rFonts w:hint="eastAsia" w:cs="宋体" w:asciiTheme="minorEastAsia" w:hAnsiTheme="minorEastAsia" w:eastAsiaTheme="minorEastAsia"/>
          <w:color w:val="auto"/>
          <w:szCs w:val="21"/>
          <w:highlight w:val="none"/>
        </w:rPr>
        <w:t>。</w:t>
      </w:r>
    </w:p>
    <w:p w14:paraId="09412D44">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7.9 </w:t>
      </w:r>
      <w:r>
        <w:rPr>
          <w:rFonts w:hint="eastAsia" w:cs="宋体" w:asciiTheme="minorEastAsia" w:hAnsiTheme="minorEastAsia" w:eastAsiaTheme="minorEastAsia"/>
          <w:b/>
          <w:color w:val="auto"/>
          <w:szCs w:val="21"/>
          <w:highlight w:val="none"/>
        </w:rPr>
        <w:t>临时性公用设施</w:t>
      </w:r>
    </w:p>
    <w:p w14:paraId="4CFEBF1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关于临时性公用设施的特别约定：</w:t>
      </w:r>
      <w:r>
        <w:rPr>
          <w:rFonts w:hint="eastAsia" w:cs="宋体" w:asciiTheme="minorEastAsia" w:hAnsiTheme="minorEastAsia" w:eastAsiaTheme="minorEastAsia"/>
          <w:color w:val="auto"/>
          <w:szCs w:val="21"/>
          <w:highlight w:val="none"/>
          <w:u w:val="single"/>
        </w:rPr>
        <w:t>临时用水、电由发包人指定接点，由承包人负责接点至施工现场管道</w:t>
      </w:r>
      <w:r>
        <w:rPr>
          <w:rFonts w:cs="宋体" w:asciiTheme="minorEastAsia" w:hAnsiTheme="minorEastAsia" w:eastAsiaTheme="minorEastAsia"/>
          <w:color w:val="auto"/>
          <w:szCs w:val="21"/>
          <w:highlight w:val="none"/>
          <w:u w:val="single"/>
        </w:rPr>
        <w:t>/管线布置、计量设备安装，相关费用由承包人自行解决，承包人每月自行缴水电费</w:t>
      </w:r>
      <w:r>
        <w:rPr>
          <w:rFonts w:hint="eastAsia" w:cs="宋体" w:asciiTheme="minorEastAsia" w:hAnsiTheme="minorEastAsia" w:eastAsiaTheme="minorEastAsia"/>
          <w:color w:val="auto"/>
          <w:szCs w:val="21"/>
          <w:highlight w:val="none"/>
        </w:rPr>
        <w:t>。</w:t>
      </w:r>
    </w:p>
    <w:p w14:paraId="0993762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水电等节点位置资料的提交时间：同总体施工组织设计的提交时间</w:t>
      </w:r>
      <w:r>
        <w:rPr>
          <w:rFonts w:hint="eastAsia" w:cs="宋体" w:asciiTheme="minorEastAsia" w:hAnsiTheme="minorEastAsia" w:eastAsiaTheme="minorEastAsia"/>
          <w:color w:val="auto"/>
          <w:szCs w:val="21"/>
          <w:highlight w:val="none"/>
        </w:rPr>
        <w:t>。</w:t>
      </w:r>
    </w:p>
    <w:p w14:paraId="5EC01321">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7.10 </w:t>
      </w:r>
      <w:r>
        <w:rPr>
          <w:rFonts w:hint="eastAsia" w:cs="宋体" w:asciiTheme="minorEastAsia" w:hAnsiTheme="minorEastAsia" w:eastAsiaTheme="minorEastAsia"/>
          <w:b/>
          <w:color w:val="auto"/>
          <w:szCs w:val="21"/>
          <w:highlight w:val="none"/>
        </w:rPr>
        <w:t>现场安保</w:t>
      </w:r>
    </w:p>
    <w:p w14:paraId="5AA2CBE3">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承包人现场安保义务的特别约定：</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w:t>
      </w:r>
    </w:p>
    <w:p w14:paraId="330AA217">
      <w:pPr>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关于编制施工场地治安管理计划的约定：</w:t>
      </w:r>
      <w:r>
        <w:rPr>
          <w:rFonts w:hint="eastAsia" w:cs="宋体" w:asciiTheme="minorEastAsia" w:hAnsiTheme="minorEastAsia" w:eastAsiaTheme="minorEastAsia"/>
          <w:color w:val="auto"/>
          <w:szCs w:val="21"/>
          <w:highlight w:val="none"/>
          <w:u w:val="single"/>
        </w:rPr>
        <w:t>承包人开工前应提供施工场地治安管理计划</w:t>
      </w:r>
      <w:r>
        <w:rPr>
          <w:rFonts w:hint="eastAsia" w:cs="宋体" w:asciiTheme="minorEastAsia" w:hAnsiTheme="minorEastAsia" w:eastAsiaTheme="minorEastAsia"/>
          <w:color w:val="auto"/>
          <w:szCs w:val="21"/>
          <w:highlight w:val="none"/>
        </w:rPr>
        <w:t>。</w:t>
      </w:r>
    </w:p>
    <w:p w14:paraId="23539BEB">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09" w:name="_Toc54862339"/>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8条 </w:t>
      </w:r>
      <w:r>
        <w:rPr>
          <w:rFonts w:hint="eastAsia" w:cs="宋体" w:asciiTheme="minorEastAsia" w:hAnsiTheme="minorEastAsia" w:eastAsiaTheme="minorEastAsia"/>
          <w:b/>
          <w:color w:val="auto"/>
          <w:szCs w:val="21"/>
          <w:highlight w:val="none"/>
        </w:rPr>
        <w:t>工期和进度</w:t>
      </w:r>
      <w:bookmarkEnd w:id="709"/>
    </w:p>
    <w:p w14:paraId="73960303">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8.1 </w:t>
      </w:r>
      <w:r>
        <w:rPr>
          <w:rFonts w:hint="eastAsia" w:cs="宋体" w:asciiTheme="minorEastAsia" w:hAnsiTheme="minorEastAsia" w:eastAsiaTheme="minorEastAsia"/>
          <w:b/>
          <w:color w:val="auto"/>
          <w:szCs w:val="21"/>
          <w:highlight w:val="none"/>
        </w:rPr>
        <w:t>开始工作</w:t>
      </w:r>
    </w:p>
    <w:p w14:paraId="6D0B2E7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 xml:space="preserve">8.1.1 </w:t>
      </w:r>
      <w:r>
        <w:rPr>
          <w:rFonts w:hint="eastAsia" w:cs="宋体" w:asciiTheme="minorEastAsia" w:hAnsiTheme="minorEastAsia" w:eastAsiaTheme="minorEastAsia"/>
          <w:color w:val="auto"/>
          <w:szCs w:val="21"/>
          <w:highlight w:val="none"/>
        </w:rPr>
        <w:t>开始准备工作：</w:t>
      </w:r>
      <w:r>
        <w:rPr>
          <w:rFonts w:hint="eastAsia" w:cs="宋体" w:asciiTheme="minorEastAsia" w:hAnsiTheme="minorEastAsia" w:eastAsiaTheme="minorEastAsia"/>
          <w:color w:val="auto"/>
          <w:szCs w:val="21"/>
          <w:highlight w:val="none"/>
          <w:u w:val="single"/>
        </w:rPr>
        <w:t>工程开工日期前</w:t>
      </w:r>
      <w:r>
        <w:rPr>
          <w:rFonts w:cs="宋体" w:asciiTheme="minorEastAsia" w:hAnsiTheme="minorEastAsia" w:eastAsiaTheme="minorEastAsia"/>
          <w:color w:val="auto"/>
          <w:szCs w:val="21"/>
          <w:highlight w:val="none"/>
          <w:u w:val="single"/>
        </w:rPr>
        <w:t>7天，承包人提交工程开工报审表。</w:t>
      </w:r>
    </w:p>
    <w:p w14:paraId="0CFA87F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关于发包人应完成的其他开工准备工作及期限：</w:t>
      </w:r>
      <w:r>
        <w:rPr>
          <w:rFonts w:hint="eastAsia" w:cs="宋体" w:asciiTheme="minorEastAsia" w:hAnsiTheme="minorEastAsia" w:eastAsiaTheme="minorEastAsia"/>
          <w:color w:val="auto"/>
          <w:szCs w:val="21"/>
          <w:highlight w:val="none"/>
          <w:u w:val="single"/>
        </w:rPr>
        <w:t>详见附件《工期控制时间表》</w:t>
      </w:r>
      <w:r>
        <w:rPr>
          <w:rFonts w:hint="eastAsia" w:cs="宋体" w:asciiTheme="minorEastAsia" w:hAnsiTheme="minorEastAsia" w:eastAsiaTheme="minorEastAsia"/>
          <w:color w:val="auto"/>
          <w:szCs w:val="21"/>
          <w:highlight w:val="none"/>
        </w:rPr>
        <w:t>。</w:t>
      </w:r>
    </w:p>
    <w:p w14:paraId="63AE0C7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关于承包人应完成的其他开工准备工作及期限：</w:t>
      </w:r>
      <w:r>
        <w:rPr>
          <w:rFonts w:hint="eastAsia" w:cs="宋体" w:asciiTheme="minorEastAsia" w:hAnsiTheme="minorEastAsia" w:eastAsiaTheme="minorEastAsia"/>
          <w:color w:val="auto"/>
          <w:szCs w:val="21"/>
          <w:highlight w:val="none"/>
          <w:u w:val="single"/>
        </w:rPr>
        <w:t>扬尘治理专项方案、安全生产专项方案、文明施工专项方案、突发应急事件处理专项方案，合同签订后</w:t>
      </w:r>
      <w:r>
        <w:rPr>
          <w:rFonts w:cs="宋体" w:asciiTheme="minorEastAsia" w:hAnsiTheme="minorEastAsia" w:eastAsiaTheme="minorEastAsia"/>
          <w:color w:val="auto"/>
          <w:szCs w:val="21"/>
          <w:highlight w:val="none"/>
          <w:u w:val="single"/>
        </w:rPr>
        <w:t>15个日历天内。</w:t>
      </w:r>
    </w:p>
    <w:p w14:paraId="6786092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 xml:space="preserve">8.1.2 </w:t>
      </w:r>
      <w:r>
        <w:rPr>
          <w:rFonts w:hint="eastAsia" w:cs="宋体" w:asciiTheme="minorEastAsia" w:hAnsiTheme="minorEastAsia" w:eastAsiaTheme="minorEastAsia"/>
          <w:color w:val="auto"/>
          <w:szCs w:val="21"/>
          <w:highlight w:val="none"/>
        </w:rPr>
        <w:t>发包人可在计划开始工作之日起</w:t>
      </w:r>
      <w:r>
        <w:rPr>
          <w:rFonts w:cs="宋体" w:asciiTheme="minorEastAsia" w:hAnsiTheme="minorEastAsia" w:eastAsiaTheme="minorEastAsia"/>
          <w:color w:val="auto"/>
          <w:szCs w:val="21"/>
          <w:highlight w:val="none"/>
        </w:rPr>
        <w:t>84日后发出开始工作通知的特殊情形：</w:t>
      </w:r>
      <w:r>
        <w:rPr>
          <w:rFonts w:hint="eastAsia" w:cs="宋体" w:asciiTheme="minorEastAsia" w:hAnsiTheme="minorEastAsia" w:eastAsiaTheme="minorEastAsia"/>
          <w:color w:val="auto"/>
          <w:szCs w:val="21"/>
          <w:highlight w:val="none"/>
          <w:u w:val="single"/>
        </w:rPr>
        <w:t>发包人根据实际情况发出开始工作通知，承包人应无条件接受，投标价格、工期不予调整和增加。发包人原因造成未能按期进驻现场的，承包人不得以此为理由要求增加费用</w:t>
      </w:r>
      <w:r>
        <w:rPr>
          <w:rFonts w:hint="eastAsia" w:cs="宋体" w:asciiTheme="minorEastAsia" w:hAnsiTheme="minorEastAsia" w:eastAsiaTheme="minorEastAsia"/>
          <w:color w:val="auto"/>
          <w:szCs w:val="21"/>
          <w:highlight w:val="none"/>
        </w:rPr>
        <w:t>。</w:t>
      </w:r>
    </w:p>
    <w:p w14:paraId="393A51EA">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8.2 </w:t>
      </w:r>
      <w:r>
        <w:rPr>
          <w:rFonts w:hint="eastAsia" w:cs="宋体" w:asciiTheme="minorEastAsia" w:hAnsiTheme="minorEastAsia" w:eastAsiaTheme="minorEastAsia"/>
          <w:b/>
          <w:color w:val="auto"/>
          <w:szCs w:val="21"/>
          <w:highlight w:val="none"/>
        </w:rPr>
        <w:t>竣工日期</w:t>
      </w:r>
    </w:p>
    <w:p w14:paraId="48B7913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竣工日期的约定：</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6F71E7AF">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8.3 </w:t>
      </w:r>
      <w:r>
        <w:rPr>
          <w:rFonts w:hint="eastAsia" w:cs="宋体" w:asciiTheme="minorEastAsia" w:hAnsiTheme="minorEastAsia" w:eastAsiaTheme="minorEastAsia"/>
          <w:b/>
          <w:color w:val="auto"/>
          <w:szCs w:val="21"/>
          <w:highlight w:val="none"/>
        </w:rPr>
        <w:t>项目实施计划</w:t>
      </w:r>
    </w:p>
    <w:p w14:paraId="4EC6902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8.3.1 </w:t>
      </w:r>
      <w:r>
        <w:rPr>
          <w:rFonts w:hint="eastAsia" w:cs="宋体" w:asciiTheme="minorEastAsia" w:hAnsiTheme="minorEastAsia" w:eastAsiaTheme="minorEastAsia"/>
          <w:color w:val="auto"/>
          <w:szCs w:val="21"/>
          <w:highlight w:val="none"/>
        </w:rPr>
        <w:t>项目实施计划的内容</w:t>
      </w:r>
    </w:p>
    <w:p w14:paraId="321C078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项目实施计划的内容：</w:t>
      </w:r>
      <w:r>
        <w:rPr>
          <w:rFonts w:hint="eastAsia" w:cs="宋体" w:asciiTheme="minorEastAsia" w:hAnsiTheme="minorEastAsia" w:eastAsiaTheme="minorEastAsia"/>
          <w:color w:val="auto"/>
          <w:szCs w:val="21"/>
          <w:highlight w:val="none"/>
          <w:u w:val="single"/>
        </w:rPr>
        <w:t>包含概述、总体实施方案、项目实施要点、项目初步进度计划等其他内容</w:t>
      </w:r>
      <w:r>
        <w:rPr>
          <w:rFonts w:hint="eastAsia" w:cs="宋体" w:asciiTheme="minorEastAsia" w:hAnsiTheme="minorEastAsia" w:eastAsiaTheme="minorEastAsia"/>
          <w:color w:val="auto"/>
          <w:szCs w:val="21"/>
          <w:highlight w:val="none"/>
        </w:rPr>
        <w:t>。</w:t>
      </w:r>
    </w:p>
    <w:p w14:paraId="30F4F42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8.3.2 </w:t>
      </w:r>
      <w:r>
        <w:rPr>
          <w:rFonts w:hint="eastAsia" w:cs="宋体" w:asciiTheme="minorEastAsia" w:hAnsiTheme="minorEastAsia" w:eastAsiaTheme="minorEastAsia"/>
          <w:color w:val="auto"/>
          <w:szCs w:val="21"/>
          <w:highlight w:val="none"/>
        </w:rPr>
        <w:t>项目实施计划的提交和修改</w:t>
      </w:r>
    </w:p>
    <w:p w14:paraId="5BB2DFE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项目实施计划的提交及修改期限：</w:t>
      </w:r>
      <w:r>
        <w:rPr>
          <w:rFonts w:hint="eastAsia" w:cs="宋体" w:asciiTheme="minorEastAsia" w:hAnsiTheme="minorEastAsia" w:eastAsiaTheme="minorEastAsia"/>
          <w:color w:val="auto"/>
          <w:szCs w:val="21"/>
          <w:highlight w:val="none"/>
          <w:u w:val="single"/>
        </w:rPr>
        <w:t>承包人应在合同签订后</w:t>
      </w:r>
      <w:r>
        <w:rPr>
          <w:rFonts w:cs="宋体" w:asciiTheme="minorEastAsia" w:hAnsiTheme="minorEastAsia" w:eastAsiaTheme="minorEastAsia"/>
          <w:color w:val="auto"/>
          <w:szCs w:val="21"/>
          <w:highlight w:val="none"/>
          <w:u w:val="single"/>
        </w:rPr>
        <w:t>14天内，最终定稿不得晚于工程开工日期前7天</w:t>
      </w:r>
      <w:r>
        <w:rPr>
          <w:rFonts w:hint="eastAsia" w:cs="宋体" w:asciiTheme="minorEastAsia" w:hAnsiTheme="minorEastAsia" w:eastAsiaTheme="minorEastAsia"/>
          <w:color w:val="auto"/>
          <w:szCs w:val="21"/>
          <w:highlight w:val="none"/>
        </w:rPr>
        <w:t>。</w:t>
      </w:r>
    </w:p>
    <w:p w14:paraId="1A55A16A">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8.4 </w:t>
      </w:r>
      <w:r>
        <w:rPr>
          <w:rFonts w:hint="eastAsia" w:cs="宋体" w:asciiTheme="minorEastAsia" w:hAnsiTheme="minorEastAsia" w:eastAsiaTheme="minorEastAsia"/>
          <w:b/>
          <w:color w:val="auto"/>
          <w:szCs w:val="21"/>
          <w:highlight w:val="none"/>
        </w:rPr>
        <w:t>项目进度计划</w:t>
      </w:r>
    </w:p>
    <w:p w14:paraId="4ED2DD6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8.4.1 </w:t>
      </w:r>
      <w:r>
        <w:rPr>
          <w:rFonts w:hint="eastAsia" w:cs="宋体" w:asciiTheme="minorEastAsia" w:hAnsiTheme="minorEastAsia" w:eastAsiaTheme="minorEastAsia"/>
          <w:color w:val="auto"/>
          <w:szCs w:val="21"/>
          <w:highlight w:val="none"/>
        </w:rPr>
        <w:t>工程师在收到进度计划后确认或提出修改意见的期限：</w:t>
      </w:r>
      <w:r>
        <w:rPr>
          <w:rFonts w:hint="eastAsia" w:cs="宋体" w:asciiTheme="minorEastAsia" w:hAnsiTheme="minorEastAsia" w:eastAsiaTheme="minorEastAsia"/>
          <w:color w:val="auto"/>
          <w:szCs w:val="21"/>
          <w:highlight w:val="none"/>
          <w:u w:val="single"/>
        </w:rPr>
        <w:t>为承包人提交后</w:t>
      </w:r>
      <w:r>
        <w:rPr>
          <w:rFonts w:cs="宋体" w:asciiTheme="minorEastAsia" w:hAnsiTheme="minorEastAsia" w:eastAsiaTheme="minorEastAsia"/>
          <w:color w:val="auto"/>
          <w:szCs w:val="21"/>
          <w:highlight w:val="none"/>
          <w:u w:val="single"/>
        </w:rPr>
        <w:t>7天内</w:t>
      </w:r>
      <w:r>
        <w:rPr>
          <w:rFonts w:hint="eastAsia" w:cs="宋体" w:asciiTheme="minorEastAsia" w:hAnsiTheme="minorEastAsia" w:eastAsiaTheme="minorEastAsia"/>
          <w:color w:val="auto"/>
          <w:szCs w:val="21"/>
          <w:highlight w:val="none"/>
        </w:rPr>
        <w:t>。</w:t>
      </w:r>
    </w:p>
    <w:p w14:paraId="58B8FF3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8.4.2 </w:t>
      </w:r>
      <w:r>
        <w:rPr>
          <w:rFonts w:hint="eastAsia" w:cs="宋体" w:asciiTheme="minorEastAsia" w:hAnsiTheme="minorEastAsia" w:eastAsiaTheme="minorEastAsia"/>
          <w:color w:val="auto"/>
          <w:szCs w:val="21"/>
          <w:highlight w:val="none"/>
        </w:rPr>
        <w:t>进度计划的具体要求：</w:t>
      </w:r>
    </w:p>
    <w:p w14:paraId="13785C1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总体进度计划提交的份数和日期：整体进度计划应与设计、施工和（或）竣工试验进度计划相衔接，在合同签订后</w:t>
      </w:r>
      <w:r>
        <w:rPr>
          <w:rFonts w:cs="宋体" w:asciiTheme="minorEastAsia" w:hAnsiTheme="minorEastAsia" w:eastAsiaTheme="minorEastAsia"/>
          <w:color w:val="auto"/>
          <w:szCs w:val="21"/>
          <w:highlight w:val="none"/>
          <w:u w:val="single"/>
        </w:rPr>
        <w:t>7日内提交项目整体进度计划一式三份。并于每月</w:t>
      </w:r>
      <w:r>
        <w:rPr>
          <w:rFonts w:hint="eastAsia" w:cs="宋体" w:asciiTheme="minorEastAsia" w:hAnsiTheme="minorEastAsia" w:eastAsiaTheme="minorEastAsia"/>
          <w:color w:val="auto"/>
          <w:szCs w:val="21"/>
          <w:highlight w:val="none"/>
          <w:u w:val="single"/>
        </w:rPr>
        <w:t>20</w:t>
      </w:r>
      <w:r>
        <w:rPr>
          <w:rFonts w:cs="宋体" w:asciiTheme="minorEastAsia" w:hAnsiTheme="minorEastAsia" w:eastAsiaTheme="minorEastAsia"/>
          <w:color w:val="auto"/>
          <w:szCs w:val="21"/>
          <w:highlight w:val="none"/>
          <w:u w:val="single"/>
        </w:rPr>
        <w:t>日提交经监理审核通过的当月完成及次月计划一式三份</w:t>
      </w:r>
      <w:r>
        <w:rPr>
          <w:rFonts w:hint="eastAsia" w:cs="宋体" w:asciiTheme="minorEastAsia" w:hAnsiTheme="minorEastAsia" w:eastAsiaTheme="minorEastAsia"/>
          <w:color w:val="auto"/>
          <w:szCs w:val="21"/>
          <w:highlight w:val="none"/>
        </w:rPr>
        <w:t>。</w:t>
      </w:r>
    </w:p>
    <w:p w14:paraId="772A8F8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设计进度计划提交的份数和日期：设计进度计划应按照整体项目进度计划合理安排，紧密结合勘察、采购、施工各阶段工作时间优化步骤倒排工期，优化工期，在设计开始日期后每月</w:t>
      </w:r>
      <w:r>
        <w:rPr>
          <w:rFonts w:cs="宋体" w:asciiTheme="minorEastAsia" w:hAnsiTheme="minorEastAsia" w:eastAsiaTheme="minorEastAsia"/>
          <w:color w:val="auto"/>
          <w:szCs w:val="21"/>
          <w:highlight w:val="none"/>
          <w:u w:val="single"/>
        </w:rPr>
        <w:t>25日提交设计工作当月完成及次月计划一式三份</w:t>
      </w:r>
      <w:r>
        <w:rPr>
          <w:rFonts w:hint="eastAsia" w:cs="宋体" w:asciiTheme="minorEastAsia" w:hAnsiTheme="minorEastAsia" w:eastAsiaTheme="minorEastAsia"/>
          <w:color w:val="auto"/>
          <w:szCs w:val="21"/>
          <w:highlight w:val="none"/>
        </w:rPr>
        <w:t>。</w:t>
      </w:r>
    </w:p>
    <w:p w14:paraId="644EAAB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zCs w:val="21"/>
          <w:highlight w:val="none"/>
          <w:u w:val="single"/>
        </w:rPr>
        <w:t>采购进度计划提交的份数和日期：采购进度计划按照整体项目进度计划合理安排，结合设计各阶段工作时间优化步骤，紧密配合施工要求倒排工期，优化工期，在采购开始日期后每月</w:t>
      </w:r>
      <w:r>
        <w:rPr>
          <w:rFonts w:cs="宋体" w:asciiTheme="minorEastAsia" w:hAnsiTheme="minorEastAsia" w:eastAsiaTheme="minorEastAsia"/>
          <w:color w:val="auto"/>
          <w:szCs w:val="21"/>
          <w:highlight w:val="none"/>
          <w:u w:val="single"/>
        </w:rPr>
        <w:t>25日提交设计工作当月完成及次月计划一式三份</w:t>
      </w:r>
      <w:r>
        <w:rPr>
          <w:rFonts w:hint="eastAsia" w:cs="宋体" w:asciiTheme="minorEastAsia" w:hAnsiTheme="minorEastAsia" w:eastAsiaTheme="minorEastAsia"/>
          <w:color w:val="auto"/>
          <w:szCs w:val="21"/>
          <w:highlight w:val="none"/>
        </w:rPr>
        <w:t>。</w:t>
      </w:r>
    </w:p>
    <w:p w14:paraId="2113C39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w:t>
      </w:r>
      <w:r>
        <w:rPr>
          <w:rFonts w:hint="eastAsia" w:cs="宋体" w:asciiTheme="minorEastAsia" w:hAnsiTheme="minorEastAsia" w:eastAsiaTheme="minorEastAsia"/>
          <w:color w:val="auto"/>
          <w:szCs w:val="21"/>
          <w:highlight w:val="none"/>
          <w:u w:val="single"/>
        </w:rPr>
        <w:t>施工进度计划提交的份数和日期：施工进度计划应按照整体项目进度计划合理安排，结合勘察、设计、采购各阶段工作时间优化步骤，以竣工要求期限倒排工期，优化工期，编制详细的施工组织设计，经监理人和发包人批准开始日期后每月</w:t>
      </w:r>
      <w:r>
        <w:rPr>
          <w:rFonts w:cs="宋体" w:asciiTheme="minorEastAsia" w:hAnsiTheme="minorEastAsia" w:eastAsiaTheme="minorEastAsia"/>
          <w:color w:val="auto"/>
          <w:szCs w:val="21"/>
          <w:highlight w:val="none"/>
          <w:u w:val="single"/>
        </w:rPr>
        <w:t>25日提交设计工作当月完成及次月计划一式三份</w:t>
      </w:r>
      <w:r>
        <w:rPr>
          <w:rFonts w:hint="eastAsia" w:cs="宋体" w:asciiTheme="minorEastAsia" w:hAnsiTheme="minorEastAsia" w:eastAsiaTheme="minorEastAsia"/>
          <w:color w:val="auto"/>
          <w:szCs w:val="21"/>
          <w:highlight w:val="none"/>
        </w:rPr>
        <w:t>。</w:t>
      </w:r>
    </w:p>
    <w:p w14:paraId="01E22B2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w:t>
      </w:r>
      <w:r>
        <w:rPr>
          <w:rFonts w:hint="eastAsia" w:cs="宋体" w:asciiTheme="minorEastAsia" w:hAnsiTheme="minorEastAsia" w:eastAsiaTheme="minorEastAsia"/>
          <w:color w:val="auto"/>
          <w:szCs w:val="21"/>
          <w:highlight w:val="none"/>
          <w:u w:val="single"/>
        </w:rPr>
        <w:t>设计、施工各阶段开始日期：根据工程总体进度，详见附件《工期控制时间表》</w:t>
      </w:r>
      <w:r>
        <w:rPr>
          <w:rFonts w:hint="eastAsia" w:cs="宋体" w:asciiTheme="minorEastAsia" w:hAnsiTheme="minorEastAsia" w:eastAsiaTheme="minorEastAsia"/>
          <w:color w:val="auto"/>
          <w:szCs w:val="21"/>
          <w:highlight w:val="none"/>
        </w:rPr>
        <w:t>。</w:t>
      </w:r>
    </w:p>
    <w:p w14:paraId="09EEE65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关键路径及关键路径变化的确定原则：</w:t>
      </w:r>
      <w:r>
        <w:rPr>
          <w:rFonts w:hint="eastAsia" w:cs="宋体" w:asciiTheme="minorEastAsia" w:hAnsiTheme="minorEastAsia" w:eastAsiaTheme="minorEastAsia"/>
          <w:color w:val="auto"/>
          <w:szCs w:val="21"/>
          <w:highlight w:val="none"/>
          <w:u w:val="single"/>
        </w:rPr>
        <w:t>关键路径上各项工作的持续时间总和最大；当非关键路径上的工作延误导致该路径上各项工作的持续时间总和超过原关键路径各项工作的时间总和，则关键路径已经变化，应重新调整项目进度计划</w:t>
      </w:r>
      <w:r>
        <w:rPr>
          <w:rFonts w:hint="eastAsia" w:cs="宋体" w:asciiTheme="minorEastAsia" w:hAnsiTheme="minorEastAsia" w:eastAsiaTheme="minorEastAsia"/>
          <w:color w:val="auto"/>
          <w:szCs w:val="21"/>
          <w:highlight w:val="none"/>
        </w:rPr>
        <w:t>。</w:t>
      </w:r>
    </w:p>
    <w:p w14:paraId="2B7B89F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由发包人原因引起的关键线路调整引起总工期加长的合同工期顺延，由承包人原因引起的关键线路调整引起总工期加长的合同工期不予顺延</w:t>
      </w:r>
      <w:r>
        <w:rPr>
          <w:rFonts w:hint="eastAsia" w:cs="宋体" w:asciiTheme="minorEastAsia" w:hAnsiTheme="minorEastAsia" w:eastAsiaTheme="minorEastAsia"/>
          <w:color w:val="auto"/>
          <w:szCs w:val="21"/>
          <w:highlight w:val="none"/>
        </w:rPr>
        <w:t>。</w:t>
      </w:r>
    </w:p>
    <w:p w14:paraId="2F6950AB">
      <w:pPr>
        <w:autoSpaceDE w:val="0"/>
        <w:autoSpaceDN w:val="0"/>
        <w:adjustRightIn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应含测量放线方案、质量保证措施、质量检查计划、安装进度计划</w:t>
      </w:r>
      <w:r>
        <w:rPr>
          <w:rFonts w:hint="eastAsia" w:cs="宋体" w:asciiTheme="minorEastAsia" w:hAnsiTheme="minorEastAsia" w:eastAsiaTheme="minorEastAsia"/>
          <w:color w:val="auto"/>
          <w:szCs w:val="21"/>
          <w:highlight w:val="none"/>
        </w:rPr>
        <w:t>。</w:t>
      </w:r>
    </w:p>
    <w:p w14:paraId="21171C47">
      <w:pPr>
        <w:autoSpaceDE w:val="0"/>
        <w:autoSpaceDN w:val="0"/>
        <w:adjustRightIn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承包人的到岗人员及设备配置必须和投标文件施工组织设计所列人员及设备配置相符，否则视为承包人违约，并承担每项</w:t>
      </w:r>
      <w:r>
        <w:rPr>
          <w:rFonts w:cs="宋体" w:asciiTheme="minorEastAsia" w:hAnsiTheme="minorEastAsia" w:eastAsiaTheme="minorEastAsia"/>
          <w:color w:val="auto"/>
          <w:szCs w:val="21"/>
          <w:highlight w:val="none"/>
          <w:u w:val="single"/>
        </w:rPr>
        <w:t>2000元的罚款</w:t>
      </w:r>
      <w:r>
        <w:rPr>
          <w:rFonts w:hint="eastAsia" w:cs="宋体" w:asciiTheme="minorEastAsia" w:hAnsiTheme="minorEastAsia" w:eastAsiaTheme="minorEastAsia"/>
          <w:color w:val="auto"/>
          <w:szCs w:val="21"/>
          <w:highlight w:val="none"/>
        </w:rPr>
        <w:t>。</w:t>
      </w:r>
    </w:p>
    <w:p w14:paraId="0A5114C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在提交给发包人的施工组织设计中，必须明确各专业分包工程的进场时间与合理工期（最终以发包人发出的进场时间和工期为准）。由于承包人的原因导致相关专业分包工程承包人无法按时进场的，由承包人向发包人承担工期延误违约责任，给发包人造成其它损失的，全部损失均由承包人负责赔偿</w:t>
      </w:r>
      <w:r>
        <w:rPr>
          <w:rFonts w:hint="eastAsia" w:cs="宋体" w:asciiTheme="minorEastAsia" w:hAnsiTheme="minorEastAsia" w:eastAsiaTheme="minorEastAsia"/>
          <w:color w:val="auto"/>
          <w:szCs w:val="21"/>
          <w:highlight w:val="none"/>
        </w:rPr>
        <w:t>。</w:t>
      </w:r>
    </w:p>
    <w:p w14:paraId="6B75E2D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承包人提交项目进度计划的份数和时间：</w:t>
      </w:r>
      <w:r>
        <w:rPr>
          <w:rFonts w:hint="eastAsia" w:cs="宋体" w:asciiTheme="minorEastAsia" w:hAnsiTheme="minorEastAsia" w:eastAsiaTheme="minorEastAsia"/>
          <w:color w:val="auto"/>
          <w:szCs w:val="21"/>
          <w:highlight w:val="none"/>
          <w:u w:val="single"/>
        </w:rPr>
        <w:t>每月</w:t>
      </w:r>
      <w:r>
        <w:rPr>
          <w:rFonts w:cs="宋体" w:asciiTheme="minorEastAsia" w:hAnsiTheme="minorEastAsia" w:eastAsiaTheme="minorEastAsia"/>
          <w:color w:val="auto"/>
          <w:szCs w:val="21"/>
          <w:highlight w:val="none"/>
          <w:u w:val="single"/>
        </w:rPr>
        <w:t>25日提交项目进度计划一式三份</w:t>
      </w:r>
      <w:r>
        <w:rPr>
          <w:rFonts w:hint="eastAsia" w:cs="宋体" w:asciiTheme="minorEastAsia" w:hAnsiTheme="minorEastAsia" w:eastAsiaTheme="minorEastAsia"/>
          <w:color w:val="auto"/>
          <w:szCs w:val="21"/>
          <w:highlight w:val="none"/>
        </w:rPr>
        <w:t>。</w:t>
      </w:r>
    </w:p>
    <w:p w14:paraId="223C7F9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8.4.3 </w:t>
      </w:r>
      <w:r>
        <w:rPr>
          <w:rFonts w:hint="eastAsia" w:cs="宋体" w:asciiTheme="minorEastAsia" w:hAnsiTheme="minorEastAsia" w:eastAsiaTheme="minorEastAsia"/>
          <w:color w:val="auto"/>
          <w:szCs w:val="21"/>
          <w:highlight w:val="none"/>
        </w:rPr>
        <w:t>进度计划的修订</w:t>
      </w:r>
    </w:p>
    <w:p w14:paraId="45CC19B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承包人提交修订项目进度计划申请报告的期限：</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w:t>
      </w:r>
    </w:p>
    <w:p w14:paraId="73D93EE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发包人批复修订项目进度计划申请报告的期限：</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w:t>
      </w:r>
    </w:p>
    <w:p w14:paraId="342CE25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承包人答复发包人提出修订合同计划的期限：</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w:t>
      </w:r>
    </w:p>
    <w:p w14:paraId="5D2FEA1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必须按工程师确认的进度计划组织施工，接受工程师对进度的检查、监督。工程实际进度与经确认的进度计划不符时，承包人应按工程师的要求提出改进措施，经工程师确认后执行。因承包人的原因导致实际进度与进度计划不符，承包人无权就改进措施提出追加合同价款</w:t>
      </w:r>
      <w:r>
        <w:rPr>
          <w:rFonts w:hint="eastAsia" w:cs="宋体" w:asciiTheme="minorEastAsia" w:hAnsiTheme="minorEastAsia" w:eastAsiaTheme="minorEastAsia"/>
          <w:color w:val="auto"/>
          <w:szCs w:val="21"/>
          <w:highlight w:val="none"/>
        </w:rPr>
        <w:t>。</w:t>
      </w:r>
    </w:p>
    <w:p w14:paraId="21355C8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必须严格按已确认的工程进度计划施工。若施工中出现滞后进度计划，发包人有权暂缓支付进度款（因发包人原因导致工期延误的除外）。待承包人采取措施完成预定计划后，发包人再支付相应的进度款，由此引起的不利后果均由承包人负责</w:t>
      </w:r>
      <w:r>
        <w:rPr>
          <w:rFonts w:hint="eastAsia" w:cs="宋体" w:asciiTheme="minorEastAsia" w:hAnsiTheme="minorEastAsia" w:eastAsiaTheme="minorEastAsia"/>
          <w:color w:val="auto"/>
          <w:szCs w:val="21"/>
          <w:highlight w:val="none"/>
        </w:rPr>
        <w:t>。</w:t>
      </w:r>
    </w:p>
    <w:p w14:paraId="786BCB0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群体工程中有关进度计划的要求：详见附件《工期控制时间表》</w:t>
      </w:r>
      <w:r>
        <w:rPr>
          <w:rFonts w:hint="eastAsia" w:cs="宋体" w:asciiTheme="minorEastAsia" w:hAnsiTheme="minorEastAsia" w:eastAsiaTheme="minorEastAsia"/>
          <w:color w:val="auto"/>
          <w:szCs w:val="21"/>
          <w:highlight w:val="none"/>
        </w:rPr>
        <w:t>。</w:t>
      </w:r>
    </w:p>
    <w:p w14:paraId="6F6E8D96">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8.5 </w:t>
      </w:r>
      <w:r>
        <w:rPr>
          <w:rFonts w:hint="eastAsia" w:cs="宋体" w:asciiTheme="minorEastAsia" w:hAnsiTheme="minorEastAsia" w:eastAsiaTheme="minorEastAsia"/>
          <w:b/>
          <w:color w:val="auto"/>
          <w:szCs w:val="21"/>
          <w:highlight w:val="none"/>
        </w:rPr>
        <w:t>进度报告</w:t>
      </w:r>
    </w:p>
    <w:p w14:paraId="2C782D3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进度报告的具体要求：</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1C07B51D">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8.7 </w:t>
      </w:r>
      <w:r>
        <w:rPr>
          <w:rFonts w:hint="eastAsia" w:cs="宋体" w:asciiTheme="minorEastAsia" w:hAnsiTheme="minorEastAsia" w:eastAsiaTheme="minorEastAsia"/>
          <w:b/>
          <w:color w:val="auto"/>
          <w:szCs w:val="21"/>
          <w:highlight w:val="none"/>
        </w:rPr>
        <w:t>工期延误</w:t>
      </w:r>
    </w:p>
    <w:p w14:paraId="6953ACD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8.7.1 </w:t>
      </w:r>
      <w:r>
        <w:rPr>
          <w:rFonts w:hint="eastAsia" w:cs="宋体" w:asciiTheme="minorEastAsia" w:hAnsiTheme="minorEastAsia" w:eastAsiaTheme="minorEastAsia"/>
          <w:color w:val="auto"/>
          <w:szCs w:val="21"/>
          <w:highlight w:val="none"/>
        </w:rPr>
        <w:t>因发包人原因导致工期延误</w:t>
      </w:r>
    </w:p>
    <w:p w14:paraId="6DD04475">
      <w:pPr>
        <w:tabs>
          <w:tab w:val="left" w:pos="5985"/>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若发包人临时停电、停水在8小时以内对施工造成影响，不顺延工期。如连续停电、停水8小时以上并给承包人施工造成实质性延误（主要指塔吊不能正常运行，施工电梯不能正常运行）的，承包人应以书面形式通知发包人，经发包人及监理人书面确认后可相应顺延工期，顺延工期批复表详见附件《工期延期批复表》。发包人、监理人共同确认和顺延工期，并不计取窝工损失费，同时发包人无须向承包人承担任何违约或损害赔偿责任。发包人可以书面形式通知承包人暂停工程实施中的任何工作，承包人承担因执行此暂停的所有费用，因此造成关键路径延误的，竣工日期相应顺延，顺延工期批复表详见附件《工期延期批复表》。</w:t>
      </w:r>
    </w:p>
    <w:p w14:paraId="077D42B1">
      <w:pPr>
        <w:tabs>
          <w:tab w:val="left" w:pos="5985"/>
        </w:tabs>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若因该项目经营计划调整暂缓或暂停施工，项目已经开始正式施工后，暂缓、暂停施工6个月以内的，停工期间的成品保护、苗木养护、现场材料、机械租赁等费用由承包人负责，原合同价款不予调整。需暂缓、暂停施工6个月及以上的，停工期间的成品保护、苗木养护等费用由承包人负责，暂停施工期间产生的损失，由双方协商解决。</w:t>
      </w:r>
    </w:p>
    <w:p w14:paraId="09D15173">
      <w:pPr>
        <w:tabs>
          <w:tab w:val="left" w:pos="5985"/>
        </w:tabs>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暂缓、暂停施工复工后若承包人项目组人员变化，需经建设单位项目部重新面试后调整人员，同时需按当地住建部门相关规定履行变更手续，工期相应顺延。</w:t>
      </w:r>
    </w:p>
    <w:p w14:paraId="40FABDC8">
      <w:pPr>
        <w:tabs>
          <w:tab w:val="left" w:pos="5985"/>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在施工过程中因发包人设计变更引起承包人不能正常施工，承包人应随时进行工种调整，不计取误工费，若有工期顺延，需经发包人和监理单位确认后工期顺延。顺延工期批复表详见附件《工期延期批复表》</w:t>
      </w:r>
      <w:r>
        <w:rPr>
          <w:rFonts w:hint="eastAsia" w:cs="宋体" w:asciiTheme="minorEastAsia" w:hAnsiTheme="minorEastAsia" w:eastAsiaTheme="minorEastAsia"/>
          <w:color w:val="auto"/>
          <w:szCs w:val="21"/>
          <w:highlight w:val="none"/>
        </w:rPr>
        <w:t>。</w:t>
      </w:r>
    </w:p>
    <w:p w14:paraId="30C11E25">
      <w:pPr>
        <w:tabs>
          <w:tab w:val="left" w:pos="5985"/>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zCs w:val="21"/>
          <w:highlight w:val="none"/>
          <w:u w:val="single"/>
        </w:rPr>
        <w:t>承包人应全力保证工程进度如期进行，不因发包人暂时困难而影响工程进度</w:t>
      </w:r>
      <w:r>
        <w:rPr>
          <w:rFonts w:hint="eastAsia" w:cs="宋体" w:asciiTheme="minorEastAsia" w:hAnsiTheme="minorEastAsia" w:eastAsiaTheme="minorEastAsia"/>
          <w:color w:val="auto"/>
          <w:szCs w:val="21"/>
          <w:highlight w:val="none"/>
        </w:rPr>
        <w:t>。</w:t>
      </w:r>
    </w:p>
    <w:p w14:paraId="5FA38E6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8.7.2 </w:t>
      </w:r>
      <w:r>
        <w:rPr>
          <w:rFonts w:hint="eastAsia" w:cs="宋体" w:asciiTheme="minorEastAsia" w:hAnsiTheme="minorEastAsia" w:eastAsiaTheme="minorEastAsia"/>
          <w:color w:val="auto"/>
          <w:szCs w:val="21"/>
          <w:highlight w:val="none"/>
        </w:rPr>
        <w:t>因承包人原因导致工期延误</w:t>
      </w:r>
    </w:p>
    <w:p w14:paraId="1DBA03F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因承包人原因使竣工日期延误，每延误</w:t>
      </w:r>
      <w:r>
        <w:rPr>
          <w:rFonts w:cs="宋体" w:asciiTheme="minorEastAsia" w:hAnsiTheme="minorEastAsia" w:eastAsiaTheme="minorEastAsia"/>
          <w:color w:val="auto"/>
          <w:szCs w:val="21"/>
          <w:highlight w:val="none"/>
        </w:rPr>
        <w:t>1日的误期赔偿金额为人民币金额为：</w:t>
      </w:r>
      <w:r>
        <w:rPr>
          <w:rFonts w:hint="eastAsia" w:cs="宋体" w:asciiTheme="minorEastAsia" w:hAnsiTheme="minorEastAsia" w:eastAsiaTheme="minorEastAsia"/>
          <w:color w:val="auto"/>
          <w:szCs w:val="21"/>
          <w:highlight w:val="none"/>
          <w:u w:val="single"/>
        </w:rPr>
        <w:t>详见专用条款</w:t>
      </w:r>
      <w:r>
        <w:rPr>
          <w:rFonts w:cs="宋体" w:asciiTheme="minorEastAsia" w:hAnsiTheme="minorEastAsia" w:eastAsiaTheme="minorEastAsia"/>
          <w:color w:val="auto"/>
          <w:szCs w:val="21"/>
          <w:highlight w:val="none"/>
          <w:u w:val="single"/>
        </w:rPr>
        <w:t>15.2.3</w:t>
      </w:r>
      <w:r>
        <w:rPr>
          <w:rFonts w:hint="eastAsia" w:cs="宋体" w:asciiTheme="minorEastAsia" w:hAnsiTheme="minorEastAsia" w:eastAsiaTheme="minorEastAsia"/>
          <w:color w:val="auto"/>
          <w:szCs w:val="21"/>
          <w:highlight w:val="none"/>
        </w:rPr>
        <w:t>，累计最高赔偿金额为合同协议书的合同价格的：</w:t>
      </w:r>
      <w:r>
        <w:rPr>
          <w:rFonts w:cs="宋体" w:asciiTheme="minorEastAsia" w:hAnsiTheme="minorEastAsia" w:eastAsiaTheme="minorEastAsia"/>
          <w:color w:val="auto"/>
          <w:szCs w:val="21"/>
          <w:highlight w:val="none"/>
          <w:u w:val="single"/>
        </w:rPr>
        <w:t xml:space="preserve"> 3</w:t>
      </w:r>
      <w:r>
        <w:rPr>
          <w:rFonts w:cs="宋体" w:asciiTheme="minorEastAsia" w:hAnsiTheme="minorEastAsia" w:eastAsiaTheme="minorEastAsia"/>
          <w:color w:val="auto"/>
          <w:szCs w:val="21"/>
          <w:highlight w:val="none"/>
        </w:rPr>
        <w:t>%。</w:t>
      </w:r>
    </w:p>
    <w:p w14:paraId="419424E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进度方面出现下列情况时，发包人有权进行处罚或终止合同：以工程关键节点（详见附件《工期控制时间表》）为准，不能按计划完成，推后一天按每天5</w:t>
      </w:r>
      <w:r>
        <w:rPr>
          <w:rFonts w:cs="宋体" w:asciiTheme="minorEastAsia" w:hAnsiTheme="minorEastAsia" w:eastAsiaTheme="minorEastAsia"/>
          <w:color w:val="auto"/>
          <w:szCs w:val="21"/>
          <w:highlight w:val="none"/>
          <w:u w:val="single"/>
        </w:rPr>
        <w:t>000元进行扣款。若承包人持续未采取让发包人满意的有效赶工措施，对发包人的经营造成影响，发包人有权终止合同</w:t>
      </w:r>
      <w:r>
        <w:rPr>
          <w:rFonts w:hint="eastAsia" w:cs="宋体" w:asciiTheme="minorEastAsia" w:hAnsiTheme="minorEastAsia" w:eastAsiaTheme="minorEastAsia"/>
          <w:color w:val="auto"/>
          <w:szCs w:val="21"/>
          <w:highlight w:val="none"/>
        </w:rPr>
        <w:t>。</w:t>
      </w:r>
    </w:p>
    <w:p w14:paraId="029998A6">
      <w:pPr>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若因以上原因终止合同，本工程的履约保证金全部扣除不予支付；对于承包人已经施工完成的工程，若质量合格，发包人按本合同结算办法进行结算。无论因何种原因导致本合同解除、终止的，按附件《退场协议》执行</w:t>
      </w:r>
      <w:r>
        <w:rPr>
          <w:rFonts w:hint="eastAsia" w:cs="宋体" w:asciiTheme="minorEastAsia" w:hAnsiTheme="minorEastAsia" w:eastAsiaTheme="minorEastAsia"/>
          <w:color w:val="auto"/>
          <w:szCs w:val="21"/>
          <w:highlight w:val="none"/>
        </w:rPr>
        <w:t>。</w:t>
      </w:r>
    </w:p>
    <w:p w14:paraId="013319D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若阶段节点工期连续超过两次滞后累计超过</w:t>
      </w:r>
      <w:r>
        <w:rPr>
          <w:rFonts w:cs="宋体" w:asciiTheme="minorEastAsia" w:hAnsiTheme="minorEastAsia" w:eastAsiaTheme="minorEastAsia"/>
          <w:color w:val="auto"/>
          <w:szCs w:val="21"/>
          <w:highlight w:val="none"/>
          <w:u w:val="single"/>
        </w:rPr>
        <w:t>20天，承包人除承担违约金和由此造成的损失外，发包人有权单方解除本合同，并有权将未完工程另行发包，所产生的全部费用由承包人承担，退场按附件《退场协议》执行</w:t>
      </w:r>
      <w:r>
        <w:rPr>
          <w:rFonts w:hint="eastAsia" w:cs="宋体" w:asciiTheme="minorEastAsia" w:hAnsiTheme="minorEastAsia" w:eastAsiaTheme="minorEastAsia"/>
          <w:color w:val="auto"/>
          <w:szCs w:val="21"/>
          <w:highlight w:val="none"/>
        </w:rPr>
        <w:t>。</w:t>
      </w:r>
    </w:p>
    <w:p w14:paraId="4D9FDDF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8.7.3 </w:t>
      </w:r>
      <w:r>
        <w:rPr>
          <w:rFonts w:hint="eastAsia" w:cs="宋体" w:asciiTheme="minorEastAsia" w:hAnsiTheme="minorEastAsia" w:eastAsiaTheme="minorEastAsia"/>
          <w:color w:val="auto"/>
          <w:szCs w:val="21"/>
          <w:highlight w:val="none"/>
        </w:rPr>
        <w:t>行政审批迟延</w:t>
      </w:r>
    </w:p>
    <w:p w14:paraId="721243E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行政审批报送的职责分工：</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2ADA284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8.7.4 </w:t>
      </w:r>
      <w:r>
        <w:rPr>
          <w:rFonts w:hint="eastAsia" w:cs="宋体" w:asciiTheme="minorEastAsia" w:hAnsiTheme="minorEastAsia" w:eastAsiaTheme="minorEastAsia"/>
          <w:color w:val="auto"/>
          <w:szCs w:val="21"/>
          <w:highlight w:val="none"/>
        </w:rPr>
        <w:t>异常恶劣的气候条件</w:t>
      </w:r>
    </w:p>
    <w:p w14:paraId="36326B6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双方约定视为异常恶劣的气候条件的情形：</w:t>
      </w:r>
    </w:p>
    <w:p w14:paraId="4496DA83">
      <w:pPr>
        <w:autoSpaceDE w:val="0"/>
        <w:autoSpaceDN w:val="0"/>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1）工程所在地发生烈度大于设计设防烈度的地震；</w:t>
      </w:r>
    </w:p>
    <w:p w14:paraId="5F817133">
      <w:pPr>
        <w:autoSpaceDE w:val="0"/>
        <w:autoSpaceDN w:val="0"/>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2）工程所在地发生当地三十年一遇以上的雪灾；</w:t>
      </w:r>
    </w:p>
    <w:p w14:paraId="6EBB577A">
      <w:pPr>
        <w:autoSpaceDE w:val="0"/>
        <w:autoSpaceDN w:val="0"/>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3）跨河、滨河工程遇大于设计防洪标准的洪灾，其它工程遇当地三十年一遇以上的</w:t>
      </w:r>
    </w:p>
    <w:p w14:paraId="0A938D06">
      <w:pPr>
        <w:autoSpaceDE w:val="0"/>
        <w:autoSpaceDN w:val="0"/>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洪灾；</w:t>
      </w:r>
    </w:p>
    <w:p w14:paraId="4BD73D34">
      <w:pPr>
        <w:autoSpaceDE w:val="0"/>
        <w:autoSpaceDN w:val="0"/>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4）十级以上的大风。</w:t>
      </w:r>
    </w:p>
    <w:p w14:paraId="4B486EF0">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8.8 </w:t>
      </w:r>
      <w:r>
        <w:rPr>
          <w:rFonts w:hint="eastAsia" w:cs="宋体" w:asciiTheme="minorEastAsia" w:hAnsiTheme="minorEastAsia" w:eastAsiaTheme="minorEastAsia"/>
          <w:b/>
          <w:color w:val="auto"/>
          <w:szCs w:val="21"/>
          <w:highlight w:val="none"/>
        </w:rPr>
        <w:t>工期提前</w:t>
      </w:r>
    </w:p>
    <w:p w14:paraId="1796CCF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8.8.2 </w:t>
      </w:r>
      <w:r>
        <w:rPr>
          <w:rFonts w:hint="eastAsia" w:cs="宋体" w:asciiTheme="minorEastAsia" w:hAnsiTheme="minorEastAsia" w:eastAsiaTheme="minorEastAsia"/>
          <w:color w:val="auto"/>
          <w:szCs w:val="21"/>
          <w:highlight w:val="none"/>
        </w:rPr>
        <w:t>承包人提前竣工的奖励：</w:t>
      </w:r>
      <w:r>
        <w:rPr>
          <w:rFonts w:hint="eastAsia" w:cs="宋体" w:asciiTheme="minorEastAsia" w:hAnsiTheme="minorEastAsia" w:eastAsiaTheme="minorEastAsia"/>
          <w:color w:val="auto"/>
          <w:szCs w:val="21"/>
          <w:highlight w:val="none"/>
          <w:u w:val="single"/>
        </w:rPr>
        <w:t>施工中发包人如需提前竣工，双方协商一致后应签订提前竣工协议，作为合同文件组成部分。提前竣工协议应包括承包人为保证工程质量和安全采取的措施、发包人为提前竣工提供的条件以及提前竣工所需的追加合同价款等内容</w:t>
      </w:r>
      <w:r>
        <w:rPr>
          <w:rFonts w:hint="eastAsia" w:cs="宋体" w:asciiTheme="minorEastAsia" w:hAnsiTheme="minorEastAsia" w:eastAsiaTheme="minorEastAsia"/>
          <w:color w:val="auto"/>
          <w:szCs w:val="21"/>
          <w:highlight w:val="none"/>
        </w:rPr>
        <w:t>。</w:t>
      </w:r>
    </w:p>
    <w:p w14:paraId="5C0E8A8B">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    8.9 暂停工作</w:t>
      </w:r>
    </w:p>
    <w:p w14:paraId="6BD8EF7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因发包人及政府指令性原因造成暂停施工的，发包人只相应顺延工期，不承担任何违约或损害赔偿责任。暂停施工期间承包人应负责妥善保护工程并提供安全保障。若确有工期顺延，需经发包人和监理单位确认后工期顺延。顺延工期批复表详见附件《工期延期批复表》</w:t>
      </w:r>
      <w:r>
        <w:rPr>
          <w:rFonts w:hint="eastAsia" w:cs="宋体" w:asciiTheme="minorEastAsia" w:hAnsiTheme="minorEastAsia" w:eastAsiaTheme="minorEastAsia"/>
          <w:color w:val="auto"/>
          <w:szCs w:val="21"/>
          <w:highlight w:val="none"/>
        </w:rPr>
        <w:t>。</w:t>
      </w:r>
    </w:p>
    <w:p w14:paraId="58CF25E9">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10" w:name="_Toc54862340"/>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9条 </w:t>
      </w:r>
      <w:r>
        <w:rPr>
          <w:rFonts w:hint="eastAsia" w:cs="宋体" w:asciiTheme="minorEastAsia" w:hAnsiTheme="minorEastAsia" w:eastAsiaTheme="minorEastAsia"/>
          <w:b/>
          <w:color w:val="auto"/>
          <w:szCs w:val="21"/>
          <w:highlight w:val="none"/>
        </w:rPr>
        <w:t>竣工试验</w:t>
      </w:r>
      <w:bookmarkEnd w:id="710"/>
    </w:p>
    <w:p w14:paraId="3157FF08">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9.1 </w:t>
      </w:r>
      <w:r>
        <w:rPr>
          <w:rFonts w:hint="eastAsia" w:cs="宋体" w:asciiTheme="minorEastAsia" w:hAnsiTheme="minorEastAsia" w:eastAsiaTheme="minorEastAsia"/>
          <w:b/>
          <w:color w:val="auto"/>
          <w:szCs w:val="21"/>
          <w:highlight w:val="none"/>
        </w:rPr>
        <w:t>竣工试验的义务</w:t>
      </w:r>
    </w:p>
    <w:p w14:paraId="48F1F36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9.1.3 </w:t>
      </w:r>
      <w:r>
        <w:rPr>
          <w:rFonts w:hint="eastAsia" w:cs="宋体" w:asciiTheme="minorEastAsia" w:hAnsiTheme="minorEastAsia" w:eastAsiaTheme="minorEastAsia"/>
          <w:color w:val="auto"/>
          <w:szCs w:val="21"/>
          <w:highlight w:val="none"/>
        </w:rPr>
        <w:t>竣工试验的阶段、内容和顺序：</w:t>
      </w:r>
      <w:r>
        <w:rPr>
          <w:rFonts w:cs="宋体" w:asciiTheme="minorEastAsia" w:hAnsiTheme="minorEastAsia" w:eastAsiaTheme="minorEastAsia"/>
          <w:color w:val="auto"/>
          <w:szCs w:val="21"/>
          <w:highlight w:val="none"/>
          <w:u w:val="single"/>
        </w:rPr>
        <w:t xml:space="preserve"> 承包人应于经发包人确认单项工程或整体项目完工且达到竣工验收条件后7日内报送竣工试验方案，一式三份</w:t>
      </w:r>
      <w:r>
        <w:rPr>
          <w:rFonts w:hint="eastAsia" w:cs="宋体" w:asciiTheme="minorEastAsia" w:hAnsiTheme="minorEastAsia" w:eastAsiaTheme="minorEastAsia"/>
          <w:color w:val="auto"/>
          <w:szCs w:val="21"/>
          <w:highlight w:val="none"/>
        </w:rPr>
        <w:t>。</w:t>
      </w:r>
    </w:p>
    <w:p w14:paraId="040F68F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竣工试验的操作要求：</w:t>
      </w:r>
      <w:r>
        <w:rPr>
          <w:rFonts w:hint="eastAsia" w:cs="宋体" w:asciiTheme="minorEastAsia" w:hAnsiTheme="minorEastAsia" w:eastAsiaTheme="minorEastAsia"/>
          <w:color w:val="auto"/>
          <w:szCs w:val="21"/>
          <w:highlight w:val="none"/>
          <w:u w:val="single"/>
        </w:rPr>
        <w:t>承包人在工程完工后自行组织验收及检验检测，对存在质量缺陷及遗漏项目的自行组织整改费用自行承担，申请监理人对竣工项目验收</w:t>
      </w:r>
      <w:r>
        <w:rPr>
          <w:rFonts w:hint="eastAsia" w:cs="宋体" w:asciiTheme="minorEastAsia" w:hAnsiTheme="minorEastAsia" w:eastAsiaTheme="minorEastAsia"/>
          <w:color w:val="auto"/>
          <w:szCs w:val="21"/>
          <w:highlight w:val="none"/>
        </w:rPr>
        <w:t>。</w:t>
      </w:r>
    </w:p>
    <w:p w14:paraId="222B7CE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承包人对项目整体设计采购施工各步骤工序质量负责，因设计缺陷及遗漏等承包人工作原因造成的工程质量功能外观存在缺陷的属于承包人责任，承包人无条件整改，发包不支付任何费用</w:t>
      </w:r>
      <w:r>
        <w:rPr>
          <w:rFonts w:hint="eastAsia" w:cs="宋体" w:asciiTheme="minorEastAsia" w:hAnsiTheme="minorEastAsia" w:eastAsiaTheme="minorEastAsia"/>
          <w:color w:val="auto"/>
          <w:szCs w:val="21"/>
          <w:highlight w:val="none"/>
        </w:rPr>
        <w:t>。</w:t>
      </w:r>
    </w:p>
    <w:p w14:paraId="28C092C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发包人可随意抽选或对工程质量存在异议的隐蔽工程，由发包人委托第三方检测机构对该部分工程质量进行检测，承包人应予以积极配合，检测合格，检测费用由发包人承担；检测不合格，检测费用由承包人承担。（费用标准按照发包人与第三方检测机构签订合同价款为准），对整个项目或任意单项工程规模、外观、功能等进行检验</w:t>
      </w:r>
      <w:r>
        <w:rPr>
          <w:rFonts w:hint="eastAsia" w:cs="宋体" w:asciiTheme="minorEastAsia" w:hAnsiTheme="minorEastAsia" w:eastAsiaTheme="minorEastAsia"/>
          <w:color w:val="auto"/>
          <w:szCs w:val="21"/>
          <w:highlight w:val="none"/>
        </w:rPr>
        <w:t>。</w:t>
      </w:r>
    </w:p>
    <w:p w14:paraId="5C7057EE">
      <w:pPr>
        <w:adjustRightInd w:val="0"/>
        <w:snapToGrid w:val="0"/>
        <w:spacing w:line="500" w:lineRule="exact"/>
        <w:ind w:firstLine="420" w:firstLineChars="20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关于投料试车相关事项的约定：</w:t>
      </w:r>
      <w:r>
        <w:rPr>
          <w:rFonts w:hint="eastAsia" w:cs="宋体" w:asciiTheme="minorEastAsia" w:hAnsiTheme="minorEastAsia" w:eastAsiaTheme="minorEastAsia"/>
          <w:color w:val="auto"/>
          <w:szCs w:val="21"/>
          <w:highlight w:val="none"/>
          <w:u w:val="single"/>
        </w:rPr>
        <w:t>试车所需燃料、原料及备品备件等由承包人承担</w:t>
      </w:r>
      <w:r>
        <w:rPr>
          <w:rFonts w:hint="eastAsia" w:cs="宋体" w:asciiTheme="minorEastAsia" w:hAnsiTheme="minorEastAsia" w:eastAsiaTheme="minorEastAsia"/>
          <w:color w:val="auto"/>
          <w:szCs w:val="21"/>
          <w:highlight w:val="none"/>
        </w:rPr>
        <w:t>。</w:t>
      </w:r>
    </w:p>
    <w:p w14:paraId="385E63DA">
      <w:pPr>
        <w:adjustRightInd w:val="0"/>
        <w:snapToGrid w:val="0"/>
        <w:spacing w:line="500" w:lineRule="exact"/>
        <w:ind w:firstLine="422" w:firstLineChars="200"/>
        <w:outlineLvl w:val="9"/>
        <w:rPr>
          <w:rFonts w:cs="宋体" w:asciiTheme="minorEastAsia" w:hAnsiTheme="minorEastAsia" w:eastAsiaTheme="minorEastAsia"/>
          <w:b/>
          <w:bCs/>
          <w:color w:val="auto"/>
          <w:szCs w:val="21"/>
          <w:highlight w:val="none"/>
        </w:rPr>
      </w:pPr>
      <w:r>
        <w:rPr>
          <w:rFonts w:cs="宋体" w:asciiTheme="minorEastAsia" w:hAnsiTheme="minorEastAsia" w:eastAsiaTheme="minorEastAsia"/>
          <w:b/>
          <w:bCs/>
          <w:color w:val="auto"/>
          <w:szCs w:val="21"/>
          <w:highlight w:val="none"/>
        </w:rPr>
        <w:t>9.4未能通过竣工试验</w:t>
      </w:r>
    </w:p>
    <w:p w14:paraId="42878F5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1）未能通过试运行检测的赔偿</w:t>
      </w:r>
    </w:p>
    <w:p w14:paraId="7648230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承包人提供的生产工艺技术或市政设计方案未能通过试运行检测的赔偿，根据工程情况，在以下方式，作为双方的检测赔偿约定：</w:t>
      </w:r>
    </w:p>
    <w:p w14:paraId="6865B787">
      <w:pPr>
        <w:adjustRightInd w:val="0"/>
        <w:snapToGrid w:val="0"/>
        <w:spacing w:line="500" w:lineRule="exact"/>
        <w:ind w:firstLine="420" w:firstLineChars="200"/>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color w:val="auto"/>
          <w:szCs w:val="21"/>
          <w:highlight w:val="none"/>
        </w:rPr>
        <w:t>工程的赔偿金额（或赔偿公式）为：</w:t>
      </w:r>
      <w:r>
        <w:rPr>
          <w:rFonts w:hint="eastAsia" w:cs="宋体" w:asciiTheme="minorEastAsia" w:hAnsiTheme="minorEastAsia" w:eastAsiaTheme="minorEastAsia"/>
          <w:color w:val="auto"/>
          <w:szCs w:val="21"/>
          <w:highlight w:val="none"/>
          <w:u w:val="single"/>
        </w:rPr>
        <w:t>由于设计缺陷及其他承包人引起的不合格工程，承包人应当在接到通知之日起无条件返工修复，承包人书面确认拒绝返工修复的，发包人有权指定第三方进行返工修复，由承包人按照发包人与第三方商定修复费用的1.5</w:t>
      </w:r>
      <w:r>
        <w:rPr>
          <w:rFonts w:cs="宋体" w:asciiTheme="minorEastAsia" w:hAnsiTheme="minorEastAsia" w:eastAsiaTheme="minorEastAsia"/>
          <w:color w:val="auto"/>
          <w:szCs w:val="21"/>
          <w:highlight w:val="none"/>
          <w:u w:val="single"/>
        </w:rPr>
        <w:t>倍无条件承担相关费用，并承担单项工程合同价格5％的赔偿。如联合体则联合单位承担连带责任，承包人拒不支付</w:t>
      </w:r>
      <w:r>
        <w:rPr>
          <w:rFonts w:hint="eastAsia" w:cs="宋体" w:asciiTheme="minorEastAsia" w:hAnsiTheme="minorEastAsia" w:eastAsiaTheme="minorEastAsia"/>
          <w:color w:val="auto"/>
          <w:szCs w:val="21"/>
          <w:highlight w:val="none"/>
          <w:u w:val="single"/>
        </w:rPr>
        <w:t>1.5</w:t>
      </w:r>
      <w:r>
        <w:rPr>
          <w:rFonts w:cs="宋体" w:asciiTheme="minorEastAsia" w:hAnsiTheme="minorEastAsia" w:eastAsiaTheme="minorEastAsia"/>
          <w:color w:val="auto"/>
          <w:szCs w:val="21"/>
          <w:highlight w:val="none"/>
          <w:u w:val="single"/>
        </w:rPr>
        <w:t>倍修复费用及赔偿费的发包人有权在质保金中扣除，承包人不得有任何异议</w:t>
      </w:r>
      <w:r>
        <w:rPr>
          <w:rFonts w:hint="eastAsia" w:cs="宋体" w:asciiTheme="minorEastAsia" w:hAnsiTheme="minorEastAsia" w:eastAsiaTheme="minorEastAsia"/>
          <w:color w:val="auto"/>
          <w:szCs w:val="21"/>
          <w:highlight w:val="none"/>
        </w:rPr>
        <w:t>。</w:t>
      </w:r>
    </w:p>
    <w:p w14:paraId="0AD0295A">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11" w:name="_Toc4784273"/>
      <w:bookmarkEnd w:id="711"/>
      <w:bookmarkStart w:id="712" w:name="_Toc4784272"/>
      <w:bookmarkEnd w:id="712"/>
      <w:bookmarkStart w:id="713" w:name="_Toc54862341"/>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10条 </w:t>
      </w:r>
      <w:r>
        <w:rPr>
          <w:rFonts w:hint="eastAsia" w:cs="宋体" w:asciiTheme="minorEastAsia" w:hAnsiTheme="minorEastAsia" w:eastAsiaTheme="minorEastAsia"/>
          <w:b/>
          <w:color w:val="auto"/>
          <w:szCs w:val="21"/>
          <w:highlight w:val="none"/>
        </w:rPr>
        <w:t>验收和工程接收</w:t>
      </w:r>
      <w:bookmarkEnd w:id="713"/>
    </w:p>
    <w:p w14:paraId="3C389053">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10.1 </w:t>
      </w:r>
      <w:r>
        <w:rPr>
          <w:rFonts w:hint="eastAsia" w:cs="宋体" w:asciiTheme="minorEastAsia" w:hAnsiTheme="minorEastAsia" w:eastAsiaTheme="minorEastAsia"/>
          <w:b/>
          <w:color w:val="auto"/>
          <w:szCs w:val="21"/>
          <w:highlight w:val="none"/>
        </w:rPr>
        <w:t>竣工验收</w:t>
      </w:r>
    </w:p>
    <w:p w14:paraId="7299D32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10.1.2 </w:t>
      </w:r>
      <w:r>
        <w:rPr>
          <w:rFonts w:hint="eastAsia" w:cs="宋体" w:asciiTheme="minorEastAsia" w:hAnsiTheme="minorEastAsia" w:eastAsiaTheme="minorEastAsia"/>
          <w:color w:val="auto"/>
          <w:szCs w:val="21"/>
          <w:highlight w:val="none"/>
        </w:rPr>
        <w:t>关于竣工验收程序的约定：</w:t>
      </w:r>
    </w:p>
    <w:p w14:paraId="430ADE7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竣工验收合格后，以承包人移交给发包人的时间为最终期限。工程竣工、移交发包人委托的发包人前由承包人负责，在此期间发生的损坏由承包人自费负责予以修复，移交后由发包人负责。整体工程竣工验收后，尚有部分未竣工工程的，承包人应继续负责未竣工工程的照管和维护工作，直到竣工后移交给发包人为止</w:t>
      </w:r>
      <w:r>
        <w:rPr>
          <w:rFonts w:hint="eastAsia" w:cs="宋体" w:asciiTheme="minorEastAsia" w:hAnsiTheme="minorEastAsia" w:eastAsiaTheme="minorEastAsia"/>
          <w:color w:val="auto"/>
          <w:szCs w:val="21"/>
          <w:highlight w:val="none"/>
        </w:rPr>
        <w:t>。</w:t>
      </w:r>
    </w:p>
    <w:p w14:paraId="48D58A00">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承包人必须在政府质监部门竣工验收合格后</w:t>
      </w:r>
      <w:r>
        <w:rPr>
          <w:rFonts w:cs="宋体" w:asciiTheme="minorEastAsia" w:hAnsiTheme="minorEastAsia" w:eastAsiaTheme="minorEastAsia"/>
          <w:color w:val="auto"/>
          <w:szCs w:val="21"/>
          <w:highlight w:val="none"/>
          <w:u w:val="single"/>
        </w:rPr>
        <w:t>7天内向发包人移交工程，移交时必须达到施工现场清理完毕，所有施工人员、施工机械和不需保留的临时设施等全部撤离现场。承包人不得以任何理由拒绝退场，否则发包人有权自行清理、拆除，全部费用及损失由承包人承担</w:t>
      </w:r>
      <w:r>
        <w:rPr>
          <w:rFonts w:hint="eastAsia" w:cs="宋体" w:asciiTheme="minorEastAsia" w:hAnsiTheme="minorEastAsia" w:eastAsiaTheme="minorEastAsia"/>
          <w:color w:val="auto"/>
          <w:szCs w:val="21"/>
          <w:highlight w:val="none"/>
        </w:rPr>
        <w:t>。</w:t>
      </w:r>
    </w:p>
    <w:p w14:paraId="6943FBD3">
      <w:pPr>
        <w:adjustRightInd w:val="0"/>
        <w:snapToGrid w:val="0"/>
        <w:spacing w:line="500" w:lineRule="exact"/>
        <w:ind w:firstLine="420" w:firstLineChars="200"/>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color w:val="auto"/>
          <w:szCs w:val="21"/>
          <w:highlight w:val="none"/>
        </w:rPr>
        <w:t>承包人提交的竣工资料的费用承担：</w:t>
      </w:r>
      <w:r>
        <w:rPr>
          <w:rFonts w:hint="eastAsia" w:cs="宋体" w:asciiTheme="minorEastAsia" w:hAnsiTheme="minorEastAsia" w:eastAsiaTheme="minorEastAsia"/>
          <w:color w:val="auto"/>
          <w:szCs w:val="21"/>
          <w:highlight w:val="none"/>
          <w:u w:val="single"/>
        </w:rPr>
        <w:t>由承包人自行承担</w:t>
      </w:r>
      <w:r>
        <w:rPr>
          <w:rFonts w:hint="eastAsia" w:cs="宋体" w:asciiTheme="minorEastAsia" w:hAnsiTheme="minorEastAsia" w:eastAsiaTheme="minorEastAsia"/>
          <w:color w:val="auto"/>
          <w:szCs w:val="21"/>
          <w:highlight w:val="none"/>
        </w:rPr>
        <w:t>。</w:t>
      </w:r>
    </w:p>
    <w:p w14:paraId="01A4F183">
      <w:pPr>
        <w:spacing w:line="500" w:lineRule="exact"/>
        <w:ind w:firstLine="420" w:firstLineChars="200"/>
        <w:outlineLvl w:val="9"/>
        <w:rPr>
          <w:rFonts w:cs="宋体" w:asciiTheme="minorEastAsia" w:hAnsiTheme="minorEastAsia" w:eastAsiaTheme="minorEastAsia"/>
          <w:color w:val="auto"/>
          <w:szCs w:val="21"/>
          <w:highlight w:val="none"/>
          <w:u w:val="single"/>
        </w:rPr>
      </w:pPr>
      <w:bookmarkStart w:id="714" w:name="_Hlk46406260"/>
      <w:r>
        <w:rPr>
          <w:rFonts w:hint="eastAsia" w:cs="宋体" w:asciiTheme="minorEastAsia" w:hAnsiTheme="minorEastAsia" w:eastAsiaTheme="minorEastAsia"/>
          <w:color w:val="auto"/>
          <w:szCs w:val="21"/>
          <w:highlight w:val="none"/>
          <w:u w:val="single"/>
        </w:rPr>
        <w:t>在进行竣工验收前</w:t>
      </w:r>
      <w:r>
        <w:rPr>
          <w:rFonts w:cs="宋体" w:asciiTheme="minorEastAsia" w:hAnsiTheme="minorEastAsia" w:eastAsiaTheme="minorEastAsia"/>
          <w:color w:val="auto"/>
          <w:szCs w:val="21"/>
          <w:highlight w:val="none"/>
          <w:u w:val="single"/>
        </w:rPr>
        <w:t>30个日历天内，承包人应向发包人提交竣工报告、完整的竣工图和竣工档案资料（份数满足甲方要求）及电子版。</w:t>
      </w:r>
    </w:p>
    <w:p w14:paraId="2055A4B5">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承包人若不能按照前条的规定提供完整的竣工图纸和竣工资料，每延迟一天，承包人应向发包人支付合同总价万分之五的违约金。</w:t>
      </w:r>
    </w:p>
    <w:p w14:paraId="0EF5C536">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各分包单位将被要求制作自己的竣工图和整理自己的竣工资料，承包人应要求各分包单位的竣工资料随工程进度逐步提交给承包人，由承包人负责审核、归类整理，费用由承包人承担。</w:t>
      </w:r>
    </w:p>
    <w:p w14:paraId="722626EA">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承包人应在其进场后</w:t>
      </w:r>
      <w:r>
        <w:rPr>
          <w:rFonts w:cs="宋体" w:asciiTheme="minorEastAsia" w:hAnsiTheme="minorEastAsia" w:eastAsiaTheme="minorEastAsia"/>
          <w:color w:val="auto"/>
          <w:szCs w:val="21"/>
          <w:highlight w:val="none"/>
          <w:u w:val="single"/>
        </w:rPr>
        <w:t>7天内将其准备施工资料和竣工资料的计划和措施报发包人和监理工程师审批，该计划和措施的目的是为了确保本工程的施工资料和竣工资料达到约定的要求，该计划和措施至少应说明以下内容：</w:t>
      </w:r>
    </w:p>
    <w:p w14:paraId="2C0FAA8B">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1）承包人负责施工资料和竣工资料的专职人员姓名及其职责。</w:t>
      </w:r>
    </w:p>
    <w:p w14:paraId="69F36C75">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2）承包人资料准备和整理的步骤和保证措施。</w:t>
      </w:r>
    </w:p>
    <w:p w14:paraId="505EDE2C">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3）承包人资料的存档标准和所配备的保存条件。</w:t>
      </w:r>
    </w:p>
    <w:p w14:paraId="10CA00D6">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4）承包人和发包人分包单位共同整理资料的措施。</w:t>
      </w:r>
    </w:p>
    <w:p w14:paraId="607DF2F0">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 xml:space="preserve">5）承包人满足发包人和监理工程师对施工资料和竣工资料要求的措施。  </w:t>
      </w:r>
    </w:p>
    <w:p w14:paraId="188D0E88">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除非事先经过发包人和监理工程师的同意，承包人应严格遵守经发包人和监理工程师审批的关于资料整理的计划和措施。</w:t>
      </w:r>
    </w:p>
    <w:p w14:paraId="4E770EA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竣工资料通过当地档案馆验收后，方为达到合格标准。督促、审核、整理和装订竣工资料（含竣工图）的费用由承包人承担，已综合考虑在合同价中。</w:t>
      </w:r>
    </w:p>
    <w:p w14:paraId="2E8B1309">
      <w:pPr>
        <w:pStyle w:val="33"/>
        <w:adjustRightInd w:val="0"/>
        <w:snapToGrid w:val="0"/>
        <w:spacing w:line="500" w:lineRule="exact"/>
        <w:ind w:left="0" w:leftChars="0"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发包人不按照合同约定组织竣工验收、颁发工程接受证书的违约金的计算方式：</w:t>
      </w:r>
      <w:r>
        <w:rPr>
          <w:rFonts w:hint="eastAsia" w:cs="宋体" w:asciiTheme="minorEastAsia" w:hAnsiTheme="minorEastAsia" w:eastAsiaTheme="minorEastAsia"/>
          <w:color w:val="auto"/>
          <w:szCs w:val="21"/>
          <w:highlight w:val="none"/>
          <w:u w:val="single"/>
        </w:rPr>
        <w:t>发包人承担保管费用</w:t>
      </w:r>
      <w:r>
        <w:rPr>
          <w:rFonts w:hint="eastAsia" w:cs="宋体" w:asciiTheme="minorEastAsia" w:hAnsiTheme="minorEastAsia" w:eastAsiaTheme="minorEastAsia"/>
          <w:color w:val="auto"/>
          <w:szCs w:val="21"/>
          <w:highlight w:val="none"/>
        </w:rPr>
        <w:t>。</w:t>
      </w:r>
    </w:p>
    <w:p w14:paraId="1D3F6A77">
      <w:pPr>
        <w:pStyle w:val="33"/>
        <w:adjustRightInd w:val="0"/>
        <w:snapToGrid w:val="0"/>
        <w:spacing w:line="500" w:lineRule="exact"/>
        <w:ind w:left="0" w:leftChars="0"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承包人应委托有相应资质（设计及施工资质）的单位进行施工，否则因资质问题验收延迟而延误工期，责任和费用均由承包人承担。</w:t>
      </w:r>
    </w:p>
    <w:bookmarkEnd w:id="714"/>
    <w:p w14:paraId="461BA931">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10.3 </w:t>
      </w:r>
      <w:r>
        <w:rPr>
          <w:rFonts w:hint="eastAsia" w:cs="宋体" w:asciiTheme="minorEastAsia" w:hAnsiTheme="minorEastAsia" w:eastAsiaTheme="minorEastAsia"/>
          <w:b/>
          <w:color w:val="auto"/>
          <w:szCs w:val="21"/>
          <w:highlight w:val="none"/>
        </w:rPr>
        <w:t>工程的接收</w:t>
      </w:r>
    </w:p>
    <w:p w14:paraId="799C4B6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10.3.1工程接收的先后顺序、时间安排和其他要求：</w:t>
      </w:r>
      <w:r>
        <w:rPr>
          <w:rFonts w:hint="eastAsia" w:cs="宋体" w:asciiTheme="minorEastAsia" w:hAnsiTheme="minorEastAsia" w:eastAsiaTheme="minorEastAsia"/>
          <w:color w:val="auto"/>
          <w:szCs w:val="21"/>
          <w:highlight w:val="none"/>
          <w:u w:val="single"/>
        </w:rPr>
        <w:t>各项验收完成，取得相关证明文件。</w:t>
      </w:r>
    </w:p>
    <w:p w14:paraId="3FCDE46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10.3.2 </w:t>
      </w:r>
      <w:r>
        <w:rPr>
          <w:rFonts w:hint="eastAsia" w:cs="宋体" w:asciiTheme="minorEastAsia" w:hAnsiTheme="minorEastAsia" w:eastAsiaTheme="minorEastAsia"/>
          <w:color w:val="auto"/>
          <w:szCs w:val="21"/>
          <w:highlight w:val="none"/>
        </w:rPr>
        <w:t>接受工程时承包人需提交竣工验收资料的类别、内容、份数和提交时间：</w:t>
      </w:r>
      <w:r>
        <w:rPr>
          <w:rFonts w:hint="eastAsia" w:cs="宋体" w:asciiTheme="minorEastAsia" w:hAnsiTheme="minorEastAsia" w:eastAsiaTheme="minorEastAsia"/>
          <w:color w:val="auto"/>
          <w:szCs w:val="21"/>
          <w:highlight w:val="none"/>
          <w:u w:val="single"/>
        </w:rPr>
        <w:t>竣工验收完成后</w:t>
      </w:r>
      <w:r>
        <w:rPr>
          <w:rFonts w:cs="宋体" w:asciiTheme="minorEastAsia" w:hAnsiTheme="minorEastAsia" w:eastAsiaTheme="minorEastAsia"/>
          <w:color w:val="auto"/>
          <w:szCs w:val="21"/>
          <w:highlight w:val="none"/>
          <w:u w:val="single"/>
        </w:rPr>
        <w:t>28日内，提交一式四份资料</w:t>
      </w:r>
      <w:r>
        <w:rPr>
          <w:rFonts w:hint="eastAsia" w:cs="宋体" w:asciiTheme="minorEastAsia" w:hAnsiTheme="minorEastAsia" w:eastAsiaTheme="minorEastAsia"/>
          <w:color w:val="auto"/>
          <w:szCs w:val="21"/>
          <w:highlight w:val="none"/>
        </w:rPr>
        <w:t>。</w:t>
      </w:r>
    </w:p>
    <w:p w14:paraId="7CD8BFE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10.3.3 </w:t>
      </w:r>
      <w:r>
        <w:rPr>
          <w:rFonts w:hint="eastAsia" w:cs="宋体" w:asciiTheme="minorEastAsia" w:hAnsiTheme="minorEastAsia" w:eastAsiaTheme="minorEastAsia"/>
          <w:color w:val="auto"/>
          <w:szCs w:val="21"/>
          <w:highlight w:val="none"/>
        </w:rPr>
        <w:t>发包人逾期接收工程的违约责任：</w:t>
      </w:r>
      <w:r>
        <w:rPr>
          <w:rFonts w:hint="eastAsia" w:cs="宋体" w:asciiTheme="minorEastAsia" w:hAnsiTheme="minorEastAsia" w:eastAsiaTheme="minorEastAsia"/>
          <w:color w:val="auto"/>
          <w:szCs w:val="21"/>
          <w:highlight w:val="none"/>
          <w:u w:val="single"/>
        </w:rPr>
        <w:t>按承包人实际看护人员计算，实际看护人员以发包人确认的人员为准，看护费用为每人每月</w:t>
      </w:r>
      <w:r>
        <w:rPr>
          <w:rFonts w:cs="宋体" w:asciiTheme="minorEastAsia" w:hAnsiTheme="minorEastAsia" w:eastAsiaTheme="minorEastAsia"/>
          <w:color w:val="auto"/>
          <w:szCs w:val="21"/>
          <w:highlight w:val="none"/>
          <w:u w:val="single"/>
        </w:rPr>
        <w:t>6000元</w:t>
      </w:r>
      <w:r>
        <w:rPr>
          <w:rFonts w:hint="eastAsia" w:cs="宋体" w:asciiTheme="minorEastAsia" w:hAnsiTheme="minorEastAsia" w:eastAsiaTheme="minorEastAsia"/>
          <w:color w:val="auto"/>
          <w:szCs w:val="21"/>
          <w:highlight w:val="none"/>
          <w:u w:val="single"/>
        </w:rPr>
        <w:t>（含税全费用价格）</w:t>
      </w:r>
      <w:r>
        <w:rPr>
          <w:rFonts w:hint="eastAsia" w:cs="宋体" w:asciiTheme="minorEastAsia" w:hAnsiTheme="minorEastAsia" w:eastAsiaTheme="minorEastAsia"/>
          <w:color w:val="auto"/>
          <w:szCs w:val="21"/>
          <w:highlight w:val="none"/>
        </w:rPr>
        <w:t>。</w:t>
      </w:r>
    </w:p>
    <w:p w14:paraId="532CECA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 xml:space="preserve">10.3.4 </w:t>
      </w:r>
      <w:r>
        <w:rPr>
          <w:rFonts w:hint="eastAsia" w:cs="宋体" w:asciiTheme="minorEastAsia" w:hAnsiTheme="minorEastAsia" w:eastAsiaTheme="minorEastAsia"/>
          <w:color w:val="auto"/>
          <w:szCs w:val="21"/>
          <w:highlight w:val="none"/>
        </w:rPr>
        <w:t>承包人无正当理由不移交工程的违约责任：</w:t>
      </w:r>
      <w:r>
        <w:rPr>
          <w:rFonts w:hint="eastAsia" w:cs="宋体" w:asciiTheme="minorEastAsia" w:hAnsiTheme="minorEastAsia" w:eastAsiaTheme="minorEastAsia"/>
          <w:color w:val="auto"/>
          <w:szCs w:val="21"/>
          <w:highlight w:val="none"/>
          <w:u w:val="single"/>
        </w:rPr>
        <w:t>每逾期一天应以签约合同价为基数，按照贷款市场报价利率（LPR）支付违约金。</w:t>
      </w:r>
    </w:p>
    <w:p w14:paraId="7C6E6003">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10.4 </w:t>
      </w:r>
      <w:r>
        <w:rPr>
          <w:rFonts w:hint="eastAsia" w:cs="宋体" w:asciiTheme="minorEastAsia" w:hAnsiTheme="minorEastAsia" w:eastAsiaTheme="minorEastAsia"/>
          <w:b/>
          <w:color w:val="auto"/>
          <w:szCs w:val="21"/>
          <w:highlight w:val="none"/>
        </w:rPr>
        <w:t>接收证书</w:t>
      </w:r>
    </w:p>
    <w:p w14:paraId="33A0B32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10.4.1 </w:t>
      </w:r>
      <w:r>
        <w:rPr>
          <w:rFonts w:hint="eastAsia" w:cs="宋体" w:asciiTheme="minorEastAsia" w:hAnsiTheme="minorEastAsia" w:eastAsiaTheme="minorEastAsia"/>
          <w:color w:val="auto"/>
          <w:szCs w:val="21"/>
          <w:highlight w:val="none"/>
        </w:rPr>
        <w:t>工程接收证书颁发时间：</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w:t>
      </w:r>
    </w:p>
    <w:p w14:paraId="45F67124">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10.5 </w:t>
      </w:r>
      <w:r>
        <w:rPr>
          <w:rFonts w:hint="eastAsia" w:cs="宋体" w:asciiTheme="minorEastAsia" w:hAnsiTheme="minorEastAsia" w:eastAsiaTheme="minorEastAsia"/>
          <w:b/>
          <w:color w:val="auto"/>
          <w:szCs w:val="21"/>
          <w:highlight w:val="none"/>
        </w:rPr>
        <w:t>竣工退场</w:t>
      </w:r>
    </w:p>
    <w:p w14:paraId="4DF9CFC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10.5.1 </w:t>
      </w:r>
      <w:r>
        <w:rPr>
          <w:rFonts w:hint="eastAsia" w:cs="宋体" w:asciiTheme="minorEastAsia" w:hAnsiTheme="minorEastAsia" w:eastAsiaTheme="minorEastAsia"/>
          <w:color w:val="auto"/>
          <w:szCs w:val="21"/>
          <w:highlight w:val="none"/>
        </w:rPr>
        <w:t>竣工退场的相关约定：</w:t>
      </w:r>
      <w:r>
        <w:rPr>
          <w:rFonts w:hint="eastAsia" w:cs="宋体" w:asciiTheme="minorEastAsia" w:hAnsiTheme="minorEastAsia" w:eastAsiaTheme="minorEastAsia"/>
          <w:color w:val="auto"/>
          <w:szCs w:val="21"/>
          <w:highlight w:val="none"/>
          <w:u w:val="single"/>
        </w:rPr>
        <w:t>发包人颁发工程接收证书后</w:t>
      </w:r>
      <w:r>
        <w:rPr>
          <w:rFonts w:cs="宋体" w:asciiTheme="minorEastAsia" w:hAnsiTheme="minorEastAsia" w:eastAsiaTheme="minorEastAsia"/>
          <w:color w:val="auto"/>
          <w:szCs w:val="21"/>
          <w:highlight w:val="none"/>
          <w:u w:val="single"/>
        </w:rPr>
        <w:t>30日历天内完成退场</w:t>
      </w:r>
      <w:r>
        <w:rPr>
          <w:rFonts w:hint="eastAsia" w:cs="宋体" w:asciiTheme="minorEastAsia" w:hAnsiTheme="minorEastAsia" w:eastAsiaTheme="minorEastAsia"/>
          <w:color w:val="auto"/>
          <w:szCs w:val="21"/>
          <w:highlight w:val="none"/>
        </w:rPr>
        <w:t>。</w:t>
      </w:r>
    </w:p>
    <w:p w14:paraId="6BC0711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项目临建拆除及杂物清理移交前清理：承包人自理，发包人不再另行计取费用。</w:t>
      </w:r>
    </w:p>
    <w:p w14:paraId="0C90E24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10.5.3人员撤离</w:t>
      </w:r>
    </w:p>
    <w:p w14:paraId="403C742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工程师同意需在缺陷责任期内继续工作和使用的人员、施工设备和临时工程的内容：</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12F98124">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15" w:name="_Toc54862342"/>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11条 </w:t>
      </w:r>
      <w:r>
        <w:rPr>
          <w:rFonts w:hint="eastAsia" w:cs="宋体" w:asciiTheme="minorEastAsia" w:hAnsiTheme="minorEastAsia" w:eastAsiaTheme="minorEastAsia"/>
          <w:b/>
          <w:color w:val="auto"/>
          <w:szCs w:val="21"/>
          <w:highlight w:val="none"/>
        </w:rPr>
        <w:t>缺陷责任与保修</w:t>
      </w:r>
      <w:bookmarkEnd w:id="715"/>
    </w:p>
    <w:p w14:paraId="7EB807E6">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11.2 </w:t>
      </w:r>
      <w:r>
        <w:rPr>
          <w:rFonts w:hint="eastAsia" w:cs="宋体" w:asciiTheme="minorEastAsia" w:hAnsiTheme="minorEastAsia" w:eastAsiaTheme="minorEastAsia"/>
          <w:b/>
          <w:color w:val="auto"/>
          <w:szCs w:val="21"/>
          <w:highlight w:val="none"/>
        </w:rPr>
        <w:t>缺陷责任期</w:t>
      </w:r>
    </w:p>
    <w:p w14:paraId="2673CD6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缺陷责任期的期限：</w:t>
      </w:r>
      <w:r>
        <w:rPr>
          <w:rFonts w:cs="宋体" w:asciiTheme="minorEastAsia" w:hAnsiTheme="minorEastAsia" w:eastAsiaTheme="minorEastAsia"/>
          <w:color w:val="auto"/>
          <w:szCs w:val="21"/>
          <w:highlight w:val="none"/>
          <w:u w:val="single"/>
        </w:rPr>
        <w:t>24个月</w:t>
      </w:r>
      <w:r>
        <w:rPr>
          <w:rFonts w:hint="eastAsia" w:cs="宋体" w:asciiTheme="minorEastAsia" w:hAnsiTheme="minorEastAsia" w:eastAsiaTheme="minorEastAsia"/>
          <w:color w:val="auto"/>
          <w:szCs w:val="21"/>
          <w:highlight w:val="none"/>
        </w:rPr>
        <w:t>。</w:t>
      </w:r>
    </w:p>
    <w:p w14:paraId="4313F69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本合同中缺陷期和质保期规定不一致的，均以质保期规定为准（详见附件《工程质量保修书》）</w:t>
      </w:r>
      <w:r>
        <w:rPr>
          <w:rFonts w:hint="eastAsia" w:cs="宋体" w:asciiTheme="minorEastAsia" w:hAnsiTheme="minorEastAsia" w:eastAsiaTheme="minorEastAsia"/>
          <w:color w:val="auto"/>
          <w:szCs w:val="21"/>
          <w:highlight w:val="none"/>
        </w:rPr>
        <w:t>。</w:t>
      </w:r>
    </w:p>
    <w:p w14:paraId="5E2A8A49">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11.3 </w:t>
      </w:r>
      <w:r>
        <w:rPr>
          <w:rFonts w:hint="eastAsia" w:cs="宋体" w:asciiTheme="minorEastAsia" w:hAnsiTheme="minorEastAsia" w:eastAsiaTheme="minorEastAsia"/>
          <w:b/>
          <w:color w:val="auto"/>
          <w:szCs w:val="21"/>
          <w:highlight w:val="none"/>
        </w:rPr>
        <w:t>缺陷调查</w:t>
      </w:r>
    </w:p>
    <w:p w14:paraId="7146FCA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11.3.4 </w:t>
      </w:r>
      <w:r>
        <w:rPr>
          <w:rFonts w:hint="eastAsia" w:cs="宋体" w:asciiTheme="minorEastAsia" w:hAnsiTheme="minorEastAsia" w:eastAsiaTheme="minorEastAsia"/>
          <w:color w:val="auto"/>
          <w:szCs w:val="21"/>
          <w:highlight w:val="none"/>
        </w:rPr>
        <w:t>修复通知</w:t>
      </w:r>
    </w:p>
    <w:p w14:paraId="2ECEA8E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承包人收到保修通知并到达工程现场的合理时间：</w:t>
      </w:r>
      <w:r>
        <w:rPr>
          <w:rFonts w:cs="宋体" w:asciiTheme="minorEastAsia" w:hAnsiTheme="minorEastAsia" w:eastAsiaTheme="minorEastAsia"/>
          <w:color w:val="auto"/>
          <w:kern w:val="0"/>
          <w:szCs w:val="21"/>
          <w:highlight w:val="none"/>
          <w:u w:val="single"/>
        </w:rPr>
        <w:t>24小时内</w:t>
      </w:r>
      <w:r>
        <w:rPr>
          <w:rFonts w:hint="eastAsia" w:cs="宋体" w:asciiTheme="minorEastAsia" w:hAnsiTheme="minorEastAsia" w:eastAsiaTheme="minorEastAsia"/>
          <w:color w:val="auto"/>
          <w:szCs w:val="21"/>
          <w:highlight w:val="none"/>
        </w:rPr>
        <w:t>。</w:t>
      </w:r>
    </w:p>
    <w:p w14:paraId="4BF9B93D">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u w:val="single"/>
        </w:rPr>
      </w:pPr>
      <w:r>
        <w:rPr>
          <w:rFonts w:hint="eastAsia" w:cs="宋体" w:asciiTheme="minorEastAsia" w:hAnsiTheme="minorEastAsia" w:eastAsiaTheme="minorEastAsia"/>
          <w:color w:val="auto"/>
          <w:kern w:val="0"/>
          <w:szCs w:val="21"/>
          <w:highlight w:val="none"/>
          <w:u w:val="single"/>
        </w:rPr>
        <w:t>施工质量原因引起的返工或补充施工，由承包人负责免费实施，承包人如拒绝，发包人有权委托其他单位施工，发包人委托其他单位施工工程内容的单价由发包人按市场行情直接确定单价。以上维修、返工产生的全部费用将直接从承包人的工程款中扣除。（承包人拒绝的依据为发包人发出相关工作联系单后（含电话通知、传真）</w:t>
      </w:r>
      <w:r>
        <w:rPr>
          <w:rFonts w:cs="宋体" w:asciiTheme="minorEastAsia" w:hAnsiTheme="minorEastAsia" w:eastAsiaTheme="minorEastAsia"/>
          <w:color w:val="auto"/>
          <w:kern w:val="0"/>
          <w:szCs w:val="21"/>
          <w:highlight w:val="none"/>
          <w:u w:val="single"/>
        </w:rPr>
        <w:t>24小时内未书面回复或派工作人员到场）。</w:t>
      </w:r>
    </w:p>
    <w:p w14:paraId="130BA52C">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u w:val="single"/>
        </w:rPr>
      </w:pPr>
      <w:r>
        <w:rPr>
          <w:rFonts w:hint="eastAsia" w:cs="宋体" w:asciiTheme="minorEastAsia" w:hAnsiTheme="minorEastAsia" w:eastAsiaTheme="minorEastAsia"/>
          <w:color w:val="auto"/>
          <w:kern w:val="0"/>
          <w:szCs w:val="21"/>
          <w:highlight w:val="none"/>
          <w:u w:val="single"/>
        </w:rPr>
        <w:t>承包人承诺，本工程如存在施工质量原因引起的返工或补充施工，由承包人负责免费实施，如拒绝施工，承包人同意所有费用按第②条约定办法扣除，详见附件《工程返修》。</w:t>
      </w:r>
    </w:p>
    <w:p w14:paraId="27E63882">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u w:val="single"/>
        </w:rPr>
      </w:pPr>
      <w:r>
        <w:rPr>
          <w:rFonts w:hint="eastAsia" w:cs="宋体" w:asciiTheme="minorEastAsia" w:hAnsiTheme="minorEastAsia" w:eastAsiaTheme="minorEastAsia"/>
          <w:color w:val="auto"/>
          <w:kern w:val="0"/>
          <w:szCs w:val="21"/>
          <w:highlight w:val="none"/>
          <w:u w:val="single"/>
        </w:rPr>
        <w:t>工程交付期及保修期内，承包人应在接到发包人的维修通知后，在指定时间内到场进行维修并在合理时间内修复完毕，否则视为授权发包人可另行安排维修，由发包人另行安排维修所发生费用及相应责任由承包人承担。（维修人员在接到报修任务通知后规定时间未进场施工的，或维修人员未按要求待命及签名，均视为自动委托发包人自行组织施工。）前述情况下所发生的维修工程量以发包人或者发包人委托的监理公司与实际维修方共同确认的工程量为准，维修费用按发包人或者发包人委托的监理公司与实际维修方共同确认费用的</w:t>
      </w:r>
      <w:r>
        <w:rPr>
          <w:rFonts w:cs="宋体" w:asciiTheme="minorEastAsia" w:hAnsiTheme="minorEastAsia" w:eastAsiaTheme="minorEastAsia"/>
          <w:color w:val="auto"/>
          <w:kern w:val="0"/>
          <w:szCs w:val="21"/>
          <w:highlight w:val="none"/>
          <w:u w:val="single"/>
        </w:rPr>
        <w:t>2倍计算。维修费用由发包人从承包人保修金中扣回，保修金余额不足的，承包人应向发包人补足差额部分。发包人另行安排第三方维修并不因此免除承包人对整个工程的维保修责任，第三方维修的工程在保修期内再出现质量问题，承包人仍应承担保修责任。</w:t>
      </w:r>
    </w:p>
    <w:p w14:paraId="6A3ECD38">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11.6 </w:t>
      </w:r>
      <w:r>
        <w:rPr>
          <w:rFonts w:hint="eastAsia" w:cs="宋体" w:asciiTheme="minorEastAsia" w:hAnsiTheme="minorEastAsia" w:eastAsiaTheme="minorEastAsia"/>
          <w:b/>
          <w:color w:val="auto"/>
          <w:szCs w:val="21"/>
          <w:highlight w:val="none"/>
        </w:rPr>
        <w:t>缺陷责任期终止证书</w:t>
      </w:r>
    </w:p>
    <w:p w14:paraId="200040E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承包人应于缺陷责任期届满后</w:t>
      </w:r>
      <w:r>
        <w:rPr>
          <w:rFonts w:cs="宋体" w:asciiTheme="minorEastAsia" w:hAnsiTheme="minorEastAsia" w:eastAsiaTheme="minorEastAsia"/>
          <w:color w:val="auto"/>
          <w:szCs w:val="21"/>
          <w:highlight w:val="none"/>
          <w:u w:val="single"/>
        </w:rPr>
        <w:t xml:space="preserve"> 7 </w:t>
      </w:r>
      <w:r>
        <w:rPr>
          <w:rFonts w:hint="eastAsia" w:cs="宋体" w:asciiTheme="minorEastAsia" w:hAnsiTheme="minorEastAsia" w:eastAsiaTheme="minorEastAsia"/>
          <w:color w:val="auto"/>
          <w:szCs w:val="21"/>
          <w:highlight w:val="none"/>
        </w:rPr>
        <w:t>天内向发包人发出缺陷责任期届满通知，发包人应在收到缺陷责任期满通知后</w:t>
      </w:r>
      <w:r>
        <w:rPr>
          <w:rFonts w:cs="宋体" w:asciiTheme="minorEastAsia" w:hAnsiTheme="minorEastAsia" w:eastAsiaTheme="minorEastAsia"/>
          <w:color w:val="auto"/>
          <w:szCs w:val="21"/>
          <w:highlight w:val="none"/>
          <w:u w:val="single"/>
        </w:rPr>
        <w:t xml:space="preserve"> 28</w:t>
      </w:r>
      <w:r>
        <w:rPr>
          <w:rFonts w:hint="eastAsia" w:cs="宋体" w:asciiTheme="minorEastAsia" w:hAnsiTheme="minorEastAsia" w:eastAsiaTheme="minorEastAsia"/>
          <w:color w:val="auto"/>
          <w:szCs w:val="21"/>
          <w:highlight w:val="none"/>
        </w:rPr>
        <w:t>天内核实承包人是否履行缺陷修复义务，承包人未能履行缺陷修复义务的，发包人有权扣除相应金额的维修费用。发包人应在收到缺陷责任期届满通知后天内，向承包人颁发缺陷责任期终止证书。</w:t>
      </w:r>
    </w:p>
    <w:p w14:paraId="1F9D5E0D">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11.7 </w:t>
      </w:r>
      <w:r>
        <w:rPr>
          <w:rFonts w:hint="eastAsia" w:cs="宋体" w:asciiTheme="minorEastAsia" w:hAnsiTheme="minorEastAsia" w:eastAsiaTheme="minorEastAsia"/>
          <w:b/>
          <w:color w:val="auto"/>
          <w:szCs w:val="21"/>
          <w:highlight w:val="none"/>
        </w:rPr>
        <w:t>保修责任</w:t>
      </w:r>
    </w:p>
    <w:p w14:paraId="6F8824E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工程质量保修范围、期限和责任为：</w:t>
      </w:r>
      <w:r>
        <w:rPr>
          <w:rFonts w:hint="eastAsia" w:cs="宋体" w:asciiTheme="minorEastAsia" w:hAnsiTheme="minorEastAsia" w:eastAsiaTheme="minorEastAsia"/>
          <w:color w:val="auto"/>
          <w:kern w:val="0"/>
          <w:szCs w:val="21"/>
          <w:highlight w:val="none"/>
          <w:u w:val="single"/>
        </w:rPr>
        <w:t>详见附件《工程质量保修书》</w:t>
      </w:r>
      <w:r>
        <w:rPr>
          <w:rFonts w:hint="eastAsia" w:cs="宋体" w:asciiTheme="minorEastAsia" w:hAnsiTheme="minorEastAsia" w:eastAsiaTheme="minorEastAsia"/>
          <w:color w:val="auto"/>
          <w:szCs w:val="21"/>
          <w:highlight w:val="none"/>
        </w:rPr>
        <w:t>。</w:t>
      </w:r>
    </w:p>
    <w:p w14:paraId="2909F46A">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16" w:name="_Toc54862343"/>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12条 </w:t>
      </w:r>
      <w:r>
        <w:rPr>
          <w:rFonts w:hint="eastAsia" w:cs="宋体" w:asciiTheme="minorEastAsia" w:hAnsiTheme="minorEastAsia" w:eastAsiaTheme="minorEastAsia"/>
          <w:b/>
          <w:color w:val="auto"/>
          <w:szCs w:val="21"/>
          <w:highlight w:val="none"/>
        </w:rPr>
        <w:t>竣工后试验</w:t>
      </w:r>
      <w:bookmarkEnd w:id="716"/>
    </w:p>
    <w:p w14:paraId="16091C0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本合同工程是否包含竣工后试验：</w:t>
      </w:r>
      <w:r>
        <w:rPr>
          <w:rFonts w:hint="eastAsia" w:cs="宋体" w:asciiTheme="minorEastAsia" w:hAnsiTheme="minorEastAsia" w:eastAsiaTheme="minorEastAsia"/>
          <w:color w:val="auto"/>
          <w:szCs w:val="21"/>
          <w:highlight w:val="none"/>
          <w:u w:val="single"/>
        </w:rPr>
        <w:t>承包人指导竣工后试验</w:t>
      </w:r>
      <w:r>
        <w:rPr>
          <w:rFonts w:hint="eastAsia" w:cs="宋体" w:asciiTheme="minorEastAsia" w:hAnsiTheme="minorEastAsia" w:eastAsiaTheme="minorEastAsia"/>
          <w:color w:val="auto"/>
          <w:szCs w:val="21"/>
          <w:highlight w:val="none"/>
        </w:rPr>
        <w:t>。</w:t>
      </w:r>
    </w:p>
    <w:p w14:paraId="29785CA5">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12.1 </w:t>
      </w:r>
      <w:r>
        <w:rPr>
          <w:rFonts w:hint="eastAsia" w:cs="宋体" w:asciiTheme="minorEastAsia" w:hAnsiTheme="minorEastAsia" w:eastAsiaTheme="minorEastAsia"/>
          <w:b/>
          <w:color w:val="auto"/>
          <w:szCs w:val="21"/>
          <w:highlight w:val="none"/>
        </w:rPr>
        <w:t>竣工后试验的程序</w:t>
      </w:r>
    </w:p>
    <w:p w14:paraId="5AEDE04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12.1.2 </w:t>
      </w:r>
      <w:r>
        <w:rPr>
          <w:rFonts w:hint="eastAsia" w:cs="宋体" w:asciiTheme="minorEastAsia" w:hAnsiTheme="minorEastAsia" w:eastAsiaTheme="minorEastAsia"/>
          <w:color w:val="auto"/>
          <w:szCs w:val="21"/>
          <w:highlight w:val="none"/>
        </w:rPr>
        <w:t>竣工后试验全部电力、水、污水处理、燃料、消耗品和材料，以及全部其他仪器、协助、文件或其他信息、设备、工具、劳力，启动工程设备，并组织安排有适当资质、经验和能力的工作人员等必要条件的提供方：承包人指导进行。</w:t>
      </w:r>
    </w:p>
    <w:p w14:paraId="5C909FEE">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17" w:name="_Toc54862344"/>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13条 </w:t>
      </w:r>
      <w:r>
        <w:rPr>
          <w:rFonts w:hint="eastAsia" w:cs="宋体" w:asciiTheme="minorEastAsia" w:hAnsiTheme="minorEastAsia" w:eastAsiaTheme="minorEastAsia"/>
          <w:b/>
          <w:color w:val="auto"/>
          <w:szCs w:val="21"/>
          <w:highlight w:val="none"/>
        </w:rPr>
        <w:t>变更与调整</w:t>
      </w:r>
      <w:bookmarkEnd w:id="717"/>
    </w:p>
    <w:p w14:paraId="484C9F2C">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13.1 </w:t>
      </w:r>
      <w:r>
        <w:rPr>
          <w:rFonts w:hint="eastAsia" w:cs="宋体" w:asciiTheme="minorEastAsia" w:hAnsiTheme="minorEastAsia" w:eastAsiaTheme="minorEastAsia"/>
          <w:b/>
          <w:color w:val="auto"/>
          <w:szCs w:val="21"/>
          <w:highlight w:val="none"/>
        </w:rPr>
        <w:t>发包人变更权</w:t>
      </w:r>
    </w:p>
    <w:p w14:paraId="6B963452">
      <w:pPr>
        <w:adjustRightInd w:val="0"/>
        <w:snapToGrid w:val="0"/>
        <w:spacing w:line="500" w:lineRule="exact"/>
        <w:ind w:firstLine="420" w:firstLineChars="200"/>
        <w:outlineLvl w:val="9"/>
        <w:rPr>
          <w:rFonts w:cs="宋体" w:asciiTheme="minorEastAsia" w:hAnsiTheme="minorEastAsia" w:eastAsiaTheme="minorEastAsia"/>
          <w:b/>
          <w:color w:val="auto"/>
          <w:szCs w:val="21"/>
          <w:highlight w:val="none"/>
          <w:u w:val="single"/>
        </w:rPr>
      </w:pPr>
      <w:r>
        <w:rPr>
          <w:rFonts w:hint="eastAsia" w:cs="宋体" w:asciiTheme="minorEastAsia" w:hAnsiTheme="minorEastAsia" w:eastAsiaTheme="minorEastAsia"/>
          <w:color w:val="auto"/>
          <w:szCs w:val="21"/>
          <w:highlight w:val="none"/>
          <w:u w:val="single"/>
        </w:rPr>
        <w:t>在施工图审查完成后，在发包人未书面通知承包人变更项目部分使用功能等变更原因的情况下，不允许有任何变更出现。承包人不能随意变更设计文件，否则双倍赔偿发包人相关损失，工期不顺延。如延误工期按照专用条款</w:t>
      </w:r>
      <w:r>
        <w:rPr>
          <w:rFonts w:cs="宋体" w:asciiTheme="minorEastAsia" w:hAnsiTheme="minorEastAsia" w:eastAsiaTheme="minorEastAsia"/>
          <w:color w:val="auto"/>
          <w:szCs w:val="21"/>
          <w:highlight w:val="none"/>
          <w:u w:val="single"/>
        </w:rPr>
        <w:t>4.1条进行处罚；同样，在施工图审查完成后，在发包人未书面通知承包人需要配合完成合同施工范围以外的内容的情况下，不允许有任何签证出现。因承包人原因导致的签证，由承包人自行承担相关费用，发包人不予认可，工期不顺延。造成工期延误按照专用条款4.1条进行处罚。</w:t>
      </w:r>
    </w:p>
    <w:p w14:paraId="295C2C3C">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13.2 </w:t>
      </w:r>
      <w:r>
        <w:rPr>
          <w:rFonts w:hint="eastAsia" w:cs="宋体" w:asciiTheme="minorEastAsia" w:hAnsiTheme="minorEastAsia" w:eastAsiaTheme="minorEastAsia"/>
          <w:b/>
          <w:color w:val="auto"/>
          <w:szCs w:val="21"/>
          <w:highlight w:val="none"/>
        </w:rPr>
        <w:t>承包人的合理化建议</w:t>
      </w:r>
    </w:p>
    <w:p w14:paraId="6794036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13.2.2 </w:t>
      </w:r>
      <w:r>
        <w:rPr>
          <w:rFonts w:hint="eastAsia" w:cs="宋体" w:asciiTheme="minorEastAsia" w:hAnsiTheme="minorEastAsia" w:eastAsiaTheme="minorEastAsia"/>
          <w:color w:val="auto"/>
          <w:szCs w:val="21"/>
          <w:highlight w:val="none"/>
        </w:rPr>
        <w:t>工程师应在收到承包人提交的合理化建议后</w:t>
      </w:r>
      <w:r>
        <w:rPr>
          <w:rFonts w:cs="宋体" w:asciiTheme="minorEastAsia" w:hAnsiTheme="minorEastAsia" w:eastAsiaTheme="minorEastAsia"/>
          <w:color w:val="auto"/>
          <w:szCs w:val="21"/>
          <w:highlight w:val="none"/>
          <w:u w:val="single"/>
        </w:rPr>
        <w:t xml:space="preserve">  7 </w:t>
      </w:r>
      <w:r>
        <w:rPr>
          <w:rFonts w:hint="eastAsia" w:cs="宋体" w:asciiTheme="minorEastAsia" w:hAnsiTheme="minorEastAsia" w:eastAsiaTheme="minorEastAsia"/>
          <w:color w:val="auto"/>
          <w:szCs w:val="21"/>
          <w:highlight w:val="none"/>
        </w:rPr>
        <w:t>日内审查完毕并报送发包人，发现其中存在技术上的缺陷，应通知承包人修改。发包人应在收到工程师报送的合理化建议后</w:t>
      </w:r>
      <w:r>
        <w:rPr>
          <w:rFonts w:cs="宋体" w:asciiTheme="minorEastAsia" w:hAnsiTheme="minorEastAsia" w:eastAsiaTheme="minorEastAsia"/>
          <w:color w:val="auto"/>
          <w:szCs w:val="21"/>
          <w:highlight w:val="none"/>
          <w:u w:val="single"/>
        </w:rPr>
        <w:t xml:space="preserve"> 14 </w:t>
      </w:r>
      <w:r>
        <w:rPr>
          <w:rFonts w:hint="eastAsia" w:cs="宋体" w:asciiTheme="minorEastAsia" w:hAnsiTheme="minorEastAsia" w:eastAsiaTheme="minorEastAsia"/>
          <w:color w:val="auto"/>
          <w:szCs w:val="21"/>
          <w:highlight w:val="none"/>
        </w:rPr>
        <w:t>日内审批完毕。合理化建议经发包人批准的，工程师应及时发出变更指示，由此引起的合同价格调整按照</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执行。发包人不同意变更的，工程师应书面通知承包人。</w:t>
      </w:r>
    </w:p>
    <w:p w14:paraId="41797E7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13.2.3 </w:t>
      </w:r>
      <w:r>
        <w:rPr>
          <w:rFonts w:hint="eastAsia" w:cs="宋体" w:asciiTheme="minorEastAsia" w:hAnsiTheme="minorEastAsia" w:eastAsiaTheme="minorEastAsia"/>
          <w:color w:val="auto"/>
          <w:szCs w:val="21"/>
          <w:highlight w:val="none"/>
        </w:rPr>
        <w:t>承包人提出的合理化变更建议的利益分享约定：</w:t>
      </w:r>
      <w:r>
        <w:rPr>
          <w:rFonts w:hint="eastAsia" w:cs="宋体" w:asciiTheme="minorEastAsia" w:hAnsiTheme="minorEastAsia" w:eastAsiaTheme="minorEastAsia"/>
          <w:color w:val="auto"/>
          <w:szCs w:val="21"/>
          <w:highlight w:val="none"/>
          <w:u w:val="single"/>
        </w:rPr>
        <w:t>无</w:t>
      </w:r>
      <w:r>
        <w:rPr>
          <w:rFonts w:hint="eastAsia" w:cs="宋体" w:asciiTheme="minorEastAsia" w:hAnsiTheme="minorEastAsia" w:eastAsiaTheme="minorEastAsia"/>
          <w:color w:val="auto"/>
          <w:szCs w:val="21"/>
          <w:highlight w:val="none"/>
        </w:rPr>
        <w:t>。</w:t>
      </w:r>
    </w:p>
    <w:p w14:paraId="67240E2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在施工中提出的合理化建议涉及到对设计图纸或施工组织设计的更改及对材料、设备的换用，须经工程师同意。未经同意擅自更改或换用时，承包人承担由此发生的费用，并赔偿发包人的有关损失，延误的工期不予顺延</w:t>
      </w:r>
      <w:r>
        <w:rPr>
          <w:rFonts w:hint="eastAsia" w:cs="宋体" w:asciiTheme="minorEastAsia" w:hAnsiTheme="minorEastAsia" w:eastAsiaTheme="minorEastAsia"/>
          <w:color w:val="auto"/>
          <w:szCs w:val="21"/>
          <w:highlight w:val="none"/>
        </w:rPr>
        <w:t>。</w:t>
      </w:r>
    </w:p>
    <w:p w14:paraId="4002A341">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13.3 </w:t>
      </w:r>
      <w:r>
        <w:rPr>
          <w:rFonts w:hint="eastAsia" w:cs="宋体" w:asciiTheme="minorEastAsia" w:hAnsiTheme="minorEastAsia" w:eastAsiaTheme="minorEastAsia"/>
          <w:b/>
          <w:color w:val="auto"/>
          <w:szCs w:val="21"/>
          <w:highlight w:val="none"/>
        </w:rPr>
        <w:t>变更程序</w:t>
      </w:r>
    </w:p>
    <w:p w14:paraId="631BF40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13.3.3 </w:t>
      </w:r>
      <w:r>
        <w:rPr>
          <w:rFonts w:hint="eastAsia" w:cs="宋体" w:asciiTheme="minorEastAsia" w:hAnsiTheme="minorEastAsia" w:eastAsiaTheme="minorEastAsia"/>
          <w:color w:val="auto"/>
          <w:szCs w:val="21"/>
          <w:highlight w:val="none"/>
        </w:rPr>
        <w:t>变更估价</w:t>
      </w:r>
    </w:p>
    <w:p w14:paraId="18600F4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13.3.3.1 </w:t>
      </w:r>
      <w:r>
        <w:rPr>
          <w:rFonts w:hint="eastAsia" w:cs="宋体" w:asciiTheme="minorEastAsia" w:hAnsiTheme="minorEastAsia" w:eastAsiaTheme="minorEastAsia"/>
          <w:color w:val="auto"/>
          <w:szCs w:val="21"/>
          <w:highlight w:val="none"/>
        </w:rPr>
        <w:t>变更估价原则</w:t>
      </w:r>
    </w:p>
    <w:p w14:paraId="635E105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关于变更估价原则的约定：</w:t>
      </w:r>
    </w:p>
    <w:p w14:paraId="4D32D8E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变更、签证（增加或减少部分工程量）价款的确定：</w:t>
      </w:r>
    </w:p>
    <w:p w14:paraId="4BCB08C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施工图预算中已有综合单价的，按照施工图预算的综合单价确定</w:t>
      </w:r>
      <w:r>
        <w:rPr>
          <w:rFonts w:hint="eastAsia" w:cs="宋体" w:asciiTheme="minorEastAsia" w:hAnsiTheme="minorEastAsia" w:eastAsiaTheme="minorEastAsia"/>
          <w:color w:val="auto"/>
          <w:szCs w:val="21"/>
          <w:highlight w:val="none"/>
        </w:rPr>
        <w:t>。</w:t>
      </w:r>
    </w:p>
    <w:p w14:paraId="690B31C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施工图预算中没有的综合单价，其综合单价执行施工图预算综合单价执行《建设工程工程量清单计价标准》（DB61/T 5126-2025）、《房屋建筑与装饰工程工程量计算标准》（DB61/T 5129-2025）、《通用安装工程工程量计算标准》（DB61/T 5130-2025）、《园林绿化工程工程量计算标准》（DB61/T 5131-2025）、2025年《陕西省建筑与装饰工程消耗量定额》、2025年《陕西省通用安装工程消耗量定额》、</w:t>
      </w:r>
      <w:r>
        <w:rPr>
          <w:rFonts w:hint="eastAsia" w:cs="宋体" w:asciiTheme="minorEastAsia" w:hAnsiTheme="minorEastAsia" w:eastAsiaTheme="minorEastAsia"/>
          <w:color w:val="auto"/>
          <w:szCs w:val="21"/>
          <w:highlight w:val="none"/>
          <w:u w:val="single"/>
          <w:lang w:val="en-US" w:eastAsia="zh-CN"/>
        </w:rPr>
        <w:t>2025年《陕西省市政工程消耗量定额》、</w:t>
      </w:r>
      <w:r>
        <w:rPr>
          <w:rFonts w:hint="eastAsia" w:cs="宋体" w:asciiTheme="minorEastAsia" w:hAnsiTheme="minorEastAsia" w:eastAsiaTheme="minorEastAsia"/>
          <w:color w:val="auto"/>
          <w:szCs w:val="21"/>
          <w:highlight w:val="none"/>
          <w:u w:val="single"/>
        </w:rPr>
        <w:t>2025年《陕西省园林绿化工程消耗量定额》、《陕西省房屋建筑与装饰工程基价表（2025）》、《陕西省通用安装工程基价表（2025）》、《陕西省市政工程基价表（2025）》、《陕西省园林绿化工程基价表（2025）》及相关文件在“人工调整计入差价”模式下进行组价后并乘以中标建筑安装工程费折算率折算后执行，折算率为95.854</w:t>
      </w:r>
      <w:r>
        <w:rPr>
          <w:rFonts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rPr>
        <w:t>建筑安装工程费折算率=建筑安装工程费（不含专业工程暂估价、暂列金额）投标报价/建筑安装工程费（不含专业工程暂估价、暂列金额）最高限价×100%</w:t>
      </w:r>
      <w:r>
        <w:rPr>
          <w:rFonts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rPr>
        <w:t>。重新组价的主要材料价格按发包人确认的价格或参考施工当期信息价</w:t>
      </w:r>
      <w:r>
        <w:rPr>
          <w:rFonts w:hint="eastAsia" w:cs="宋体" w:asciiTheme="minorEastAsia" w:hAnsiTheme="minorEastAsia" w:eastAsiaTheme="minorEastAsia"/>
          <w:color w:val="auto"/>
          <w:szCs w:val="21"/>
          <w:highlight w:val="none"/>
        </w:rPr>
        <w:t>。</w:t>
      </w:r>
    </w:p>
    <w:p w14:paraId="11A22AF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zCs w:val="21"/>
          <w:highlight w:val="none"/>
          <w:u w:val="single"/>
        </w:rPr>
        <w:t>若同一个施工图预算中有相同的清单，报价不同，则结算时以不利于承包人的情况结算。若同一个合同中有相同的材料，报价不同，则结算时以不利于承包人的情况结算</w:t>
      </w:r>
      <w:r>
        <w:rPr>
          <w:rFonts w:hint="eastAsia" w:cs="宋体" w:asciiTheme="minorEastAsia" w:hAnsiTheme="minorEastAsia" w:eastAsiaTheme="minorEastAsia"/>
          <w:color w:val="auto"/>
          <w:szCs w:val="21"/>
          <w:highlight w:val="none"/>
        </w:rPr>
        <w:t>。</w:t>
      </w:r>
    </w:p>
    <w:p w14:paraId="48D3BCF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工程施工过程中发生的经审批的工程变更、签证单，经甲、乙双方定期（</w:t>
      </w:r>
      <w:r>
        <w:rPr>
          <w:rFonts w:cs="宋体" w:asciiTheme="minorEastAsia" w:hAnsiTheme="minorEastAsia" w:eastAsiaTheme="minorEastAsia"/>
          <w:color w:val="auto"/>
          <w:szCs w:val="21"/>
          <w:highlight w:val="none"/>
          <w:u w:val="single"/>
        </w:rPr>
        <w:t>1个月）核对并确认后，随最近一期工程进度款一并拨付（支付</w:t>
      </w:r>
      <w:r>
        <w:rPr>
          <w:rFonts w:hint="eastAsia" w:cs="宋体" w:asciiTheme="minorEastAsia" w:hAnsiTheme="minorEastAsia" w:eastAsiaTheme="minorEastAsia"/>
          <w:color w:val="auto"/>
          <w:szCs w:val="21"/>
          <w:highlight w:val="none"/>
          <w:u w:val="single"/>
        </w:rPr>
        <w:t>80</w:t>
      </w:r>
      <w:r>
        <w:rPr>
          <w:rFonts w:cs="宋体" w:asciiTheme="minorEastAsia" w:hAnsiTheme="minorEastAsia" w:eastAsiaTheme="minorEastAsia"/>
          <w:color w:val="auto"/>
          <w:szCs w:val="21"/>
          <w:highlight w:val="none"/>
          <w:u w:val="single"/>
        </w:rPr>
        <w:t>%），未经双方核对并确认的变更、签证一律不能在进度款中支付。承包人应配合变更、签证的过程计算核对工作，不按发包人要求配合的，发包人有权暂停支付工程进度款。</w:t>
      </w:r>
    </w:p>
    <w:p w14:paraId="4EAAE41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val="en-US" w:eastAsia="zh-CN"/>
        </w:rPr>
        <w:t>4</w:t>
      </w:r>
      <w:r>
        <w:rPr>
          <w:rFonts w:cs="宋体" w:asciiTheme="minorEastAsia" w:hAnsiTheme="minorEastAsia" w:eastAsiaTheme="minorEastAsia"/>
          <w:color w:val="auto"/>
          <w:szCs w:val="21"/>
          <w:highlight w:val="none"/>
          <w:u w:val="single"/>
        </w:rPr>
        <w:t>）从施工图审查确认后，只有发包人下发的变更指令可作为设计变更执行，按变更估价原则计算费用，其余因承包人原因引起的变更发包人不予计算费用。承包人在施工中提出的合理化建议涉及到对设计图纸或施工组织设计的更改及对材料、设备的换用，须经监理工程师审核，报发包人批准后实施。</w:t>
      </w:r>
    </w:p>
    <w:p w14:paraId="332F98F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val="en-US" w:eastAsia="zh-CN"/>
        </w:rPr>
        <w:t>5</w:t>
      </w:r>
      <w:r>
        <w:rPr>
          <w:rFonts w:cs="宋体" w:asciiTheme="minorEastAsia" w:hAnsiTheme="minorEastAsia" w:eastAsiaTheme="minorEastAsia"/>
          <w:color w:val="auto"/>
          <w:szCs w:val="21"/>
          <w:highlight w:val="none"/>
          <w:u w:val="single"/>
        </w:rPr>
        <w:t>）签证管理方面，要求承包人在每月申请支付工程款时，出具月度签证证明并盖项目章，详细列出“现场工程量签证确认单”的编号、数量、主要工作等内容；如果没有发生签证，同样要求出具证明，以证明当月无签证工程发生，同时要求以电子邮件的形式，将月度签证证明扫描后邮件推发给发包人、监理人，防止施工完毕后要求补办签证手续，杜绝经济纠纷。</w:t>
      </w:r>
    </w:p>
    <w:p w14:paraId="382E4D5A">
      <w:pPr>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hint="eastAsia" w:cs="宋体" w:asciiTheme="minorEastAsia" w:hAnsiTheme="minorEastAsia" w:eastAsiaTheme="minorEastAsia"/>
          <w:color w:val="auto"/>
          <w:szCs w:val="21"/>
          <w:highlight w:val="none"/>
          <w:lang w:val="en-US" w:eastAsia="zh-CN"/>
        </w:rPr>
        <w:t>6</w:t>
      </w:r>
      <w:r>
        <w:rPr>
          <w:rFonts w:cs="宋体" w:asciiTheme="minorEastAsia" w:hAnsiTheme="minorEastAsia" w:eastAsiaTheme="minorEastAsia"/>
          <w:color w:val="auto"/>
          <w:szCs w:val="21"/>
          <w:highlight w:val="none"/>
        </w:rPr>
        <w:t>）发包人和承包人之间未能就变更工作计价达成一致的，按发包人确定的原则处理。</w:t>
      </w:r>
    </w:p>
    <w:p w14:paraId="45439A43">
      <w:pPr>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hint="eastAsia" w:cs="宋体" w:asciiTheme="minorEastAsia" w:hAnsiTheme="minorEastAsia" w:eastAsiaTheme="minorEastAsia"/>
          <w:color w:val="auto"/>
          <w:szCs w:val="21"/>
          <w:highlight w:val="none"/>
          <w:lang w:val="en-US" w:eastAsia="zh-CN"/>
        </w:rPr>
        <w:t>7</w:t>
      </w:r>
      <w:r>
        <w:rPr>
          <w:rFonts w:cs="宋体" w:asciiTheme="minorEastAsia" w:hAnsiTheme="minorEastAsia" w:eastAsiaTheme="minorEastAsia"/>
          <w:color w:val="auto"/>
          <w:szCs w:val="21"/>
          <w:highlight w:val="none"/>
        </w:rPr>
        <w:t>）竣工结算前，甲方下达的变更乙方不得拒绝施工，确保工程正常进度及交付、承包人不得以未能就变更、签证工作的计费达成一致而拒绝实施变更、签证工作，否则，发包人有权另外委托第三方进行施工，所发生的费用（按实际发生费用的1.5倍计算，实际发生费用为发包人与第三方的施工合同金额，但结算金额高于合同金额的，以结算金额为准）全部由承包人承担，发包人有权从本合同价款中扣除，由此产生的工期延误均由承包人承担。</w:t>
      </w:r>
    </w:p>
    <w:p w14:paraId="261C8C7F">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hint="eastAsia" w:cs="宋体" w:asciiTheme="minorEastAsia" w:hAnsiTheme="minorEastAsia" w:eastAsiaTheme="minorEastAsia"/>
          <w:color w:val="auto"/>
          <w:szCs w:val="21"/>
          <w:highlight w:val="none"/>
          <w:lang w:val="en-US" w:eastAsia="zh-CN"/>
        </w:rPr>
        <w:t>8</w:t>
      </w:r>
      <w:r>
        <w:rPr>
          <w:rFonts w:cs="宋体" w:asciiTheme="minorEastAsia" w:hAnsiTheme="minorEastAsia" w:eastAsiaTheme="minorEastAsia"/>
          <w:color w:val="auto"/>
          <w:szCs w:val="21"/>
          <w:highlight w:val="none"/>
        </w:rPr>
        <w:t>）</w:t>
      </w:r>
      <w:r>
        <w:rPr>
          <w:rFonts w:hint="eastAsia" w:cs="宋体" w:asciiTheme="minorEastAsia" w:hAnsiTheme="minorEastAsia" w:eastAsiaTheme="minorEastAsia"/>
          <w:color w:val="auto"/>
          <w:szCs w:val="21"/>
          <w:highlight w:val="none"/>
        </w:rPr>
        <w:t>对于涉及到隐蔽工程及拆除工程的变更、签证，承包人应在覆盖或拆除前，会同监理人、发包人共同完成工程量的确认，并采取拍照等技术手段证明资料来源的真实合理，否则，发包人对该项变更、签证产生的费用视为承包人让利，不予进行费用核算；实施完毕后30</w:t>
      </w:r>
      <w:r>
        <w:rPr>
          <w:rFonts w:cs="宋体" w:asciiTheme="minorEastAsia" w:hAnsiTheme="minorEastAsia" w:eastAsiaTheme="minorEastAsia"/>
          <w:color w:val="auto"/>
          <w:szCs w:val="21"/>
          <w:highlight w:val="none"/>
        </w:rPr>
        <w:t>日内，承包人应报请监理人和发包人现场查验并填报《现场签证单》，超过时限的，发包人有权拒绝确认，相关费用由承包人自行承担。</w:t>
      </w:r>
    </w:p>
    <w:p w14:paraId="4D782D63">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13.4 </w:t>
      </w:r>
      <w:r>
        <w:rPr>
          <w:rFonts w:hint="eastAsia" w:cs="宋体" w:asciiTheme="minorEastAsia" w:hAnsiTheme="minorEastAsia" w:eastAsiaTheme="minorEastAsia"/>
          <w:b/>
          <w:color w:val="auto"/>
          <w:szCs w:val="21"/>
          <w:highlight w:val="none"/>
        </w:rPr>
        <w:t>暂估价</w:t>
      </w:r>
    </w:p>
    <w:p w14:paraId="7BF20E5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13.4.1 </w:t>
      </w:r>
      <w:r>
        <w:rPr>
          <w:rFonts w:hint="eastAsia" w:cs="宋体" w:asciiTheme="minorEastAsia" w:hAnsiTheme="minorEastAsia" w:eastAsiaTheme="minorEastAsia"/>
          <w:color w:val="auto"/>
          <w:szCs w:val="21"/>
          <w:highlight w:val="none"/>
        </w:rPr>
        <w:t>依法必须招标的暂估价项目</w:t>
      </w:r>
    </w:p>
    <w:p w14:paraId="710D337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承包人可以参与投标的暂估价项目范围：</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无</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431AC43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承包人不得参与投标的暂估价项目范围：</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所有暂估价项目</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3BAF4FF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招投标程序及其他约定：</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详见合同相关约定</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25140DC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13.4.2 </w:t>
      </w:r>
      <w:r>
        <w:rPr>
          <w:rFonts w:hint="eastAsia" w:cs="宋体" w:asciiTheme="minorEastAsia" w:hAnsiTheme="minorEastAsia" w:eastAsiaTheme="minorEastAsia"/>
          <w:color w:val="auto"/>
          <w:szCs w:val="21"/>
          <w:highlight w:val="none"/>
        </w:rPr>
        <w:t>不属于依法必须招标的暂估价项目</w:t>
      </w:r>
    </w:p>
    <w:p w14:paraId="5FABEE0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不属于依法必须招标的暂估价项目的协商及估价的约定：</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29164C46">
      <w:pPr>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暂估价工程包括：</w:t>
      </w:r>
      <w:r>
        <w:rPr>
          <w:rFonts w:hint="eastAsia" w:cs="宋体" w:asciiTheme="minorEastAsia" w:hAnsiTheme="minorEastAsia" w:eastAsiaTheme="minorEastAsia"/>
          <w:color w:val="auto"/>
          <w:szCs w:val="21"/>
          <w:highlight w:val="none"/>
          <w:u w:val="single"/>
        </w:rPr>
        <w:t>幕墙工程、外墙</w:t>
      </w:r>
      <w:r>
        <w:rPr>
          <w:rFonts w:hint="eastAsia" w:cs="宋体" w:asciiTheme="minorEastAsia" w:hAnsiTheme="minorEastAsia" w:eastAsiaTheme="minorEastAsia"/>
          <w:color w:val="auto"/>
          <w:szCs w:val="21"/>
          <w:highlight w:val="none"/>
          <w:u w:val="single"/>
          <w:lang w:val="en-US" w:eastAsia="zh-CN"/>
        </w:rPr>
        <w:t>保温</w:t>
      </w:r>
      <w:r>
        <w:rPr>
          <w:rFonts w:hint="eastAsia" w:cs="宋体" w:asciiTheme="minorEastAsia" w:hAnsiTheme="minorEastAsia" w:eastAsiaTheme="minorEastAsia"/>
          <w:color w:val="auto"/>
          <w:szCs w:val="21"/>
          <w:highlight w:val="none"/>
          <w:u w:val="single"/>
        </w:rPr>
        <w:t>工程、公共部分装修工程、栏杆及钢结构工程、</w:t>
      </w:r>
      <w:r>
        <w:rPr>
          <w:rFonts w:hint="eastAsia" w:cs="宋体" w:asciiTheme="minorEastAsia" w:hAnsiTheme="minorEastAsia" w:eastAsiaTheme="minorEastAsia"/>
          <w:color w:val="auto"/>
          <w:szCs w:val="21"/>
          <w:highlight w:val="none"/>
          <w:u w:val="single"/>
          <w:lang w:val="en-US" w:eastAsia="zh-CN"/>
        </w:rPr>
        <w:t>景观</w:t>
      </w:r>
      <w:r>
        <w:rPr>
          <w:rFonts w:hint="eastAsia" w:cs="宋体" w:asciiTheme="minorEastAsia" w:hAnsiTheme="minorEastAsia" w:eastAsiaTheme="minorEastAsia"/>
          <w:color w:val="auto"/>
          <w:szCs w:val="21"/>
          <w:highlight w:val="none"/>
          <w:u w:val="single"/>
        </w:rPr>
        <w:t>工程、电梯采购及安装、安防</w:t>
      </w:r>
      <w:r>
        <w:rPr>
          <w:rFonts w:hint="eastAsia" w:cs="宋体" w:asciiTheme="minorEastAsia" w:hAnsiTheme="minorEastAsia" w:eastAsiaTheme="minorEastAsia"/>
          <w:color w:val="auto"/>
          <w:szCs w:val="21"/>
          <w:highlight w:val="none"/>
          <w:u w:val="single"/>
          <w:lang w:val="en-US" w:eastAsia="zh-CN"/>
        </w:rPr>
        <w:t>工程</w:t>
      </w:r>
      <w:r>
        <w:rPr>
          <w:rFonts w:hint="eastAsia" w:cs="宋体" w:asciiTheme="minorEastAsia" w:hAnsiTheme="minorEastAsia" w:eastAsiaTheme="minorEastAsia"/>
          <w:color w:val="auto"/>
          <w:szCs w:val="21"/>
          <w:highlight w:val="none"/>
          <w:u w:val="single"/>
        </w:rPr>
        <w:t>、火灾报警</w:t>
      </w:r>
      <w:r>
        <w:rPr>
          <w:rFonts w:hint="eastAsia" w:cs="宋体" w:asciiTheme="minorEastAsia" w:hAnsiTheme="minorEastAsia" w:eastAsiaTheme="minorEastAsia"/>
          <w:color w:val="auto"/>
          <w:szCs w:val="21"/>
          <w:highlight w:val="none"/>
          <w:u w:val="single"/>
          <w:lang w:val="en-US" w:eastAsia="zh-CN"/>
        </w:rPr>
        <w:t>工程</w:t>
      </w:r>
      <w:r>
        <w:rPr>
          <w:rFonts w:hint="eastAsia" w:cs="宋体" w:asciiTheme="minorEastAsia" w:hAnsiTheme="minorEastAsia" w:eastAsiaTheme="minorEastAsia"/>
          <w:color w:val="auto"/>
          <w:szCs w:val="21"/>
          <w:highlight w:val="none"/>
          <w:u w:val="single"/>
        </w:rPr>
        <w:t>、夜景亮化</w:t>
      </w:r>
      <w:r>
        <w:rPr>
          <w:rFonts w:hint="eastAsia" w:cs="宋体" w:asciiTheme="minorEastAsia" w:hAnsiTheme="minorEastAsia" w:eastAsiaTheme="minorEastAsia"/>
          <w:color w:val="auto"/>
          <w:szCs w:val="21"/>
          <w:highlight w:val="none"/>
          <w:u w:val="single"/>
          <w:lang w:val="en-US" w:eastAsia="zh-CN"/>
        </w:rPr>
        <w:t>工程、配电工程</w:t>
      </w:r>
      <w:r>
        <w:rPr>
          <w:rFonts w:hint="eastAsia" w:cs="宋体" w:asciiTheme="minorEastAsia" w:hAnsiTheme="minorEastAsia" w:eastAsiaTheme="minorEastAsia"/>
          <w:color w:val="auto"/>
          <w:szCs w:val="21"/>
          <w:highlight w:val="none"/>
          <w:u w:val="single"/>
        </w:rPr>
        <w:t>等</w:t>
      </w:r>
      <w:r>
        <w:rPr>
          <w:rFonts w:hint="eastAsia" w:cs="宋体" w:asciiTheme="minorEastAsia" w:hAnsiTheme="minorEastAsia" w:eastAsiaTheme="minorEastAsia"/>
          <w:color w:val="auto"/>
          <w:szCs w:val="21"/>
          <w:highlight w:val="none"/>
        </w:rPr>
        <w:t>。</w:t>
      </w:r>
    </w:p>
    <w:p w14:paraId="04B2EF2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暂估价工程及暂定价材料设备管理条款如下：</w:t>
      </w:r>
    </w:p>
    <w:p w14:paraId="4E1182D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双方一般权利和义务</w:t>
      </w:r>
    </w:p>
    <w:p w14:paraId="77FD1B5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一、发包人工作</w:t>
      </w:r>
    </w:p>
    <w:p w14:paraId="3850578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对进行招标采购的项目，组织相关部门对开标过程实施监督。</w:t>
      </w:r>
    </w:p>
    <w:p w14:paraId="7DE7211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二、承包人工作</w:t>
      </w:r>
    </w:p>
    <w:p w14:paraId="333C373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1、依法必须公开招标的，应由承包人作为招标主体按《中华人民共和国招标投标法实施条例》及西安市相关法律法规执行。</w:t>
      </w:r>
    </w:p>
    <w:p w14:paraId="69B3F05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2、需使用发包人委托的第三方（该项目造价咨询公司、招标代理公司）完成工程量列表及最高限价的编制及招标工作。</w:t>
      </w:r>
    </w:p>
    <w:p w14:paraId="622709D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3、合同签订后向发包人报送当年招标计划，本年度末向发包人报送下年度招标计划，经发包人批准后执行。因未按招标计划执行引起的一切责任由承包人承担。</w:t>
      </w:r>
    </w:p>
    <w:p w14:paraId="56F439B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4、暂估价工程及暂定价材料设备招标采购管理详见附件《暂估价工程及暂定价材料设备管理办法》。</w:t>
      </w:r>
    </w:p>
    <w:p w14:paraId="7F225FF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u w:val="single"/>
        </w:rPr>
        <w:t>5、根据施工进度计划，充分考虑工程或材料设备的采购周期、招标准备、数据送交发包人审批等各种因素，为采购预留充足空间。否则，因此产生的一切责任由承包人承担。承包人采购的具体时限要求如下：</w:t>
      </w:r>
    </w:p>
    <w:tbl>
      <w:tblPr>
        <w:tblStyle w:val="5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2"/>
        <w:gridCol w:w="3135"/>
        <w:gridCol w:w="3375"/>
      </w:tblGrid>
      <w:tr w14:paraId="79251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8" w:type="dxa"/>
            <w:vAlign w:val="center"/>
          </w:tcPr>
          <w:p w14:paraId="23F2285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采购程序</w:t>
            </w:r>
          </w:p>
        </w:tc>
        <w:tc>
          <w:tcPr>
            <w:tcW w:w="3217" w:type="dxa"/>
            <w:vAlign w:val="center"/>
          </w:tcPr>
          <w:p w14:paraId="169E544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时间要求</w:t>
            </w:r>
          </w:p>
        </w:tc>
        <w:tc>
          <w:tcPr>
            <w:tcW w:w="3465" w:type="dxa"/>
            <w:vAlign w:val="center"/>
          </w:tcPr>
          <w:p w14:paraId="6A8C688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备注</w:t>
            </w:r>
          </w:p>
        </w:tc>
      </w:tr>
      <w:tr w14:paraId="23D05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8" w:type="dxa"/>
            <w:vMerge w:val="restart"/>
            <w:vAlign w:val="center"/>
          </w:tcPr>
          <w:p w14:paraId="4D45D28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招标计划上报</w:t>
            </w:r>
          </w:p>
        </w:tc>
        <w:tc>
          <w:tcPr>
            <w:tcW w:w="3217" w:type="dxa"/>
            <w:vAlign w:val="center"/>
          </w:tcPr>
          <w:p w14:paraId="07178F3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总包合同签订后</w:t>
            </w:r>
            <w:r>
              <w:rPr>
                <w:rFonts w:cs="宋体" w:asciiTheme="minorEastAsia" w:hAnsiTheme="minorEastAsia" w:eastAsiaTheme="minorEastAsia"/>
                <w:color w:val="auto"/>
                <w:szCs w:val="21"/>
                <w:highlight w:val="none"/>
              </w:rPr>
              <w:t>30日内</w:t>
            </w:r>
          </w:p>
        </w:tc>
        <w:tc>
          <w:tcPr>
            <w:tcW w:w="3465" w:type="dxa"/>
            <w:vAlign w:val="center"/>
          </w:tcPr>
          <w:p w14:paraId="0159F8D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本年度招标计划</w:t>
            </w:r>
          </w:p>
        </w:tc>
      </w:tr>
      <w:tr w14:paraId="59DCF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8" w:type="dxa"/>
            <w:vMerge w:val="continue"/>
            <w:vAlign w:val="center"/>
          </w:tcPr>
          <w:p w14:paraId="72DC617F">
            <w:pPr>
              <w:keepNext/>
              <w:keepLines/>
              <w:suppressLineNumbers w:val="0"/>
              <w:adjustRightInd w:val="0"/>
              <w:snapToGrid w:val="0"/>
              <w:spacing w:before="340" w:beforeAutospacing="0" w:after="330" w:afterAutospacing="0" w:line="360" w:lineRule="auto"/>
              <w:ind w:left="0" w:right="0"/>
              <w:jc w:val="center"/>
              <w:outlineLvl w:val="9"/>
              <w:rPr>
                <w:rFonts w:cs="宋体" w:asciiTheme="minorEastAsia" w:hAnsiTheme="minorEastAsia" w:eastAsiaTheme="minorEastAsia"/>
                <w:color w:val="auto"/>
                <w:szCs w:val="21"/>
                <w:highlight w:val="none"/>
              </w:rPr>
            </w:pPr>
          </w:p>
        </w:tc>
        <w:tc>
          <w:tcPr>
            <w:tcW w:w="3217" w:type="dxa"/>
            <w:vAlign w:val="center"/>
          </w:tcPr>
          <w:p w14:paraId="074C623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本年度</w:t>
            </w:r>
            <w:r>
              <w:rPr>
                <w:rFonts w:cs="宋体" w:asciiTheme="minorEastAsia" w:hAnsiTheme="minorEastAsia" w:eastAsiaTheme="minorEastAsia"/>
                <w:color w:val="auto"/>
                <w:szCs w:val="21"/>
                <w:highlight w:val="none"/>
              </w:rPr>
              <w:t>12月份</w:t>
            </w:r>
          </w:p>
        </w:tc>
        <w:tc>
          <w:tcPr>
            <w:tcW w:w="3465" w:type="dxa"/>
            <w:vAlign w:val="center"/>
          </w:tcPr>
          <w:p w14:paraId="6818186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下年度招标计划</w:t>
            </w:r>
          </w:p>
        </w:tc>
      </w:tr>
      <w:tr w14:paraId="7347F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8" w:type="dxa"/>
            <w:vAlign w:val="center"/>
          </w:tcPr>
          <w:p w14:paraId="7B4ED0C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招标方案上报</w:t>
            </w:r>
          </w:p>
        </w:tc>
        <w:tc>
          <w:tcPr>
            <w:tcW w:w="3217" w:type="dxa"/>
            <w:vAlign w:val="center"/>
          </w:tcPr>
          <w:p w14:paraId="47AF624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项目招标启动前</w:t>
            </w:r>
            <w:r>
              <w:rPr>
                <w:rFonts w:cs="宋体" w:asciiTheme="minorEastAsia" w:hAnsiTheme="minorEastAsia" w:eastAsiaTheme="minorEastAsia"/>
                <w:color w:val="auto"/>
                <w:szCs w:val="21"/>
                <w:highlight w:val="none"/>
              </w:rPr>
              <w:t>2个月</w:t>
            </w:r>
          </w:p>
        </w:tc>
        <w:tc>
          <w:tcPr>
            <w:tcW w:w="3465" w:type="dxa"/>
            <w:vAlign w:val="center"/>
          </w:tcPr>
          <w:p w14:paraId="355DAB0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盖公司公章</w:t>
            </w:r>
          </w:p>
        </w:tc>
      </w:tr>
      <w:tr w14:paraId="0F084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8" w:type="dxa"/>
            <w:vAlign w:val="center"/>
          </w:tcPr>
          <w:p w14:paraId="0829360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招标公告上报</w:t>
            </w:r>
          </w:p>
        </w:tc>
        <w:tc>
          <w:tcPr>
            <w:tcW w:w="3217" w:type="dxa"/>
            <w:vAlign w:val="center"/>
          </w:tcPr>
          <w:p w14:paraId="0CB65B9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招标方案批复后</w:t>
            </w:r>
            <w:r>
              <w:rPr>
                <w:rFonts w:cs="宋体" w:asciiTheme="minorEastAsia" w:hAnsiTheme="minorEastAsia" w:eastAsiaTheme="minorEastAsia"/>
                <w:color w:val="auto"/>
                <w:szCs w:val="21"/>
                <w:highlight w:val="none"/>
              </w:rPr>
              <w:t>2日内</w:t>
            </w:r>
          </w:p>
        </w:tc>
        <w:tc>
          <w:tcPr>
            <w:tcW w:w="3465" w:type="dxa"/>
            <w:vAlign w:val="center"/>
          </w:tcPr>
          <w:p w14:paraId="02173CE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盖公司公章</w:t>
            </w:r>
          </w:p>
        </w:tc>
      </w:tr>
      <w:tr w14:paraId="331D8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8" w:type="dxa"/>
            <w:vAlign w:val="center"/>
          </w:tcPr>
          <w:p w14:paraId="10ADB27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招标文件上报</w:t>
            </w:r>
          </w:p>
        </w:tc>
        <w:tc>
          <w:tcPr>
            <w:tcW w:w="3217" w:type="dxa"/>
            <w:vAlign w:val="center"/>
          </w:tcPr>
          <w:p w14:paraId="714132E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招标方案批复后</w:t>
            </w:r>
            <w:r>
              <w:rPr>
                <w:rFonts w:cs="宋体" w:asciiTheme="minorEastAsia" w:hAnsiTheme="minorEastAsia" w:eastAsiaTheme="minorEastAsia"/>
                <w:color w:val="auto"/>
                <w:szCs w:val="21"/>
                <w:highlight w:val="none"/>
              </w:rPr>
              <w:t>5日内</w:t>
            </w:r>
          </w:p>
        </w:tc>
        <w:tc>
          <w:tcPr>
            <w:tcW w:w="3465" w:type="dxa"/>
            <w:vAlign w:val="center"/>
          </w:tcPr>
          <w:p w14:paraId="13DC7E4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盖公司公章</w:t>
            </w:r>
          </w:p>
        </w:tc>
      </w:tr>
      <w:tr w14:paraId="3E09B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8" w:type="dxa"/>
            <w:vAlign w:val="center"/>
          </w:tcPr>
          <w:p w14:paraId="09F7A5A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工程量列表上报</w:t>
            </w:r>
          </w:p>
        </w:tc>
        <w:tc>
          <w:tcPr>
            <w:tcW w:w="3217" w:type="dxa"/>
            <w:vAlign w:val="center"/>
          </w:tcPr>
          <w:p w14:paraId="4D1296D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造价咨询公司提交后</w:t>
            </w:r>
            <w:r>
              <w:rPr>
                <w:rFonts w:cs="宋体" w:asciiTheme="minorEastAsia" w:hAnsiTheme="minorEastAsia" w:eastAsiaTheme="minorEastAsia"/>
                <w:color w:val="auto"/>
                <w:szCs w:val="21"/>
                <w:highlight w:val="none"/>
              </w:rPr>
              <w:t>3日内</w:t>
            </w:r>
          </w:p>
        </w:tc>
        <w:tc>
          <w:tcPr>
            <w:tcW w:w="3465" w:type="dxa"/>
            <w:vAlign w:val="center"/>
          </w:tcPr>
          <w:p w14:paraId="6690CE4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按要求盖章齐全</w:t>
            </w:r>
          </w:p>
        </w:tc>
      </w:tr>
      <w:tr w14:paraId="574FE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8" w:type="dxa"/>
            <w:vAlign w:val="center"/>
          </w:tcPr>
          <w:p w14:paraId="021CB7B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招标控制价上报</w:t>
            </w:r>
          </w:p>
        </w:tc>
        <w:tc>
          <w:tcPr>
            <w:tcW w:w="3217" w:type="dxa"/>
            <w:vAlign w:val="center"/>
          </w:tcPr>
          <w:p w14:paraId="10AC7C4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造价咨询公司提交后</w:t>
            </w:r>
            <w:r>
              <w:rPr>
                <w:rFonts w:cs="宋体" w:asciiTheme="minorEastAsia" w:hAnsiTheme="minorEastAsia" w:eastAsiaTheme="minorEastAsia"/>
                <w:color w:val="auto"/>
                <w:szCs w:val="21"/>
                <w:highlight w:val="none"/>
              </w:rPr>
              <w:t>1日内</w:t>
            </w:r>
          </w:p>
        </w:tc>
        <w:tc>
          <w:tcPr>
            <w:tcW w:w="3465" w:type="dxa"/>
            <w:vAlign w:val="center"/>
          </w:tcPr>
          <w:p w14:paraId="2FBA907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按要求盖章齐全</w:t>
            </w:r>
          </w:p>
        </w:tc>
      </w:tr>
      <w:tr w14:paraId="39527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8" w:type="dxa"/>
            <w:vMerge w:val="restart"/>
            <w:vAlign w:val="center"/>
          </w:tcPr>
          <w:p w14:paraId="6BC521D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招标控制价公布或备案完成</w:t>
            </w:r>
          </w:p>
        </w:tc>
        <w:tc>
          <w:tcPr>
            <w:tcW w:w="3217" w:type="dxa"/>
            <w:vAlign w:val="center"/>
          </w:tcPr>
          <w:p w14:paraId="353E20B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开标前</w:t>
            </w:r>
            <w:r>
              <w:rPr>
                <w:rFonts w:cs="宋体" w:asciiTheme="minorEastAsia" w:hAnsiTheme="minorEastAsia" w:eastAsiaTheme="minorEastAsia"/>
                <w:color w:val="auto"/>
                <w:szCs w:val="21"/>
                <w:highlight w:val="none"/>
              </w:rPr>
              <w:t>7天</w:t>
            </w:r>
          </w:p>
        </w:tc>
        <w:tc>
          <w:tcPr>
            <w:tcW w:w="3465" w:type="dxa"/>
            <w:vAlign w:val="center"/>
          </w:tcPr>
          <w:p w14:paraId="6332928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（招标代理公司进行的招标项目）按要求盖章齐全</w:t>
            </w:r>
          </w:p>
        </w:tc>
      </w:tr>
      <w:tr w14:paraId="12106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8" w:type="dxa"/>
            <w:vMerge w:val="continue"/>
            <w:vAlign w:val="center"/>
          </w:tcPr>
          <w:p w14:paraId="3C0FECFA">
            <w:pPr>
              <w:keepNext/>
              <w:keepLines/>
              <w:suppressLineNumbers w:val="0"/>
              <w:adjustRightInd w:val="0"/>
              <w:snapToGrid w:val="0"/>
              <w:spacing w:before="340" w:beforeAutospacing="0" w:after="330" w:afterAutospacing="0" w:line="360" w:lineRule="auto"/>
              <w:ind w:left="0" w:right="0"/>
              <w:jc w:val="center"/>
              <w:outlineLvl w:val="9"/>
              <w:rPr>
                <w:rFonts w:cs="宋体" w:asciiTheme="minorEastAsia" w:hAnsiTheme="minorEastAsia" w:eastAsiaTheme="minorEastAsia"/>
                <w:color w:val="auto"/>
                <w:szCs w:val="21"/>
                <w:highlight w:val="none"/>
              </w:rPr>
            </w:pPr>
          </w:p>
        </w:tc>
        <w:tc>
          <w:tcPr>
            <w:tcW w:w="3217" w:type="dxa"/>
            <w:vAlign w:val="center"/>
          </w:tcPr>
          <w:p w14:paraId="22CA7F6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按经开区相关规定</w:t>
            </w:r>
          </w:p>
        </w:tc>
        <w:tc>
          <w:tcPr>
            <w:tcW w:w="3465" w:type="dxa"/>
            <w:vAlign w:val="center"/>
          </w:tcPr>
          <w:p w14:paraId="4DC90CC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（经开区公共资源交易中心进行的招标项目）按要求盖章齐全</w:t>
            </w:r>
          </w:p>
        </w:tc>
      </w:tr>
      <w:tr w14:paraId="31136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8" w:type="dxa"/>
            <w:vMerge w:val="restart"/>
            <w:vAlign w:val="center"/>
          </w:tcPr>
          <w:p w14:paraId="40C9C10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中标通知书办理及发放</w:t>
            </w:r>
          </w:p>
        </w:tc>
        <w:tc>
          <w:tcPr>
            <w:tcW w:w="3217" w:type="dxa"/>
            <w:vAlign w:val="center"/>
          </w:tcPr>
          <w:p w14:paraId="300A33A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开标后</w:t>
            </w:r>
            <w:r>
              <w:rPr>
                <w:rFonts w:cs="宋体" w:asciiTheme="minorEastAsia" w:hAnsiTheme="minorEastAsia" w:eastAsiaTheme="minorEastAsia"/>
                <w:color w:val="auto"/>
                <w:szCs w:val="21"/>
                <w:highlight w:val="none"/>
              </w:rPr>
              <w:t>5日内（含公示期）</w:t>
            </w:r>
          </w:p>
        </w:tc>
        <w:tc>
          <w:tcPr>
            <w:tcW w:w="3465" w:type="dxa"/>
            <w:vAlign w:val="center"/>
          </w:tcPr>
          <w:p w14:paraId="6BCDC7A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招标代理公司进行的招标项目</w:t>
            </w:r>
          </w:p>
        </w:tc>
      </w:tr>
      <w:tr w14:paraId="4BAE3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8" w:type="dxa"/>
            <w:vMerge w:val="continue"/>
            <w:vAlign w:val="center"/>
          </w:tcPr>
          <w:p w14:paraId="01C67647">
            <w:pPr>
              <w:keepNext/>
              <w:keepLines/>
              <w:suppressLineNumbers w:val="0"/>
              <w:adjustRightInd w:val="0"/>
              <w:snapToGrid w:val="0"/>
              <w:spacing w:before="340" w:beforeAutospacing="0" w:after="330" w:afterAutospacing="0" w:line="360" w:lineRule="auto"/>
              <w:ind w:left="0" w:right="0"/>
              <w:jc w:val="center"/>
              <w:outlineLvl w:val="9"/>
              <w:rPr>
                <w:rFonts w:cs="宋体" w:asciiTheme="minorEastAsia" w:hAnsiTheme="minorEastAsia" w:eastAsiaTheme="minorEastAsia"/>
                <w:color w:val="auto"/>
                <w:szCs w:val="21"/>
                <w:highlight w:val="none"/>
              </w:rPr>
            </w:pPr>
          </w:p>
        </w:tc>
        <w:tc>
          <w:tcPr>
            <w:tcW w:w="3217" w:type="dxa"/>
            <w:vAlign w:val="center"/>
          </w:tcPr>
          <w:p w14:paraId="11C96BC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开标后</w:t>
            </w:r>
            <w:r>
              <w:rPr>
                <w:rFonts w:cs="宋体" w:asciiTheme="minorEastAsia" w:hAnsiTheme="minorEastAsia" w:eastAsiaTheme="minorEastAsia"/>
                <w:color w:val="auto"/>
                <w:szCs w:val="21"/>
                <w:highlight w:val="none"/>
              </w:rPr>
              <w:t>10日内（含公示期）</w:t>
            </w:r>
          </w:p>
        </w:tc>
        <w:tc>
          <w:tcPr>
            <w:tcW w:w="3465" w:type="dxa"/>
            <w:vAlign w:val="center"/>
          </w:tcPr>
          <w:p w14:paraId="038F564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经开区公共资源交易中心进行的招标项目</w:t>
            </w:r>
          </w:p>
        </w:tc>
      </w:tr>
      <w:tr w14:paraId="15CAE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808" w:type="dxa"/>
            <w:vAlign w:val="center"/>
          </w:tcPr>
          <w:p w14:paraId="00E2D98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合同签订及备案完成</w:t>
            </w:r>
          </w:p>
        </w:tc>
        <w:tc>
          <w:tcPr>
            <w:tcW w:w="3217" w:type="dxa"/>
            <w:vAlign w:val="center"/>
          </w:tcPr>
          <w:p w14:paraId="00435FC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中标通知书发出后</w:t>
            </w:r>
            <w:r>
              <w:rPr>
                <w:rFonts w:cs="宋体" w:asciiTheme="minorEastAsia" w:hAnsiTheme="minorEastAsia" w:eastAsiaTheme="minorEastAsia"/>
                <w:color w:val="auto"/>
                <w:szCs w:val="21"/>
                <w:highlight w:val="none"/>
              </w:rPr>
              <w:t>30日内</w:t>
            </w:r>
          </w:p>
        </w:tc>
        <w:tc>
          <w:tcPr>
            <w:tcW w:w="3465" w:type="dxa"/>
            <w:vAlign w:val="center"/>
          </w:tcPr>
          <w:p w14:paraId="785D2CA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合同必须经发包人审核通过</w:t>
            </w:r>
          </w:p>
        </w:tc>
      </w:tr>
      <w:tr w14:paraId="62453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90" w:type="dxa"/>
            <w:gridSpan w:val="3"/>
            <w:vAlign w:val="center"/>
          </w:tcPr>
          <w:p w14:paraId="57D86CE8">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1、因承包人原因无法满足以上时间要求影响招标工作进行的，按1000元/日向发包人支付违约金，同时承担因此造成的采购延期损失。</w:t>
            </w:r>
          </w:p>
          <w:p w14:paraId="503CF976">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2、承包人招标完成后应在20天内将所有招标数据（电子及纸质版）移交发包人，因资料移交不及时每次处罚5000元，招标部开具扣款单，由成本部在进度款中直接扣除。</w:t>
            </w:r>
          </w:p>
          <w:p w14:paraId="1D4DD9CE">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3、对进行招标采购的各环节相关内容，若承包人存有异议，必须以工作联系单形式向发包人及时回馈。</w:t>
            </w:r>
          </w:p>
          <w:p w14:paraId="4EADF232">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4、暂估价工程合同的合同签订模板、合同签订时间、合同份数具体按附件《暂估价工程及暂定价材料设备管理办法》执行。</w:t>
            </w:r>
          </w:p>
        </w:tc>
      </w:tr>
    </w:tbl>
    <w:p w14:paraId="4A01C44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三、施工组织和工期、配合费约定</w:t>
      </w:r>
    </w:p>
    <w:p w14:paraId="264D359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工期要求：承包人必须严格落实对暂估价工程的管理协调工作，组织好暂估价工程施工。暂估价工程必须达到附件《工期控制时间表》中各节点工期要求。未达到《工期控制时间表》中相应节点工期要求的，按暂估价结算价的万分之二扣罚（按单体工期分别考核）。</w:t>
      </w:r>
    </w:p>
    <w:p w14:paraId="0FC8A42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配合费约定：承包人不得以任何理由、任何名义、任何名目向分包商收取任何合同约定以外的额外款项，包括但不限于管理费、协调费、进场费、押金、保证金、好处费、介绍费、配合费</w:t>
      </w:r>
      <w:r>
        <w:rPr>
          <w:rFonts w:hint="eastAsia" w:cs="宋体" w:asciiTheme="minorEastAsia" w:hAnsiTheme="minorEastAsia" w:eastAsiaTheme="minorEastAsia"/>
          <w:color w:val="auto"/>
          <w:szCs w:val="21"/>
          <w:highlight w:val="none"/>
          <w:u w:val="single"/>
          <w:lang w:eastAsia="zh-CN"/>
        </w:rPr>
        <w:t>、</w:t>
      </w:r>
      <w:r>
        <w:rPr>
          <w:rFonts w:hint="eastAsia" w:cs="宋体" w:asciiTheme="minorEastAsia" w:hAnsiTheme="minorEastAsia" w:eastAsiaTheme="minorEastAsia"/>
          <w:color w:val="auto"/>
          <w:szCs w:val="21"/>
          <w:highlight w:val="none"/>
          <w:u w:val="single"/>
          <w:lang w:val="en-US" w:eastAsia="zh-CN"/>
        </w:rPr>
        <w:t>交易服务费</w:t>
      </w:r>
      <w:r>
        <w:rPr>
          <w:rFonts w:hint="eastAsia" w:cs="宋体" w:asciiTheme="minorEastAsia" w:hAnsiTheme="minorEastAsia" w:eastAsiaTheme="minorEastAsia"/>
          <w:color w:val="auto"/>
          <w:szCs w:val="21"/>
          <w:highlight w:val="none"/>
          <w:u w:val="single"/>
        </w:rPr>
        <w:t>等。</w:t>
      </w:r>
    </w:p>
    <w:p w14:paraId="38DC323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1、发包人发现1次承包人向分包商违规收取费用，则从承包人的当次工程款中扣除违规收取金额3倍的违约金。</w:t>
      </w:r>
    </w:p>
    <w:p w14:paraId="08B2515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2、发包人发现2次承包人向分包商违规收取费用，则从承包人的当次工程款中扣除违规收取金额5倍的违约金。</w:t>
      </w:r>
    </w:p>
    <w:p w14:paraId="1F38ABA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3、发包人发现3次以上（含3次）承包人向分包商违规收取费用，则从承包人的当次工程款中扣除违规收取金额8倍的违约金，且在每年经发集团信用评价时将承包人列为不诚信单位。</w:t>
      </w:r>
    </w:p>
    <w:p w14:paraId="61D6D10D">
      <w:pPr>
        <w:adjustRightInd w:val="0"/>
        <w:snapToGrid w:val="0"/>
        <w:spacing w:line="500" w:lineRule="exact"/>
        <w:ind w:firstLine="420" w:firstLineChars="200"/>
        <w:outlineLvl w:val="9"/>
        <w:rPr>
          <w:rFonts w:cs="宋体" w:asciiTheme="minorEastAsia" w:hAnsiTheme="minorEastAsia" w:eastAsiaTheme="minorEastAsia"/>
          <w:b/>
          <w:color w:val="auto"/>
          <w:szCs w:val="21"/>
          <w:highlight w:val="none"/>
          <w:u w:val="single"/>
        </w:rPr>
      </w:pPr>
      <w:r>
        <w:rPr>
          <w:rFonts w:cs="宋体" w:asciiTheme="minorEastAsia" w:hAnsiTheme="minorEastAsia" w:eastAsiaTheme="minorEastAsia"/>
          <w:color w:val="auto"/>
          <w:szCs w:val="21"/>
          <w:highlight w:val="none"/>
          <w:u w:val="single"/>
        </w:rPr>
        <w:t>4、若总包单位强行向分包单位收取额外总包管理配合费，分包单位提供相关证明材料，经建设单位项目部、招标采供部、成本管理部确认后，结算时从总包单位的结算造价中扣除违规收取金额5倍的罚款，并按索贿报相关部门处理。</w:t>
      </w:r>
    </w:p>
    <w:p w14:paraId="7D2ABB3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四、质量与检验</w:t>
      </w:r>
    </w:p>
    <w:p w14:paraId="026351C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1、暂估价工程及暂定价材料设备质量应达到合格等级，满足相关专业验收要求。对于有观感效果要求或功能要求的，应符合国家相关标准，招标文件有关规定。</w:t>
      </w:r>
    </w:p>
    <w:p w14:paraId="69C126A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2、承包人就暂估价工程承担连带责任。不管何种原因，出现任何质量问题或无法达到发包人对质量的要求，承包人均按本合同相关条款承担违约责任。暂定价材料设备质量具体要求以招标文件为准。</w:t>
      </w:r>
    </w:p>
    <w:p w14:paraId="6B721D7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五、合同价款</w:t>
      </w:r>
    </w:p>
    <w:p w14:paraId="059F00E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1、工程量确认</w:t>
      </w:r>
    </w:p>
    <w:p w14:paraId="5497D00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1）分包人负责暂估价工程已完工程量进度表、变更签证、付款申请等资料的上报，经承包人审核同意后再上报给监理单位及发包人。</w:t>
      </w:r>
    </w:p>
    <w:p w14:paraId="52BFD88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2）承包人对分包人上报资料的审核时限为：</w:t>
      </w:r>
    </w:p>
    <w:p w14:paraId="27F3848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①、已完工程量进度表、付款申请：</w:t>
      </w:r>
      <w:r>
        <w:rPr>
          <w:rFonts w:cs="宋体" w:asciiTheme="minorEastAsia" w:hAnsiTheme="minorEastAsia" w:eastAsiaTheme="minorEastAsia"/>
          <w:color w:val="auto"/>
          <w:szCs w:val="21"/>
          <w:highlight w:val="none"/>
          <w:u w:val="single"/>
        </w:rPr>
        <w:t>3日。</w:t>
      </w:r>
    </w:p>
    <w:p w14:paraId="2EC975F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②、变更签证、认质认价：</w:t>
      </w:r>
      <w:r>
        <w:rPr>
          <w:rFonts w:cs="宋体" w:asciiTheme="minorEastAsia" w:hAnsiTheme="minorEastAsia" w:eastAsiaTheme="minorEastAsia"/>
          <w:color w:val="auto"/>
          <w:szCs w:val="21"/>
          <w:highlight w:val="none"/>
          <w:u w:val="single"/>
        </w:rPr>
        <w:t>5日。</w:t>
      </w:r>
    </w:p>
    <w:p w14:paraId="02E6CB3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3）发包人及监理单位按照合同规定的时间进行计量审核。经发包人审核确认后，承包人开具发票给发包人；暂定价材料设备计量</w:t>
      </w:r>
      <w:r>
        <w:rPr>
          <w:rFonts w:hint="eastAsia" w:cs="宋体" w:asciiTheme="minorEastAsia" w:hAnsiTheme="minorEastAsia" w:eastAsiaTheme="minorEastAsia"/>
          <w:color w:val="FF0000"/>
          <w:szCs w:val="21"/>
          <w:highlight w:val="none"/>
          <w:u w:val="single"/>
          <w:lang w:eastAsia="zh-CN"/>
        </w:rPr>
        <w:t>以</w:t>
      </w:r>
      <w:r>
        <w:rPr>
          <w:rFonts w:cs="宋体" w:asciiTheme="minorEastAsia" w:hAnsiTheme="minorEastAsia" w:eastAsiaTheme="minorEastAsia"/>
          <w:color w:val="auto"/>
          <w:szCs w:val="21"/>
          <w:highlight w:val="none"/>
          <w:u w:val="single"/>
        </w:rPr>
        <w:t>材料设备采购合同为依据。</w:t>
      </w:r>
    </w:p>
    <w:p w14:paraId="2ED4DDD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六、工程进度款支付</w:t>
      </w:r>
    </w:p>
    <w:p w14:paraId="6058A62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rPr>
        <w:t>暂估价工程及暂定价材料设备进度款支付、结算款支付及质保金支付，除合同另有约定外,按本合同附件《专业分包工程及材料设备付款、结算及质保期约定》执行；若</w:t>
      </w:r>
      <w:r>
        <w:rPr>
          <w:rFonts w:cs="宋体" w:asciiTheme="minorEastAsia" w:hAnsiTheme="minorEastAsia" w:eastAsiaTheme="minorEastAsia"/>
          <w:color w:val="auto"/>
          <w:szCs w:val="21"/>
          <w:highlight w:val="none"/>
          <w:u w:val="single"/>
        </w:rPr>
        <w:t>最终</w:t>
      </w:r>
      <w:r>
        <w:rPr>
          <w:rFonts w:hint="eastAsia" w:cs="宋体" w:asciiTheme="minorEastAsia" w:hAnsiTheme="minorEastAsia" w:eastAsiaTheme="minorEastAsia"/>
          <w:color w:val="auto"/>
          <w:szCs w:val="21"/>
          <w:highlight w:val="none"/>
          <w:u w:val="single"/>
        </w:rPr>
        <w:t>分包合同付款方式变化，则</w:t>
      </w:r>
      <w:r>
        <w:rPr>
          <w:rFonts w:cs="宋体" w:asciiTheme="minorEastAsia" w:hAnsiTheme="minorEastAsia" w:eastAsiaTheme="minorEastAsia"/>
          <w:color w:val="auto"/>
          <w:szCs w:val="21"/>
          <w:highlight w:val="none"/>
          <w:u w:val="single"/>
        </w:rPr>
        <w:t>发包人与承包人签订补充协议</w:t>
      </w:r>
      <w:r>
        <w:rPr>
          <w:rFonts w:hint="eastAsia" w:cs="宋体" w:asciiTheme="minorEastAsia" w:hAnsiTheme="minorEastAsia" w:eastAsiaTheme="minorEastAsia"/>
          <w:color w:val="auto"/>
          <w:szCs w:val="21"/>
          <w:highlight w:val="none"/>
          <w:u w:val="single"/>
        </w:rPr>
        <w:t>另行约定</w:t>
      </w:r>
      <w:r>
        <w:rPr>
          <w:rFonts w:cs="宋体" w:asciiTheme="minorEastAsia" w:hAnsiTheme="minorEastAsia" w:eastAsiaTheme="minorEastAsia"/>
          <w:color w:val="auto"/>
          <w:szCs w:val="21"/>
          <w:highlight w:val="none"/>
          <w:u w:val="single"/>
        </w:rPr>
        <w:t>。</w:t>
      </w:r>
    </w:p>
    <w:p w14:paraId="077F833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 xml:space="preserve">2、暂定价材料设备（含安装费）支付进度款时以实际中标价或认质认价审定单与原暂定价做价差处理后计算暂定价材料的实际有效金额（如承包人所报材料单价未按发包人暂定价计入，在换算材料单价时，低于暂定价的，按暂定价扣除，高于暂定价的，按承包人所报材料单价扣除, </w:t>
      </w:r>
      <w:r>
        <w:rPr>
          <w:rFonts w:hint="eastAsia" w:cs="宋体" w:asciiTheme="minorEastAsia" w:hAnsiTheme="minorEastAsia" w:eastAsiaTheme="minorEastAsia"/>
          <w:color w:val="auto"/>
          <w:szCs w:val="21"/>
          <w:highlight w:val="none"/>
          <w:u w:val="single"/>
        </w:rPr>
        <w:t>以不利于投标人的原则进行计算）。</w:t>
      </w:r>
    </w:p>
    <w:p w14:paraId="711D5F8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3、作为支付条件，承包人应于已完工程量进度表审核完成后5个工作日内开具符合税务要求的发票给发包人，发票金额为经审批的金额，竣工结算后应按结算总额补齐发票。暂估价工程及暂定价材料设备款专款专用，由总承包单位作为招标人，使用发包人委托的招标代理机构及造价咨询机构进行招标及最高限价的编制，完成招标后与专业分包单位签订合同。</w:t>
      </w:r>
    </w:p>
    <w:p w14:paraId="4BB9622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4、总包单位收到</w:t>
      </w:r>
      <w:r>
        <w:rPr>
          <w:rFonts w:hint="eastAsia" w:cs="宋体" w:asciiTheme="minorEastAsia" w:hAnsiTheme="minorEastAsia" w:eastAsiaTheme="minorEastAsia"/>
          <w:color w:val="auto"/>
          <w:szCs w:val="21"/>
          <w:highlight w:val="none"/>
          <w:u w:val="single"/>
        </w:rPr>
        <w:t>发包人</w:t>
      </w:r>
      <w:r>
        <w:rPr>
          <w:rFonts w:cs="宋体" w:asciiTheme="minorEastAsia" w:hAnsiTheme="minorEastAsia" w:eastAsiaTheme="minorEastAsia"/>
          <w:color w:val="auto"/>
          <w:szCs w:val="21"/>
          <w:highlight w:val="none"/>
          <w:u w:val="single"/>
        </w:rPr>
        <w:t>工程款后，严格按附件《暂估价工程及暂定价材料设备管理办法》给专业分包单位付款。</w:t>
      </w:r>
    </w:p>
    <w:p w14:paraId="6682035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5、发包人委托第三方（造价咨询公司、招标代理公司）完成的工程或材料设备招标所发生的造价咨询或招标代服务，由发包人与第三方进行结算与支付。支付方式及费用参照发包人签订的本项目的造价咨询合同或招标代理合同。</w:t>
      </w:r>
    </w:p>
    <w:p w14:paraId="094727D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七、材料设备供应</w:t>
      </w:r>
    </w:p>
    <w:p w14:paraId="598DDA0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所有主要材料须执行事前认质制度，具体详见附件</w:t>
      </w:r>
      <w:r>
        <w:rPr>
          <w:color w:val="auto"/>
          <w:highlight w:val="none"/>
        </w:rPr>
        <w:fldChar w:fldCharType="begin"/>
      </w:r>
      <w:r>
        <w:rPr>
          <w:color w:val="auto"/>
          <w:highlight w:val="none"/>
        </w:rPr>
        <w:instrText xml:space="preserve"> HYPERLINK \l "_Toc477076890" </w:instrText>
      </w:r>
      <w:r>
        <w:rPr>
          <w:color w:val="auto"/>
          <w:highlight w:val="none"/>
        </w:rPr>
        <w:fldChar w:fldCharType="separate"/>
      </w:r>
      <w:r>
        <w:rPr>
          <w:rFonts w:hint="eastAsia" w:cs="宋体" w:asciiTheme="minorEastAsia" w:hAnsiTheme="minorEastAsia" w:eastAsiaTheme="minorEastAsia"/>
          <w:color w:val="auto"/>
          <w:szCs w:val="21"/>
          <w:highlight w:val="none"/>
          <w:u w:val="single"/>
        </w:rPr>
        <w:t>《工程材料设备管理办法》</w:t>
      </w:r>
      <w:r>
        <w:rPr>
          <w:rFonts w:hint="eastAsia" w:cs="宋体" w:asciiTheme="minorEastAsia" w:hAnsiTheme="minorEastAsia" w:eastAsiaTheme="minorEastAsia"/>
          <w:color w:val="auto"/>
          <w:szCs w:val="21"/>
          <w:highlight w:val="none"/>
          <w:u w:val="single"/>
        </w:rPr>
        <w:fldChar w:fldCharType="end"/>
      </w:r>
      <w:r>
        <w:rPr>
          <w:rFonts w:hint="eastAsia" w:cs="宋体" w:asciiTheme="minorEastAsia" w:hAnsiTheme="minorEastAsia" w:eastAsiaTheme="minorEastAsia"/>
          <w:color w:val="auto"/>
          <w:szCs w:val="21"/>
          <w:highlight w:val="none"/>
          <w:u w:val="single"/>
        </w:rPr>
        <w:t>中相应流程。需要认质的材料设备应在进场前由发包人认质，未经认质的不得进场及使用。对于有观感、功能、噪音以及其他要求的材料设备，由承包人按要求进行送样，经发包人确认后方可采购。</w:t>
      </w:r>
    </w:p>
    <w:p w14:paraId="74E521F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八、竣工验收</w:t>
      </w:r>
    </w:p>
    <w:p w14:paraId="71C07CF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1、按《建筑工程施工质量验收统一标准》（GB50300-2013）中验收程序和组织实施，发、承包双方根据工程划分各负其责，组织相关部门及人员按计划完成验收工作。</w:t>
      </w:r>
    </w:p>
    <w:p w14:paraId="30D7096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2、对已具备验收条件的暂估价工程，可单独组织验收。由承包人督促分包人提出验收申请，承包人7日内审核完成相关数据，发包人及监理单位按照分包施工合同及总包合同约定的时限进行数据审核。</w:t>
      </w:r>
    </w:p>
    <w:p w14:paraId="54ABF07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3、对与承包人施工有关联或必须待承包人施工完成后才具备验收条件的暂估价工程，由发包人项目部工程师根据施工进度确定验收次序，按上述第2条进行验收。</w:t>
      </w:r>
    </w:p>
    <w:p w14:paraId="6E62C17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4、对已具备验收条件的暂估价工程，承包人未及时督促配合分包人完成报验，造成交付延期的一切责任由承包人负责。</w:t>
      </w:r>
    </w:p>
    <w:p w14:paraId="42A69C2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九、暂估价工程结算</w:t>
      </w:r>
    </w:p>
    <w:p w14:paraId="7F5C3F7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总包工程竣工验收完成后，承包人应督促分包人进行结算数据整理及报送，对分包人报送的结算数据</w:t>
      </w:r>
      <w:r>
        <w:rPr>
          <w:rFonts w:cs="宋体" w:asciiTheme="minorEastAsia" w:hAnsiTheme="minorEastAsia" w:eastAsiaTheme="minorEastAsia"/>
          <w:color w:val="auto"/>
          <w:szCs w:val="21"/>
          <w:highlight w:val="none"/>
          <w:u w:val="single"/>
        </w:rPr>
        <w:t>15日内审核完成并按程序上报。发包人根据已报送各分包工程资料进行结算，结算完成后经</w:t>
      </w:r>
      <w:r>
        <w:rPr>
          <w:rFonts w:hint="eastAsia" w:cs="宋体" w:asciiTheme="minorEastAsia" w:hAnsiTheme="minorEastAsia" w:eastAsiaTheme="minorEastAsia"/>
          <w:color w:val="auto"/>
          <w:szCs w:val="21"/>
          <w:highlight w:val="none"/>
          <w:u w:val="single"/>
        </w:rPr>
        <w:t>发包人</w:t>
      </w:r>
      <w:r>
        <w:rPr>
          <w:rFonts w:cs="宋体" w:asciiTheme="minorEastAsia" w:hAnsiTheme="minorEastAsia" w:eastAsiaTheme="minorEastAsia"/>
          <w:color w:val="auto"/>
          <w:szCs w:val="21"/>
          <w:highlight w:val="none"/>
          <w:u w:val="single"/>
        </w:rPr>
        <w:t>成本管理部、承包人、分包人、</w:t>
      </w:r>
      <w:r>
        <w:rPr>
          <w:rFonts w:hint="eastAsia" w:cs="宋体" w:asciiTheme="minorEastAsia" w:hAnsiTheme="minorEastAsia" w:eastAsiaTheme="minorEastAsia"/>
          <w:color w:val="auto"/>
          <w:szCs w:val="21"/>
          <w:highlight w:val="none"/>
          <w:u w:val="single"/>
        </w:rPr>
        <w:t>发包人</w:t>
      </w:r>
      <w:r>
        <w:rPr>
          <w:rFonts w:cs="宋体" w:asciiTheme="minorEastAsia" w:hAnsiTheme="minorEastAsia" w:eastAsiaTheme="minorEastAsia"/>
          <w:color w:val="auto"/>
          <w:szCs w:val="21"/>
          <w:highlight w:val="none"/>
          <w:u w:val="single"/>
        </w:rPr>
        <w:t>咨询单位4方确认后按</w:t>
      </w:r>
      <w:r>
        <w:rPr>
          <w:rFonts w:hint="eastAsia" w:cs="宋体" w:asciiTheme="minorEastAsia" w:hAnsiTheme="minorEastAsia" w:eastAsiaTheme="minorEastAsia"/>
          <w:color w:val="auto"/>
          <w:szCs w:val="21"/>
          <w:highlight w:val="none"/>
          <w:u w:val="single"/>
        </w:rPr>
        <w:t>合同附件“</w:t>
      </w:r>
      <w:r>
        <w:rPr>
          <w:rFonts w:cs="宋体" w:asciiTheme="minorEastAsia" w:hAnsiTheme="minorEastAsia" w:eastAsiaTheme="minorEastAsia"/>
          <w:color w:val="auto"/>
          <w:szCs w:val="21"/>
          <w:highlight w:val="none"/>
          <w:u w:val="single"/>
        </w:rPr>
        <w:t>《专业分包工程及材料设备付款、结算及质保期约定》</w:t>
      </w: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约定的付款方式付款。</w:t>
      </w:r>
    </w:p>
    <w:p w14:paraId="22B2661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1、暂估价工程结算方式：</w:t>
      </w:r>
    </w:p>
    <w:p w14:paraId="363F44A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1）按照暂估价工程竣工图、变更及现场经济签证、</w:t>
      </w:r>
      <w:r>
        <w:rPr>
          <w:rFonts w:hint="eastAsia" w:cs="宋体" w:asciiTheme="minorEastAsia" w:hAnsiTheme="minorEastAsia" w:eastAsiaTheme="minorEastAsia"/>
          <w:color w:val="auto"/>
          <w:szCs w:val="21"/>
          <w:highlight w:val="none"/>
          <w:u w:val="single"/>
          <w:lang w:eastAsia="zh-CN"/>
        </w:rPr>
        <w:t>现行计量</w:t>
      </w:r>
      <w:r>
        <w:rPr>
          <w:rFonts w:cs="宋体" w:asciiTheme="minorEastAsia" w:hAnsiTheme="minorEastAsia" w:eastAsiaTheme="minorEastAsia"/>
          <w:color w:val="auto"/>
          <w:szCs w:val="21"/>
          <w:highlight w:val="none"/>
          <w:u w:val="single"/>
        </w:rPr>
        <w:t>计价规则及相关文件计算工程量，执行暂估价工程中标综合单价进行工程结算。</w:t>
      </w:r>
    </w:p>
    <w:p w14:paraId="6EC29DC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2）暂估价工程约定合同价款的其他调整因素：</w:t>
      </w:r>
    </w:p>
    <w:p w14:paraId="455BA14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①执行本合同通用条款</w:t>
      </w:r>
      <w:r>
        <w:rPr>
          <w:rFonts w:cs="宋体" w:asciiTheme="minorEastAsia" w:hAnsiTheme="minorEastAsia" w:eastAsiaTheme="minorEastAsia"/>
          <w:color w:val="auto"/>
          <w:szCs w:val="21"/>
          <w:highlight w:val="none"/>
          <w:u w:val="single"/>
        </w:rPr>
        <w:t>11.2条法律变化引起的调整。</w:t>
      </w:r>
    </w:p>
    <w:p w14:paraId="21B025E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②</w:t>
      </w:r>
      <w:r>
        <w:rPr>
          <w:rFonts w:cs="宋体" w:asciiTheme="minorEastAsia" w:hAnsiTheme="minorEastAsia" w:eastAsiaTheme="minorEastAsia"/>
          <w:color w:val="auto"/>
          <w:szCs w:val="21"/>
          <w:highlight w:val="none"/>
          <w:u w:val="single"/>
        </w:rPr>
        <w:t>本工程劳保统筹基金发包人未缴纳，结算时按“陕建发[2021]61号文”、“陕建发[2021]1021号文”执行、建筑施工安全生产责任保险已由总承包人全部缴纳，故暂估价工程结算时扣除建筑施工安全生产责任保险。</w:t>
      </w:r>
    </w:p>
    <w:p w14:paraId="1796C7E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③合同执行期间如遇人工费政策性调价文件，按相关政策执行。</w:t>
      </w:r>
    </w:p>
    <w:p w14:paraId="1738850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④根据陕建发【</w:t>
      </w:r>
      <w:r>
        <w:rPr>
          <w:rFonts w:cs="宋体" w:asciiTheme="minorEastAsia" w:hAnsiTheme="minorEastAsia" w:eastAsiaTheme="minorEastAsia"/>
          <w:color w:val="auto"/>
          <w:szCs w:val="21"/>
          <w:highlight w:val="none"/>
          <w:u w:val="single"/>
        </w:rPr>
        <w:t>2009】3号文件《关于主要建筑材料价格风险约定及调整的通知》精神，充分考虑主要建筑材料价格涨落对工程造价、工程质量、施工安全和工期的影响，暂估价工程中主要建筑材料可调价种类及调价风险范围以承包人与分包单位签订的专业工程合同中约定的调价条款为依据，同时须经发包人确认后执行。</w:t>
      </w:r>
    </w:p>
    <w:p w14:paraId="5815A81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⑤暂估价工程中约定为暂定价的材料及设备，经建设单位确认后以差价计入结算。</w:t>
      </w:r>
    </w:p>
    <w:p w14:paraId="24059DC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十、暂定价材料设备的结算方式</w:t>
      </w:r>
    </w:p>
    <w:p w14:paraId="1B3594B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暂定价材料设备预估金额达到招标要求的，招标完成后以中标单价直接进行结算，暂估价工程结算完成后直接计入总包结算造价,承包人不得以暂估价工程列入总包工程造价为由，扣除暂估价工程的养老保险等费用。</w:t>
      </w:r>
    </w:p>
    <w:p w14:paraId="5CBFB61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十一、其他说明：本节暂估价工程及暂定价材料设备中未涉及到的内容，遵照本合同相应内容及管理程序执行。</w:t>
      </w:r>
    </w:p>
    <w:p w14:paraId="2FBA6651">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13.5 </w:t>
      </w:r>
      <w:r>
        <w:rPr>
          <w:rFonts w:hint="eastAsia" w:cs="宋体" w:asciiTheme="minorEastAsia" w:hAnsiTheme="minorEastAsia" w:eastAsiaTheme="minorEastAsia"/>
          <w:b/>
          <w:color w:val="auto"/>
          <w:szCs w:val="21"/>
          <w:highlight w:val="none"/>
        </w:rPr>
        <w:t>暂列金额</w:t>
      </w:r>
    </w:p>
    <w:p w14:paraId="37EF67D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其他关于暂列金额使用的约定：</w:t>
      </w:r>
      <w:r>
        <w:rPr>
          <w:rFonts w:hint="eastAsia" w:cs="宋体" w:asciiTheme="minorEastAsia" w:hAnsiTheme="minorEastAsia" w:eastAsiaTheme="minorEastAsia"/>
          <w:color w:val="auto"/>
          <w:szCs w:val="21"/>
          <w:highlight w:val="none"/>
          <w:u w:val="single"/>
        </w:rPr>
        <w:t>合同当事人关于暂列金额使用的约定：投标报价中的暂列金额、暂估价工程、暂定价材料设备，以及按照</w:t>
      </w:r>
      <w:r>
        <w:rPr>
          <w:rFonts w:hint="eastAsia" w:cs="宋体" w:asciiTheme="minorEastAsia" w:hAnsiTheme="minorEastAsia" w:eastAsiaTheme="minorEastAsia"/>
          <w:color w:val="auto"/>
          <w:szCs w:val="21"/>
          <w:highlight w:val="none"/>
          <w:u w:val="single"/>
          <w:lang w:eastAsia="zh-CN"/>
        </w:rPr>
        <w:t>现行计量计价规则</w:t>
      </w:r>
      <w:r>
        <w:rPr>
          <w:rFonts w:cs="宋体" w:asciiTheme="minorEastAsia" w:hAnsiTheme="minorEastAsia" w:eastAsiaTheme="minorEastAsia"/>
          <w:color w:val="auto"/>
          <w:szCs w:val="21"/>
          <w:highlight w:val="none"/>
          <w:u w:val="single"/>
        </w:rPr>
        <w:t>所计取的管理费、利润、措施费、规费、税金等所有费用，虽在投标时计入投标总价中，但不应视为承包人所有，结算时按实际发生结算</w:t>
      </w:r>
      <w:r>
        <w:rPr>
          <w:rFonts w:hint="eastAsia" w:cs="宋体" w:asciiTheme="minorEastAsia" w:hAnsiTheme="minorEastAsia" w:eastAsiaTheme="minorEastAsia"/>
          <w:color w:val="auto"/>
          <w:szCs w:val="21"/>
          <w:highlight w:val="none"/>
        </w:rPr>
        <w:t>。</w:t>
      </w:r>
    </w:p>
    <w:p w14:paraId="3FDE7B78">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18" w:name="_Toc54862345"/>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14条 </w:t>
      </w:r>
      <w:r>
        <w:rPr>
          <w:rFonts w:hint="eastAsia" w:cs="宋体" w:asciiTheme="minorEastAsia" w:hAnsiTheme="minorEastAsia" w:eastAsiaTheme="minorEastAsia"/>
          <w:b/>
          <w:color w:val="auto"/>
          <w:szCs w:val="21"/>
          <w:highlight w:val="none"/>
        </w:rPr>
        <w:t>合同价格与支付</w:t>
      </w:r>
      <w:bookmarkEnd w:id="718"/>
    </w:p>
    <w:p w14:paraId="04530DEC">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14.1 </w:t>
      </w:r>
      <w:r>
        <w:rPr>
          <w:rFonts w:hint="eastAsia" w:cs="宋体" w:asciiTheme="minorEastAsia" w:hAnsiTheme="minorEastAsia" w:eastAsiaTheme="minorEastAsia"/>
          <w:b/>
          <w:color w:val="auto"/>
          <w:szCs w:val="21"/>
          <w:highlight w:val="none"/>
        </w:rPr>
        <w:t>合同价格形式</w:t>
      </w:r>
    </w:p>
    <w:p w14:paraId="52D1B4F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14.1.1 </w:t>
      </w:r>
      <w:r>
        <w:rPr>
          <w:rFonts w:hint="eastAsia" w:cs="宋体" w:asciiTheme="minorEastAsia" w:hAnsiTheme="minorEastAsia" w:eastAsiaTheme="minorEastAsia"/>
          <w:color w:val="auto"/>
          <w:szCs w:val="21"/>
          <w:highlight w:val="none"/>
        </w:rPr>
        <w:t>关于合同价格形式的约定：</w:t>
      </w:r>
      <w:r>
        <w:rPr>
          <w:rFonts w:hint="eastAsia" w:cs="宋体" w:asciiTheme="minorEastAsia" w:hAnsiTheme="minorEastAsia" w:eastAsiaTheme="minorEastAsia"/>
          <w:color w:val="auto"/>
          <w:szCs w:val="21"/>
          <w:highlight w:val="none"/>
          <w:u w:val="single"/>
        </w:rPr>
        <w:t>暂定合同总价。暂定合同总价</w:t>
      </w:r>
      <w:r>
        <w:rPr>
          <w:rFonts w:hint="eastAsia" w:cs="宋体" w:asciiTheme="minorEastAsia" w:hAnsiTheme="minorEastAsia" w:eastAsiaTheme="minorEastAsia"/>
          <w:color w:val="auto"/>
          <w:spacing w:val="-4"/>
          <w:szCs w:val="21"/>
          <w:highlight w:val="none"/>
          <w:u w:val="single"/>
        </w:rPr>
        <w:t>＝设计费＋建筑安装工程费</w:t>
      </w:r>
      <w:r>
        <w:rPr>
          <w:rFonts w:cs="宋体" w:asciiTheme="minorEastAsia" w:hAnsiTheme="minorEastAsia" w:eastAsiaTheme="minorEastAsia"/>
          <w:color w:val="auto"/>
          <w:spacing w:val="-4"/>
          <w:szCs w:val="21"/>
          <w:highlight w:val="none"/>
          <w:u w:val="single"/>
        </w:rPr>
        <w:t xml:space="preserve"> +暂估价工程+暂列金额。</w:t>
      </w:r>
    </w:p>
    <w:p w14:paraId="03F7A21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1）施工图审查完成正式施工图下发后2个月内，承包人向发包人报送施工图预算，并与发包人委托的造价咨询单位依据合同约定的计价方式在发包人规定的时间内进行量、价的核对，核对结果经</w:t>
      </w:r>
      <w:r>
        <w:rPr>
          <w:rFonts w:hint="eastAsia" w:cs="宋体" w:asciiTheme="minorEastAsia" w:hAnsiTheme="minorEastAsia" w:eastAsiaTheme="minorEastAsia"/>
          <w:color w:val="auto"/>
          <w:szCs w:val="21"/>
          <w:highlight w:val="none"/>
          <w:u w:val="single"/>
        </w:rPr>
        <w:t>三</w:t>
      </w:r>
      <w:r>
        <w:rPr>
          <w:rFonts w:cs="宋体" w:asciiTheme="minorEastAsia" w:hAnsiTheme="minorEastAsia" w:eastAsiaTheme="minorEastAsia"/>
          <w:color w:val="auto"/>
          <w:szCs w:val="21"/>
          <w:highlight w:val="none"/>
          <w:u w:val="single"/>
        </w:rPr>
        <w:t>方（发包人、承包人、发包人委托的造价咨询公司）确认后（不含暂列金额、暂估价工程、暂估价设备）×</w:t>
      </w:r>
      <w:r>
        <w:rPr>
          <w:rFonts w:hint="eastAsia" w:cs="宋体" w:asciiTheme="minorEastAsia" w:hAnsiTheme="minorEastAsia" w:eastAsiaTheme="minorEastAsia"/>
          <w:bCs/>
          <w:color w:val="auto"/>
          <w:szCs w:val="21"/>
          <w:highlight w:val="none"/>
          <w:u w:val="single"/>
        </w:rPr>
        <w:t>建筑安装工程费折算率</w:t>
      </w:r>
      <w:r>
        <w:rPr>
          <w:rFonts w:hint="eastAsia" w:cs="宋体" w:asciiTheme="minorEastAsia" w:hAnsiTheme="minorEastAsia" w:eastAsiaTheme="minorEastAsia"/>
          <w:bCs/>
          <w:color w:val="auto"/>
          <w:szCs w:val="21"/>
          <w:highlight w:val="none"/>
          <w:u w:val="single"/>
          <w:lang w:val="en-US" w:eastAsia="zh-CN"/>
        </w:rPr>
        <w:t>95.854%</w:t>
      </w:r>
      <w:r>
        <w:rPr>
          <w:rFonts w:hint="eastAsia" w:cs="宋体" w:asciiTheme="minorEastAsia" w:hAnsiTheme="minorEastAsia" w:eastAsiaTheme="minorEastAsia"/>
          <w:bCs/>
          <w:color w:val="auto"/>
          <w:szCs w:val="21"/>
          <w:highlight w:val="none"/>
          <w:u w:val="single"/>
        </w:rPr>
        <w:t>（建筑安装工程费折算率=建筑安装工程费（不含专业工程暂估价、暂列金额）投标报价/建筑安装工程费（不含专业工程暂估价、暂列金额）最高限价×100%）</w:t>
      </w:r>
      <w:r>
        <w:rPr>
          <w:rFonts w:hint="eastAsia" w:cs="宋体" w:asciiTheme="minorEastAsia" w:hAnsiTheme="minorEastAsia" w:eastAsiaTheme="minorEastAsia"/>
          <w:color w:val="auto"/>
          <w:szCs w:val="21"/>
          <w:highlight w:val="none"/>
          <w:u w:val="single"/>
        </w:rPr>
        <w:t>计算，作为发包人审核工程进度款及办理竣工结算的依据。</w:t>
      </w:r>
    </w:p>
    <w:p w14:paraId="6F1AB99D">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2）施工图预算综合单价执行</w:t>
      </w:r>
      <w:r>
        <w:rPr>
          <w:rFonts w:hint="eastAsia" w:cs="宋体" w:asciiTheme="minorEastAsia" w:hAnsiTheme="minorEastAsia" w:eastAsiaTheme="minorEastAsia"/>
          <w:color w:val="auto"/>
          <w:szCs w:val="21"/>
          <w:highlight w:val="none"/>
          <w:u w:val="single"/>
        </w:rPr>
        <w:t>《建设工程工程量清单计价标准》（DB61/T 5126-2025）、《房屋建筑与装饰工程工程量计算标准》（DB61/T 5129-2025）、《通用安装工程工程量计算标准》（DB61/T 5130-2025）、《园林绿化工程工程量计算标准》（DB61/T 5131-2025）</w:t>
      </w:r>
      <w:r>
        <w:rPr>
          <w:rFonts w:hint="eastAsia" w:cs="宋体" w:asciiTheme="minorEastAsia" w:hAnsiTheme="minorEastAsia" w:eastAsiaTheme="minorEastAsia"/>
          <w:color w:val="auto"/>
          <w:szCs w:val="21"/>
          <w:highlight w:val="none"/>
          <w:u w:val="single"/>
          <w:lang w:eastAsia="zh-CN"/>
        </w:rPr>
        <w:t>、2025年《陕西省建筑与装饰工程消耗量定额》、2025年《陕西省通用安装工程消耗量定额》、2025年《陕西省市政工程消耗量定额》、2025年《陕西省园林绿化工程消耗量定额》、《陕西省房屋建筑与装饰工程基价表（</w:t>
      </w:r>
      <w:r>
        <w:rPr>
          <w:rFonts w:hint="eastAsia" w:cs="宋体" w:asciiTheme="minorEastAsia" w:hAnsiTheme="minorEastAsia" w:eastAsiaTheme="minorEastAsia"/>
          <w:color w:val="auto"/>
          <w:szCs w:val="21"/>
          <w:highlight w:val="none"/>
          <w:u w:val="single"/>
          <w:lang w:val="en-US" w:eastAsia="zh-CN"/>
        </w:rPr>
        <w:t>2025</w:t>
      </w:r>
      <w:r>
        <w:rPr>
          <w:rFonts w:hint="eastAsia" w:cs="宋体" w:asciiTheme="minorEastAsia" w:hAnsiTheme="minorEastAsia" w:eastAsiaTheme="minorEastAsia"/>
          <w:color w:val="auto"/>
          <w:szCs w:val="21"/>
          <w:highlight w:val="none"/>
          <w:u w:val="single"/>
          <w:lang w:eastAsia="zh-CN"/>
        </w:rPr>
        <w:t>）》、《陕西省通用安装工程基价表（</w:t>
      </w:r>
      <w:r>
        <w:rPr>
          <w:rFonts w:hint="eastAsia" w:cs="宋体" w:asciiTheme="minorEastAsia" w:hAnsiTheme="minorEastAsia" w:eastAsiaTheme="minorEastAsia"/>
          <w:color w:val="auto"/>
          <w:szCs w:val="21"/>
          <w:highlight w:val="none"/>
          <w:u w:val="single"/>
          <w:lang w:val="en-US" w:eastAsia="zh-CN"/>
        </w:rPr>
        <w:t>2025</w:t>
      </w:r>
      <w:r>
        <w:rPr>
          <w:rFonts w:hint="eastAsia" w:cs="宋体" w:asciiTheme="minorEastAsia" w:hAnsiTheme="minorEastAsia" w:eastAsiaTheme="minorEastAsia"/>
          <w:color w:val="auto"/>
          <w:szCs w:val="21"/>
          <w:highlight w:val="none"/>
          <w:u w:val="single"/>
          <w:lang w:eastAsia="zh-CN"/>
        </w:rPr>
        <w:t>）》、《陕西省市政工程基价表（</w:t>
      </w:r>
      <w:r>
        <w:rPr>
          <w:rFonts w:hint="eastAsia" w:cs="宋体" w:asciiTheme="minorEastAsia" w:hAnsiTheme="minorEastAsia" w:eastAsiaTheme="minorEastAsia"/>
          <w:color w:val="auto"/>
          <w:szCs w:val="21"/>
          <w:highlight w:val="none"/>
          <w:u w:val="single"/>
          <w:lang w:val="en-US" w:eastAsia="zh-CN"/>
        </w:rPr>
        <w:t>2025</w:t>
      </w:r>
      <w:r>
        <w:rPr>
          <w:rFonts w:hint="eastAsia" w:cs="宋体" w:asciiTheme="minorEastAsia" w:hAnsiTheme="minorEastAsia" w:eastAsiaTheme="minorEastAsia"/>
          <w:color w:val="auto"/>
          <w:szCs w:val="21"/>
          <w:highlight w:val="none"/>
          <w:u w:val="single"/>
          <w:lang w:eastAsia="zh-CN"/>
        </w:rPr>
        <w:t>）》、《陕西省园林绿化工程基价表（</w:t>
      </w:r>
      <w:r>
        <w:rPr>
          <w:rFonts w:hint="eastAsia" w:cs="宋体" w:asciiTheme="minorEastAsia" w:hAnsiTheme="minorEastAsia" w:eastAsiaTheme="minorEastAsia"/>
          <w:color w:val="auto"/>
          <w:szCs w:val="21"/>
          <w:highlight w:val="none"/>
          <w:u w:val="single"/>
          <w:lang w:val="en-US" w:eastAsia="zh-CN"/>
        </w:rPr>
        <w:t>2025</w:t>
      </w:r>
      <w:r>
        <w:rPr>
          <w:rFonts w:hint="eastAsia" w:cs="宋体" w:asciiTheme="minorEastAsia" w:hAnsiTheme="minorEastAsia" w:eastAsiaTheme="minorEastAsia"/>
          <w:color w:val="auto"/>
          <w:szCs w:val="21"/>
          <w:highlight w:val="none"/>
          <w:u w:val="single"/>
          <w:lang w:eastAsia="zh-CN"/>
        </w:rPr>
        <w:t>）》</w:t>
      </w:r>
      <w:r>
        <w:rPr>
          <w:rFonts w:hint="eastAsia" w:cs="宋体" w:asciiTheme="minorEastAsia" w:hAnsiTheme="minorEastAsia" w:eastAsiaTheme="minorEastAsia"/>
          <w:color w:val="auto"/>
          <w:szCs w:val="21"/>
          <w:highlight w:val="none"/>
          <w:u w:val="single"/>
        </w:rPr>
        <w:t>及相关文件在“人工调整计入差价”模式下进行组价后并乘以中标建筑安装工程费折算率</w:t>
      </w:r>
      <w:r>
        <w:rPr>
          <w:rFonts w:hint="eastAsia" w:cs="宋体" w:asciiTheme="minorEastAsia" w:hAnsiTheme="minorEastAsia" w:eastAsiaTheme="minorEastAsia"/>
          <w:color w:val="auto"/>
          <w:szCs w:val="21"/>
          <w:highlight w:val="none"/>
          <w:u w:val="single"/>
          <w:lang w:val="en-US" w:eastAsia="zh-CN"/>
        </w:rPr>
        <w:t>95.854%</w:t>
      </w:r>
      <w:r>
        <w:rPr>
          <w:rFonts w:hint="eastAsia" w:cs="宋体" w:asciiTheme="minorEastAsia" w:hAnsiTheme="minorEastAsia" w:eastAsiaTheme="minorEastAsia"/>
          <w:color w:val="auto"/>
          <w:szCs w:val="21"/>
          <w:highlight w:val="none"/>
          <w:u w:val="single"/>
        </w:rPr>
        <w:t>折算后执行（建筑安装工程费折算率=建筑安装工程费（不含专业工程暂估价、暂列金额）投标报价/建筑安装工程费（不含专业工程暂估价、暂列金额）最高限价×100%）</w:t>
      </w:r>
      <w:r>
        <w:rPr>
          <w:rFonts w:cs="宋体" w:asciiTheme="minorEastAsia" w:hAnsiTheme="minorEastAsia" w:eastAsiaTheme="minorEastAsia"/>
          <w:color w:val="auto"/>
          <w:szCs w:val="21"/>
          <w:highlight w:val="none"/>
          <w:u w:val="single"/>
        </w:rPr>
        <w:t>。</w:t>
      </w:r>
    </w:p>
    <w:p w14:paraId="4281E6D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3）施工图预算的材料价格确定原则：</w:t>
      </w:r>
      <w:r>
        <w:rPr>
          <w:rFonts w:hint="eastAsia" w:ascii="宋体" w:hAnsi="宋体" w:cs="宋体"/>
          <w:color w:val="auto"/>
          <w:szCs w:val="21"/>
          <w:highlight w:val="none"/>
          <w:u w:val="single"/>
        </w:rPr>
        <w:t>施工图预算编制时，钢筋、混凝土基准价格选取主体基础绑扎、浇筑当月“我的钢铁网”“广材网”网址上的月均价格（月均价按</w:t>
      </w:r>
      <w:r>
        <w:rPr>
          <w:rFonts w:hint="eastAsia" w:ascii="宋体" w:hAnsi="宋体" w:cs="宋体"/>
          <w:color w:val="auto"/>
          <w:szCs w:val="21"/>
          <w:highlight w:val="none"/>
          <w:u w:val="single"/>
          <w:lang w:eastAsia="zh-CN"/>
        </w:rPr>
        <w:t>以下</w:t>
      </w:r>
      <w:r>
        <w:rPr>
          <w:rFonts w:hint="eastAsia" w:cs="宋体" w:asciiTheme="minorEastAsia" w:hAnsiTheme="minorEastAsia" w:eastAsiaTheme="minorEastAsia"/>
          <w:color w:val="auto"/>
          <w:kern w:val="0"/>
          <w:szCs w:val="21"/>
          <w:highlight w:val="none"/>
          <w:u w:val="single"/>
          <w:lang w:val="en-US" w:eastAsia="zh-CN"/>
        </w:rPr>
        <w:t>14.1.2条款第三种调价</w:t>
      </w:r>
      <w:r>
        <w:rPr>
          <w:rFonts w:hint="eastAsia" w:ascii="宋体" w:hAnsi="宋体" w:cs="宋体" w:eastAsiaTheme="minorEastAsia"/>
          <w:color w:val="auto"/>
          <w:szCs w:val="21"/>
          <w:highlight w:val="none"/>
          <w:u w:val="single"/>
          <w:lang w:eastAsia="zh-CN"/>
        </w:rPr>
        <w:t>方式</w:t>
      </w:r>
      <w:r>
        <w:rPr>
          <w:rFonts w:hint="eastAsia" w:ascii="宋体" w:hAnsi="宋体" w:cs="宋体"/>
          <w:color w:val="auto"/>
          <w:szCs w:val="21"/>
          <w:highlight w:val="none"/>
          <w:u w:val="single"/>
        </w:rPr>
        <w:t>约定执行）。 施工图预算中税金计取执行陕西省建设工程计价依据（陕建发[2018]84号文件）</w:t>
      </w:r>
      <w:r>
        <w:rPr>
          <w:rFonts w:hint="eastAsia" w:ascii="宋体" w:hAnsi="宋体" w:cs="宋体"/>
          <w:color w:val="auto"/>
          <w:szCs w:val="21"/>
          <w:highlight w:val="none"/>
          <w:u w:val="single"/>
          <w:lang w:eastAsia="zh-CN"/>
        </w:rPr>
        <w:t>。</w:t>
      </w:r>
      <w:r>
        <w:rPr>
          <w:rFonts w:cs="宋体" w:asciiTheme="minorEastAsia" w:hAnsiTheme="minorEastAsia" w:eastAsiaTheme="minorEastAsia"/>
          <w:color w:val="auto"/>
          <w:szCs w:val="21"/>
          <w:highlight w:val="none"/>
          <w:u w:val="single"/>
        </w:rPr>
        <w:t>施工图预算经发包人、造价咨询公司、承包人三方确认后作为竣工结算的依据，对于施工图预算中没有的主材价格，经建设单位认价后作为结算的依据。</w:t>
      </w:r>
    </w:p>
    <w:p w14:paraId="1873B21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4）暂定合同总价应包含合同范围中所涉及的全部工程内容：如设计、施工、设备材料采购供应、治污减霾、安全文明施工、措施费、工程相关检测试验（详见合同条款）、设备操作人员和维护人员的培训、验收、竣工资料的汇总移交等全部工程费用和各种风险费，项目实施后若因承包人原因引起的本项目必要实施项目的漏项、缺项或变更等。工程相关检测试验、</w:t>
      </w:r>
      <w:r>
        <w:rPr>
          <w:rFonts w:hint="eastAsia" w:cs="宋体" w:asciiTheme="minorEastAsia" w:hAnsiTheme="minorEastAsia" w:eastAsiaTheme="minorEastAsia"/>
          <w:color w:val="auto"/>
          <w:szCs w:val="21"/>
          <w:highlight w:val="none"/>
          <w:u w:val="single"/>
        </w:rPr>
        <w:t>bim操作费用、</w:t>
      </w:r>
      <w:r>
        <w:rPr>
          <w:rFonts w:cs="宋体" w:asciiTheme="minorEastAsia" w:hAnsiTheme="minorEastAsia" w:eastAsiaTheme="minorEastAsia"/>
          <w:color w:val="auto"/>
          <w:szCs w:val="21"/>
          <w:highlight w:val="none"/>
          <w:u w:val="single"/>
        </w:rPr>
        <w:t>设备操作人员和维护人员的培训、验收、竣工资料的汇总移交等费用和各种风险费用在结算阶段不再另行组价或确认价格，视为费用已包含并体现在合同价款中。由承包人原因引起的图纸错、漏、碰，承包人自行承担相关费用。</w:t>
      </w:r>
    </w:p>
    <w:p w14:paraId="0060F62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 xml:space="preserve">14.1.2 </w:t>
      </w:r>
      <w:r>
        <w:rPr>
          <w:rFonts w:hint="eastAsia" w:cs="宋体" w:asciiTheme="minorEastAsia" w:hAnsiTheme="minorEastAsia" w:eastAsiaTheme="minorEastAsia"/>
          <w:color w:val="auto"/>
          <w:szCs w:val="21"/>
          <w:highlight w:val="none"/>
        </w:rPr>
        <w:t>关于合同价格调整的约定：</w:t>
      </w:r>
    </w:p>
    <w:p w14:paraId="3E1E561B">
      <w:pPr>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施工图预算综合单价包含的风险范围：</w:t>
      </w:r>
    </w:p>
    <w:p w14:paraId="1FE973D4">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1）市场材料价格的变化（主体用钢筋、商品砼（含泵送费及外加剂）除外）；</w:t>
      </w:r>
    </w:p>
    <w:p w14:paraId="17552862">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2）工程所在地存在的（包括材料、机械、人工等）地区差异；</w:t>
      </w:r>
    </w:p>
    <w:p w14:paraId="5B6975F6">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3）全国银行间同业拆借中心公布的贷款市场报价利率。</w:t>
      </w:r>
    </w:p>
    <w:p w14:paraId="630CE170">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4）本合同通用条款第17条规定以外发生的自然灾害；雨季施工的防御措施费、停水、停电及停窝工在连续8小时以内的费用；金融汇率变化、银行存贷款利率调整及合同约定的所有风险、责任和义务等。</w:t>
      </w:r>
    </w:p>
    <w:p w14:paraId="7844B7B7">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风险费用的计算方法：</w:t>
      </w:r>
      <w:r>
        <w:rPr>
          <w:rFonts w:hint="eastAsia" w:cs="宋体" w:asciiTheme="minorEastAsia" w:hAnsiTheme="minorEastAsia" w:eastAsiaTheme="minorEastAsia"/>
          <w:color w:val="auto"/>
          <w:szCs w:val="21"/>
          <w:highlight w:val="none"/>
          <w:u w:val="single"/>
        </w:rPr>
        <w:t>综合单价应包含的但由于承包人漏报、未报的项目，发包人视同承包人优惠，不予调整，并认为此项费用已包括在工程量列表的其它综合单价和合价中。</w:t>
      </w:r>
      <w:r>
        <w:rPr>
          <w:rFonts w:hint="eastAsia" w:cs="宋体" w:asciiTheme="minorEastAsia" w:hAnsiTheme="minorEastAsia" w:eastAsiaTheme="minorEastAsia"/>
          <w:color w:val="auto"/>
          <w:szCs w:val="21"/>
          <w:highlight w:val="none"/>
          <w:u w:val="single"/>
          <w:lang w:eastAsia="zh-CN"/>
        </w:rPr>
        <w:t>各</w:t>
      </w:r>
      <w:r>
        <w:rPr>
          <w:rFonts w:hint="eastAsia" w:cs="宋体" w:asciiTheme="minorEastAsia" w:hAnsiTheme="minorEastAsia" w:eastAsiaTheme="minorEastAsia"/>
          <w:color w:val="auto"/>
          <w:szCs w:val="21"/>
          <w:highlight w:val="none"/>
          <w:u w:val="single"/>
        </w:rPr>
        <w:t>措施项目已包含在合同价中，施工过程中发生</w:t>
      </w:r>
      <w:r>
        <w:rPr>
          <w:rFonts w:hint="eastAsia" w:cs="宋体" w:asciiTheme="minorEastAsia" w:hAnsiTheme="minorEastAsia" w:eastAsiaTheme="minorEastAsia"/>
          <w:color w:val="auto"/>
          <w:szCs w:val="21"/>
          <w:highlight w:val="none"/>
          <w:u w:val="single"/>
          <w:lang w:eastAsia="zh-CN"/>
        </w:rPr>
        <w:t>相应</w:t>
      </w:r>
      <w:r>
        <w:rPr>
          <w:rFonts w:hint="eastAsia" w:cs="宋体" w:asciiTheme="minorEastAsia" w:hAnsiTheme="minorEastAsia" w:eastAsiaTheme="minorEastAsia"/>
          <w:color w:val="auto"/>
          <w:szCs w:val="21"/>
          <w:highlight w:val="none"/>
          <w:u w:val="single"/>
        </w:rPr>
        <w:t>内容时，承包人应无条件完成并不再计取任何费用。其他详见相关条款。</w:t>
      </w:r>
    </w:p>
    <w:p w14:paraId="12D36C67">
      <w:pPr>
        <w:spacing w:line="500" w:lineRule="exact"/>
        <w:ind w:firstLine="420" w:firstLineChars="200"/>
        <w:outlineLvl w:val="9"/>
        <w:rPr>
          <w:rFonts w:cs="宋体" w:asciiTheme="minorEastAsia" w:hAnsiTheme="minorEastAsia" w:eastAsiaTheme="minorEastAsia"/>
          <w:color w:val="FF0000"/>
          <w:szCs w:val="21"/>
          <w:highlight w:val="none"/>
          <w:u w:val="single"/>
        </w:rPr>
      </w:pPr>
      <w:r>
        <w:rPr>
          <w:rFonts w:hint="eastAsia" w:cs="宋体" w:asciiTheme="minorEastAsia" w:hAnsiTheme="minorEastAsia" w:eastAsiaTheme="minorEastAsia"/>
          <w:color w:val="auto"/>
          <w:szCs w:val="21"/>
          <w:highlight w:val="none"/>
          <w:u w:val="single"/>
        </w:rPr>
        <w:t>措施</w:t>
      </w:r>
      <w:r>
        <w:rPr>
          <w:rFonts w:hint="eastAsia" w:cs="宋体" w:asciiTheme="minorEastAsia" w:hAnsiTheme="minorEastAsia" w:eastAsiaTheme="minorEastAsia"/>
          <w:color w:val="auto"/>
          <w:szCs w:val="21"/>
          <w:highlight w:val="none"/>
          <w:u w:val="single"/>
          <w:lang w:eastAsia="zh-CN"/>
        </w:rPr>
        <w:t>项目</w:t>
      </w:r>
      <w:r>
        <w:rPr>
          <w:rFonts w:hint="eastAsia" w:cs="宋体" w:asciiTheme="minorEastAsia" w:hAnsiTheme="minorEastAsia" w:eastAsiaTheme="minorEastAsia"/>
          <w:color w:val="auto"/>
          <w:szCs w:val="21"/>
          <w:highlight w:val="none"/>
          <w:u w:val="single"/>
        </w:rPr>
        <w:t>费</w:t>
      </w:r>
      <w:r>
        <w:rPr>
          <w:rFonts w:hint="eastAsia" w:cs="宋体" w:asciiTheme="minorEastAsia" w:hAnsiTheme="minorEastAsia" w:eastAsiaTheme="minorEastAsia"/>
          <w:color w:val="auto"/>
          <w:szCs w:val="21"/>
          <w:highlight w:val="none"/>
          <w:u w:val="single"/>
          <w:lang w:eastAsia="zh-CN"/>
        </w:rPr>
        <w:t>包含</w:t>
      </w:r>
      <w:r>
        <w:rPr>
          <w:rFonts w:hint="eastAsia" w:cs="宋体" w:asciiTheme="minorEastAsia" w:hAnsiTheme="minorEastAsia" w:eastAsiaTheme="minorEastAsia"/>
          <w:color w:val="auto"/>
          <w:szCs w:val="21"/>
          <w:highlight w:val="none"/>
          <w:u w:val="single"/>
        </w:rPr>
        <w:t>安全</w:t>
      </w:r>
      <w:r>
        <w:rPr>
          <w:rFonts w:hint="eastAsia" w:cs="宋体" w:asciiTheme="minorEastAsia" w:hAnsiTheme="minorEastAsia" w:eastAsiaTheme="minorEastAsia"/>
          <w:color w:val="auto"/>
          <w:szCs w:val="21"/>
          <w:highlight w:val="none"/>
          <w:u w:val="single"/>
          <w:lang w:eastAsia="zh-CN"/>
        </w:rPr>
        <w:t>生产费（含建筑施工安全生产责任险）、</w:t>
      </w:r>
      <w:r>
        <w:rPr>
          <w:rFonts w:hint="eastAsia" w:cs="宋体" w:asciiTheme="minorEastAsia" w:hAnsiTheme="minorEastAsia" w:eastAsiaTheme="minorEastAsia"/>
          <w:color w:val="auto"/>
          <w:szCs w:val="21"/>
          <w:highlight w:val="none"/>
          <w:u w:val="single"/>
        </w:rPr>
        <w:t>环境保护费</w:t>
      </w:r>
      <w:r>
        <w:rPr>
          <w:rFonts w:hint="eastAsia" w:cs="宋体" w:asciiTheme="minorEastAsia" w:hAnsiTheme="minorEastAsia" w:eastAsiaTheme="minorEastAsia"/>
          <w:color w:val="auto"/>
          <w:szCs w:val="21"/>
          <w:highlight w:val="none"/>
          <w:u w:val="single"/>
          <w:lang w:eastAsia="zh-CN"/>
        </w:rPr>
        <w:t>（含扬尘治理费）</w:t>
      </w:r>
      <w:r>
        <w:rPr>
          <w:rFonts w:hint="eastAsia" w:cs="宋体" w:asciiTheme="minorEastAsia" w:hAnsiTheme="minorEastAsia" w:eastAsiaTheme="minorEastAsia"/>
          <w:color w:val="auto"/>
          <w:szCs w:val="21"/>
          <w:highlight w:val="none"/>
          <w:u w:val="single"/>
        </w:rPr>
        <w:t>、文明</w:t>
      </w:r>
      <w:r>
        <w:rPr>
          <w:rFonts w:hint="eastAsia" w:cs="宋体" w:asciiTheme="minorEastAsia" w:hAnsiTheme="minorEastAsia" w:eastAsiaTheme="minorEastAsia"/>
          <w:color w:val="auto"/>
          <w:szCs w:val="21"/>
          <w:highlight w:val="none"/>
          <w:u w:val="single"/>
          <w:lang w:eastAsia="zh-CN"/>
        </w:rPr>
        <w:t>施工</w:t>
      </w:r>
      <w:r>
        <w:rPr>
          <w:rFonts w:hint="eastAsia" w:cs="宋体" w:asciiTheme="minorEastAsia" w:hAnsiTheme="minorEastAsia" w:eastAsiaTheme="minorEastAsia"/>
          <w:color w:val="auto"/>
          <w:szCs w:val="21"/>
          <w:highlight w:val="none"/>
          <w:u w:val="single"/>
        </w:rPr>
        <w:t>费</w:t>
      </w:r>
      <w:r>
        <w:rPr>
          <w:rFonts w:hint="eastAsia" w:cs="宋体" w:asciiTheme="minorEastAsia" w:hAnsiTheme="minorEastAsia" w:eastAsiaTheme="minorEastAsia"/>
          <w:color w:val="auto"/>
          <w:szCs w:val="21"/>
          <w:highlight w:val="none"/>
          <w:u w:val="single"/>
          <w:lang w:eastAsia="zh-CN"/>
        </w:rPr>
        <w:t>（含建筑工人实名制管理费）</w:t>
      </w:r>
      <w:r>
        <w:rPr>
          <w:rFonts w:hint="eastAsia" w:cs="宋体" w:asciiTheme="minorEastAsia" w:hAnsiTheme="minorEastAsia" w:eastAsiaTheme="minorEastAsia"/>
          <w:color w:val="auto"/>
          <w:szCs w:val="21"/>
          <w:highlight w:val="none"/>
          <w:u w:val="single"/>
        </w:rPr>
        <w:t>、临时设施费、冬雨季施工</w:t>
      </w:r>
      <w:r>
        <w:rPr>
          <w:rFonts w:hint="eastAsia" w:cs="宋体" w:asciiTheme="minorEastAsia" w:hAnsiTheme="minorEastAsia" w:eastAsiaTheme="minorEastAsia"/>
          <w:color w:val="auto"/>
          <w:szCs w:val="21"/>
          <w:highlight w:val="none"/>
          <w:u w:val="single"/>
          <w:lang w:eastAsia="zh-CN"/>
        </w:rPr>
        <w:t>增加</w:t>
      </w:r>
      <w:r>
        <w:rPr>
          <w:rFonts w:hint="eastAsia" w:cs="宋体" w:asciiTheme="minorEastAsia" w:hAnsiTheme="minorEastAsia" w:eastAsiaTheme="minorEastAsia"/>
          <w:color w:val="auto"/>
          <w:szCs w:val="21"/>
          <w:highlight w:val="none"/>
          <w:u w:val="single"/>
        </w:rPr>
        <w:t>费</w:t>
      </w:r>
      <w:r>
        <w:rPr>
          <w:rFonts w:hint="eastAsia" w:cs="宋体" w:asciiTheme="minorEastAsia" w:hAnsiTheme="minorEastAsia" w:eastAsiaTheme="minorEastAsia"/>
          <w:color w:val="auto"/>
          <w:szCs w:val="21"/>
          <w:highlight w:val="none"/>
          <w:u w:val="single"/>
          <w:lang w:eastAsia="zh-CN"/>
        </w:rPr>
        <w:t>、</w:t>
      </w:r>
      <w:r>
        <w:rPr>
          <w:rFonts w:hint="eastAsia" w:cs="宋体" w:asciiTheme="minorEastAsia" w:hAnsiTheme="minorEastAsia" w:eastAsiaTheme="minorEastAsia"/>
          <w:color w:val="auto"/>
          <w:szCs w:val="21"/>
          <w:highlight w:val="none"/>
          <w:u w:val="single"/>
        </w:rPr>
        <w:t>夜间施工</w:t>
      </w:r>
      <w:r>
        <w:rPr>
          <w:rFonts w:hint="eastAsia" w:cs="宋体" w:asciiTheme="minorEastAsia" w:hAnsiTheme="minorEastAsia" w:eastAsiaTheme="minorEastAsia"/>
          <w:color w:val="auto"/>
          <w:szCs w:val="21"/>
          <w:highlight w:val="none"/>
          <w:u w:val="single"/>
          <w:lang w:eastAsia="zh-CN"/>
        </w:rPr>
        <w:t>增加</w:t>
      </w:r>
      <w:r>
        <w:rPr>
          <w:rFonts w:hint="eastAsia" w:cs="宋体" w:asciiTheme="minorEastAsia" w:hAnsiTheme="minorEastAsia" w:eastAsiaTheme="minorEastAsia"/>
          <w:color w:val="auto"/>
          <w:szCs w:val="21"/>
          <w:highlight w:val="none"/>
          <w:u w:val="single"/>
        </w:rPr>
        <w:t>费、二次搬运</w:t>
      </w:r>
      <w:r>
        <w:rPr>
          <w:rFonts w:hint="eastAsia" w:cs="宋体" w:asciiTheme="minorEastAsia" w:hAnsiTheme="minorEastAsia" w:eastAsiaTheme="minorEastAsia"/>
          <w:color w:val="auto"/>
          <w:szCs w:val="21"/>
          <w:highlight w:val="none"/>
          <w:u w:val="single"/>
          <w:lang w:eastAsia="zh-CN"/>
        </w:rPr>
        <w:t>费</w:t>
      </w: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eastAsia="zh-CN"/>
        </w:rPr>
        <w:t>测量放线定位复测费、</w:t>
      </w:r>
      <w:r>
        <w:rPr>
          <w:rFonts w:hint="eastAsia" w:cs="宋体" w:asciiTheme="minorEastAsia" w:hAnsiTheme="minorEastAsia" w:eastAsiaTheme="minorEastAsia"/>
          <w:color w:val="auto"/>
          <w:szCs w:val="21"/>
          <w:highlight w:val="none"/>
          <w:u w:val="single"/>
        </w:rPr>
        <w:t>脚手架、垂直运输、</w:t>
      </w:r>
      <w:r>
        <w:rPr>
          <w:rFonts w:hint="eastAsia" w:cs="宋体" w:asciiTheme="minorEastAsia" w:hAnsiTheme="minorEastAsia" w:eastAsiaTheme="minorEastAsia"/>
          <w:color w:val="auto"/>
          <w:szCs w:val="21"/>
          <w:highlight w:val="none"/>
          <w:u w:val="single"/>
          <w:lang w:eastAsia="zh-CN"/>
        </w:rPr>
        <w:t>大型机械进出场及安拆费、施工降水系统建设运维、施工排水费用、</w:t>
      </w:r>
      <w:r>
        <w:rPr>
          <w:rFonts w:hint="eastAsia" w:cs="宋体" w:asciiTheme="minorEastAsia" w:hAnsiTheme="minorEastAsia" w:eastAsiaTheme="minorEastAsia"/>
          <w:color w:val="auto"/>
          <w:szCs w:val="21"/>
          <w:highlight w:val="none"/>
          <w:u w:val="single"/>
        </w:rPr>
        <w:t>临时发电机、建筑垃圾集中收集站、建筑垃圾清运</w:t>
      </w:r>
      <w:r>
        <w:rPr>
          <w:rFonts w:hint="eastAsia" w:cs="宋体" w:asciiTheme="minorEastAsia" w:hAnsiTheme="minorEastAsia" w:eastAsiaTheme="minorEastAsia"/>
          <w:color w:val="auto"/>
          <w:szCs w:val="21"/>
          <w:highlight w:val="none"/>
          <w:u w:val="single"/>
          <w:lang w:eastAsia="zh-CN"/>
        </w:rPr>
        <w:t>费</w:t>
      </w: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eastAsia="zh-CN"/>
        </w:rPr>
        <w:t>建筑物超高</w:t>
      </w:r>
      <w:r>
        <w:rPr>
          <w:rFonts w:hint="eastAsia" w:cs="宋体" w:asciiTheme="minorEastAsia" w:hAnsiTheme="minorEastAsia" w:eastAsiaTheme="minorEastAsia"/>
          <w:color w:val="auto"/>
          <w:szCs w:val="21"/>
          <w:highlight w:val="none"/>
          <w:u w:val="single"/>
        </w:rPr>
        <w:t>增加费、工地开放配合、外部协调、</w:t>
      </w:r>
      <w:r>
        <w:rPr>
          <w:rFonts w:hint="eastAsia" w:cs="宋体" w:asciiTheme="minorEastAsia" w:hAnsiTheme="minorEastAsia" w:eastAsiaTheme="minorEastAsia"/>
          <w:color w:val="auto"/>
          <w:szCs w:val="21"/>
          <w:highlight w:val="none"/>
          <w:u w:val="single"/>
          <w:lang w:eastAsia="zh-CN"/>
        </w:rPr>
        <w:t>成品保护费、</w:t>
      </w:r>
      <w:r>
        <w:rPr>
          <w:rFonts w:hint="eastAsia" w:cs="宋体" w:asciiTheme="minorEastAsia" w:hAnsiTheme="minorEastAsia" w:eastAsiaTheme="minorEastAsia"/>
          <w:color w:val="auto"/>
          <w:szCs w:val="21"/>
          <w:highlight w:val="none"/>
          <w:u w:val="single"/>
        </w:rPr>
        <w:t>保洁</w:t>
      </w:r>
      <w:r>
        <w:rPr>
          <w:rFonts w:hint="eastAsia" w:cs="宋体" w:asciiTheme="minorEastAsia" w:hAnsiTheme="minorEastAsia" w:eastAsiaTheme="minorEastAsia"/>
          <w:color w:val="auto"/>
          <w:szCs w:val="21"/>
          <w:highlight w:val="none"/>
          <w:u w:val="single"/>
          <w:lang w:eastAsia="zh-CN"/>
        </w:rPr>
        <w:t>费</w:t>
      </w:r>
      <w:r>
        <w:rPr>
          <w:rFonts w:hint="eastAsia" w:cs="宋体" w:asciiTheme="minorEastAsia" w:hAnsiTheme="minorEastAsia" w:eastAsiaTheme="minorEastAsia"/>
          <w:color w:val="auto"/>
          <w:szCs w:val="21"/>
          <w:highlight w:val="none"/>
          <w:u w:val="single"/>
        </w:rPr>
        <w:t>、交叉施工窝工费、有害身体健康环境中施工增加</w:t>
      </w:r>
      <w:r>
        <w:rPr>
          <w:rFonts w:hint="eastAsia" w:cs="宋体" w:asciiTheme="minorEastAsia" w:hAnsiTheme="minorEastAsia" w:eastAsiaTheme="minorEastAsia"/>
          <w:color w:val="auto"/>
          <w:szCs w:val="21"/>
          <w:highlight w:val="none"/>
          <w:u w:val="single"/>
          <w:lang w:eastAsia="zh-CN"/>
        </w:rPr>
        <w:t>费、</w:t>
      </w:r>
      <w:r>
        <w:rPr>
          <w:rFonts w:hint="eastAsia" w:cs="宋体" w:asciiTheme="minorEastAsia" w:hAnsiTheme="minorEastAsia" w:eastAsiaTheme="minorEastAsia"/>
          <w:color w:val="auto"/>
          <w:szCs w:val="21"/>
          <w:highlight w:val="none"/>
          <w:u w:val="single"/>
        </w:rPr>
        <w:t>施工降效费、治污减霾费用、</w:t>
      </w:r>
      <w:r>
        <w:rPr>
          <w:rFonts w:hint="eastAsia" w:cs="宋体" w:asciiTheme="minorEastAsia" w:hAnsiTheme="minorEastAsia" w:eastAsiaTheme="minorEastAsia"/>
          <w:color w:val="auto"/>
          <w:szCs w:val="21"/>
          <w:highlight w:val="none"/>
          <w:u w:val="single"/>
          <w:lang w:eastAsia="zh-CN"/>
        </w:rPr>
        <w:t>外部协调费、第四代建筑措施增加费等，</w:t>
      </w:r>
      <w:r>
        <w:rPr>
          <w:rFonts w:hint="eastAsia" w:cs="宋体" w:asciiTheme="minorEastAsia" w:hAnsiTheme="minorEastAsia" w:eastAsiaTheme="minorEastAsia"/>
          <w:color w:val="auto"/>
          <w:szCs w:val="21"/>
          <w:highlight w:val="none"/>
          <w:u w:val="single"/>
        </w:rPr>
        <w:t>已包含在合同价中。</w:t>
      </w:r>
    </w:p>
    <w:p w14:paraId="22C80E4E">
      <w:pPr>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风险范围以外合同价格的调整方法：</w:t>
      </w:r>
    </w:p>
    <w:p w14:paraId="076B9B0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工程量的风险：施工图预算中的工程量列表标明的工程量作为投标人投标报价的共同基础，竣工结算的工程量按发、承包双方在合同中约定的应予计量且实际完成的工程量确定。</w:t>
      </w:r>
    </w:p>
    <w:p w14:paraId="0ABCD81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消耗量的风险：</w:t>
      </w:r>
    </w:p>
    <w:p w14:paraId="076D10C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①</w:t>
      </w:r>
      <w:r>
        <w:rPr>
          <w:rFonts w:hint="eastAsia" w:cs="宋体" w:asciiTheme="minorEastAsia" w:hAnsiTheme="minorEastAsia" w:eastAsiaTheme="minorEastAsia"/>
          <w:color w:val="auto"/>
          <w:szCs w:val="21"/>
          <w:highlight w:val="none"/>
          <w:u w:val="single"/>
        </w:rPr>
        <w:t>人工工日含量施工期间不做任何调整；</w:t>
      </w:r>
    </w:p>
    <w:p w14:paraId="1C53769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②</w:t>
      </w:r>
      <w:r>
        <w:rPr>
          <w:rFonts w:hint="eastAsia" w:cs="宋体" w:asciiTheme="minorEastAsia" w:hAnsiTheme="minorEastAsia" w:eastAsiaTheme="minorEastAsia"/>
          <w:color w:val="auto"/>
          <w:szCs w:val="21"/>
          <w:highlight w:val="none"/>
          <w:u w:val="single"/>
        </w:rPr>
        <w:t>承包人采购材料（以下统称乙供材）消耗量的风险：由承包人承担。</w:t>
      </w:r>
    </w:p>
    <w:p w14:paraId="57C1AEB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zCs w:val="21"/>
          <w:highlight w:val="none"/>
          <w:u w:val="single"/>
        </w:rPr>
        <w:t>价的风险</w:t>
      </w:r>
      <w:r>
        <w:rPr>
          <w:rFonts w:cs="宋体" w:asciiTheme="minorEastAsia" w:hAnsiTheme="minorEastAsia" w:eastAsiaTheme="minorEastAsia"/>
          <w:color w:val="auto"/>
          <w:szCs w:val="21"/>
          <w:highlight w:val="none"/>
          <w:u w:val="single"/>
        </w:rPr>
        <w:t>:</w:t>
      </w:r>
    </w:p>
    <w:p w14:paraId="701509B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①</w:t>
      </w:r>
      <w:r>
        <w:rPr>
          <w:rFonts w:hint="eastAsia" w:cs="宋体" w:asciiTheme="minorEastAsia" w:hAnsiTheme="minorEastAsia" w:eastAsiaTheme="minorEastAsia"/>
          <w:color w:val="auto"/>
          <w:szCs w:val="21"/>
          <w:highlight w:val="none"/>
          <w:u w:val="single"/>
        </w:rPr>
        <w:t>综合单价的风险（除安装工程（不含暂估价工程））：对于变更、签证引起的工程量增加或减少部分工程量的综合单价，按本合同专用条款第</w:t>
      </w:r>
      <w:r>
        <w:rPr>
          <w:rFonts w:cs="宋体" w:asciiTheme="minorEastAsia" w:hAnsiTheme="minorEastAsia" w:eastAsiaTheme="minorEastAsia"/>
          <w:color w:val="auto"/>
          <w:szCs w:val="21"/>
          <w:highlight w:val="none"/>
          <w:u w:val="single"/>
        </w:rPr>
        <w:t>13.3.3（变更估价）执行；</w:t>
      </w:r>
    </w:p>
    <w:p w14:paraId="7A5587E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②</w:t>
      </w:r>
      <w:r>
        <w:rPr>
          <w:rFonts w:hint="eastAsia" w:cs="宋体" w:asciiTheme="minorEastAsia" w:hAnsiTheme="minorEastAsia" w:eastAsiaTheme="minorEastAsia"/>
          <w:color w:val="auto"/>
          <w:szCs w:val="21"/>
          <w:highlight w:val="none"/>
          <w:u w:val="single"/>
        </w:rPr>
        <w:t>乙供材可调材料单价的风险：根据陕建发【</w:t>
      </w:r>
      <w:r>
        <w:rPr>
          <w:rFonts w:cs="宋体" w:asciiTheme="minorEastAsia" w:hAnsiTheme="minorEastAsia" w:eastAsiaTheme="minorEastAsia"/>
          <w:color w:val="auto"/>
          <w:szCs w:val="21"/>
          <w:highlight w:val="none"/>
          <w:u w:val="single"/>
        </w:rPr>
        <w:t>2009】3号文件《关于主要建筑材料价格风险约定及调整的通知》精神，充分考虑主要建筑材料价格涨落对工程造价、工程质量、施工安全和工期的影响，总包合同范围内规定可调整材料价格的主要建筑材料的种类仅限于主体用钢筋、商品砼（含泵送费及外加剂），总包合同范围内其余材料在合同期内均不作调整。</w:t>
      </w:r>
    </w:p>
    <w:p w14:paraId="11357944">
      <w:pPr>
        <w:adjustRightInd w:val="0"/>
        <w:snapToGrid w:val="0"/>
        <w:spacing w:line="500" w:lineRule="exact"/>
        <w:ind w:firstLine="420" w:firstLineChars="200"/>
        <w:outlineLvl w:val="9"/>
        <w:rPr>
          <w:rFonts w:cs="宋体" w:asciiTheme="minorEastAsia" w:hAnsiTheme="minorEastAsia" w:eastAsiaTheme="minorEastAsia"/>
          <w:color w:val="FF0000"/>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w:t>
      </w:r>
      <w:r>
        <w:rPr>
          <w:rFonts w:hint="eastAsia" w:cs="宋体" w:asciiTheme="minorEastAsia" w:hAnsiTheme="minorEastAsia" w:eastAsiaTheme="minorEastAsia"/>
          <w:color w:val="auto"/>
          <w:szCs w:val="21"/>
          <w:highlight w:val="none"/>
          <w:u w:val="single"/>
        </w:rPr>
        <w:t>本工程在合同执行期间如遇人工费政策性调价文件，按以下原则调整：</w:t>
      </w:r>
      <w:r>
        <w:rPr>
          <w:rFonts w:hint="eastAsia" w:cs="宋体" w:asciiTheme="minorEastAsia" w:hAnsiTheme="minorEastAsia" w:eastAsiaTheme="minorEastAsia"/>
          <w:color w:val="FF0000"/>
          <w:szCs w:val="21"/>
          <w:highlight w:val="none"/>
          <w:u w:val="single"/>
        </w:rPr>
        <w:t>按相关文件及定额规定执行。以上人工单价调整后，调差仅计取税金后计入结算。</w:t>
      </w:r>
    </w:p>
    <w:p w14:paraId="5793C38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w:t>
      </w:r>
      <w:r>
        <w:rPr>
          <w:rFonts w:hint="eastAsia" w:cs="宋体" w:asciiTheme="minorEastAsia" w:hAnsiTheme="minorEastAsia" w:eastAsiaTheme="minorEastAsia"/>
          <w:color w:val="auto"/>
          <w:szCs w:val="21"/>
          <w:highlight w:val="none"/>
          <w:u w:val="single"/>
        </w:rPr>
        <w:t>因承包人工期延误导致的材料价格、人工单价上涨不予调整</w:t>
      </w:r>
      <w:r>
        <w:rPr>
          <w:rFonts w:hint="eastAsia" w:cs="宋体" w:asciiTheme="minorEastAsia" w:hAnsiTheme="minorEastAsia" w:eastAsiaTheme="minorEastAsia"/>
          <w:color w:val="auto"/>
          <w:szCs w:val="21"/>
          <w:highlight w:val="none"/>
        </w:rPr>
        <w:t>。</w:t>
      </w:r>
    </w:p>
    <w:p w14:paraId="0034E27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因市场价格波动调整合同价格，采用以下第</w:t>
      </w:r>
      <w:r>
        <w:rPr>
          <w:rFonts w:cs="宋体" w:asciiTheme="minorEastAsia" w:hAnsiTheme="minorEastAsia" w:eastAsiaTheme="minorEastAsia"/>
          <w:color w:val="auto"/>
          <w:szCs w:val="21"/>
          <w:highlight w:val="none"/>
        </w:rPr>
        <w:t xml:space="preserve"> 3 </w:t>
      </w:r>
      <w:r>
        <w:rPr>
          <w:rFonts w:hint="eastAsia" w:cs="宋体" w:asciiTheme="minorEastAsia" w:hAnsiTheme="minorEastAsia" w:eastAsiaTheme="minorEastAsia"/>
          <w:color w:val="auto"/>
          <w:szCs w:val="21"/>
          <w:highlight w:val="none"/>
        </w:rPr>
        <w:t>种方式对合同价格进行调整：</w:t>
      </w:r>
    </w:p>
    <w:p w14:paraId="5D79B42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第</w:t>
      </w:r>
      <w:r>
        <w:rPr>
          <w:rFonts w:cs="宋体" w:asciiTheme="minorEastAsia" w:hAnsiTheme="minorEastAsia" w:eastAsiaTheme="minorEastAsia"/>
          <w:color w:val="auto"/>
          <w:szCs w:val="21"/>
          <w:highlight w:val="none"/>
          <w:u w:val="single"/>
        </w:rPr>
        <w:t>1种方式：采用价格指数进行价格调整。</w:t>
      </w:r>
    </w:p>
    <w:p w14:paraId="5074577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关于各可调因子、定值和变值权重，以及基本价格指数及其来源的约定：</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u w:val="single"/>
        </w:rPr>
        <w:t>；</w:t>
      </w:r>
    </w:p>
    <w:p w14:paraId="0021A3C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第</w:t>
      </w:r>
      <w:r>
        <w:rPr>
          <w:rFonts w:cs="宋体" w:asciiTheme="minorEastAsia" w:hAnsiTheme="minorEastAsia" w:eastAsiaTheme="minorEastAsia"/>
          <w:color w:val="auto"/>
          <w:szCs w:val="21"/>
          <w:highlight w:val="none"/>
          <w:u w:val="single"/>
        </w:rPr>
        <w:t>2种方式：采用造价信息进行价格调整。</w:t>
      </w:r>
    </w:p>
    <w:p w14:paraId="7A702F7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关于基准价格的约定：</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u w:val="single"/>
        </w:rPr>
        <w:t>。</w:t>
      </w:r>
    </w:p>
    <w:p w14:paraId="14CFD11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专用合同条款①承包人在已标价工程量清单或预算书中载明的材料单价低于基准价格的：专用合同条款合同履行期间材料单价涨幅以基准价格为基础超过</w:t>
      </w:r>
      <w:r>
        <w:rPr>
          <w:rFonts w:cs="宋体" w:asciiTheme="minorEastAsia" w:hAnsiTheme="minorEastAsia" w:eastAsiaTheme="minorEastAsia"/>
          <w:color w:val="auto"/>
          <w:szCs w:val="21"/>
          <w:highlight w:val="none"/>
          <w:u w:val="single"/>
        </w:rPr>
        <w:t xml:space="preserve"> / %时，或材料单价跌幅以已标价工程量清单或预算书中载明材料单价为基础超过 / %时，其超过部分据实调整。</w:t>
      </w:r>
    </w:p>
    <w:p w14:paraId="18B14E1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 xml:space="preserve"> ②承包人在已标价工程量清单或预算书中载明的材料单价高于基准价格的：专用合同条款合同履行期间材料单价跌幅以基准价格为基础超过/ %时，材料单价涨幅以已标价工程量清单或预算书中载明材料单价为基础超过/ %时，其超过部分据实调整。</w:t>
      </w:r>
    </w:p>
    <w:p w14:paraId="1E88BA7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 xml:space="preserve"> ③承包人在已标价工程量清单或预算书中载明的材料单价等于基准单价的：专用合同条款合同履行期间材料单价涨跌幅以基准单价为基础超过± / %时，其超过部分据实调整。</w:t>
      </w:r>
    </w:p>
    <w:p w14:paraId="54F9DA5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第</w:t>
      </w:r>
      <w:r>
        <w:rPr>
          <w:rFonts w:cs="宋体" w:asciiTheme="minorEastAsia" w:hAnsiTheme="minorEastAsia" w:eastAsiaTheme="minorEastAsia"/>
          <w:color w:val="auto"/>
          <w:szCs w:val="21"/>
          <w:highlight w:val="none"/>
          <w:u w:val="single"/>
        </w:rPr>
        <w:t xml:space="preserve">3种方式：其他价格调整方式： </w:t>
      </w:r>
    </w:p>
    <w:p w14:paraId="4C43B7BB">
      <w:pPr>
        <w:widowControl/>
        <w:spacing w:line="500" w:lineRule="exact"/>
        <w:ind w:firstLine="420" w:firstLineChars="200"/>
        <w:contextualSpacing/>
        <w:jc w:val="left"/>
        <w:outlineLvl w:val="9"/>
        <w:rPr>
          <w:rFonts w:ascii="宋体" w:hAnsi="宋体" w:cs="宋体"/>
          <w:color w:val="auto"/>
          <w:szCs w:val="21"/>
          <w:highlight w:val="none"/>
        </w:rPr>
      </w:pPr>
      <w:r>
        <w:rPr>
          <w:rFonts w:hint="eastAsia" w:ascii="宋体" w:hAnsi="宋体" w:cs="宋体"/>
          <w:color w:val="auto"/>
          <w:szCs w:val="21"/>
          <w:highlight w:val="none"/>
        </w:rPr>
        <w:t>（1）可调整价格主材的约定：充分考虑主要建筑材料价格涨落对工程造价、工程质量、施工安全和工期的影响，规定可调整材料价格的主要建筑材料的种类仅限于：钢筋，商品砼。（钢筋：不含损耗、二次结构钢筋、地库及地面屋面保护层钢筋、签证变更中的钢筋；包含随主体同时浇筑的下挂板、下挂梁、窗台板等结构钢筋。商品砼：不含损耗、屋面保护层及二次结构混凝土、地暖保护层、地库地面装饰混凝土、签证变更中的混凝土；包含随主体同时浇筑的下挂板、下挂梁、窗台板等结构砼。）其余材料在合同期内风险由承包人承担。</w:t>
      </w:r>
    </w:p>
    <w:p w14:paraId="0729E11E">
      <w:pPr>
        <w:widowControl/>
        <w:spacing w:line="500" w:lineRule="exact"/>
        <w:ind w:firstLine="420" w:firstLineChars="200"/>
        <w:contextualSpacing/>
        <w:jc w:val="left"/>
        <w:outlineLvl w:val="9"/>
        <w:rPr>
          <w:rFonts w:ascii="宋体" w:hAnsi="宋体" w:cs="宋体"/>
          <w:color w:val="auto"/>
          <w:szCs w:val="21"/>
          <w:highlight w:val="none"/>
        </w:rPr>
      </w:pPr>
      <w:r>
        <w:rPr>
          <w:rFonts w:hint="eastAsia" w:ascii="宋体" w:hAnsi="宋体" w:cs="宋体"/>
          <w:color w:val="auto"/>
          <w:szCs w:val="21"/>
          <w:highlight w:val="none"/>
        </w:rPr>
        <w:t xml:space="preserve">（2）调整周期：自开工之日起至合同约定验收合格之日止进行调整。 </w:t>
      </w:r>
    </w:p>
    <w:tbl>
      <w:tblPr>
        <w:tblStyle w:val="5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4"/>
        <w:gridCol w:w="1843"/>
        <w:gridCol w:w="1417"/>
        <w:gridCol w:w="3374"/>
        <w:gridCol w:w="1444"/>
      </w:tblGrid>
      <w:tr w14:paraId="303FA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165" w:type="dxa"/>
            <w:noWrap w:val="0"/>
            <w:vAlign w:val="center"/>
          </w:tcPr>
          <w:p w14:paraId="21E80560">
            <w:pPr>
              <w:keepNext w:val="0"/>
              <w:keepLines w:val="0"/>
              <w:suppressLineNumbers w:val="0"/>
              <w:adjustRightInd w:val="0"/>
              <w:snapToGrid w:val="0"/>
              <w:spacing w:before="0" w:beforeAutospacing="0" w:after="0" w:afterAutospacing="0" w:line="240" w:lineRule="exact"/>
              <w:ind w:left="0" w:right="0" w:firstLine="210" w:firstLineChars="10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范围</w:t>
            </w:r>
          </w:p>
        </w:tc>
        <w:tc>
          <w:tcPr>
            <w:tcW w:w="1843" w:type="dxa"/>
            <w:noWrap w:val="0"/>
            <w:vAlign w:val="center"/>
          </w:tcPr>
          <w:p w14:paraId="0338CB74">
            <w:pPr>
              <w:keepNext w:val="0"/>
              <w:keepLines w:val="0"/>
              <w:suppressLineNumbers w:val="0"/>
              <w:adjustRightInd w:val="0"/>
              <w:snapToGrid w:val="0"/>
              <w:spacing w:before="0" w:beforeAutospacing="0" w:after="0" w:afterAutospacing="0" w:line="240" w:lineRule="exact"/>
              <w:ind w:left="0" w:right="0" w:firstLine="42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调价依据</w:t>
            </w:r>
          </w:p>
        </w:tc>
        <w:tc>
          <w:tcPr>
            <w:tcW w:w="1417" w:type="dxa"/>
            <w:noWrap w:val="0"/>
            <w:vAlign w:val="center"/>
          </w:tcPr>
          <w:p w14:paraId="0FEEB960">
            <w:pPr>
              <w:keepNext w:val="0"/>
              <w:keepLines w:val="0"/>
              <w:suppressLineNumbers w:val="0"/>
              <w:adjustRightInd w:val="0"/>
              <w:snapToGrid w:val="0"/>
              <w:spacing w:before="0" w:beforeAutospacing="0" w:after="0" w:afterAutospacing="0" w:line="240" w:lineRule="exact"/>
              <w:ind w:left="0" w:right="0" w:firstLine="42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基准</w:t>
            </w:r>
          </w:p>
        </w:tc>
        <w:tc>
          <w:tcPr>
            <w:tcW w:w="3375" w:type="dxa"/>
            <w:noWrap w:val="0"/>
            <w:vAlign w:val="center"/>
          </w:tcPr>
          <w:p w14:paraId="2FFCE129">
            <w:pPr>
              <w:keepNext w:val="0"/>
              <w:keepLines w:val="0"/>
              <w:suppressLineNumbers w:val="0"/>
              <w:adjustRightInd w:val="0"/>
              <w:snapToGrid w:val="0"/>
              <w:spacing w:before="0" w:beforeAutospacing="0" w:after="0" w:afterAutospacing="0" w:line="240" w:lineRule="exact"/>
              <w:ind w:left="0" w:right="0" w:firstLine="840" w:firstLineChars="40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调价周期</w:t>
            </w:r>
          </w:p>
        </w:tc>
        <w:tc>
          <w:tcPr>
            <w:tcW w:w="1445" w:type="dxa"/>
            <w:noWrap w:val="0"/>
            <w:vAlign w:val="center"/>
          </w:tcPr>
          <w:p w14:paraId="43A14053">
            <w:pPr>
              <w:keepNext w:val="0"/>
              <w:keepLines w:val="0"/>
              <w:suppressLineNumbers w:val="0"/>
              <w:adjustRightInd w:val="0"/>
              <w:snapToGrid w:val="0"/>
              <w:spacing w:before="0" w:beforeAutospacing="0" w:after="0" w:afterAutospacing="0" w:line="240" w:lineRule="exact"/>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付款</w:t>
            </w:r>
          </w:p>
        </w:tc>
      </w:tr>
      <w:tr w14:paraId="396F7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1165" w:type="dxa"/>
            <w:noWrap w:val="0"/>
            <w:vAlign w:val="center"/>
          </w:tcPr>
          <w:p w14:paraId="36F9F8B8">
            <w:pPr>
              <w:keepNext w:val="0"/>
              <w:keepLines w:val="0"/>
              <w:suppressLineNumbers w:val="0"/>
              <w:adjustRightInd w:val="0"/>
              <w:snapToGrid w:val="0"/>
              <w:spacing w:before="0" w:beforeAutospacing="0" w:after="0" w:afterAutospacing="0" w:line="240" w:lineRule="exact"/>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钢筋</w:t>
            </w:r>
          </w:p>
        </w:tc>
        <w:tc>
          <w:tcPr>
            <w:tcW w:w="1843" w:type="dxa"/>
            <w:noWrap w:val="0"/>
            <w:vAlign w:val="center"/>
          </w:tcPr>
          <w:p w14:paraId="482E676B">
            <w:pPr>
              <w:keepNext w:val="0"/>
              <w:keepLines w:val="0"/>
              <w:suppressLineNumbers w:val="0"/>
              <w:adjustRightInd w:val="0"/>
              <w:snapToGrid w:val="0"/>
              <w:spacing w:before="0" w:beforeAutospacing="0" w:after="0" w:afterAutospacing="0" w:line="240" w:lineRule="exact"/>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我的钢铁网</w:t>
            </w:r>
            <w:r>
              <w:rPr>
                <w:rFonts w:hint="eastAsia" w:ascii="宋体" w:hAnsi="宋体" w:eastAsia="宋体" w:cs="宋体"/>
                <w:color w:val="auto"/>
                <w:highlight w:val="none"/>
              </w:rPr>
              <w:t>www.mysteel.com</w:t>
            </w:r>
          </w:p>
        </w:tc>
        <w:tc>
          <w:tcPr>
            <w:tcW w:w="1417" w:type="dxa"/>
            <w:noWrap w:val="0"/>
            <w:vAlign w:val="center"/>
          </w:tcPr>
          <w:p w14:paraId="03F37777">
            <w:pPr>
              <w:keepNext w:val="0"/>
              <w:keepLines w:val="0"/>
              <w:suppressLineNumbers w:val="0"/>
              <w:adjustRightInd w:val="0"/>
              <w:snapToGrid w:val="0"/>
              <w:spacing w:before="0" w:beforeAutospacing="0" w:after="0" w:afterAutospacing="0" w:line="240" w:lineRule="exact"/>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超过±</w:t>
            </w:r>
            <w:r>
              <w:rPr>
                <w:rFonts w:hint="eastAsia" w:ascii="宋体" w:hAnsi="宋体" w:cs="宋体"/>
                <w:color w:val="auto"/>
                <w:szCs w:val="21"/>
                <w:highlight w:val="none"/>
                <w:lang w:val="en-US" w:eastAsia="zh-CN"/>
              </w:rPr>
              <w:t>5</w:t>
            </w:r>
            <w:r>
              <w:rPr>
                <w:rFonts w:hint="eastAsia" w:ascii="宋体" w:hAnsi="宋体" w:eastAsia="宋体" w:cs="宋体"/>
                <w:color w:val="auto"/>
                <w:szCs w:val="21"/>
                <w:highlight w:val="none"/>
              </w:rPr>
              <w:t>%</w:t>
            </w:r>
          </w:p>
        </w:tc>
        <w:tc>
          <w:tcPr>
            <w:tcW w:w="3375" w:type="dxa"/>
            <w:vMerge w:val="restart"/>
            <w:noWrap w:val="0"/>
            <w:vAlign w:val="center"/>
          </w:tcPr>
          <w:p w14:paraId="63012947">
            <w:pPr>
              <w:keepNext w:val="0"/>
              <w:keepLines w:val="0"/>
              <w:suppressLineNumbers w:val="0"/>
              <w:adjustRightInd w:val="0"/>
              <w:snapToGrid w:val="0"/>
              <w:spacing w:before="0" w:beforeAutospacing="0" w:after="0" w:afterAutospacing="0" w:line="240" w:lineRule="exact"/>
              <w:ind w:left="0" w:right="0" w:firstLine="42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主体基础施工当月~主体封顶当月，“当月”为项目部及监理签署的月报量形象进度为准。</w:t>
            </w:r>
          </w:p>
        </w:tc>
        <w:tc>
          <w:tcPr>
            <w:tcW w:w="1445" w:type="dxa"/>
            <w:noWrap w:val="0"/>
            <w:vAlign w:val="center"/>
          </w:tcPr>
          <w:p w14:paraId="3F486D80">
            <w:pPr>
              <w:keepNext w:val="0"/>
              <w:keepLines w:val="0"/>
              <w:suppressLineNumbers w:val="0"/>
              <w:adjustRightInd w:val="0"/>
              <w:snapToGrid w:val="0"/>
              <w:spacing w:before="0" w:beforeAutospacing="0" w:after="0" w:afterAutospacing="0" w:line="240" w:lineRule="exact"/>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结算付</w:t>
            </w:r>
          </w:p>
        </w:tc>
      </w:tr>
      <w:tr w14:paraId="621D6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65" w:type="dxa"/>
            <w:noWrap w:val="0"/>
            <w:vAlign w:val="center"/>
          </w:tcPr>
          <w:p w14:paraId="316A9FE7">
            <w:pPr>
              <w:keepNext w:val="0"/>
              <w:keepLines w:val="0"/>
              <w:suppressLineNumbers w:val="0"/>
              <w:adjustRightInd w:val="0"/>
              <w:snapToGrid w:val="0"/>
              <w:spacing w:before="0" w:beforeAutospacing="0" w:after="0" w:afterAutospacing="0" w:line="240" w:lineRule="exact"/>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商品砼</w:t>
            </w:r>
          </w:p>
        </w:tc>
        <w:tc>
          <w:tcPr>
            <w:tcW w:w="1843" w:type="dxa"/>
            <w:noWrap w:val="0"/>
            <w:vAlign w:val="center"/>
          </w:tcPr>
          <w:p w14:paraId="2E91B545">
            <w:pPr>
              <w:keepNext w:val="0"/>
              <w:keepLines w:val="0"/>
              <w:suppressLineNumbers w:val="0"/>
              <w:adjustRightInd w:val="0"/>
              <w:snapToGrid w:val="0"/>
              <w:spacing w:before="0" w:beforeAutospacing="0" w:after="0" w:afterAutospacing="0" w:line="240" w:lineRule="exact"/>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广材网www.gldjc.com</w:t>
            </w:r>
          </w:p>
        </w:tc>
        <w:tc>
          <w:tcPr>
            <w:tcW w:w="1417" w:type="dxa"/>
            <w:noWrap w:val="0"/>
            <w:vAlign w:val="center"/>
          </w:tcPr>
          <w:p w14:paraId="7A6B1966">
            <w:pPr>
              <w:keepNext w:val="0"/>
              <w:keepLines w:val="0"/>
              <w:suppressLineNumbers w:val="0"/>
              <w:adjustRightInd w:val="0"/>
              <w:snapToGrid w:val="0"/>
              <w:spacing w:before="0" w:beforeAutospacing="0" w:after="0" w:afterAutospacing="0" w:line="240" w:lineRule="exact"/>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超过±</w:t>
            </w:r>
            <w:r>
              <w:rPr>
                <w:rFonts w:hint="eastAsia" w:ascii="宋体" w:hAnsi="宋体" w:cs="宋体"/>
                <w:color w:val="auto"/>
                <w:szCs w:val="21"/>
                <w:highlight w:val="none"/>
                <w:lang w:val="en-US" w:eastAsia="zh-CN"/>
              </w:rPr>
              <w:t>5</w:t>
            </w:r>
            <w:r>
              <w:rPr>
                <w:rFonts w:hint="eastAsia" w:ascii="宋体" w:hAnsi="宋体" w:eastAsia="宋体" w:cs="宋体"/>
                <w:color w:val="auto"/>
                <w:szCs w:val="21"/>
                <w:highlight w:val="none"/>
              </w:rPr>
              <w:t>%</w:t>
            </w:r>
          </w:p>
        </w:tc>
        <w:tc>
          <w:tcPr>
            <w:tcW w:w="3375" w:type="dxa"/>
            <w:vMerge w:val="continue"/>
            <w:noWrap w:val="0"/>
            <w:vAlign w:val="center"/>
          </w:tcPr>
          <w:p w14:paraId="07A8A900">
            <w:pPr>
              <w:keepNext w:val="0"/>
              <w:keepLines w:val="0"/>
              <w:suppressLineNumbers w:val="0"/>
              <w:adjustRightInd w:val="0"/>
              <w:snapToGrid w:val="0"/>
              <w:spacing w:before="0" w:beforeAutospacing="0" w:after="0" w:afterAutospacing="0" w:line="240" w:lineRule="exact"/>
              <w:ind w:left="0" w:right="0" w:firstLine="420"/>
              <w:jc w:val="center"/>
              <w:outlineLvl w:val="9"/>
              <w:rPr>
                <w:rFonts w:hint="eastAsia" w:ascii="宋体" w:hAnsi="宋体" w:eastAsia="宋体" w:cs="宋体"/>
                <w:color w:val="auto"/>
                <w:szCs w:val="21"/>
                <w:highlight w:val="none"/>
              </w:rPr>
            </w:pPr>
          </w:p>
        </w:tc>
        <w:tc>
          <w:tcPr>
            <w:tcW w:w="1445" w:type="dxa"/>
            <w:noWrap w:val="0"/>
            <w:vAlign w:val="center"/>
          </w:tcPr>
          <w:p w14:paraId="332E6FFB">
            <w:pPr>
              <w:keepNext w:val="0"/>
              <w:keepLines w:val="0"/>
              <w:suppressLineNumbers w:val="0"/>
              <w:adjustRightInd w:val="0"/>
              <w:snapToGrid w:val="0"/>
              <w:spacing w:before="0" w:beforeAutospacing="0" w:after="0" w:afterAutospacing="0" w:line="240" w:lineRule="exact"/>
              <w:ind w:left="0" w:right="0"/>
              <w:jc w:val="center"/>
              <w:outlineLvl w:val="9"/>
              <w:rPr>
                <w:rFonts w:hint="eastAsia" w:ascii="宋体" w:hAnsi="宋体" w:eastAsia="宋体" w:cs="宋体"/>
                <w:color w:val="auto"/>
                <w:szCs w:val="21"/>
                <w:highlight w:val="none"/>
              </w:rPr>
            </w:pPr>
            <w:r>
              <w:rPr>
                <w:rFonts w:hint="eastAsia" w:ascii="宋体" w:hAnsi="宋体" w:eastAsia="宋体" w:cs="宋体"/>
                <w:color w:val="auto"/>
                <w:szCs w:val="21"/>
                <w:highlight w:val="none"/>
              </w:rPr>
              <w:t>结算付</w:t>
            </w:r>
          </w:p>
        </w:tc>
      </w:tr>
    </w:tbl>
    <w:p w14:paraId="17117A5B">
      <w:pPr>
        <w:pStyle w:val="74"/>
        <w:outlineLvl w:val="9"/>
        <w:rPr>
          <w:color w:val="auto"/>
          <w:highlight w:val="none"/>
        </w:rPr>
      </w:pPr>
    </w:p>
    <w:p w14:paraId="4145417A">
      <w:pPr>
        <w:widowControl/>
        <w:spacing w:line="500" w:lineRule="exact"/>
        <w:ind w:firstLine="420" w:firstLineChars="200"/>
        <w:contextualSpacing/>
        <w:jc w:val="left"/>
        <w:outlineLvl w:val="9"/>
        <w:rPr>
          <w:color w:val="auto"/>
          <w:szCs w:val="21"/>
          <w:highlight w:val="none"/>
        </w:rPr>
      </w:pPr>
      <w:r>
        <w:rPr>
          <w:rFonts w:hint="eastAsia" w:ascii="宋体" w:hAnsi="宋体" w:cs="宋体"/>
          <w:color w:val="auto"/>
          <w:szCs w:val="21"/>
          <w:highlight w:val="none"/>
        </w:rPr>
        <w:t>（3）材料基准价格的约定及材料价格调整办法：</w:t>
      </w:r>
    </w:p>
    <w:p w14:paraId="0CEA9302">
      <w:pPr>
        <w:widowControl/>
        <w:spacing w:line="500" w:lineRule="exact"/>
        <w:ind w:firstLine="420" w:firstLineChars="200"/>
        <w:contextualSpacing/>
        <w:jc w:val="left"/>
        <w:outlineLvl w:val="9"/>
        <w:rPr>
          <w:rFonts w:hint="eastAsia" w:ascii="宋体" w:hAnsi="宋体" w:cs="宋体"/>
          <w:color w:val="auto"/>
          <w:szCs w:val="21"/>
          <w:highlight w:val="none"/>
        </w:rPr>
      </w:pPr>
      <w:r>
        <w:rPr>
          <w:rFonts w:hint="eastAsia" w:ascii="宋体" w:hAnsi="宋体" w:cs="宋体"/>
          <w:color w:val="auto"/>
          <w:szCs w:val="21"/>
          <w:highlight w:val="none"/>
        </w:rPr>
        <w:fldChar w:fldCharType="begin"/>
      </w:r>
      <w:r>
        <w:rPr>
          <w:rFonts w:hint="eastAsia" w:ascii="宋体" w:hAnsi="宋体" w:cs="宋体"/>
          <w:color w:val="auto"/>
          <w:szCs w:val="21"/>
          <w:highlight w:val="none"/>
        </w:rPr>
        <w:instrText xml:space="preserve">eq \o\ac(○,1)</w:instrText>
      </w:r>
      <w:r>
        <w:rPr>
          <w:rFonts w:hint="eastAsia" w:ascii="宋体" w:hAnsi="宋体" w:cs="宋体"/>
          <w:color w:val="auto"/>
          <w:szCs w:val="21"/>
          <w:highlight w:val="none"/>
        </w:rPr>
        <w:fldChar w:fldCharType="end"/>
      </w:r>
      <w:r>
        <w:rPr>
          <w:rFonts w:hint="eastAsia" w:ascii="宋体" w:hAnsi="宋体" w:cs="宋体"/>
          <w:color w:val="auto"/>
          <w:szCs w:val="21"/>
          <w:highlight w:val="none"/>
        </w:rPr>
        <w:t>钢筋价格以“我的钢铁网”月均价（含税）为调价依据，以投标当期“我的钢铁网”月均收盘价为基准价，若施工当期“我的钢铁网”月均价</w:t>
      </w:r>
      <w:r>
        <w:rPr>
          <w:rFonts w:hint="eastAsia" w:ascii="宋体" w:hAnsi="宋体" w:cs="宋体"/>
          <w:color w:val="auto"/>
          <w:szCs w:val="21"/>
          <w:highlight w:val="none"/>
          <w:lang w:val="en-US" w:eastAsia="zh-CN"/>
        </w:rPr>
        <w:t>与基准价相比</w:t>
      </w:r>
      <w:r>
        <w:rPr>
          <w:rFonts w:hint="eastAsia" w:ascii="宋体" w:hAnsi="宋体" w:cs="宋体"/>
          <w:color w:val="auto"/>
          <w:szCs w:val="21"/>
          <w:highlight w:val="none"/>
        </w:rPr>
        <w:t>波动幅度在±</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%（含±</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%）以内，不调整材料价格；超过基准价±</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%（不含±</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%）以上时，调整该主要建筑材料差价；</w:t>
      </w:r>
    </w:p>
    <w:p w14:paraId="44991C21">
      <w:pPr>
        <w:widowControl/>
        <w:spacing w:line="500" w:lineRule="exact"/>
        <w:ind w:firstLine="420" w:firstLineChars="200"/>
        <w:contextualSpacing/>
        <w:jc w:val="left"/>
        <w:outlineLvl w:val="9"/>
        <w:rPr>
          <w:rFonts w:hint="eastAsia" w:ascii="宋体" w:hAnsi="宋体" w:cs="宋体"/>
          <w:color w:val="auto"/>
          <w:szCs w:val="21"/>
          <w:highlight w:val="none"/>
        </w:rPr>
      </w:pPr>
      <w:r>
        <w:rPr>
          <w:rFonts w:hint="eastAsia" w:ascii="宋体" w:hAnsi="宋体" w:cs="宋体"/>
          <w:color w:val="auto"/>
          <w:szCs w:val="21"/>
          <w:highlight w:val="none"/>
        </w:rPr>
        <w:t>钢筋施工当期“我的钢铁网”月均价高于基准价的</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%（不含</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%）以上时：材料差价=（施工同期材料价格-基准价*1.</w:t>
      </w:r>
      <w:r>
        <w:rPr>
          <w:rFonts w:hint="eastAsia" w:ascii="宋体" w:hAnsi="宋体" w:cs="宋体"/>
          <w:color w:val="auto"/>
          <w:szCs w:val="21"/>
          <w:highlight w:val="none"/>
          <w:lang w:val="en-US" w:eastAsia="zh-CN"/>
        </w:rPr>
        <w:t>05</w:t>
      </w:r>
      <w:r>
        <w:rPr>
          <w:rFonts w:hint="eastAsia" w:ascii="宋体" w:hAnsi="宋体" w:cs="宋体"/>
          <w:color w:val="auto"/>
          <w:szCs w:val="21"/>
          <w:highlight w:val="none"/>
        </w:rPr>
        <w:t>）/1.13*1.09；</w:t>
      </w:r>
    </w:p>
    <w:p w14:paraId="3475DE05">
      <w:pPr>
        <w:widowControl/>
        <w:spacing w:line="500" w:lineRule="exact"/>
        <w:ind w:firstLine="420" w:firstLineChars="200"/>
        <w:contextualSpacing/>
        <w:jc w:val="left"/>
        <w:outlineLvl w:val="9"/>
        <w:rPr>
          <w:rFonts w:hint="eastAsia" w:ascii="宋体" w:hAnsi="宋体" w:cs="宋体"/>
          <w:color w:val="auto"/>
          <w:szCs w:val="21"/>
          <w:highlight w:val="none"/>
        </w:rPr>
      </w:pPr>
      <w:r>
        <w:rPr>
          <w:rFonts w:hint="eastAsia" w:ascii="宋体" w:hAnsi="宋体" w:cs="宋体"/>
          <w:color w:val="auto"/>
          <w:szCs w:val="21"/>
          <w:highlight w:val="none"/>
        </w:rPr>
        <w:t>钢筋施工当期“我的钢铁网”月均价低于基准价的</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%（不含</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%）以上时：材料差价=（施工同期材料价格-基准价*0.9</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）/1.13*1.09；</w:t>
      </w:r>
    </w:p>
    <w:p w14:paraId="5BC3228B">
      <w:pPr>
        <w:widowControl/>
        <w:spacing w:line="500" w:lineRule="exact"/>
        <w:ind w:firstLine="420" w:firstLineChars="200"/>
        <w:contextualSpacing/>
        <w:jc w:val="left"/>
        <w:outlineLvl w:val="9"/>
        <w:rPr>
          <w:rFonts w:hint="eastAsia" w:ascii="宋体" w:hAnsi="宋体" w:cs="宋体"/>
          <w:color w:val="auto"/>
          <w:szCs w:val="21"/>
          <w:highlight w:val="none"/>
        </w:rPr>
      </w:pPr>
      <w:r>
        <w:rPr>
          <w:rFonts w:hint="eastAsia" w:ascii="宋体" w:hAnsi="宋体" w:cs="宋体"/>
          <w:color w:val="auto"/>
          <w:szCs w:val="21"/>
          <w:highlight w:val="none"/>
        </w:rPr>
        <w:t>以上材料单价调整部分仅计取税金（9%）后计入结算造价（不计取规费、利润和管理费等其他任何费用）,材料均不含税，钢筋价格=“我的钢铁网”西安地区龙钢对应型号价格，月均价：取每月5号、15号、25号算术平均价：</w:t>
      </w:r>
    </w:p>
    <w:p w14:paraId="4918EF40">
      <w:pPr>
        <w:widowControl/>
        <w:spacing w:line="500" w:lineRule="exact"/>
        <w:ind w:firstLine="420" w:firstLineChars="200"/>
        <w:contextualSpacing/>
        <w:jc w:val="left"/>
        <w:outlineLvl w:val="9"/>
        <w:rPr>
          <w:rFonts w:hint="eastAsia" w:ascii="宋体" w:hAnsi="宋体" w:cs="宋体"/>
          <w:color w:val="auto"/>
          <w:szCs w:val="21"/>
          <w:highlight w:val="none"/>
        </w:rPr>
      </w:pPr>
      <w:r>
        <w:rPr>
          <w:rFonts w:hint="eastAsia" w:ascii="宋体" w:hAnsi="宋体" w:cs="宋体"/>
          <w:color w:val="auto"/>
          <w:szCs w:val="21"/>
          <w:highlight w:val="none"/>
        </w:rPr>
        <w:fldChar w:fldCharType="begin"/>
      </w:r>
      <w:r>
        <w:rPr>
          <w:rFonts w:hint="eastAsia" w:ascii="宋体" w:hAnsi="宋体" w:cs="宋体"/>
          <w:color w:val="auto"/>
          <w:szCs w:val="21"/>
          <w:highlight w:val="none"/>
        </w:rPr>
        <w:instrText xml:space="preserve">eq \o\ac(○,2)</w:instrText>
      </w:r>
      <w:r>
        <w:rPr>
          <w:rFonts w:hint="eastAsia" w:ascii="宋体" w:hAnsi="宋体" w:cs="宋体"/>
          <w:color w:val="auto"/>
          <w:szCs w:val="21"/>
          <w:highlight w:val="none"/>
        </w:rPr>
        <w:fldChar w:fldCharType="end"/>
      </w:r>
      <w:r>
        <w:rPr>
          <w:rFonts w:hint="eastAsia" w:ascii="宋体" w:hAnsi="宋体" w:cs="宋体"/>
          <w:color w:val="auto"/>
          <w:szCs w:val="21"/>
          <w:highlight w:val="none"/>
        </w:rPr>
        <w:t>商品砼以“</w:t>
      </w:r>
      <w:bookmarkStart w:id="719" w:name="OLE_LINK3"/>
      <w:r>
        <w:rPr>
          <w:rFonts w:hint="eastAsia" w:ascii="宋体" w:hAnsi="宋体" w:cs="宋体"/>
          <w:color w:val="auto"/>
          <w:szCs w:val="21"/>
          <w:highlight w:val="none"/>
        </w:rPr>
        <w:t>广材网</w:t>
      </w:r>
      <w:bookmarkEnd w:id="719"/>
      <w:r>
        <w:rPr>
          <w:rFonts w:hint="eastAsia" w:ascii="宋体" w:hAnsi="宋体" w:cs="宋体"/>
          <w:color w:val="auto"/>
          <w:szCs w:val="21"/>
          <w:highlight w:val="none"/>
        </w:rPr>
        <w:t>”网站中市场价的月均价（含税）为调价依据，以主体筏板开始浇筑施工当期“广材网”网址中市场价的月均价（A）为基准价格，若施工当期“广材网”中市场价的月均价</w:t>
      </w:r>
      <w:r>
        <w:rPr>
          <w:rFonts w:hint="eastAsia" w:ascii="宋体" w:hAnsi="宋体" w:cs="宋体"/>
          <w:color w:val="auto"/>
          <w:szCs w:val="21"/>
          <w:highlight w:val="none"/>
          <w:lang w:val="en-US" w:eastAsia="zh-CN"/>
        </w:rPr>
        <w:t>与基准价相比</w:t>
      </w:r>
      <w:r>
        <w:rPr>
          <w:rFonts w:hint="eastAsia" w:ascii="宋体" w:hAnsi="宋体" w:cs="宋体"/>
          <w:color w:val="auto"/>
          <w:szCs w:val="21"/>
          <w:highlight w:val="none"/>
        </w:rPr>
        <w:t>波动幅度在±</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%（含±</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%）以内，不调整材料价格；超过基准价±</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%（不含±</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以上时，调整该主要建筑材料差价；材料差价除税后仅计取税金（9%）后计入结算造价（不计取规费、利润和管理费等其他任何费用）。混凝土价格=“广材网”中“价格行倩”报价栏中西安厂家月均价计取(如网址价格不含泵送费，则泵送费按 15元/m³计取，抗渗砼按同标号价格增加 10元/m³计取，此外不因运距、冬雨季施工、付款方式等任何原因额外增加费用，施工至结算均不再调整）。月均价：取每月5号、15号、25号当日算术平均价作为月均价。</w:t>
      </w:r>
    </w:p>
    <w:p w14:paraId="55E42C64">
      <w:pPr>
        <w:widowControl/>
        <w:spacing w:line="500" w:lineRule="exact"/>
        <w:ind w:firstLine="420" w:firstLineChars="200"/>
        <w:contextualSpacing/>
        <w:jc w:val="left"/>
        <w:outlineLvl w:val="9"/>
        <w:rPr>
          <w:rFonts w:hint="eastAsia" w:ascii="宋体" w:hAnsi="宋体" w:cs="宋体"/>
          <w:color w:val="auto"/>
          <w:szCs w:val="21"/>
          <w:highlight w:val="none"/>
        </w:rPr>
      </w:pPr>
      <w:r>
        <w:rPr>
          <w:rFonts w:hint="eastAsia" w:ascii="宋体" w:hAnsi="宋体" w:cs="宋体"/>
          <w:color w:val="auto"/>
          <w:szCs w:val="21"/>
          <w:highlight w:val="none"/>
        </w:rPr>
        <w:t>商品砼施工当期“广材网”网站月均价高于基准价的</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%（不含</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%）以上时：材料差价=（施工同期材料价格-基准价*1.</w:t>
      </w:r>
      <w:r>
        <w:rPr>
          <w:rFonts w:hint="eastAsia" w:ascii="宋体" w:hAnsi="宋体" w:cs="宋体"/>
          <w:color w:val="auto"/>
          <w:szCs w:val="21"/>
          <w:highlight w:val="none"/>
          <w:lang w:val="en-US" w:eastAsia="zh-CN"/>
        </w:rPr>
        <w:t>0.5</w:t>
      </w:r>
      <w:r>
        <w:rPr>
          <w:rFonts w:hint="eastAsia" w:ascii="宋体" w:hAnsi="宋体" w:cs="宋体"/>
          <w:color w:val="auto"/>
          <w:szCs w:val="21"/>
          <w:highlight w:val="none"/>
        </w:rPr>
        <w:t>）/1.03*1.09；</w:t>
      </w:r>
    </w:p>
    <w:p w14:paraId="1F44C274">
      <w:pPr>
        <w:widowControl/>
        <w:spacing w:line="500" w:lineRule="exact"/>
        <w:ind w:firstLine="420" w:firstLineChars="200"/>
        <w:contextualSpacing/>
        <w:jc w:val="left"/>
        <w:outlineLvl w:val="9"/>
        <w:rPr>
          <w:rFonts w:hint="eastAsia" w:ascii="宋体" w:hAnsi="宋体" w:cs="宋体"/>
          <w:color w:val="auto"/>
          <w:szCs w:val="21"/>
          <w:highlight w:val="none"/>
        </w:rPr>
      </w:pPr>
      <w:r>
        <w:rPr>
          <w:rFonts w:hint="eastAsia" w:ascii="宋体" w:hAnsi="宋体" w:cs="宋体"/>
          <w:color w:val="auto"/>
          <w:szCs w:val="21"/>
          <w:highlight w:val="none"/>
        </w:rPr>
        <w:t>商品砼施工当期“广材网”网站月均价低于基准价的</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%（不含</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%）以上时：材料差价=（施工同期材料价格-基准价*0.9</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）/1.03*1.09；</w:t>
      </w:r>
    </w:p>
    <w:p w14:paraId="5C2C10AB">
      <w:pPr>
        <w:widowControl/>
        <w:spacing w:line="500" w:lineRule="exact"/>
        <w:ind w:firstLine="420" w:firstLineChars="200"/>
        <w:contextualSpacing/>
        <w:jc w:val="left"/>
        <w:outlineLvl w:val="9"/>
        <w:rPr>
          <w:rFonts w:hint="eastAsia" w:ascii="宋体" w:hAnsi="宋体" w:cs="宋体"/>
          <w:color w:val="auto"/>
          <w:highlight w:val="none"/>
        </w:rPr>
      </w:pPr>
      <w:r>
        <w:rPr>
          <w:rFonts w:hint="eastAsia" w:ascii="宋体" w:hAnsi="宋体" w:cs="宋体"/>
          <w:color w:val="auto"/>
          <w:szCs w:val="21"/>
          <w:highlight w:val="none"/>
        </w:rPr>
        <w:t>以上材料单价调整部分仅计取税金,月均价：按每月5号、15号、25号取当日算术平均价作为月均价。</w:t>
      </w:r>
    </w:p>
    <w:p w14:paraId="27147F5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val="en-US" w:eastAsia="zh-CN"/>
        </w:rPr>
        <w:t>4</w:t>
      </w:r>
      <w:r>
        <w:rPr>
          <w:rFonts w:cs="宋体" w:asciiTheme="minorEastAsia" w:hAnsiTheme="minorEastAsia" w:eastAsiaTheme="minorEastAsia"/>
          <w:color w:val="auto"/>
          <w:szCs w:val="21"/>
          <w:highlight w:val="none"/>
          <w:u w:val="single"/>
        </w:rPr>
        <w:t>）总包合同执行期间除以上材料可调整价格，其它材料均不做调整，材料调差的价格仅</w:t>
      </w:r>
      <w:r>
        <w:rPr>
          <w:rFonts w:hint="eastAsia" w:cs="宋体" w:asciiTheme="minorEastAsia" w:hAnsiTheme="minorEastAsia" w:eastAsiaTheme="minorEastAsia"/>
          <w:color w:val="auto"/>
          <w:szCs w:val="21"/>
          <w:highlight w:val="none"/>
          <w:u w:val="single"/>
        </w:rPr>
        <w:t>计</w:t>
      </w:r>
      <w:r>
        <w:rPr>
          <w:rFonts w:cs="宋体" w:asciiTheme="minorEastAsia" w:hAnsiTheme="minorEastAsia" w:eastAsiaTheme="minorEastAsia"/>
          <w:color w:val="auto"/>
          <w:szCs w:val="21"/>
          <w:highlight w:val="none"/>
          <w:u w:val="single"/>
        </w:rPr>
        <w:t>取税金后计入结算。暂估价工程中材料调整的范围及办法以分包合同约定为准。</w:t>
      </w:r>
    </w:p>
    <w:p w14:paraId="59EB3C4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 xml:space="preserve">14.1.3 </w:t>
      </w:r>
      <w:r>
        <w:rPr>
          <w:rFonts w:hint="eastAsia" w:cs="宋体" w:asciiTheme="minorEastAsia" w:hAnsiTheme="minorEastAsia" w:eastAsiaTheme="minorEastAsia"/>
          <w:color w:val="auto"/>
          <w:szCs w:val="21"/>
          <w:highlight w:val="none"/>
        </w:rPr>
        <w:t>按实际完成的工程量支付工程价款的计量方法、估价方法：</w:t>
      </w:r>
      <w:r>
        <w:rPr>
          <w:rFonts w:hint="eastAsia" w:cs="宋体" w:asciiTheme="minorEastAsia" w:hAnsiTheme="minorEastAsia" w:eastAsiaTheme="minorEastAsia"/>
          <w:color w:val="auto"/>
          <w:szCs w:val="21"/>
          <w:highlight w:val="none"/>
          <w:u w:val="single"/>
        </w:rPr>
        <w:t>发包人或委托第三方审定的综合单价为依据，按实际完成的工程量计算最终工程价</w:t>
      </w:r>
      <w:r>
        <w:rPr>
          <w:rFonts w:hint="eastAsia" w:cs="宋体" w:asciiTheme="minorEastAsia" w:hAnsiTheme="minorEastAsia" w:eastAsiaTheme="minorEastAsia"/>
          <w:bCs/>
          <w:color w:val="auto"/>
          <w:szCs w:val="21"/>
          <w:highlight w:val="none"/>
          <w:u w:val="single"/>
        </w:rPr>
        <w:t>款</w:t>
      </w:r>
      <w:r>
        <w:rPr>
          <w:rFonts w:hint="eastAsia" w:cs="宋体" w:asciiTheme="minorEastAsia" w:hAnsiTheme="minorEastAsia" w:eastAsiaTheme="minorEastAsia"/>
          <w:color w:val="auto"/>
          <w:szCs w:val="21"/>
          <w:highlight w:val="none"/>
          <w:u w:val="single"/>
        </w:rPr>
        <w:t>。</w:t>
      </w:r>
    </w:p>
    <w:p w14:paraId="488DEA86">
      <w:pPr>
        <w:adjustRightInd w:val="0"/>
        <w:snapToGrid w:val="0"/>
        <w:spacing w:line="500" w:lineRule="exact"/>
        <w:ind w:firstLine="422" w:firstLineChars="200"/>
        <w:outlineLvl w:val="9"/>
        <w:rPr>
          <w:rFonts w:cs="宋体" w:asciiTheme="minorEastAsia" w:hAnsiTheme="minorEastAsia" w:eastAsiaTheme="minorEastAsia"/>
          <w:b/>
          <w:bCs/>
          <w:color w:val="auto"/>
          <w:szCs w:val="21"/>
          <w:highlight w:val="none"/>
        </w:rPr>
      </w:pPr>
      <w:r>
        <w:rPr>
          <w:rFonts w:cs="宋体" w:asciiTheme="minorEastAsia" w:hAnsiTheme="minorEastAsia" w:eastAsiaTheme="minorEastAsia"/>
          <w:b/>
          <w:bCs/>
          <w:color w:val="auto"/>
          <w:szCs w:val="21"/>
          <w:highlight w:val="none"/>
        </w:rPr>
        <w:t xml:space="preserve">14.2 </w:t>
      </w:r>
      <w:r>
        <w:rPr>
          <w:rFonts w:hint="eastAsia" w:cs="宋体" w:asciiTheme="minorEastAsia" w:hAnsiTheme="minorEastAsia" w:eastAsiaTheme="minorEastAsia"/>
          <w:b/>
          <w:bCs/>
          <w:color w:val="auto"/>
          <w:szCs w:val="21"/>
          <w:highlight w:val="none"/>
        </w:rPr>
        <w:t>预付款</w:t>
      </w:r>
    </w:p>
    <w:p w14:paraId="3A30516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14.2.1 </w:t>
      </w:r>
      <w:r>
        <w:rPr>
          <w:rFonts w:hint="eastAsia" w:cs="宋体" w:asciiTheme="minorEastAsia" w:hAnsiTheme="minorEastAsia" w:eastAsiaTheme="minorEastAsia"/>
          <w:color w:val="auto"/>
          <w:szCs w:val="21"/>
          <w:highlight w:val="none"/>
        </w:rPr>
        <w:t>预付款支付</w:t>
      </w:r>
    </w:p>
    <w:p w14:paraId="2F2DB043">
      <w:pPr>
        <w:adjustRightInd w:val="0"/>
        <w:snapToGrid w:val="0"/>
        <w:spacing w:line="500" w:lineRule="exact"/>
        <w:ind w:firstLine="420" w:firstLineChars="200"/>
        <w:outlineLvl w:val="9"/>
        <w:rPr>
          <w:rFonts w:asciiTheme="minorEastAsia" w:hAnsiTheme="minorEastAsia" w:eastAsiaTheme="minorEastAsia" w:cstheme="minorEastAsia"/>
          <w:color w:val="auto"/>
          <w:szCs w:val="21"/>
          <w:highlight w:val="none"/>
        </w:rPr>
      </w:pPr>
      <w:r>
        <w:rPr>
          <w:rFonts w:hint="eastAsia" w:cs="宋体" w:asciiTheme="minorEastAsia" w:hAnsiTheme="minorEastAsia" w:eastAsiaTheme="minorEastAsia"/>
          <w:color w:val="auto"/>
          <w:szCs w:val="21"/>
          <w:highlight w:val="none"/>
        </w:rPr>
        <w:t>预付款的金额或比例为：</w:t>
      </w:r>
      <w:r>
        <w:rPr>
          <w:rFonts w:hint="eastAsia" w:cs="宋体" w:asciiTheme="minorEastAsia" w:hAnsiTheme="minorEastAsia" w:eastAsiaTheme="minorEastAsia"/>
          <w:color w:val="auto"/>
          <w:szCs w:val="21"/>
          <w:highlight w:val="none"/>
          <w:u w:val="single"/>
        </w:rPr>
        <w:t>预付款为暂定合同金额的10%（不含</w:t>
      </w:r>
      <w:r>
        <w:rPr>
          <w:rFonts w:hint="eastAsia" w:ascii="宋体" w:hAnsi="宋体" w:cs="宋体"/>
          <w:color w:val="auto"/>
          <w:szCs w:val="21"/>
          <w:highlight w:val="none"/>
          <w:u w:val="single"/>
        </w:rPr>
        <w:t>设计费、暂估价、暂列金额、安全文明施工费</w:t>
      </w:r>
      <w:r>
        <w:rPr>
          <w:rFonts w:hint="eastAsia" w:cs="宋体" w:asciiTheme="minorEastAsia" w:hAnsiTheme="minorEastAsia" w:eastAsiaTheme="minorEastAsia"/>
          <w:color w:val="auto"/>
          <w:szCs w:val="21"/>
          <w:highlight w:val="none"/>
          <w:u w:val="single"/>
        </w:rPr>
        <w:t>），在合同签订后一个月内予以支付。</w:t>
      </w:r>
    </w:p>
    <w:p w14:paraId="6BFEF15F">
      <w:pPr>
        <w:adjustRightInd w:val="0"/>
        <w:snapToGrid w:val="0"/>
        <w:spacing w:line="500" w:lineRule="exact"/>
        <w:ind w:firstLine="420" w:firstLineChars="200"/>
        <w:outlineLvl w:val="9"/>
        <w:rPr>
          <w:rFonts w:cs="宋体" w:asciiTheme="minorEastAsia" w:hAnsiTheme="minorEastAsia" w:eastAsiaTheme="minorEastAsia"/>
          <w:color w:val="FF0000"/>
          <w:szCs w:val="21"/>
          <w:highlight w:val="none"/>
          <w:u w:val="single"/>
        </w:rPr>
      </w:pPr>
      <w:r>
        <w:rPr>
          <w:rFonts w:cs="宋体" w:asciiTheme="minorEastAsia" w:hAnsiTheme="minorEastAsia" w:eastAsiaTheme="minorEastAsia"/>
          <w:color w:val="auto"/>
          <w:szCs w:val="21"/>
          <w:highlight w:val="none"/>
          <w:u w:val="single"/>
        </w:rPr>
        <w:t>预付款的抵扣方式、抵扣比例和抵扣时间安排：</w:t>
      </w:r>
      <w:r>
        <w:rPr>
          <w:rFonts w:hint="eastAsia" w:cs="宋体" w:asciiTheme="minorEastAsia" w:hAnsiTheme="minorEastAsia" w:eastAsiaTheme="minorEastAsia"/>
          <w:color w:val="FF0000"/>
          <w:szCs w:val="21"/>
          <w:highlight w:val="none"/>
          <w:u w:val="single"/>
        </w:rPr>
        <w:t>随工程进度款（从桩基工程开始）</w:t>
      </w:r>
      <w:r>
        <w:rPr>
          <w:rFonts w:hint="eastAsia" w:cs="宋体" w:asciiTheme="minorEastAsia" w:hAnsiTheme="minorEastAsia" w:eastAsiaTheme="minorEastAsia"/>
          <w:color w:val="FF0000"/>
          <w:szCs w:val="21"/>
          <w:highlight w:val="none"/>
          <w:u w:val="single"/>
          <w:lang w:val="en-US" w:eastAsia="zh-CN"/>
        </w:rPr>
        <w:t>100%</w:t>
      </w:r>
      <w:r>
        <w:rPr>
          <w:rFonts w:hint="eastAsia" w:cs="宋体" w:asciiTheme="minorEastAsia" w:hAnsiTheme="minorEastAsia" w:eastAsiaTheme="minorEastAsia"/>
          <w:color w:val="FF0000"/>
          <w:szCs w:val="21"/>
          <w:highlight w:val="none"/>
          <w:u w:val="single"/>
        </w:rPr>
        <w:t>扣回，扣完为止。</w:t>
      </w:r>
    </w:p>
    <w:p w14:paraId="4ECFAE2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安全文明施工费：</w:t>
      </w:r>
      <w:r>
        <w:rPr>
          <w:rFonts w:hint="eastAsia" w:cs="宋体" w:asciiTheme="minorEastAsia" w:hAnsiTheme="minorEastAsia" w:eastAsiaTheme="minorEastAsia"/>
          <w:color w:val="auto"/>
          <w:szCs w:val="21"/>
          <w:highlight w:val="none"/>
          <w:u w:val="single"/>
        </w:rPr>
        <w:t>合同签订且总包进场后一个月内预付安全文明施工措施费100％。</w:t>
      </w:r>
    </w:p>
    <w:p w14:paraId="765A84A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14.2.2预付款担保</w:t>
      </w:r>
    </w:p>
    <w:p w14:paraId="32FE098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提供预付款担保期限：</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7BBF8AF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预付款担保形式：</w:t>
      </w: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rPr>
        <w:t>。</w:t>
      </w:r>
    </w:p>
    <w:p w14:paraId="0BED910F">
      <w:pPr>
        <w:adjustRightInd w:val="0"/>
        <w:snapToGrid w:val="0"/>
        <w:spacing w:line="500" w:lineRule="exact"/>
        <w:ind w:firstLine="422" w:firstLineChars="200"/>
        <w:outlineLvl w:val="9"/>
        <w:rPr>
          <w:rFonts w:cs="宋体" w:asciiTheme="minorEastAsia" w:hAnsiTheme="minorEastAsia" w:eastAsiaTheme="minorEastAsia"/>
          <w:b/>
          <w:bCs/>
          <w:color w:val="auto"/>
          <w:szCs w:val="21"/>
          <w:highlight w:val="none"/>
        </w:rPr>
      </w:pPr>
      <w:r>
        <w:rPr>
          <w:rFonts w:cs="宋体" w:asciiTheme="minorEastAsia" w:hAnsiTheme="minorEastAsia" w:eastAsiaTheme="minorEastAsia"/>
          <w:b/>
          <w:bCs/>
          <w:color w:val="auto"/>
          <w:szCs w:val="21"/>
          <w:highlight w:val="none"/>
        </w:rPr>
        <w:t xml:space="preserve">14.3 </w:t>
      </w:r>
      <w:r>
        <w:rPr>
          <w:rFonts w:hint="eastAsia" w:cs="宋体" w:asciiTheme="minorEastAsia" w:hAnsiTheme="minorEastAsia" w:eastAsiaTheme="minorEastAsia"/>
          <w:b/>
          <w:bCs/>
          <w:color w:val="auto"/>
          <w:szCs w:val="21"/>
          <w:highlight w:val="none"/>
        </w:rPr>
        <w:t>工程进度款</w:t>
      </w:r>
    </w:p>
    <w:p w14:paraId="4B03459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14.3.1 </w:t>
      </w:r>
      <w:r>
        <w:rPr>
          <w:rFonts w:hint="eastAsia" w:cs="宋体" w:asciiTheme="minorEastAsia" w:hAnsiTheme="minorEastAsia" w:eastAsiaTheme="minorEastAsia"/>
          <w:color w:val="auto"/>
          <w:szCs w:val="21"/>
          <w:highlight w:val="none"/>
        </w:rPr>
        <w:t>工程进度付款申请</w:t>
      </w:r>
    </w:p>
    <w:p w14:paraId="1BCE2D9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关于进度付款申请单编制的约定：</w:t>
      </w:r>
      <w:r>
        <w:rPr>
          <w:rFonts w:hint="eastAsia" w:cs="宋体" w:asciiTheme="minorEastAsia" w:hAnsiTheme="minorEastAsia" w:eastAsiaTheme="minorEastAsia"/>
          <w:color w:val="auto"/>
          <w:szCs w:val="21"/>
          <w:highlight w:val="none"/>
          <w:u w:val="single"/>
        </w:rPr>
        <w:t>按工程资料中的工程款支付报审表及工程款支付证书编制进度付款申请单，申请单中需有总监理工程师及项目经理签字。</w:t>
      </w:r>
    </w:p>
    <w:p w14:paraId="145983A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承包人提交进度付款申请单的格式、内容、份数和时间：</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003009A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14.3.2 </w:t>
      </w:r>
      <w:r>
        <w:rPr>
          <w:rFonts w:hint="eastAsia" w:cs="宋体" w:asciiTheme="minorEastAsia" w:hAnsiTheme="minorEastAsia" w:eastAsiaTheme="minorEastAsia"/>
          <w:color w:val="auto"/>
          <w:szCs w:val="21"/>
          <w:highlight w:val="none"/>
        </w:rPr>
        <w:t>进度付款审核和支付</w:t>
      </w:r>
    </w:p>
    <w:p w14:paraId="51B8990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进度付款的审核方式和支付的约定：</w:t>
      </w:r>
    </w:p>
    <w:p w14:paraId="6D4F8478">
      <w:pPr>
        <w:adjustRightInd w:val="0"/>
        <w:snapToGrid w:val="0"/>
        <w:spacing w:line="500" w:lineRule="exact"/>
        <w:ind w:firstLine="420" w:firstLineChars="200"/>
        <w:outlineLvl w:val="9"/>
        <w:rPr>
          <w:rFonts w:asciiTheme="minorEastAsia" w:hAnsiTheme="minorEastAsia" w:eastAsiaTheme="minorEastAsia" w:cstheme="minorEastAsia"/>
          <w:b/>
          <w:color w:val="auto"/>
          <w:szCs w:val="21"/>
          <w:highlight w:val="none"/>
          <w:u w:val="single"/>
        </w:rPr>
      </w:pPr>
      <w:r>
        <w:rPr>
          <w:rFonts w:hint="eastAsia" w:cs="宋体" w:asciiTheme="minorEastAsia" w:hAnsiTheme="minorEastAsia" w:eastAsiaTheme="minorEastAsia"/>
          <w:color w:val="auto"/>
          <w:szCs w:val="21"/>
          <w:highlight w:val="none"/>
          <w:lang w:val="en-US" w:eastAsia="zh-CN"/>
        </w:rPr>
        <w:t>施工图</w:t>
      </w:r>
      <w:r>
        <w:rPr>
          <w:rFonts w:hint="eastAsia" w:cs="宋体" w:asciiTheme="minorEastAsia" w:hAnsiTheme="minorEastAsia" w:eastAsiaTheme="minorEastAsia"/>
          <w:color w:val="auto"/>
          <w:szCs w:val="21"/>
          <w:highlight w:val="none"/>
        </w:rPr>
        <w:t>设计进度款付款方式：</w:t>
      </w:r>
      <w:r>
        <w:rPr>
          <w:rFonts w:hint="eastAsia" w:cs="宋体" w:asciiTheme="minorEastAsia" w:hAnsiTheme="minorEastAsia" w:eastAsiaTheme="minorEastAsia"/>
          <w:color w:val="auto"/>
          <w:szCs w:val="21"/>
          <w:highlight w:val="none"/>
          <w:u w:val="single"/>
        </w:rPr>
        <w:t>设计费分阶段进行支付，不得因设计原因影响项目施工进度的要求，发包方有权对设计进度时间进行合理调整以满足施工工期的安排。</w:t>
      </w:r>
    </w:p>
    <w:p w14:paraId="0363C6A6">
      <w:pPr>
        <w:adjustRightInd w:val="0"/>
        <w:snapToGrid w:val="0"/>
        <w:spacing w:line="500" w:lineRule="exact"/>
        <w:jc w:val="left"/>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设计费支付方式如下表：</w:t>
      </w:r>
    </w:p>
    <w:tbl>
      <w:tblPr>
        <w:tblStyle w:val="56"/>
        <w:tblW w:w="9781" w:type="dxa"/>
        <w:tblInd w:w="-34"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276"/>
        <w:gridCol w:w="1985"/>
        <w:gridCol w:w="1996"/>
        <w:gridCol w:w="4524"/>
      </w:tblGrid>
      <w:tr w14:paraId="173B75C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276" w:type="dxa"/>
            <w:tcBorders>
              <w:top w:val="single" w:color="auto" w:sz="4" w:space="0"/>
              <w:left w:val="single" w:color="auto" w:sz="4" w:space="0"/>
              <w:bottom w:val="single" w:color="auto" w:sz="4" w:space="0"/>
              <w:right w:val="single" w:color="auto" w:sz="4" w:space="0"/>
            </w:tcBorders>
            <w:vAlign w:val="center"/>
          </w:tcPr>
          <w:p w14:paraId="778EE539">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付费次序</w:t>
            </w:r>
          </w:p>
        </w:tc>
        <w:tc>
          <w:tcPr>
            <w:tcW w:w="1985" w:type="dxa"/>
            <w:tcBorders>
              <w:top w:val="single" w:color="auto" w:sz="4" w:space="0"/>
              <w:left w:val="single" w:color="auto" w:sz="4" w:space="0"/>
              <w:bottom w:val="single" w:color="auto" w:sz="4" w:space="0"/>
              <w:right w:val="single" w:color="auto" w:sz="4" w:space="0"/>
            </w:tcBorders>
            <w:vAlign w:val="center"/>
          </w:tcPr>
          <w:p w14:paraId="706A7EBA">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占设计费比例</w:t>
            </w:r>
          </w:p>
        </w:tc>
        <w:tc>
          <w:tcPr>
            <w:tcW w:w="1996" w:type="dxa"/>
            <w:tcBorders>
              <w:top w:val="single" w:color="auto" w:sz="4" w:space="0"/>
              <w:left w:val="single" w:color="auto" w:sz="4" w:space="0"/>
              <w:bottom w:val="single" w:color="auto" w:sz="4" w:space="0"/>
              <w:right w:val="single" w:color="auto" w:sz="4" w:space="0"/>
            </w:tcBorders>
            <w:vAlign w:val="center"/>
          </w:tcPr>
          <w:p w14:paraId="6844CF91">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付费（元）</w:t>
            </w:r>
          </w:p>
        </w:tc>
        <w:tc>
          <w:tcPr>
            <w:tcW w:w="4524" w:type="dxa"/>
            <w:tcBorders>
              <w:top w:val="single" w:color="auto" w:sz="4" w:space="0"/>
              <w:left w:val="single" w:color="auto" w:sz="4" w:space="0"/>
              <w:bottom w:val="single" w:color="auto" w:sz="4" w:space="0"/>
              <w:right w:val="single" w:color="auto" w:sz="4" w:space="0"/>
            </w:tcBorders>
            <w:vAlign w:val="center"/>
          </w:tcPr>
          <w:p w14:paraId="12BF2BAD">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付费时间(由交付设计文件所决定)</w:t>
            </w:r>
          </w:p>
        </w:tc>
      </w:tr>
      <w:tr w14:paraId="6734606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0" w:hRule="atLeast"/>
        </w:trPr>
        <w:tc>
          <w:tcPr>
            <w:tcW w:w="1276" w:type="dxa"/>
            <w:tcBorders>
              <w:top w:val="single" w:color="auto" w:sz="4" w:space="0"/>
              <w:left w:val="single" w:color="auto" w:sz="4" w:space="0"/>
              <w:bottom w:val="single" w:color="auto" w:sz="4" w:space="0"/>
              <w:right w:val="single" w:color="auto" w:sz="4" w:space="0"/>
            </w:tcBorders>
            <w:vAlign w:val="center"/>
          </w:tcPr>
          <w:p w14:paraId="14E2D3CF">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第</w:t>
            </w:r>
            <w:r>
              <w:rPr>
                <w:rFonts w:hint="eastAsia" w:asciiTheme="minorEastAsia" w:hAnsiTheme="minorEastAsia" w:eastAsiaTheme="minorEastAsia"/>
                <w:color w:val="auto"/>
                <w:szCs w:val="21"/>
                <w:highlight w:val="none"/>
                <w:lang w:eastAsia="zh-CN"/>
              </w:rPr>
              <w:t>一</w:t>
            </w:r>
            <w:r>
              <w:rPr>
                <w:rFonts w:hint="eastAsia" w:asciiTheme="minorEastAsia" w:hAnsiTheme="minorEastAsia" w:eastAsiaTheme="minorEastAsia"/>
                <w:color w:val="auto"/>
                <w:szCs w:val="21"/>
                <w:highlight w:val="none"/>
              </w:rPr>
              <w:t>次</w:t>
            </w:r>
          </w:p>
        </w:tc>
        <w:tc>
          <w:tcPr>
            <w:tcW w:w="1985" w:type="dxa"/>
            <w:tcBorders>
              <w:top w:val="single" w:color="auto" w:sz="4" w:space="0"/>
              <w:left w:val="single" w:color="auto" w:sz="4" w:space="0"/>
              <w:bottom w:val="single" w:color="auto" w:sz="4" w:space="0"/>
              <w:right w:val="single" w:color="auto" w:sz="4" w:space="0"/>
            </w:tcBorders>
            <w:vAlign w:val="center"/>
          </w:tcPr>
          <w:p w14:paraId="324535B9">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设计费用的</w:t>
            </w:r>
            <w:r>
              <w:rPr>
                <w:rFonts w:hint="eastAsia" w:asciiTheme="minorEastAsia" w:hAnsiTheme="minorEastAsia" w:eastAsiaTheme="minorEastAsia"/>
                <w:color w:val="auto"/>
                <w:szCs w:val="21"/>
                <w:highlight w:val="none"/>
                <w:lang w:val="en-US" w:eastAsia="zh-CN"/>
              </w:rPr>
              <w:t>3</w:t>
            </w:r>
            <w:r>
              <w:rPr>
                <w:rFonts w:hint="eastAsia" w:asciiTheme="minorEastAsia" w:hAnsiTheme="minorEastAsia" w:eastAsiaTheme="minorEastAsia"/>
                <w:color w:val="auto"/>
                <w:szCs w:val="21"/>
                <w:highlight w:val="none"/>
              </w:rPr>
              <w:t>0%</w:t>
            </w:r>
          </w:p>
        </w:tc>
        <w:tc>
          <w:tcPr>
            <w:tcW w:w="1996" w:type="dxa"/>
            <w:tcBorders>
              <w:top w:val="single" w:color="auto" w:sz="4" w:space="0"/>
              <w:left w:val="single" w:color="auto" w:sz="4" w:space="0"/>
              <w:bottom w:val="single" w:color="auto" w:sz="4" w:space="0"/>
              <w:right w:val="single" w:color="auto" w:sz="4" w:space="0"/>
            </w:tcBorders>
            <w:vAlign w:val="center"/>
          </w:tcPr>
          <w:p w14:paraId="7C873878">
            <w:pPr>
              <w:keepNext w:val="0"/>
              <w:keepLines w:val="0"/>
              <w:suppressLineNumbers w:val="0"/>
              <w:spacing w:before="0" w:beforeAutospacing="0" w:after="0" w:afterAutospacing="0" w:line="500" w:lineRule="exact"/>
              <w:ind w:left="0" w:right="0"/>
              <w:jc w:val="center"/>
              <w:outlineLvl w:val="9"/>
              <w:rPr>
                <w:rFonts w:hint="default" w:asciiTheme="minorEastAsia" w:hAnsiTheme="minorEastAsia" w:eastAsiaTheme="minorEastAsia"/>
                <w:color w:val="auto"/>
                <w:szCs w:val="21"/>
                <w:highlight w:val="none"/>
                <w:lang w:val="en-US" w:eastAsia="zh-CN"/>
              </w:rPr>
            </w:pPr>
            <w:r>
              <w:rPr>
                <w:rFonts w:hint="eastAsia" w:asciiTheme="minorEastAsia" w:hAnsiTheme="minorEastAsia" w:eastAsiaTheme="minorEastAsia"/>
                <w:color w:val="auto"/>
                <w:szCs w:val="21"/>
                <w:highlight w:val="none"/>
                <w:lang w:val="en-US" w:eastAsia="zh-CN"/>
              </w:rPr>
              <w:t>1153350</w:t>
            </w:r>
          </w:p>
        </w:tc>
        <w:tc>
          <w:tcPr>
            <w:tcW w:w="4524" w:type="dxa"/>
            <w:tcBorders>
              <w:top w:val="single" w:color="auto" w:sz="4" w:space="0"/>
              <w:left w:val="single" w:color="auto" w:sz="4" w:space="0"/>
              <w:bottom w:val="single" w:color="auto" w:sz="4" w:space="0"/>
              <w:right w:val="single" w:color="auto" w:sz="4" w:space="0"/>
            </w:tcBorders>
            <w:vAlign w:val="center"/>
          </w:tcPr>
          <w:p w14:paraId="6CD27954">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深化设计成果</w:t>
            </w:r>
            <w:r>
              <w:rPr>
                <w:rFonts w:asciiTheme="minorEastAsia" w:hAnsiTheme="minorEastAsia" w:eastAsiaTheme="minorEastAsia"/>
                <w:color w:val="auto"/>
                <w:szCs w:val="21"/>
                <w:highlight w:val="none"/>
              </w:rPr>
              <w:t>提交</w:t>
            </w:r>
            <w:r>
              <w:rPr>
                <w:rFonts w:hint="eastAsia" w:asciiTheme="minorEastAsia" w:hAnsiTheme="minorEastAsia" w:eastAsiaTheme="minorEastAsia"/>
                <w:color w:val="auto"/>
                <w:szCs w:val="21"/>
                <w:highlight w:val="none"/>
              </w:rPr>
              <w:t>，且满足施工图绘制需求，并经甲方确定</w:t>
            </w:r>
            <w:r>
              <w:rPr>
                <w:rFonts w:asciiTheme="minorEastAsia" w:hAnsiTheme="minorEastAsia" w:eastAsiaTheme="minorEastAsia"/>
                <w:color w:val="auto"/>
                <w:szCs w:val="21"/>
                <w:highlight w:val="none"/>
              </w:rPr>
              <w:t>后</w:t>
            </w:r>
            <w:r>
              <w:rPr>
                <w:rFonts w:hint="eastAsia" w:asciiTheme="minorEastAsia" w:hAnsiTheme="minorEastAsia" w:eastAsiaTheme="minorEastAsia"/>
                <w:color w:val="auto"/>
                <w:szCs w:val="21"/>
                <w:highlight w:val="none"/>
              </w:rPr>
              <w:t>3</w:t>
            </w:r>
            <w:r>
              <w:rPr>
                <w:rFonts w:asciiTheme="minorEastAsia" w:hAnsiTheme="minorEastAsia" w:eastAsiaTheme="minorEastAsia"/>
                <w:color w:val="auto"/>
                <w:szCs w:val="21"/>
                <w:highlight w:val="none"/>
              </w:rPr>
              <w:t>0日内</w:t>
            </w:r>
          </w:p>
        </w:tc>
      </w:tr>
      <w:tr w14:paraId="2C38811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0" w:hRule="atLeast"/>
        </w:trPr>
        <w:tc>
          <w:tcPr>
            <w:tcW w:w="1276" w:type="dxa"/>
            <w:tcBorders>
              <w:top w:val="single" w:color="auto" w:sz="4" w:space="0"/>
              <w:left w:val="single" w:color="auto" w:sz="4" w:space="0"/>
              <w:bottom w:val="single" w:color="auto" w:sz="4" w:space="0"/>
              <w:right w:val="single" w:color="auto" w:sz="4" w:space="0"/>
            </w:tcBorders>
            <w:vAlign w:val="center"/>
          </w:tcPr>
          <w:p w14:paraId="5151D2A7">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第</w:t>
            </w:r>
            <w:r>
              <w:rPr>
                <w:rFonts w:hint="eastAsia" w:asciiTheme="minorEastAsia" w:hAnsiTheme="minorEastAsia" w:eastAsiaTheme="minorEastAsia"/>
                <w:color w:val="auto"/>
                <w:szCs w:val="21"/>
                <w:highlight w:val="none"/>
                <w:lang w:eastAsia="zh-CN"/>
              </w:rPr>
              <w:t>二</w:t>
            </w:r>
            <w:r>
              <w:rPr>
                <w:rFonts w:hint="eastAsia" w:asciiTheme="minorEastAsia" w:hAnsiTheme="minorEastAsia" w:eastAsiaTheme="minorEastAsia"/>
                <w:color w:val="auto"/>
                <w:szCs w:val="21"/>
                <w:highlight w:val="none"/>
              </w:rPr>
              <w:t>次</w:t>
            </w:r>
          </w:p>
        </w:tc>
        <w:tc>
          <w:tcPr>
            <w:tcW w:w="1985" w:type="dxa"/>
            <w:tcBorders>
              <w:top w:val="single" w:color="auto" w:sz="4" w:space="0"/>
              <w:left w:val="single" w:color="auto" w:sz="4" w:space="0"/>
              <w:bottom w:val="single" w:color="auto" w:sz="4" w:space="0"/>
              <w:right w:val="single" w:color="auto" w:sz="4" w:space="0"/>
            </w:tcBorders>
            <w:vAlign w:val="center"/>
          </w:tcPr>
          <w:p w14:paraId="68979249">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设计费用的40%</w:t>
            </w:r>
          </w:p>
        </w:tc>
        <w:tc>
          <w:tcPr>
            <w:tcW w:w="1996" w:type="dxa"/>
            <w:tcBorders>
              <w:top w:val="single" w:color="auto" w:sz="4" w:space="0"/>
              <w:left w:val="single" w:color="auto" w:sz="4" w:space="0"/>
              <w:bottom w:val="single" w:color="auto" w:sz="4" w:space="0"/>
              <w:right w:val="single" w:color="auto" w:sz="4" w:space="0"/>
            </w:tcBorders>
            <w:vAlign w:val="center"/>
          </w:tcPr>
          <w:p w14:paraId="3EB73A1F">
            <w:pPr>
              <w:keepNext w:val="0"/>
              <w:keepLines w:val="0"/>
              <w:suppressLineNumbers w:val="0"/>
              <w:spacing w:before="0" w:beforeAutospacing="0" w:after="0" w:afterAutospacing="0" w:line="500" w:lineRule="exact"/>
              <w:ind w:left="0" w:right="0"/>
              <w:jc w:val="center"/>
              <w:outlineLvl w:val="9"/>
              <w:rPr>
                <w:rFonts w:hint="default" w:asciiTheme="minorEastAsia" w:hAnsiTheme="minorEastAsia" w:eastAsiaTheme="minorEastAsia"/>
                <w:color w:val="auto"/>
                <w:szCs w:val="21"/>
                <w:highlight w:val="none"/>
                <w:lang w:val="en-US" w:eastAsia="zh-CN"/>
              </w:rPr>
            </w:pPr>
            <w:r>
              <w:rPr>
                <w:rFonts w:hint="eastAsia" w:asciiTheme="minorEastAsia" w:hAnsiTheme="minorEastAsia" w:eastAsiaTheme="minorEastAsia"/>
                <w:color w:val="auto"/>
                <w:szCs w:val="21"/>
                <w:highlight w:val="none"/>
                <w:lang w:val="en-US" w:eastAsia="zh-CN"/>
              </w:rPr>
              <w:t>1537800</w:t>
            </w:r>
          </w:p>
        </w:tc>
        <w:tc>
          <w:tcPr>
            <w:tcW w:w="4524" w:type="dxa"/>
            <w:tcBorders>
              <w:top w:val="single" w:color="auto" w:sz="4" w:space="0"/>
              <w:left w:val="single" w:color="auto" w:sz="4" w:space="0"/>
              <w:bottom w:val="single" w:color="auto" w:sz="4" w:space="0"/>
              <w:right w:val="single" w:color="auto" w:sz="4" w:space="0"/>
            </w:tcBorders>
            <w:vAlign w:val="center"/>
          </w:tcPr>
          <w:p w14:paraId="6A3B7ED0">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施工图</w:t>
            </w:r>
            <w:r>
              <w:rPr>
                <w:rFonts w:asciiTheme="minorEastAsia" w:hAnsiTheme="minorEastAsia" w:eastAsiaTheme="minorEastAsia"/>
                <w:color w:val="auto"/>
                <w:szCs w:val="21"/>
                <w:highlight w:val="none"/>
              </w:rPr>
              <w:t>提交后</w:t>
            </w:r>
            <w:r>
              <w:rPr>
                <w:rFonts w:hint="eastAsia" w:asciiTheme="minorEastAsia" w:hAnsiTheme="minorEastAsia" w:eastAsiaTheme="minorEastAsia"/>
                <w:color w:val="auto"/>
                <w:szCs w:val="21"/>
                <w:highlight w:val="none"/>
              </w:rPr>
              <w:t>3</w:t>
            </w:r>
            <w:r>
              <w:rPr>
                <w:rFonts w:asciiTheme="minorEastAsia" w:hAnsiTheme="minorEastAsia" w:eastAsiaTheme="minorEastAsia"/>
                <w:color w:val="auto"/>
                <w:szCs w:val="21"/>
                <w:highlight w:val="none"/>
              </w:rPr>
              <w:t>0日</w:t>
            </w:r>
            <w:r>
              <w:rPr>
                <w:rFonts w:hint="eastAsia" w:asciiTheme="minorEastAsia" w:hAnsiTheme="minorEastAsia" w:eastAsiaTheme="minorEastAsia"/>
                <w:color w:val="auto"/>
                <w:szCs w:val="21"/>
                <w:highlight w:val="none"/>
              </w:rPr>
              <w:t>内</w:t>
            </w:r>
          </w:p>
        </w:tc>
      </w:tr>
      <w:tr w14:paraId="7DA9F16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0" w:hRule="atLeast"/>
        </w:trPr>
        <w:tc>
          <w:tcPr>
            <w:tcW w:w="1276" w:type="dxa"/>
            <w:tcBorders>
              <w:top w:val="single" w:color="auto" w:sz="4" w:space="0"/>
              <w:left w:val="single" w:color="auto" w:sz="4" w:space="0"/>
              <w:bottom w:val="single" w:color="auto" w:sz="4" w:space="0"/>
              <w:right w:val="single" w:color="auto" w:sz="4" w:space="0"/>
            </w:tcBorders>
            <w:vAlign w:val="center"/>
          </w:tcPr>
          <w:p w14:paraId="4E9C7AFD">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第</w:t>
            </w:r>
            <w:r>
              <w:rPr>
                <w:rFonts w:hint="eastAsia" w:asciiTheme="minorEastAsia" w:hAnsiTheme="minorEastAsia" w:eastAsiaTheme="minorEastAsia"/>
                <w:color w:val="auto"/>
                <w:szCs w:val="21"/>
                <w:highlight w:val="none"/>
                <w:lang w:eastAsia="zh-CN"/>
              </w:rPr>
              <w:t>三</w:t>
            </w:r>
            <w:r>
              <w:rPr>
                <w:rFonts w:hint="eastAsia" w:asciiTheme="minorEastAsia" w:hAnsiTheme="minorEastAsia" w:eastAsiaTheme="minorEastAsia"/>
                <w:color w:val="auto"/>
                <w:szCs w:val="21"/>
                <w:highlight w:val="none"/>
              </w:rPr>
              <w:t>次</w:t>
            </w:r>
          </w:p>
        </w:tc>
        <w:tc>
          <w:tcPr>
            <w:tcW w:w="1985" w:type="dxa"/>
            <w:tcBorders>
              <w:top w:val="single" w:color="auto" w:sz="4" w:space="0"/>
              <w:left w:val="single" w:color="auto" w:sz="4" w:space="0"/>
              <w:bottom w:val="single" w:color="auto" w:sz="4" w:space="0"/>
              <w:right w:val="single" w:color="auto" w:sz="4" w:space="0"/>
            </w:tcBorders>
            <w:vAlign w:val="center"/>
          </w:tcPr>
          <w:p w14:paraId="3BF9287E">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设计费用的20%</w:t>
            </w:r>
          </w:p>
        </w:tc>
        <w:tc>
          <w:tcPr>
            <w:tcW w:w="1996" w:type="dxa"/>
            <w:tcBorders>
              <w:top w:val="single" w:color="auto" w:sz="4" w:space="0"/>
              <w:left w:val="single" w:color="auto" w:sz="4" w:space="0"/>
              <w:bottom w:val="single" w:color="auto" w:sz="4" w:space="0"/>
              <w:right w:val="single" w:color="auto" w:sz="4" w:space="0"/>
            </w:tcBorders>
            <w:vAlign w:val="center"/>
          </w:tcPr>
          <w:p w14:paraId="4AF4789B">
            <w:pPr>
              <w:keepNext w:val="0"/>
              <w:keepLines w:val="0"/>
              <w:suppressLineNumbers w:val="0"/>
              <w:spacing w:before="0" w:beforeAutospacing="0" w:after="0" w:afterAutospacing="0" w:line="500" w:lineRule="exact"/>
              <w:ind w:left="0" w:right="0"/>
              <w:jc w:val="center"/>
              <w:outlineLvl w:val="9"/>
              <w:rPr>
                <w:rFonts w:hint="default" w:asciiTheme="minorEastAsia" w:hAnsiTheme="minorEastAsia" w:eastAsiaTheme="minorEastAsia"/>
                <w:color w:val="auto"/>
                <w:szCs w:val="21"/>
                <w:highlight w:val="none"/>
                <w:lang w:val="en-US" w:eastAsia="zh-CN"/>
              </w:rPr>
            </w:pPr>
            <w:r>
              <w:rPr>
                <w:rFonts w:hint="eastAsia" w:asciiTheme="minorEastAsia" w:hAnsiTheme="minorEastAsia" w:eastAsiaTheme="minorEastAsia"/>
                <w:color w:val="auto"/>
                <w:szCs w:val="21"/>
                <w:highlight w:val="none"/>
                <w:lang w:val="en-US" w:eastAsia="zh-CN"/>
              </w:rPr>
              <w:t>768900</w:t>
            </w:r>
          </w:p>
        </w:tc>
        <w:tc>
          <w:tcPr>
            <w:tcW w:w="4524" w:type="dxa"/>
            <w:tcBorders>
              <w:top w:val="single" w:color="auto" w:sz="4" w:space="0"/>
              <w:left w:val="single" w:color="auto" w:sz="4" w:space="0"/>
              <w:bottom w:val="single" w:color="auto" w:sz="4" w:space="0"/>
              <w:right w:val="single" w:color="auto" w:sz="4" w:space="0"/>
            </w:tcBorders>
            <w:vAlign w:val="center"/>
          </w:tcPr>
          <w:p w14:paraId="0F57538D">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施工图审查通过并按审查意见修改，并配合完成施工图技术交底</w:t>
            </w:r>
            <w:r>
              <w:rPr>
                <w:rFonts w:asciiTheme="minorEastAsia" w:hAnsiTheme="minorEastAsia" w:eastAsiaTheme="minorEastAsia"/>
                <w:color w:val="auto"/>
                <w:szCs w:val="21"/>
                <w:highlight w:val="none"/>
              </w:rPr>
              <w:t>后</w:t>
            </w:r>
            <w:r>
              <w:rPr>
                <w:rFonts w:hint="eastAsia" w:asciiTheme="minorEastAsia" w:hAnsiTheme="minorEastAsia" w:eastAsiaTheme="minorEastAsia"/>
                <w:color w:val="auto"/>
                <w:szCs w:val="21"/>
                <w:highlight w:val="none"/>
              </w:rPr>
              <w:t>3</w:t>
            </w:r>
            <w:r>
              <w:rPr>
                <w:rFonts w:asciiTheme="minorEastAsia" w:hAnsiTheme="minorEastAsia" w:eastAsiaTheme="minorEastAsia"/>
                <w:color w:val="auto"/>
                <w:szCs w:val="21"/>
                <w:highlight w:val="none"/>
              </w:rPr>
              <w:t>0日内</w:t>
            </w:r>
          </w:p>
        </w:tc>
      </w:tr>
      <w:tr w14:paraId="3ABA359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0" w:hRule="atLeast"/>
        </w:trPr>
        <w:tc>
          <w:tcPr>
            <w:tcW w:w="1276" w:type="dxa"/>
            <w:tcBorders>
              <w:top w:val="single" w:color="auto" w:sz="4" w:space="0"/>
              <w:left w:val="single" w:color="auto" w:sz="4" w:space="0"/>
              <w:bottom w:val="single" w:color="auto" w:sz="4" w:space="0"/>
              <w:right w:val="single" w:color="auto" w:sz="4" w:space="0"/>
            </w:tcBorders>
            <w:vAlign w:val="center"/>
          </w:tcPr>
          <w:p w14:paraId="655169A9">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第</w:t>
            </w:r>
            <w:r>
              <w:rPr>
                <w:rFonts w:hint="eastAsia" w:asciiTheme="minorEastAsia" w:hAnsiTheme="minorEastAsia" w:eastAsiaTheme="minorEastAsia"/>
                <w:color w:val="auto"/>
                <w:szCs w:val="21"/>
                <w:highlight w:val="none"/>
                <w:lang w:eastAsia="zh-CN"/>
              </w:rPr>
              <w:t>四</w:t>
            </w:r>
            <w:r>
              <w:rPr>
                <w:rFonts w:hint="eastAsia" w:asciiTheme="minorEastAsia" w:hAnsiTheme="minorEastAsia" w:eastAsiaTheme="minorEastAsia"/>
                <w:color w:val="auto"/>
                <w:szCs w:val="21"/>
                <w:highlight w:val="none"/>
              </w:rPr>
              <w:t>次</w:t>
            </w:r>
          </w:p>
        </w:tc>
        <w:tc>
          <w:tcPr>
            <w:tcW w:w="1985" w:type="dxa"/>
            <w:tcBorders>
              <w:top w:val="single" w:color="auto" w:sz="4" w:space="0"/>
              <w:left w:val="single" w:color="auto" w:sz="4" w:space="0"/>
              <w:bottom w:val="single" w:color="auto" w:sz="4" w:space="0"/>
              <w:right w:val="single" w:color="auto" w:sz="4" w:space="0"/>
            </w:tcBorders>
            <w:vAlign w:val="center"/>
          </w:tcPr>
          <w:p w14:paraId="225D920A">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设计费用的5%</w:t>
            </w:r>
          </w:p>
        </w:tc>
        <w:tc>
          <w:tcPr>
            <w:tcW w:w="1996" w:type="dxa"/>
            <w:tcBorders>
              <w:top w:val="single" w:color="auto" w:sz="4" w:space="0"/>
              <w:left w:val="single" w:color="auto" w:sz="4" w:space="0"/>
              <w:bottom w:val="single" w:color="auto" w:sz="4" w:space="0"/>
              <w:right w:val="single" w:color="auto" w:sz="4" w:space="0"/>
            </w:tcBorders>
            <w:vAlign w:val="center"/>
          </w:tcPr>
          <w:p w14:paraId="72A24816">
            <w:pPr>
              <w:keepNext w:val="0"/>
              <w:keepLines w:val="0"/>
              <w:suppressLineNumbers w:val="0"/>
              <w:spacing w:before="0" w:beforeAutospacing="0" w:after="0" w:afterAutospacing="0" w:line="500" w:lineRule="exact"/>
              <w:ind w:left="0" w:right="0"/>
              <w:jc w:val="center"/>
              <w:outlineLvl w:val="9"/>
              <w:rPr>
                <w:rFonts w:hint="default" w:asciiTheme="minorEastAsia" w:hAnsiTheme="minorEastAsia" w:eastAsiaTheme="minorEastAsia"/>
                <w:color w:val="auto"/>
                <w:szCs w:val="21"/>
                <w:highlight w:val="none"/>
                <w:lang w:val="en-US" w:eastAsia="zh-CN"/>
              </w:rPr>
            </w:pPr>
            <w:r>
              <w:rPr>
                <w:rFonts w:hint="eastAsia" w:asciiTheme="minorEastAsia" w:hAnsiTheme="minorEastAsia" w:eastAsiaTheme="minorEastAsia"/>
                <w:color w:val="auto"/>
                <w:szCs w:val="21"/>
                <w:highlight w:val="none"/>
                <w:lang w:val="en-US" w:eastAsia="zh-CN"/>
              </w:rPr>
              <w:t>192225</w:t>
            </w:r>
          </w:p>
        </w:tc>
        <w:tc>
          <w:tcPr>
            <w:tcW w:w="4524" w:type="dxa"/>
            <w:tcBorders>
              <w:top w:val="single" w:color="auto" w:sz="4" w:space="0"/>
              <w:left w:val="single" w:color="auto" w:sz="4" w:space="0"/>
              <w:bottom w:val="single" w:color="auto" w:sz="4" w:space="0"/>
              <w:right w:val="single" w:color="auto" w:sz="4" w:space="0"/>
            </w:tcBorders>
            <w:vAlign w:val="center"/>
          </w:tcPr>
          <w:p w14:paraId="3BB27D0F">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color w:val="auto"/>
                <w:highlight w:val="none"/>
              </w:rPr>
              <w:t>竣工验收合格且本工程结算完成</w:t>
            </w:r>
            <w:r>
              <w:rPr>
                <w:rFonts w:hint="eastAsia" w:cs="宋体" w:asciiTheme="minorEastAsia" w:hAnsiTheme="minorEastAsia" w:eastAsiaTheme="minorEastAsia"/>
                <w:color w:val="auto"/>
                <w:szCs w:val="21"/>
                <w:highlight w:val="none"/>
              </w:rPr>
              <w:t>后30日内</w:t>
            </w:r>
            <w:r>
              <w:rPr>
                <w:rFonts w:hint="eastAsia"/>
                <w:color w:val="auto"/>
                <w:highlight w:val="none"/>
              </w:rPr>
              <w:t>，须扣除因设计单位未能及时优化图纸造成</w:t>
            </w:r>
            <w:r>
              <w:rPr>
                <w:rFonts w:hint="eastAsia" w:cs="宋体" w:asciiTheme="minorEastAsia" w:hAnsiTheme="minorEastAsia" w:eastAsiaTheme="minorEastAsia"/>
                <w:color w:val="auto"/>
                <w:szCs w:val="21"/>
                <w:highlight w:val="none"/>
              </w:rPr>
              <w:t>最终结算造价超出发包人成本部确认的成本限额需扣除的设计费，扣除金额为（结算造价</w:t>
            </w:r>
            <w:r>
              <w:rPr>
                <w:rFonts w:cs="宋体" w:asciiTheme="minorEastAsia" w:hAnsiTheme="minorEastAsia" w:eastAsiaTheme="minorEastAsia"/>
                <w:color w:val="auto"/>
                <w:szCs w:val="21"/>
                <w:highlight w:val="none"/>
              </w:rPr>
              <w:t>-</w:t>
            </w:r>
            <w:r>
              <w:rPr>
                <w:rFonts w:hint="eastAsia" w:cs="宋体" w:asciiTheme="minorEastAsia" w:hAnsiTheme="minorEastAsia" w:eastAsiaTheme="minorEastAsia"/>
                <w:color w:val="auto"/>
                <w:szCs w:val="21"/>
                <w:highlight w:val="none"/>
              </w:rPr>
              <w:t>成本部确认的成本限额</w:t>
            </w:r>
            <w:r>
              <w:rPr>
                <w:rFonts w:cs="宋体" w:asciiTheme="minorEastAsia" w:hAnsiTheme="minorEastAsia" w:eastAsiaTheme="minorEastAsia"/>
                <w:color w:val="auto"/>
                <w:szCs w:val="21"/>
                <w:highlight w:val="none"/>
              </w:rPr>
              <w:t>）*10%</w:t>
            </w:r>
            <w:r>
              <w:rPr>
                <w:rFonts w:hint="eastAsia" w:cs="宋体" w:asciiTheme="minorEastAsia" w:hAnsiTheme="minorEastAsia" w:eastAsiaTheme="minorEastAsia"/>
                <w:color w:val="auto"/>
                <w:szCs w:val="21"/>
                <w:highlight w:val="none"/>
              </w:rPr>
              <w:t>。</w:t>
            </w:r>
          </w:p>
        </w:tc>
      </w:tr>
      <w:tr w14:paraId="1AAEB9D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0" w:hRule="atLeast"/>
        </w:trPr>
        <w:tc>
          <w:tcPr>
            <w:tcW w:w="1276" w:type="dxa"/>
            <w:tcBorders>
              <w:top w:val="single" w:color="auto" w:sz="4" w:space="0"/>
              <w:left w:val="single" w:color="auto" w:sz="4" w:space="0"/>
              <w:bottom w:val="single" w:color="auto" w:sz="4" w:space="0"/>
              <w:right w:val="single" w:color="auto" w:sz="4" w:space="0"/>
            </w:tcBorders>
            <w:vAlign w:val="center"/>
          </w:tcPr>
          <w:p w14:paraId="4B5EBCEF">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第</w:t>
            </w:r>
            <w:r>
              <w:rPr>
                <w:rFonts w:hint="eastAsia" w:asciiTheme="minorEastAsia" w:hAnsiTheme="minorEastAsia" w:eastAsiaTheme="minorEastAsia"/>
                <w:color w:val="auto"/>
                <w:szCs w:val="21"/>
                <w:highlight w:val="none"/>
                <w:lang w:eastAsia="zh-CN"/>
              </w:rPr>
              <w:t>五</w:t>
            </w:r>
            <w:r>
              <w:rPr>
                <w:rFonts w:hint="eastAsia" w:asciiTheme="minorEastAsia" w:hAnsiTheme="minorEastAsia" w:eastAsiaTheme="minorEastAsia"/>
                <w:color w:val="auto"/>
                <w:szCs w:val="21"/>
                <w:highlight w:val="none"/>
              </w:rPr>
              <w:t>次</w:t>
            </w:r>
          </w:p>
        </w:tc>
        <w:tc>
          <w:tcPr>
            <w:tcW w:w="1985" w:type="dxa"/>
            <w:tcBorders>
              <w:top w:val="single" w:color="auto" w:sz="4" w:space="0"/>
              <w:left w:val="single" w:color="auto" w:sz="4" w:space="0"/>
              <w:bottom w:val="single" w:color="auto" w:sz="4" w:space="0"/>
              <w:right w:val="single" w:color="auto" w:sz="4" w:space="0"/>
            </w:tcBorders>
            <w:vAlign w:val="center"/>
          </w:tcPr>
          <w:p w14:paraId="100D20DD">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设计费用的5%</w:t>
            </w:r>
          </w:p>
        </w:tc>
        <w:tc>
          <w:tcPr>
            <w:tcW w:w="1996" w:type="dxa"/>
            <w:tcBorders>
              <w:top w:val="single" w:color="auto" w:sz="4" w:space="0"/>
              <w:left w:val="single" w:color="auto" w:sz="4" w:space="0"/>
              <w:bottom w:val="single" w:color="auto" w:sz="4" w:space="0"/>
              <w:right w:val="single" w:color="auto" w:sz="4" w:space="0"/>
            </w:tcBorders>
            <w:vAlign w:val="center"/>
          </w:tcPr>
          <w:p w14:paraId="43D01487">
            <w:pPr>
              <w:keepNext w:val="0"/>
              <w:keepLines w:val="0"/>
              <w:suppressLineNumbers w:val="0"/>
              <w:spacing w:before="0" w:beforeAutospacing="0" w:after="0" w:afterAutospacing="0" w:line="500" w:lineRule="exact"/>
              <w:ind w:left="0" w:right="0"/>
              <w:jc w:val="center"/>
              <w:outlineLvl w:val="9"/>
              <w:rPr>
                <w:rFonts w:hint="default" w:asciiTheme="minorEastAsia" w:hAnsiTheme="minorEastAsia" w:eastAsiaTheme="minorEastAsia"/>
                <w:color w:val="auto"/>
                <w:szCs w:val="21"/>
                <w:highlight w:val="none"/>
                <w:lang w:val="en-US" w:eastAsia="zh-CN"/>
              </w:rPr>
            </w:pPr>
            <w:r>
              <w:rPr>
                <w:rFonts w:hint="eastAsia" w:asciiTheme="minorEastAsia" w:hAnsiTheme="minorEastAsia" w:eastAsiaTheme="minorEastAsia"/>
                <w:color w:val="auto"/>
                <w:szCs w:val="21"/>
                <w:highlight w:val="none"/>
                <w:lang w:val="en-US" w:eastAsia="zh-CN"/>
              </w:rPr>
              <w:t>192225</w:t>
            </w:r>
          </w:p>
        </w:tc>
        <w:tc>
          <w:tcPr>
            <w:tcW w:w="4524" w:type="dxa"/>
            <w:tcBorders>
              <w:top w:val="single" w:color="auto" w:sz="4" w:space="0"/>
              <w:left w:val="single" w:color="auto" w:sz="4" w:space="0"/>
              <w:bottom w:val="single" w:color="auto" w:sz="4" w:space="0"/>
              <w:right w:val="single" w:color="auto" w:sz="4" w:space="0"/>
            </w:tcBorders>
            <w:vAlign w:val="center"/>
          </w:tcPr>
          <w:p w14:paraId="1B3CCF48">
            <w:pPr>
              <w:keepNext w:val="0"/>
              <w:keepLines w:val="0"/>
              <w:suppressLineNumbers w:val="0"/>
              <w:spacing w:before="0" w:beforeAutospacing="0" w:after="0" w:afterAutospacing="0" w:line="500" w:lineRule="exact"/>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此项为项目履约绩效酬金，竣工验收合格后3</w:t>
            </w:r>
            <w:r>
              <w:rPr>
                <w:rFonts w:asciiTheme="minorEastAsia" w:hAnsiTheme="minorEastAsia" w:eastAsiaTheme="minorEastAsia"/>
                <w:color w:val="auto"/>
                <w:szCs w:val="21"/>
                <w:highlight w:val="none"/>
              </w:rPr>
              <w:t>0日内</w:t>
            </w:r>
            <w:r>
              <w:rPr>
                <w:rFonts w:hint="eastAsia" w:asciiTheme="minorEastAsia" w:hAnsiTheme="minorEastAsia" w:eastAsiaTheme="minorEastAsia"/>
                <w:color w:val="auto"/>
                <w:szCs w:val="21"/>
                <w:highlight w:val="none"/>
              </w:rPr>
              <w:t>，按设计质量评分情况付费。</w:t>
            </w:r>
          </w:p>
        </w:tc>
      </w:tr>
    </w:tbl>
    <w:p w14:paraId="26429C7B">
      <w:pPr>
        <w:adjustRightInd w:val="0"/>
        <w:snapToGrid w:val="0"/>
        <w:spacing w:line="500" w:lineRule="exact"/>
        <w:outlineLvl w:val="9"/>
        <w:rPr>
          <w:rFonts w:hint="eastAsia" w:cs="宋体" w:asciiTheme="minorEastAsia" w:hAnsiTheme="minorEastAsia" w:eastAsiaTheme="minorEastAsia"/>
          <w:color w:val="auto"/>
          <w:szCs w:val="21"/>
          <w:highlight w:val="none"/>
          <w:u w:val="single"/>
        </w:rPr>
      </w:pPr>
      <w:r>
        <w:rPr>
          <w:rFonts w:hint="eastAsia" w:asciiTheme="minorEastAsia" w:hAnsiTheme="minorEastAsia" w:eastAsiaTheme="minorEastAsia"/>
          <w:color w:val="auto"/>
          <w:szCs w:val="21"/>
          <w:highlight w:val="none"/>
        </w:rPr>
        <w:t>注：</w:t>
      </w:r>
      <w:r>
        <w:rPr>
          <w:rFonts w:hint="eastAsia" w:cs="宋体" w:asciiTheme="minorEastAsia" w:hAnsiTheme="minorEastAsia" w:eastAsiaTheme="minorEastAsia"/>
          <w:color w:val="auto"/>
          <w:szCs w:val="21"/>
          <w:highlight w:val="none"/>
          <w:u w:val="single"/>
        </w:rPr>
        <w:t>设计质量评分表见合同附件。</w:t>
      </w:r>
    </w:p>
    <w:p w14:paraId="714B79BA">
      <w:pPr>
        <w:adjustRightInd w:val="0"/>
        <w:snapToGrid w:val="0"/>
        <w:spacing w:line="500" w:lineRule="exact"/>
        <w:ind w:firstLine="422"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b/>
          <w:color w:val="auto"/>
          <w:szCs w:val="21"/>
          <w:highlight w:val="none"/>
          <w:u w:val="single"/>
        </w:rPr>
        <w:t>施工进度款付款方式：</w:t>
      </w:r>
      <w:r>
        <w:rPr>
          <w:rFonts w:hint="eastAsia" w:cs="宋体" w:asciiTheme="minorEastAsia" w:hAnsiTheme="minorEastAsia" w:eastAsiaTheme="minorEastAsia"/>
          <w:color w:val="auto"/>
          <w:szCs w:val="21"/>
          <w:highlight w:val="none"/>
          <w:u w:val="single"/>
        </w:rPr>
        <w:t>按三方（发包人、承包人、发包人委托的造价咨询单位）确认后的施工图预算价格作为依据支付进度款。</w:t>
      </w:r>
    </w:p>
    <w:p w14:paraId="139FB95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支付土方工程进度款的要求及支付方式：土方工程施工分为两个阶段，第一阶段为土方大开挖，第二阶段为土方回填。发包人项目部在总包进场后30天内应根据项目土方平衡方案明确该标段土方施工组织，包含开挖土方外运及内倒工程量、回填土工程量及回填土来源等内容并经监理单位、发包人现场工程师、项目经理及工程管理委员会评审通过后报成本管理部，之后按合同约定方可支付首次土方工程款。发包人按月审核完成产值，按该完成产值的80%作为进度款，每月支付一次。发包人工程款拨付至经发包人审核确认的土方开挖工程施工图预算的80％时，暂停支付。 土方工程分两阶段进行结算（支付前需进行土方平衡方案评审）：①土方基坑开挖工程全部完成并验收合格后进行第一阶段结算，第一阶段结算完成后付至其结算款的90%，待基坑支护结算完成支付至结算款的100%；②第二阶段结算随总包工程竣工验收合格后一同进行，第二阶段结算完成付清第二阶段结算款。土方开挖（不含二次）工程有效金额指属于土方开挖工程承包人施工范围内的项目，不含安全文明施工措施费及其规费、税金。</w:t>
      </w:r>
    </w:p>
    <w:p w14:paraId="08D4464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基坑支护（含降水）：承包人每月</w:t>
      </w:r>
      <w:r>
        <w:rPr>
          <w:rFonts w:cs="宋体" w:asciiTheme="minorEastAsia" w:hAnsiTheme="minorEastAsia" w:eastAsiaTheme="minorEastAsia"/>
          <w:color w:val="auto"/>
          <w:szCs w:val="21"/>
          <w:highlight w:val="none"/>
          <w:u w:val="single"/>
        </w:rPr>
        <w:t>15日前向发包人、监理工程师报送上月15日至当月14日期间经发包人、监理工程师验收合格的已完工程量进度表，发包人按月审核完成产值，按该完成产值的80%作为进度款，</w:t>
      </w:r>
      <w:r>
        <w:rPr>
          <w:rFonts w:hint="eastAsia" w:cs="宋体" w:asciiTheme="minorEastAsia" w:hAnsiTheme="minorEastAsia" w:eastAsiaTheme="minorEastAsia"/>
          <w:color w:val="auto"/>
          <w:szCs w:val="21"/>
          <w:highlight w:val="none"/>
          <w:u w:val="single"/>
        </w:rPr>
        <w:t>每个月支付一次。</w:t>
      </w:r>
      <w:r>
        <w:rPr>
          <w:rFonts w:cs="宋体" w:asciiTheme="minorEastAsia" w:hAnsiTheme="minorEastAsia" w:eastAsiaTheme="minorEastAsia"/>
          <w:color w:val="auto"/>
          <w:szCs w:val="21"/>
          <w:highlight w:val="none"/>
          <w:u w:val="single"/>
        </w:rPr>
        <w:t>发包人工程款拨付至基坑支护工程有效金额的80％时,暂停支付。降水台班数量以“台班”计量，每台泵每八小时为一台班，每月以发包人、监理、承包人确认的台班为准，并作为每月支付工程完成工程量的依椐。若发现存在机器维修、停工等原因导致降水工作暂停，而承包人未告知发包人，发包人将按十倍台班数量扣减承包人工程量。总包主体封顶、后浇带施工完成，降水结束后，基坑支护（含降水）开始结算，结算完成支付至基坑支护（含降水）结算工程价款的</w:t>
      </w:r>
      <w:r>
        <w:rPr>
          <w:rFonts w:hint="eastAsia" w:cs="宋体" w:asciiTheme="minorEastAsia" w:hAnsiTheme="minorEastAsia" w:eastAsiaTheme="minorEastAsia"/>
          <w:color w:val="auto"/>
          <w:szCs w:val="21"/>
          <w:highlight w:val="none"/>
          <w:u w:val="single"/>
        </w:rPr>
        <w:t>10</w:t>
      </w:r>
      <w:r>
        <w:rPr>
          <w:rFonts w:cs="宋体" w:asciiTheme="minorEastAsia" w:hAnsiTheme="minorEastAsia" w:eastAsiaTheme="minorEastAsia"/>
          <w:color w:val="auto"/>
          <w:szCs w:val="21"/>
          <w:highlight w:val="none"/>
          <w:u w:val="single"/>
        </w:rPr>
        <w:t>0%。</w:t>
      </w:r>
    </w:p>
    <w:p w14:paraId="4F552AEB">
      <w:pPr>
        <w:pStyle w:val="33"/>
        <w:adjustRightInd w:val="0"/>
        <w:snapToGrid w:val="0"/>
        <w:spacing w:line="500" w:lineRule="exact"/>
        <w:ind w:left="0" w:leftChars="0"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hint="eastAsia" w:cs="宋体" w:asciiTheme="minorEastAsia" w:hAnsiTheme="minorEastAsia" w:eastAsiaTheme="minorEastAsia"/>
          <w:color w:val="auto"/>
          <w:szCs w:val="21"/>
          <w:highlight w:val="none"/>
          <w:lang w:val="en-US" w:eastAsia="zh-CN"/>
        </w:rPr>
        <w:t>3</w:t>
      </w:r>
      <w:r>
        <w:rPr>
          <w:rFonts w:cs="宋体" w:asciiTheme="minorEastAsia" w:hAnsiTheme="minorEastAsia" w:eastAsiaTheme="minorEastAsia"/>
          <w:color w:val="auto"/>
          <w:szCs w:val="21"/>
          <w:highlight w:val="none"/>
        </w:rPr>
        <w:t>）</w:t>
      </w:r>
      <w:r>
        <w:rPr>
          <w:rFonts w:hint="eastAsia" w:cs="宋体" w:asciiTheme="minorEastAsia" w:hAnsiTheme="minorEastAsia" w:eastAsiaTheme="minorEastAsia"/>
          <w:color w:val="auto"/>
          <w:szCs w:val="21"/>
          <w:highlight w:val="none"/>
          <w:u w:val="single"/>
        </w:rPr>
        <w:t>总包工程（除土方工程、基坑支护（含降水）工程、暂估价工程及暂定价材料设备）付款周期为：①承包人每月</w:t>
      </w:r>
      <w:r>
        <w:rPr>
          <w:rFonts w:cs="宋体" w:asciiTheme="minorEastAsia" w:hAnsiTheme="minorEastAsia" w:eastAsiaTheme="minorEastAsia"/>
          <w:color w:val="auto"/>
          <w:szCs w:val="21"/>
          <w:highlight w:val="none"/>
          <w:u w:val="single"/>
        </w:rPr>
        <w:t>15日前向发包人委托的监理工程师报送上月15日至当月14日期间经发包人和监理工程师验收合格的已完工程量进度表，发包人按月审核完成量，承包人按完成量开具发票，达到相应付款节点后发包人10天内审核确认该节点的完成产值，按该节点完成产值的</w:t>
      </w:r>
      <w:r>
        <w:rPr>
          <w:rFonts w:hint="eastAsia" w:cs="宋体" w:asciiTheme="minorEastAsia" w:hAnsiTheme="minorEastAsia" w:eastAsiaTheme="minorEastAsia"/>
          <w:color w:val="auto"/>
          <w:szCs w:val="21"/>
          <w:highlight w:val="none"/>
          <w:u w:val="single"/>
        </w:rPr>
        <w:t>80</w:t>
      </w:r>
      <w:r>
        <w:rPr>
          <w:rFonts w:cs="宋体" w:asciiTheme="minorEastAsia" w:hAnsiTheme="minorEastAsia" w:eastAsiaTheme="minorEastAsia"/>
          <w:color w:val="auto"/>
          <w:szCs w:val="21"/>
          <w:highlight w:val="none"/>
          <w:u w:val="single"/>
        </w:rPr>
        <w:t>%作为进度款</w:t>
      </w:r>
      <w:r>
        <w:rPr>
          <w:rFonts w:hint="eastAsia" w:cs="宋体" w:asciiTheme="minorEastAsia" w:hAnsiTheme="minorEastAsia" w:eastAsiaTheme="minorEastAsia"/>
          <w:color w:val="auto"/>
          <w:szCs w:val="21"/>
          <w:highlight w:val="none"/>
          <w:u w:val="single"/>
        </w:rPr>
        <w:t>，每个月支付一次。</w:t>
      </w:r>
      <w:r>
        <w:rPr>
          <w:rFonts w:cs="宋体" w:asciiTheme="minorEastAsia" w:hAnsiTheme="minorEastAsia" w:eastAsiaTheme="minorEastAsia"/>
          <w:color w:val="auto"/>
          <w:szCs w:val="21"/>
          <w:highlight w:val="none"/>
          <w:u w:val="single"/>
        </w:rPr>
        <w:t>发包人将农民工工资每月支付至农民工工资专用账户中</w:t>
      </w:r>
      <w:r>
        <w:rPr>
          <w:rFonts w:hint="eastAsia" w:cs="宋体" w:asciiTheme="minorEastAsia" w:hAnsiTheme="minorEastAsia" w:eastAsiaTheme="minorEastAsia"/>
          <w:color w:val="auto"/>
          <w:szCs w:val="21"/>
          <w:highlight w:val="none"/>
          <w:u w:val="single"/>
        </w:rPr>
        <w:t>，人工费付款金额为甲方审定确认后的承包人每月上报的农民工工资表内金额，农民工工资占每月完成产值比例不超过25%。农民工工资付款申请表每月随进度支付申请一同上报，超过时间未上报的，付款相应顺延。农民工工资必须按月足额按时支付给农民工，并将农民工工资支付凭证及明细报发包人，若发包人发现造假，对承包人每次罚款</w:t>
      </w:r>
      <w:r>
        <w:rPr>
          <w:rFonts w:cs="宋体" w:asciiTheme="minorEastAsia" w:hAnsiTheme="minorEastAsia" w:eastAsiaTheme="minorEastAsia"/>
          <w:color w:val="auto"/>
          <w:szCs w:val="21"/>
          <w:highlight w:val="none"/>
          <w:u w:val="single"/>
        </w:rPr>
        <w:t>2万元。若发包人接到农民工欠薪投诉，经核实确认后，对承包人每次罚款2万元。</w:t>
      </w:r>
      <w:r>
        <w:rPr>
          <w:rFonts w:hint="eastAsia" w:cs="宋体" w:asciiTheme="minorEastAsia" w:hAnsiTheme="minorEastAsia" w:eastAsiaTheme="minorEastAsia"/>
          <w:color w:val="auto"/>
          <w:szCs w:val="21"/>
          <w:highlight w:val="none"/>
          <w:u w:val="single"/>
        </w:rPr>
        <w:t>工程施工过程中发生的经审批的工程变更、签证单，经甲、乙双方定期（</w:t>
      </w:r>
      <w:r>
        <w:rPr>
          <w:rFonts w:cs="宋体" w:asciiTheme="minorEastAsia" w:hAnsiTheme="minorEastAsia" w:eastAsiaTheme="minorEastAsia"/>
          <w:color w:val="auto"/>
          <w:szCs w:val="21"/>
          <w:highlight w:val="none"/>
          <w:u w:val="single"/>
        </w:rPr>
        <w:t>1个月）核对并确认后，随最近一期工程进度款一并拨付（支付</w:t>
      </w:r>
      <w:r>
        <w:rPr>
          <w:rFonts w:hint="eastAsia" w:cs="宋体" w:asciiTheme="minorEastAsia" w:hAnsiTheme="minorEastAsia" w:eastAsiaTheme="minorEastAsia"/>
          <w:color w:val="auto"/>
          <w:szCs w:val="21"/>
          <w:highlight w:val="none"/>
          <w:u w:val="single"/>
        </w:rPr>
        <w:t>80</w:t>
      </w:r>
      <w:r>
        <w:rPr>
          <w:rFonts w:cs="宋体" w:asciiTheme="minorEastAsia" w:hAnsiTheme="minorEastAsia" w:eastAsiaTheme="minorEastAsia"/>
          <w:color w:val="auto"/>
          <w:szCs w:val="21"/>
          <w:highlight w:val="none"/>
          <w:u w:val="single"/>
        </w:rPr>
        <w:t>%），未经双方核对并确认的变更、签证一律不能在进度款中支付。若因乙方不配合变更、签证的报送、核对，将暂停支付工程款。②</w:t>
      </w:r>
      <w:r>
        <w:rPr>
          <w:rFonts w:hint="eastAsia" w:cs="宋体" w:asciiTheme="minorEastAsia" w:hAnsiTheme="minorEastAsia" w:eastAsiaTheme="minorEastAsia"/>
          <w:color w:val="auto"/>
          <w:szCs w:val="21"/>
          <w:highlight w:val="none"/>
          <w:u w:val="single"/>
          <w:lang w:val="en-US" w:eastAsia="zh-CN"/>
        </w:rPr>
        <w:t>竣工验收合格后付至完成产值的85%</w:t>
      </w:r>
      <w:r>
        <w:rPr>
          <w:rFonts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rPr>
        <w:t>工程竣工验收后且工程结算完毕、并按税法规定开具剩余部分发票后一月内付至竣工结算造价的90％,</w:t>
      </w:r>
      <w:r>
        <w:rPr>
          <w:rFonts w:hint="eastAsia" w:cs="宋体" w:asciiTheme="minorEastAsia" w:hAnsiTheme="minorEastAsia" w:eastAsiaTheme="minorEastAsia"/>
          <w:color w:val="auto"/>
          <w:szCs w:val="21"/>
          <w:highlight w:val="none"/>
          <w:u w:val="single"/>
          <w:lang w:eastAsia="zh-CN"/>
        </w:rPr>
        <w:t>财务</w:t>
      </w:r>
      <w:r>
        <w:rPr>
          <w:rFonts w:hint="eastAsia" w:cs="宋体" w:asciiTheme="minorEastAsia" w:hAnsiTheme="minorEastAsia" w:eastAsiaTheme="minorEastAsia"/>
          <w:color w:val="auto"/>
          <w:szCs w:val="21"/>
          <w:highlight w:val="none"/>
          <w:u w:val="single"/>
        </w:rPr>
        <w:t>决算</w:t>
      </w:r>
      <w:r>
        <w:rPr>
          <w:rFonts w:hint="eastAsia" w:cs="宋体" w:asciiTheme="minorEastAsia" w:hAnsiTheme="minorEastAsia" w:eastAsiaTheme="minorEastAsia"/>
          <w:color w:val="auto"/>
          <w:szCs w:val="21"/>
          <w:highlight w:val="none"/>
          <w:u w:val="single"/>
          <w:lang w:eastAsia="zh-CN"/>
        </w:rPr>
        <w:t>表</w:t>
      </w:r>
      <w:r>
        <w:rPr>
          <w:rFonts w:hint="eastAsia" w:cs="宋体" w:asciiTheme="minorEastAsia" w:hAnsiTheme="minorEastAsia" w:eastAsiaTheme="minorEastAsia"/>
          <w:color w:val="auto"/>
          <w:szCs w:val="21"/>
          <w:highlight w:val="none"/>
          <w:u w:val="single"/>
        </w:rPr>
        <w:t>完成后一个月内付至97%，余3％为质量保修金（不含土方开挖（不含二次）、基坑支护工程造价）。③工程保修期满二年且完成质保验收及质保金退还申请单签字并提交所有退还质保金手续之日起30天内发包人支付承包人保修金的100%。</w:t>
      </w:r>
    </w:p>
    <w:p w14:paraId="67CDD86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在工程施工期间，如因工程造价管理机构公布的价格调整文件及法律、行政法规、国家有关政策变化和招标工程量变化而引起合同金额增加，在工程施工期间不支付增加部分进度款，待工程结算时统一进行核算支付。</w:t>
      </w:r>
    </w:p>
    <w:p w14:paraId="13B5CD5D">
      <w:pPr>
        <w:spacing w:line="500" w:lineRule="exact"/>
        <w:ind w:firstLine="422" w:firstLineChars="200"/>
        <w:outlineLvl w:val="9"/>
        <w:rPr>
          <w:rFonts w:cs="宋体" w:asciiTheme="minorEastAsia" w:hAnsiTheme="minorEastAsia" w:eastAsiaTheme="minorEastAsia"/>
          <w:b/>
          <w:color w:val="auto"/>
          <w:szCs w:val="21"/>
          <w:highlight w:val="none"/>
          <w:u w:val="single"/>
        </w:rPr>
      </w:pPr>
      <w:r>
        <w:rPr>
          <w:rFonts w:hint="eastAsia" w:cs="宋体" w:asciiTheme="minorEastAsia" w:hAnsiTheme="minorEastAsia" w:eastAsiaTheme="minorEastAsia"/>
          <w:b/>
          <w:color w:val="auto"/>
          <w:szCs w:val="21"/>
          <w:highlight w:val="none"/>
          <w:u w:val="single"/>
        </w:rPr>
        <w:t>支付方式：</w:t>
      </w:r>
    </w:p>
    <w:p w14:paraId="27779089">
      <w:pPr>
        <w:spacing w:line="500" w:lineRule="exact"/>
        <w:ind w:firstLine="420" w:firstLineChars="200"/>
        <w:outlineLvl w:val="9"/>
        <w:rPr>
          <w:rFonts w:ascii="宋体" w:hAnsi="宋体" w:cs="宋体"/>
          <w:b/>
          <w:color w:val="auto"/>
          <w:szCs w:val="21"/>
          <w:highlight w:val="none"/>
          <w:u w:val="single"/>
        </w:rPr>
      </w:pPr>
      <w:r>
        <w:rPr>
          <w:rFonts w:hint="eastAsia" w:ascii="宋体" w:hAnsi="宋体" w:cs="宋体"/>
          <w:color w:val="auto"/>
          <w:szCs w:val="21"/>
          <w:highlight w:val="none"/>
          <w:u w:val="single"/>
          <w:lang w:val="en-US" w:eastAsia="zh-CN"/>
        </w:rPr>
        <w:t>承包方自身工程范围内的进度款及结算款项</w:t>
      </w:r>
      <w:r>
        <w:rPr>
          <w:rFonts w:hint="eastAsia" w:ascii="宋体" w:hAnsi="宋体" w:cs="宋体"/>
          <w:color w:val="auto"/>
          <w:szCs w:val="21"/>
          <w:highlight w:val="none"/>
          <w:u w:val="single"/>
        </w:rPr>
        <w:t>，承包人</w:t>
      </w:r>
      <w:r>
        <w:rPr>
          <w:rFonts w:hint="eastAsia" w:ascii="宋体" w:hAnsi="宋体" w:cs="宋体"/>
          <w:color w:val="auto"/>
          <w:szCs w:val="21"/>
          <w:highlight w:val="none"/>
          <w:u w:val="single"/>
          <w:lang w:val="en-US" w:eastAsia="zh-CN"/>
        </w:rPr>
        <w:t>按照联合体协议要求建立联合体共管账户</w:t>
      </w:r>
      <w:r>
        <w:rPr>
          <w:rFonts w:hint="eastAsia" w:ascii="宋体" w:hAnsi="宋体" w:cs="宋体"/>
          <w:color w:val="auto"/>
          <w:szCs w:val="21"/>
          <w:highlight w:val="none"/>
          <w:u w:val="single"/>
        </w:rPr>
        <w:t>，承包人按合同约定达到付款条件，经发包人审核确认后，将应付工程款支付至</w:t>
      </w:r>
      <w:r>
        <w:rPr>
          <w:rFonts w:hint="eastAsia" w:ascii="宋体" w:hAnsi="宋体" w:cs="宋体"/>
          <w:color w:val="auto"/>
          <w:szCs w:val="21"/>
          <w:highlight w:val="none"/>
          <w:u w:val="single"/>
          <w:lang w:val="en-US" w:eastAsia="zh-CN"/>
        </w:rPr>
        <w:t>联合体共管账户</w:t>
      </w:r>
      <w:r>
        <w:rPr>
          <w:rFonts w:hint="eastAsia" w:ascii="宋体" w:hAnsi="宋体" w:cs="宋体"/>
          <w:color w:val="auto"/>
          <w:szCs w:val="21"/>
          <w:highlight w:val="none"/>
          <w:u w:val="single"/>
          <w:lang w:eastAsia="zh-CN"/>
        </w:rPr>
        <w:t>。</w:t>
      </w:r>
      <w:r>
        <w:rPr>
          <w:rFonts w:hint="eastAsia" w:ascii="宋体" w:hAnsi="宋体" w:cs="宋体"/>
          <w:color w:val="auto"/>
          <w:szCs w:val="21"/>
          <w:highlight w:val="none"/>
          <w:u w:val="single"/>
        </w:rPr>
        <w:t>其中农民工工资仍然支付至农民工工资专用账户中。</w:t>
      </w:r>
    </w:p>
    <w:p w14:paraId="420DD5CE">
      <w:pPr>
        <w:spacing w:line="500" w:lineRule="exact"/>
        <w:ind w:firstLine="420" w:firstLineChars="200"/>
        <w:outlineLvl w:val="9"/>
        <w:rPr>
          <w:rFonts w:hint="eastAsia" w:ascii="宋体" w:hAnsi="宋体" w:cs="宋体"/>
          <w:color w:val="auto"/>
          <w:szCs w:val="21"/>
          <w:highlight w:val="none"/>
          <w:u w:val="single"/>
          <w:lang w:val="en-US" w:eastAsia="zh-CN"/>
        </w:rPr>
      </w:pPr>
      <w:r>
        <w:rPr>
          <w:rFonts w:hint="eastAsia" w:ascii="宋体" w:hAnsi="宋体" w:cs="宋体"/>
          <w:color w:val="auto"/>
          <w:szCs w:val="21"/>
          <w:highlight w:val="none"/>
          <w:u w:val="single"/>
          <w:lang w:val="en-US" w:eastAsia="zh-CN"/>
        </w:rPr>
        <w:t>为保证暂估价工程及暂定价材料设备费的专款专用， 承包人同意发包方共同管理联合体共管账户，暂估价工程及暂定价材料设备费按合同约定达到付款条件，经发包人审批确认后，将暂估价工程及暂定价材料设备的应付工程款从联合体共管账户支付至暂估价工程及暂定价材料设备施工单位账户。</w:t>
      </w:r>
    </w:p>
    <w:p w14:paraId="2F2862B8">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工程款支付方式：采取转账方式</w:t>
      </w:r>
      <w:r>
        <w:rPr>
          <w:rFonts w:hint="eastAsia" w:cs="宋体" w:asciiTheme="minorEastAsia" w:hAnsiTheme="minorEastAsia" w:eastAsiaTheme="minorEastAsia"/>
          <w:color w:val="FF0000"/>
          <w:szCs w:val="21"/>
          <w:highlight w:val="none"/>
          <w:u w:val="single"/>
        </w:rPr>
        <w:t xml:space="preserve"> ，</w:t>
      </w:r>
      <w:r>
        <w:rPr>
          <w:rFonts w:hint="eastAsia" w:cs="宋体" w:asciiTheme="minorEastAsia" w:hAnsiTheme="minorEastAsia" w:eastAsiaTheme="minorEastAsia"/>
          <w:color w:val="auto"/>
          <w:szCs w:val="21"/>
          <w:highlight w:val="none"/>
          <w:u w:val="single"/>
        </w:rPr>
        <w:t>具体根据发包人实际情况安排。</w:t>
      </w:r>
    </w:p>
    <w:p w14:paraId="1422E580">
      <w:pPr>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发票要求：</w:t>
      </w:r>
      <w:r>
        <w:rPr>
          <w:rFonts w:hint="eastAsia" w:cs="宋体" w:asciiTheme="minorEastAsia" w:hAnsiTheme="minorEastAsia" w:eastAsiaTheme="minorEastAsia"/>
          <w:color w:val="auto"/>
          <w:szCs w:val="21"/>
          <w:highlight w:val="none"/>
          <w:u w:val="single"/>
        </w:rPr>
        <w:t>承包人必须按照国家税法规定按完成量开具合法有效的增值税专用发票。</w:t>
      </w:r>
    </w:p>
    <w:p w14:paraId="73F80ACC">
      <w:pPr>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承包人须按工程进度提供符合税法规定的增值税专用发票,支付结算款时需提供剩余全部发票，否则，发包人有权拒绝付款并顺延付款时间。因发票提供不及时影响付款责任由承包人承担。</w:t>
      </w:r>
    </w:p>
    <w:p w14:paraId="2645CAB0">
      <w:pPr>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承包人应在每次增值税专用发票开具后的10个自然日内向发包人提交相应增值税专用发票，否则发包人有权拒收发票。</w:t>
      </w:r>
    </w:p>
    <w:p w14:paraId="59DB8A50">
      <w:pPr>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竣工决算完成后，待承包人提供符合税法规定的剩余全额增值税专用发票后，发包人付至结算总价的97％，剩余3％作为质保金。</w:t>
      </w:r>
    </w:p>
    <w:p w14:paraId="2CA42AD0">
      <w:pPr>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必须严格遵照相关税收法规和文件，开具合法的增值税专用发票。因承包人开具的增值税专用发票不符合税收法规与税务机关相关规定而给发包人造成经济损失的，承包人负责赔偿，包括但不限于税款、滞纳金、罚款及相关损失等。</w:t>
      </w:r>
    </w:p>
    <w:p w14:paraId="6E98B7C0">
      <w:pPr>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为保证取得的发票可以及时并成功获得抵扣，承包人开具的增值税专用发票送达并经发包人签收后，若发生丢失，承包人应积极协助发包人，按照相关税收法规和文件的规定提供相应资料，并有义务配合进行相关事项的处理。</w:t>
      </w:r>
    </w:p>
    <w:p w14:paraId="39D8739B">
      <w:pPr>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承包人开具的增值税专用发票在送达发包人前如发生丢失、灭失或被盗等情况，导致相应票据未顺利送达甲方的，承包人应予以更换，以保证发包人顺利获得抵扣，否则，发包人有权拒绝支付货款。</w:t>
      </w:r>
    </w:p>
    <w:p w14:paraId="3F67E9C1">
      <w:pPr>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如若产生合同外费用，承包人需收取价外费用的，需按规定依法开具增值税专用发票。</w:t>
      </w:r>
    </w:p>
    <w:p w14:paraId="75F330A6">
      <w:pPr>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因业务原因导致需发票退回或冲红的, 承包人需按照相关税收法规和文件的规定配合进行相关事项的处理。</w:t>
      </w:r>
    </w:p>
    <w:p w14:paraId="4C9D5BD7">
      <w:pPr>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承包人所开具的增值税发票税率必须符合国家相关税法规定，如在合同执行过程中国家相关税法出现税率调整，本合同税率依照最新税率予以调整，根据调整后最新税率和实际不含税金额计算合同结算金额。</w:t>
      </w:r>
    </w:p>
    <w:p w14:paraId="3704342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14.4 </w:t>
      </w:r>
      <w:r>
        <w:rPr>
          <w:rFonts w:hint="eastAsia" w:cs="宋体" w:asciiTheme="minorEastAsia" w:hAnsiTheme="minorEastAsia" w:eastAsiaTheme="minorEastAsia"/>
          <w:color w:val="auto"/>
          <w:szCs w:val="21"/>
          <w:highlight w:val="none"/>
        </w:rPr>
        <w:t>付款计划表</w:t>
      </w:r>
    </w:p>
    <w:p w14:paraId="7824E86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14.4.1 </w:t>
      </w:r>
      <w:r>
        <w:rPr>
          <w:rFonts w:hint="eastAsia" w:cs="宋体" w:asciiTheme="minorEastAsia" w:hAnsiTheme="minorEastAsia" w:eastAsiaTheme="minorEastAsia"/>
          <w:color w:val="auto"/>
          <w:szCs w:val="21"/>
          <w:highlight w:val="none"/>
        </w:rPr>
        <w:t>付款计划表的编制要求：</w:t>
      </w:r>
      <w:r>
        <w:rPr>
          <w:rFonts w:hint="eastAsia" w:cs="宋体" w:asciiTheme="minorEastAsia" w:hAnsiTheme="minorEastAsia" w:eastAsiaTheme="minorEastAsia"/>
          <w:color w:val="auto"/>
          <w:szCs w:val="21"/>
          <w:highlight w:val="none"/>
          <w:u w:val="single"/>
        </w:rPr>
        <w:t>同通用合同条件</w:t>
      </w:r>
      <w:r>
        <w:rPr>
          <w:rFonts w:hint="eastAsia" w:cs="宋体" w:asciiTheme="minorEastAsia" w:hAnsiTheme="minorEastAsia" w:eastAsiaTheme="minorEastAsia"/>
          <w:color w:val="auto"/>
          <w:szCs w:val="21"/>
          <w:highlight w:val="none"/>
        </w:rPr>
        <w:t>。</w:t>
      </w:r>
    </w:p>
    <w:p w14:paraId="00D7E2D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14.4.2 </w:t>
      </w:r>
      <w:r>
        <w:rPr>
          <w:rFonts w:hint="eastAsia" w:cs="宋体" w:asciiTheme="minorEastAsia" w:hAnsiTheme="minorEastAsia" w:eastAsiaTheme="minorEastAsia"/>
          <w:color w:val="auto"/>
          <w:szCs w:val="21"/>
          <w:highlight w:val="none"/>
        </w:rPr>
        <w:t>付款计划表的编制与审批</w:t>
      </w:r>
    </w:p>
    <w:p w14:paraId="21E1903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付款计划表的编制：</w:t>
      </w:r>
      <w:r>
        <w:rPr>
          <w:rFonts w:hint="eastAsia" w:cs="宋体" w:asciiTheme="minorEastAsia" w:hAnsiTheme="minorEastAsia" w:eastAsiaTheme="minorEastAsia"/>
          <w:color w:val="auto"/>
          <w:szCs w:val="21"/>
          <w:highlight w:val="none"/>
          <w:u w:val="single"/>
        </w:rPr>
        <w:t>同通用合同条件</w:t>
      </w:r>
      <w:r>
        <w:rPr>
          <w:rFonts w:hint="eastAsia" w:cs="宋体" w:asciiTheme="minorEastAsia" w:hAnsiTheme="minorEastAsia" w:eastAsiaTheme="minorEastAsia"/>
          <w:color w:val="auto"/>
          <w:szCs w:val="21"/>
          <w:highlight w:val="none"/>
        </w:rPr>
        <w:t>。</w:t>
      </w:r>
    </w:p>
    <w:p w14:paraId="33C5BA78">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14.5 </w:t>
      </w:r>
      <w:r>
        <w:rPr>
          <w:rFonts w:hint="eastAsia" w:cs="宋体" w:asciiTheme="minorEastAsia" w:hAnsiTheme="minorEastAsia" w:eastAsiaTheme="minorEastAsia"/>
          <w:b/>
          <w:color w:val="auto"/>
          <w:szCs w:val="21"/>
          <w:highlight w:val="none"/>
        </w:rPr>
        <w:t>竣工结算</w:t>
      </w:r>
    </w:p>
    <w:p w14:paraId="3B2F7BB6">
      <w:pPr>
        <w:adjustRightInd w:val="0"/>
        <w:snapToGrid w:val="0"/>
        <w:spacing w:line="500" w:lineRule="exact"/>
        <w:ind w:firstLine="420" w:firstLineChars="200"/>
        <w:outlineLvl w:val="9"/>
        <w:rPr>
          <w:rFonts w:asciiTheme="minorEastAsia" w:hAnsiTheme="minorEastAsia" w:eastAsiaTheme="minorEastAsia" w:cstheme="minorEastAsia"/>
          <w:color w:val="auto"/>
          <w:szCs w:val="21"/>
          <w:highlight w:val="none"/>
        </w:rPr>
      </w:pPr>
      <w:r>
        <w:rPr>
          <w:rFonts w:hint="eastAsia" w:asciiTheme="minorEastAsia" w:hAnsiTheme="minorEastAsia" w:eastAsiaTheme="minorEastAsia" w:cstheme="minorEastAsia"/>
          <w:color w:val="auto"/>
          <w:szCs w:val="21"/>
          <w:highlight w:val="none"/>
        </w:rPr>
        <w:t>14.5.1 竣工结算申请</w:t>
      </w:r>
    </w:p>
    <w:p w14:paraId="10BDC455">
      <w:pPr>
        <w:adjustRightInd w:val="0"/>
        <w:snapToGrid w:val="0"/>
        <w:spacing w:line="500" w:lineRule="exact"/>
        <w:ind w:firstLine="420" w:firstLineChars="200"/>
        <w:outlineLvl w:val="9"/>
        <w:rPr>
          <w:rFonts w:hint="eastAsia" w:asciiTheme="minorEastAsia" w:hAnsiTheme="minorEastAsia" w:eastAsiaTheme="minorEastAsia"/>
          <w:color w:val="auto"/>
          <w:szCs w:val="21"/>
          <w:highlight w:val="none"/>
          <w:u w:val="single"/>
        </w:rPr>
      </w:pPr>
      <w:r>
        <w:rPr>
          <w:rFonts w:hint="eastAsia" w:asciiTheme="minorEastAsia" w:hAnsiTheme="minorEastAsia" w:eastAsiaTheme="minorEastAsia"/>
          <w:color w:val="auto"/>
          <w:kern w:val="0"/>
          <w:szCs w:val="21"/>
          <w:highlight w:val="none"/>
        </w:rPr>
        <w:t>（1）</w:t>
      </w:r>
      <w:r>
        <w:rPr>
          <w:rFonts w:asciiTheme="minorEastAsia" w:hAnsiTheme="minorEastAsia" w:eastAsiaTheme="minorEastAsia"/>
          <w:color w:val="auto"/>
          <w:kern w:val="0"/>
          <w:szCs w:val="21"/>
          <w:highlight w:val="none"/>
          <w:u w:val="single"/>
        </w:rPr>
        <w:t>承包人提交竣工结算申请单的期限：</w:t>
      </w:r>
      <w:r>
        <w:rPr>
          <w:rFonts w:hint="eastAsia" w:asciiTheme="minorEastAsia" w:hAnsiTheme="minorEastAsia" w:eastAsiaTheme="minorEastAsia"/>
          <w:color w:val="auto"/>
          <w:szCs w:val="21"/>
          <w:highlight w:val="none"/>
          <w:u w:val="single"/>
        </w:rPr>
        <w:t>工程竣工备案后，承包人在三个月内向发包人递交完整有效的结算资料（含竣工图、变更、签证、材料认质（工程）认价单、图纸会审纪要等），不允许补办，未递交有效资料的视为承包人放弃此部分的费用。承包人在六个月内向发包人递交竣工结算报告书（预算文件）。</w:t>
      </w:r>
    </w:p>
    <w:p w14:paraId="316E22D1">
      <w:pPr>
        <w:adjustRightInd w:val="0"/>
        <w:snapToGrid w:val="0"/>
        <w:spacing w:line="500" w:lineRule="exact"/>
        <w:ind w:firstLine="420" w:firstLineChars="200"/>
        <w:outlineLvl w:val="9"/>
        <w:rPr>
          <w:rFonts w:asciiTheme="minorEastAsia" w:hAnsiTheme="minorEastAsia" w:eastAsiaTheme="minorEastAsia" w:cstheme="minorEastAsia"/>
          <w:color w:val="auto"/>
          <w:szCs w:val="21"/>
          <w:highlight w:val="none"/>
          <w:u w:val="single"/>
        </w:rPr>
      </w:pPr>
      <w:r>
        <w:rPr>
          <w:rFonts w:hint="eastAsia" w:asciiTheme="minorEastAsia" w:hAnsiTheme="minorEastAsia" w:eastAsiaTheme="minorEastAsia"/>
          <w:color w:val="auto"/>
          <w:szCs w:val="21"/>
          <w:highlight w:val="none"/>
          <w:u w:val="single"/>
        </w:rPr>
        <w:t>（2）工程进入施工阶段后，承包人每个月对已经发生的变更（变增及变减）、签证提交发包人进行分阶段结算，经甲、乙双方核对并确认后，随工程进度款一并拨付（支付80%） ，若承包人未按照发包人的要求，及时报送并核对变更、签证，发包人有暂停支付工程进度款的权利。</w:t>
      </w:r>
    </w:p>
    <w:p w14:paraId="5C5B7E71">
      <w:pPr>
        <w:adjustRightInd w:val="0"/>
        <w:snapToGrid w:val="0"/>
        <w:spacing w:line="500" w:lineRule="exact"/>
        <w:ind w:firstLine="420" w:firstLineChars="200"/>
        <w:outlineLvl w:val="9"/>
        <w:rPr>
          <w:rFonts w:asciiTheme="minorEastAsia" w:hAnsiTheme="minorEastAsia" w:eastAsiaTheme="minorEastAsia" w:cstheme="minorEastAsia"/>
          <w:color w:val="auto"/>
          <w:szCs w:val="21"/>
          <w:highlight w:val="none"/>
          <w:u w:val="single"/>
        </w:rPr>
      </w:pPr>
      <w:r>
        <w:rPr>
          <w:rFonts w:hint="eastAsia" w:asciiTheme="minorEastAsia" w:hAnsiTheme="minorEastAsia" w:eastAsiaTheme="minorEastAsia"/>
          <w:color w:val="auto"/>
          <w:kern w:val="0"/>
          <w:szCs w:val="21"/>
          <w:highlight w:val="none"/>
        </w:rPr>
        <w:t>（3）</w:t>
      </w:r>
      <w:r>
        <w:rPr>
          <w:rFonts w:asciiTheme="minorEastAsia" w:hAnsiTheme="minorEastAsia" w:eastAsiaTheme="minorEastAsia"/>
          <w:color w:val="auto"/>
          <w:kern w:val="0"/>
          <w:szCs w:val="21"/>
          <w:highlight w:val="none"/>
          <w:u w:val="single"/>
        </w:rPr>
        <w:t>现场工程经济签证单、材料认质（工程）认价单，承包人应按发包人规定及时办理，未经发包人有关部门签字或签字不全者结算时不予认可。工作联系单</w:t>
      </w:r>
      <w:r>
        <w:rPr>
          <w:rFonts w:hint="eastAsia" w:asciiTheme="minorEastAsia" w:hAnsiTheme="minorEastAsia" w:eastAsiaTheme="minorEastAsia"/>
          <w:color w:val="auto"/>
          <w:kern w:val="0"/>
          <w:szCs w:val="21"/>
          <w:highlight w:val="none"/>
          <w:u w:val="single"/>
        </w:rPr>
        <w:t>和技术核定单</w:t>
      </w:r>
      <w:r>
        <w:rPr>
          <w:rFonts w:asciiTheme="minorEastAsia" w:hAnsiTheme="minorEastAsia" w:eastAsiaTheme="minorEastAsia"/>
          <w:color w:val="auto"/>
          <w:kern w:val="0"/>
          <w:szCs w:val="21"/>
          <w:highlight w:val="none"/>
          <w:u w:val="single"/>
        </w:rPr>
        <w:t>不作为竣工结算的依据，必须将</w:t>
      </w:r>
      <w:r>
        <w:rPr>
          <w:rFonts w:hint="eastAsia" w:asciiTheme="minorEastAsia" w:hAnsiTheme="minorEastAsia" w:eastAsiaTheme="minorEastAsia"/>
          <w:color w:val="auto"/>
          <w:kern w:val="0"/>
          <w:szCs w:val="21"/>
          <w:highlight w:val="none"/>
          <w:u w:val="single"/>
        </w:rPr>
        <w:t>其</w:t>
      </w:r>
      <w:r>
        <w:rPr>
          <w:rFonts w:asciiTheme="minorEastAsia" w:hAnsiTheme="minorEastAsia" w:eastAsiaTheme="minorEastAsia"/>
          <w:color w:val="auto"/>
          <w:kern w:val="0"/>
          <w:szCs w:val="21"/>
          <w:highlight w:val="none"/>
          <w:u w:val="single"/>
        </w:rPr>
        <w:t>转换为工程经济签证单或设计变更单。签证事由应描述清楚，否则以不利于承包人的情况进行结算。签证内容施工完成后，总包单位1个月内上报签证至监理及发包人审核，超期视认为自动放弃经济权利。</w:t>
      </w:r>
    </w:p>
    <w:p w14:paraId="098D87B3">
      <w:pPr>
        <w:adjustRightInd w:val="0"/>
        <w:snapToGrid w:val="0"/>
        <w:spacing w:line="500" w:lineRule="exact"/>
        <w:ind w:firstLine="420" w:firstLineChars="200"/>
        <w:outlineLvl w:val="9"/>
        <w:rPr>
          <w:rFonts w:asciiTheme="minorEastAsia" w:hAnsiTheme="minorEastAsia" w:eastAsiaTheme="minorEastAsia" w:cstheme="minorEastAsia"/>
          <w:color w:val="auto"/>
          <w:szCs w:val="21"/>
          <w:highlight w:val="none"/>
          <w:u w:val="single"/>
        </w:rPr>
      </w:pPr>
      <w:r>
        <w:rPr>
          <w:rFonts w:hint="eastAsia" w:asciiTheme="minorEastAsia" w:hAnsiTheme="minorEastAsia" w:eastAsiaTheme="minorEastAsia"/>
          <w:color w:val="auto"/>
          <w:kern w:val="0"/>
          <w:szCs w:val="21"/>
          <w:highlight w:val="none"/>
        </w:rPr>
        <w:t>（4）</w:t>
      </w:r>
      <w:r>
        <w:rPr>
          <w:rFonts w:asciiTheme="minorEastAsia" w:hAnsiTheme="minorEastAsia" w:eastAsiaTheme="minorEastAsia"/>
          <w:color w:val="auto"/>
          <w:kern w:val="0"/>
          <w:szCs w:val="21"/>
          <w:highlight w:val="none"/>
          <w:u w:val="single"/>
        </w:rPr>
        <w:t>承包人应严格按照国家定额及有关文件实事求是的编制，如发现多估冒算，超出审定工程结算造价3％部分的审</w:t>
      </w:r>
      <w:r>
        <w:rPr>
          <w:rFonts w:hint="eastAsia" w:asciiTheme="minorEastAsia" w:hAnsiTheme="minorEastAsia" w:eastAsiaTheme="minorEastAsia"/>
          <w:color w:val="auto"/>
          <w:kern w:val="0"/>
          <w:szCs w:val="21"/>
          <w:highlight w:val="none"/>
          <w:u w:val="single"/>
        </w:rPr>
        <w:t>核服务</w:t>
      </w:r>
      <w:r>
        <w:rPr>
          <w:rFonts w:asciiTheme="minorEastAsia" w:hAnsiTheme="minorEastAsia" w:eastAsiaTheme="minorEastAsia"/>
          <w:color w:val="auto"/>
          <w:kern w:val="0"/>
          <w:szCs w:val="21"/>
          <w:highlight w:val="none"/>
          <w:u w:val="single"/>
        </w:rPr>
        <w:t>费由承包人承担，</w:t>
      </w:r>
      <w:r>
        <w:rPr>
          <w:rFonts w:hint="eastAsia" w:asciiTheme="minorEastAsia" w:hAnsiTheme="minorEastAsia" w:eastAsiaTheme="minorEastAsia"/>
          <w:color w:val="auto"/>
          <w:kern w:val="0"/>
          <w:szCs w:val="21"/>
          <w:highlight w:val="none"/>
          <w:u w:val="single"/>
        </w:rPr>
        <w:t>审核服务</w:t>
      </w:r>
      <w:r>
        <w:rPr>
          <w:rFonts w:asciiTheme="minorEastAsia" w:hAnsiTheme="minorEastAsia" w:eastAsiaTheme="minorEastAsia"/>
          <w:color w:val="auto"/>
          <w:kern w:val="0"/>
          <w:szCs w:val="21"/>
          <w:highlight w:val="none"/>
          <w:u w:val="single"/>
        </w:rPr>
        <w:t>费用成果费费率按</w:t>
      </w:r>
      <w:r>
        <w:rPr>
          <w:rFonts w:hint="eastAsia" w:asciiTheme="minorEastAsia" w:hAnsiTheme="minorEastAsia" w:eastAsiaTheme="minorEastAsia"/>
          <w:color w:val="auto"/>
          <w:kern w:val="0"/>
          <w:szCs w:val="21"/>
          <w:highlight w:val="none"/>
          <w:u w:val="single"/>
        </w:rPr>
        <w:t>发包人</w:t>
      </w:r>
      <w:r>
        <w:rPr>
          <w:rFonts w:asciiTheme="minorEastAsia" w:hAnsiTheme="minorEastAsia" w:eastAsiaTheme="minorEastAsia"/>
          <w:color w:val="auto"/>
          <w:kern w:val="0"/>
          <w:szCs w:val="21"/>
          <w:highlight w:val="none"/>
          <w:u w:val="single"/>
        </w:rPr>
        <w:t>与造价咨询单位签订的合同为准，计费基数为超出审定工程结算造价3%以外核减的工程造价（扣除非咨询人核减造价）。</w:t>
      </w:r>
      <w:r>
        <w:rPr>
          <w:rFonts w:hint="eastAsia" w:asciiTheme="minorEastAsia" w:hAnsiTheme="minorEastAsia" w:eastAsiaTheme="minorEastAsia"/>
          <w:color w:val="auto"/>
          <w:kern w:val="0"/>
          <w:szCs w:val="21"/>
          <w:highlight w:val="none"/>
          <w:u w:val="single"/>
        </w:rPr>
        <w:t>由承包人承担的审计费用从发包人向承包人支付的工程款中直接扣除，并直接支付给相关咨询机构。</w:t>
      </w:r>
    </w:p>
    <w:p w14:paraId="59FEA6DF">
      <w:pPr>
        <w:adjustRightInd w:val="0"/>
        <w:snapToGrid w:val="0"/>
        <w:spacing w:line="500" w:lineRule="exact"/>
        <w:ind w:firstLine="420" w:firstLineChars="200"/>
        <w:outlineLvl w:val="9"/>
        <w:rPr>
          <w:rFonts w:asciiTheme="minorEastAsia" w:hAnsiTheme="minorEastAsia" w:eastAsiaTheme="minorEastAsia"/>
          <w:color w:val="auto"/>
          <w:kern w:val="0"/>
          <w:szCs w:val="21"/>
          <w:highlight w:val="none"/>
          <w:u w:val="single"/>
        </w:rPr>
      </w:pPr>
      <w:r>
        <w:rPr>
          <w:rFonts w:hint="eastAsia" w:asciiTheme="minorEastAsia" w:hAnsiTheme="minorEastAsia" w:eastAsiaTheme="minorEastAsia"/>
          <w:color w:val="auto"/>
          <w:kern w:val="0"/>
          <w:szCs w:val="21"/>
          <w:highlight w:val="none"/>
        </w:rPr>
        <w:t>（5）</w:t>
      </w:r>
      <w:r>
        <w:rPr>
          <w:rFonts w:asciiTheme="minorEastAsia" w:hAnsiTheme="minorEastAsia" w:eastAsiaTheme="minorEastAsia"/>
          <w:color w:val="auto"/>
          <w:kern w:val="0"/>
          <w:szCs w:val="21"/>
          <w:highlight w:val="none"/>
          <w:u w:val="single"/>
        </w:rPr>
        <w:t>竣工结算申请单应包括的内容：承包人报送的竣工结算报告按附件《工程结算编制指引》进行编制。</w:t>
      </w:r>
    </w:p>
    <w:p w14:paraId="72218F7C">
      <w:pPr>
        <w:adjustRightInd w:val="0"/>
        <w:snapToGrid w:val="0"/>
        <w:spacing w:line="500" w:lineRule="exact"/>
        <w:jc w:val="left"/>
        <w:outlineLvl w:val="9"/>
        <w:rPr>
          <w:rFonts w:asciiTheme="minorEastAsia" w:hAnsiTheme="minorEastAsia" w:eastAsiaTheme="minorEastAsia" w:cstheme="minorEastAsia"/>
          <w:color w:val="auto"/>
          <w:kern w:val="0"/>
          <w:szCs w:val="21"/>
          <w:highlight w:val="none"/>
        </w:rPr>
      </w:pPr>
      <w:r>
        <w:rPr>
          <w:rFonts w:hint="eastAsia" w:asciiTheme="minorEastAsia" w:hAnsiTheme="minorEastAsia" w:eastAsiaTheme="minorEastAsia"/>
          <w:color w:val="auto"/>
          <w:szCs w:val="21"/>
          <w:highlight w:val="none"/>
        </w:rPr>
        <w:t xml:space="preserve">    设计费结算：</w:t>
      </w:r>
      <w:r>
        <w:rPr>
          <w:rFonts w:hint="eastAsia" w:asciiTheme="minorEastAsia" w:hAnsiTheme="minorEastAsia" w:eastAsiaTheme="minorEastAsia" w:cstheme="minorEastAsia"/>
          <w:color w:val="auto"/>
          <w:kern w:val="0"/>
          <w:szCs w:val="21"/>
          <w:highlight w:val="none"/>
        </w:rPr>
        <w:t>采用固定总价包干方式，除规划批准的建筑面积减少时双方另行协商调整总价，其余情况对承包人提出的任何追加报价，发包人将不予考虑。</w:t>
      </w:r>
    </w:p>
    <w:p w14:paraId="2D2EB12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建筑安装工程费结算：</w:t>
      </w:r>
      <w:r>
        <w:rPr>
          <w:rFonts w:hint="eastAsia" w:cs="宋体" w:asciiTheme="minorEastAsia" w:hAnsiTheme="minorEastAsia" w:eastAsiaTheme="minorEastAsia"/>
          <w:color w:val="auto"/>
          <w:szCs w:val="21"/>
          <w:highlight w:val="none"/>
          <w:u w:val="single"/>
        </w:rPr>
        <w:t>建筑安装</w:t>
      </w:r>
      <w:r>
        <w:rPr>
          <w:rFonts w:hint="eastAsia" w:cs="宋体" w:asciiTheme="minorEastAsia" w:hAnsiTheme="minorEastAsia" w:eastAsiaTheme="minorEastAsia"/>
          <w:color w:val="auto"/>
          <w:kern w:val="0"/>
          <w:szCs w:val="21"/>
          <w:highlight w:val="none"/>
          <w:u w:val="single"/>
        </w:rPr>
        <w:t>工程费结算</w:t>
      </w:r>
      <w:r>
        <w:rPr>
          <w:rFonts w:cs="宋体" w:asciiTheme="minorEastAsia" w:hAnsiTheme="minorEastAsia" w:eastAsiaTheme="minorEastAsia"/>
          <w:color w:val="auto"/>
          <w:kern w:val="0"/>
          <w:szCs w:val="21"/>
          <w:highlight w:val="none"/>
          <w:u w:val="single"/>
        </w:rPr>
        <w:t>=</w:t>
      </w:r>
      <w:r>
        <w:rPr>
          <w:rFonts w:hint="eastAsia" w:cs="宋体" w:asciiTheme="minorEastAsia" w:hAnsiTheme="minorEastAsia" w:eastAsiaTheme="minorEastAsia"/>
          <w:color w:val="auto"/>
          <w:szCs w:val="21"/>
          <w:highlight w:val="none"/>
          <w:u w:val="single"/>
        </w:rPr>
        <w:t>按合同约定的施工图预算计价原则计算、由</w:t>
      </w:r>
      <w:r>
        <w:rPr>
          <w:rFonts w:hint="eastAsia" w:cs="宋体" w:asciiTheme="minorEastAsia" w:hAnsiTheme="minorEastAsia" w:eastAsiaTheme="minorEastAsia"/>
          <w:color w:val="auto"/>
          <w:kern w:val="0"/>
          <w:szCs w:val="21"/>
          <w:highlight w:val="none"/>
          <w:u w:val="single"/>
        </w:rPr>
        <w:t>招标人确认的</w:t>
      </w:r>
      <w:r>
        <w:rPr>
          <w:rFonts w:hint="eastAsia" w:cs="宋体" w:asciiTheme="minorEastAsia" w:hAnsiTheme="minorEastAsia" w:eastAsiaTheme="minorEastAsia"/>
          <w:bCs/>
          <w:color w:val="auto"/>
          <w:szCs w:val="21"/>
          <w:highlight w:val="none"/>
          <w:u w:val="single"/>
        </w:rPr>
        <w:t>建筑安装工程费</w:t>
      </w: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bCs/>
          <w:color w:val="auto"/>
          <w:szCs w:val="21"/>
          <w:highlight w:val="none"/>
          <w:u w:val="single"/>
        </w:rPr>
        <w:t>建筑安装工程费折算率</w:t>
      </w:r>
      <w:r>
        <w:rPr>
          <w:rFonts w:hint="eastAsia" w:cs="宋体" w:asciiTheme="minorEastAsia" w:hAnsiTheme="minorEastAsia" w:eastAsiaTheme="minorEastAsia"/>
          <w:color w:val="auto"/>
          <w:kern w:val="0"/>
          <w:szCs w:val="21"/>
          <w:highlight w:val="none"/>
          <w:u w:val="single"/>
        </w:rPr>
        <w:t>。</w:t>
      </w:r>
      <w:r>
        <w:rPr>
          <w:rFonts w:hint="eastAsia" w:cs="宋体" w:asciiTheme="minorEastAsia" w:hAnsiTheme="minorEastAsia" w:eastAsiaTheme="minorEastAsia"/>
          <w:bCs/>
          <w:color w:val="auto"/>
          <w:szCs w:val="21"/>
          <w:highlight w:val="none"/>
          <w:u w:val="single"/>
        </w:rPr>
        <w:t>建筑安装工程费折算率</w:t>
      </w:r>
      <w:r>
        <w:rPr>
          <w:rFonts w:cs="宋体" w:asciiTheme="minorEastAsia" w:hAnsiTheme="minorEastAsia" w:eastAsiaTheme="minorEastAsia"/>
          <w:color w:val="auto"/>
          <w:kern w:val="0"/>
          <w:szCs w:val="21"/>
          <w:highlight w:val="none"/>
          <w:u w:val="single"/>
        </w:rPr>
        <w:t>=（建筑安装工程费投标报价</w:t>
      </w:r>
      <w:r>
        <w:rPr>
          <w:rFonts w:hint="eastAsia" w:cs="宋体" w:asciiTheme="minorEastAsia" w:hAnsiTheme="minorEastAsia" w:eastAsiaTheme="minorEastAsia"/>
          <w:color w:val="auto"/>
          <w:kern w:val="0"/>
          <w:szCs w:val="21"/>
          <w:highlight w:val="none"/>
          <w:u w:val="single"/>
        </w:rPr>
        <w:t>（不含专业工程暂估价、暂列金额）</w:t>
      </w:r>
      <w:r>
        <w:rPr>
          <w:rFonts w:cs="宋体" w:asciiTheme="minorEastAsia" w:hAnsiTheme="minorEastAsia" w:eastAsiaTheme="minorEastAsia"/>
          <w:color w:val="auto"/>
          <w:kern w:val="0"/>
          <w:szCs w:val="21"/>
          <w:highlight w:val="none"/>
          <w:u w:val="single"/>
        </w:rPr>
        <w:t>/建筑安装工程费</w:t>
      </w:r>
      <w:r>
        <w:rPr>
          <w:rFonts w:hint="eastAsia" w:cs="宋体" w:asciiTheme="minorEastAsia" w:hAnsiTheme="minorEastAsia" w:eastAsiaTheme="minorEastAsia"/>
          <w:color w:val="auto"/>
          <w:szCs w:val="21"/>
          <w:highlight w:val="none"/>
          <w:u w:val="single"/>
        </w:rPr>
        <w:t>最高限价</w:t>
      </w:r>
      <w:r>
        <w:rPr>
          <w:rFonts w:hint="eastAsia" w:cs="宋体" w:asciiTheme="minorEastAsia" w:hAnsiTheme="minorEastAsia" w:eastAsiaTheme="minorEastAsia"/>
          <w:color w:val="auto"/>
          <w:kern w:val="0"/>
          <w:szCs w:val="21"/>
          <w:highlight w:val="none"/>
          <w:u w:val="single"/>
        </w:rPr>
        <w:t>（不含专业工程暂估价、暂列金额）</w:t>
      </w: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100%。</w:t>
      </w:r>
      <w:r>
        <w:rPr>
          <w:rFonts w:hint="eastAsia" w:cs="宋体" w:asciiTheme="minorEastAsia" w:hAnsiTheme="minorEastAsia" w:eastAsiaTheme="minorEastAsia"/>
          <w:color w:val="auto"/>
          <w:kern w:val="0"/>
          <w:szCs w:val="21"/>
          <w:highlight w:val="none"/>
          <w:u w:val="single"/>
        </w:rPr>
        <w:t>最终审定的建筑安装工程费的材料价格确认原则：需要调差的材料</w:t>
      </w:r>
      <w:r>
        <w:rPr>
          <w:rFonts w:hint="eastAsia" w:ascii="宋体" w:hAnsi="宋体" w:cs="宋体"/>
          <w:color w:val="auto"/>
          <w:szCs w:val="21"/>
          <w:highlight w:val="none"/>
          <w:u w:val="single"/>
        </w:rPr>
        <w:t>钢筋、混凝土基准价格选取主体基础绑扎、浇筑当月“我的钢铁网”“广材网”网址上的月均价格（月均价按</w:t>
      </w:r>
      <w:r>
        <w:rPr>
          <w:rFonts w:hint="eastAsia" w:cs="宋体" w:asciiTheme="minorEastAsia" w:hAnsiTheme="minorEastAsia" w:eastAsiaTheme="minorEastAsia"/>
          <w:color w:val="auto"/>
          <w:kern w:val="0"/>
          <w:szCs w:val="21"/>
          <w:highlight w:val="none"/>
          <w:u w:val="single"/>
          <w:lang w:val="en-US" w:eastAsia="zh-CN"/>
        </w:rPr>
        <w:t>按14.1.2第三种调价</w:t>
      </w:r>
      <w:r>
        <w:rPr>
          <w:rFonts w:hint="eastAsia" w:ascii="宋体" w:hAnsi="宋体" w:cs="宋体"/>
          <w:color w:val="auto"/>
          <w:szCs w:val="21"/>
          <w:highlight w:val="none"/>
          <w:u w:val="single"/>
        </w:rPr>
        <w:t>条约定执行）。 施工图预算中税金计取执行陕西省建设工程计价依据（陕建发[2018]84号文件）</w:t>
      </w:r>
      <w:r>
        <w:rPr>
          <w:rFonts w:hint="eastAsia" w:ascii="宋体" w:hAnsi="宋体" w:cs="宋体"/>
          <w:color w:val="auto"/>
          <w:szCs w:val="21"/>
          <w:highlight w:val="none"/>
          <w:u w:val="single"/>
          <w:lang w:eastAsia="zh-CN"/>
        </w:rPr>
        <w:t>。</w:t>
      </w:r>
      <w:r>
        <w:rPr>
          <w:rFonts w:hint="eastAsia" w:cs="宋体" w:asciiTheme="minorEastAsia" w:hAnsiTheme="minorEastAsia" w:eastAsiaTheme="minorEastAsia"/>
          <w:color w:val="auto"/>
          <w:szCs w:val="21"/>
          <w:highlight w:val="none"/>
          <w:u w:val="single"/>
        </w:rPr>
        <w:t>其余材料</w:t>
      </w:r>
      <w:r>
        <w:rPr>
          <w:rFonts w:hint="eastAsia" w:cs="宋体" w:asciiTheme="minorEastAsia" w:hAnsiTheme="minorEastAsia" w:eastAsiaTheme="minorEastAsia"/>
          <w:color w:val="auto"/>
          <w:kern w:val="0"/>
          <w:szCs w:val="21"/>
          <w:highlight w:val="none"/>
          <w:u w:val="single"/>
        </w:rPr>
        <w:t>施工图预算中已有的材料，不再确认价格；施工图预算中没有的主材价格经发包人确认后计入结算</w:t>
      </w:r>
      <w:r>
        <w:rPr>
          <w:rFonts w:hint="eastAsia" w:cs="宋体" w:asciiTheme="minorEastAsia" w:hAnsiTheme="minorEastAsia" w:eastAsiaTheme="minorEastAsia"/>
          <w:color w:val="auto"/>
          <w:szCs w:val="21"/>
          <w:highlight w:val="none"/>
          <w:u w:val="single"/>
        </w:rPr>
        <w:t>。②若因施工现场停电等客观因素导致桩基工程必须使用发电机，发电机费用由投标单位自行考虑在报价中。</w:t>
      </w:r>
    </w:p>
    <w:p w14:paraId="21A52DC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暂估价工程结算：</w:t>
      </w:r>
      <w:r>
        <w:rPr>
          <w:rFonts w:hint="eastAsia" w:cs="宋体" w:asciiTheme="minorEastAsia" w:hAnsiTheme="minorEastAsia" w:eastAsiaTheme="minorEastAsia"/>
          <w:color w:val="auto"/>
          <w:szCs w:val="21"/>
          <w:highlight w:val="none"/>
          <w:u w:val="single"/>
        </w:rPr>
        <w:t>以中标综合单价按实结算。</w:t>
      </w:r>
      <w:r>
        <w:rPr>
          <w:rFonts w:hint="eastAsia" w:cs="宋体" w:asciiTheme="minorEastAsia" w:hAnsiTheme="minorEastAsia" w:eastAsiaTheme="minorEastAsia"/>
          <w:color w:val="auto"/>
          <w:szCs w:val="21"/>
          <w:highlight w:val="none"/>
        </w:rPr>
        <w:t>暂列金额结算：</w:t>
      </w:r>
      <w:r>
        <w:rPr>
          <w:rFonts w:hint="eastAsia" w:cs="宋体" w:asciiTheme="minorEastAsia" w:hAnsiTheme="minorEastAsia" w:eastAsiaTheme="minorEastAsia"/>
          <w:color w:val="auto"/>
          <w:szCs w:val="21"/>
          <w:highlight w:val="none"/>
          <w:u w:val="single"/>
        </w:rPr>
        <w:t>按本项目实际发生的费用进行结算。</w:t>
      </w:r>
    </w:p>
    <w:p w14:paraId="143031AD">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变更签证结算：</w:t>
      </w:r>
      <w:r>
        <w:rPr>
          <w:rFonts w:hint="eastAsia" w:cs="宋体" w:asciiTheme="minorEastAsia" w:hAnsiTheme="minorEastAsia" w:eastAsiaTheme="minorEastAsia"/>
          <w:color w:val="auto"/>
          <w:szCs w:val="21"/>
          <w:highlight w:val="none"/>
          <w:u w:val="single"/>
        </w:rPr>
        <w:t>按照合同专用条款</w:t>
      </w:r>
      <w:r>
        <w:rPr>
          <w:rFonts w:cs="宋体" w:asciiTheme="minorEastAsia" w:hAnsiTheme="minorEastAsia" w:eastAsiaTheme="minorEastAsia"/>
          <w:color w:val="auto"/>
          <w:szCs w:val="21"/>
          <w:highlight w:val="none"/>
          <w:u w:val="single"/>
        </w:rPr>
        <w:t>13.3中约定执行。</w:t>
      </w:r>
    </w:p>
    <w:p w14:paraId="16375ECC">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认质认价结算：</w:t>
      </w:r>
      <w:r>
        <w:rPr>
          <w:rFonts w:hint="eastAsia" w:cs="宋体" w:asciiTheme="minorEastAsia" w:hAnsiTheme="minorEastAsia" w:eastAsiaTheme="minorEastAsia"/>
          <w:color w:val="auto"/>
          <w:szCs w:val="21"/>
          <w:highlight w:val="none"/>
          <w:u w:val="single"/>
        </w:rPr>
        <w:t>按照合同专用条款</w:t>
      </w:r>
      <w:r>
        <w:rPr>
          <w:rFonts w:cs="宋体" w:asciiTheme="minorEastAsia" w:hAnsiTheme="minorEastAsia" w:eastAsiaTheme="minorEastAsia"/>
          <w:color w:val="auto"/>
          <w:szCs w:val="21"/>
          <w:highlight w:val="none"/>
          <w:u w:val="single"/>
        </w:rPr>
        <w:t>13.3中约定执行。变更签证价款确定中关于认质认价的约定及合同附件中认质认价相关流程。认质认价材料参与中标下浮率进行下浮。</w:t>
      </w:r>
    </w:p>
    <w:p w14:paraId="2356C206">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水电费结算：</w:t>
      </w:r>
      <w:r>
        <w:rPr>
          <w:rFonts w:hint="eastAsia" w:cs="宋体" w:asciiTheme="minorEastAsia" w:hAnsiTheme="minorEastAsia" w:eastAsiaTheme="minorEastAsia"/>
          <w:color w:val="auto"/>
          <w:szCs w:val="21"/>
          <w:highlight w:val="none"/>
          <w:u w:val="single"/>
        </w:rPr>
        <w:t>用水量、用电量以现场水电费扣款单为准进行确认</w:t>
      </w:r>
      <w:r>
        <w:rPr>
          <w:rFonts w:cs="宋体" w:asciiTheme="minorEastAsia" w:hAnsiTheme="minorEastAsia" w:eastAsiaTheme="minorEastAsia"/>
          <w:color w:val="auto"/>
          <w:szCs w:val="21"/>
          <w:highlight w:val="none"/>
          <w:u w:val="single"/>
        </w:rPr>
        <w:t>。结算时不再调整。</w:t>
      </w:r>
    </w:p>
    <w:p w14:paraId="40C5C396">
      <w:pPr>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本项目工程相关检测试验及各种风险费用在结算阶段不再另行组价或确认价格，视为费用已包含并体现在中标下浮率中。</w:t>
      </w:r>
    </w:p>
    <w:p w14:paraId="649D43F6">
      <w:pPr>
        <w:adjustRightInd w:val="0"/>
        <w:snapToGrid w:val="0"/>
        <w:spacing w:line="500" w:lineRule="exact"/>
        <w:ind w:firstLine="420" w:firstLineChars="200"/>
        <w:outlineLvl w:val="9"/>
        <w:rPr>
          <w:rFonts w:asciiTheme="minorEastAsia" w:hAnsiTheme="minorEastAsia" w:eastAsiaTheme="minorEastAsia" w:cstheme="minorEastAsia"/>
          <w:color w:val="auto"/>
          <w:szCs w:val="21"/>
          <w:highlight w:val="none"/>
        </w:rPr>
      </w:pPr>
      <w:r>
        <w:rPr>
          <w:rFonts w:hint="eastAsia" w:asciiTheme="minorEastAsia" w:hAnsiTheme="minorEastAsia" w:eastAsiaTheme="minorEastAsia" w:cstheme="minorEastAsia"/>
          <w:color w:val="auto"/>
          <w:szCs w:val="21"/>
          <w:highlight w:val="none"/>
        </w:rPr>
        <w:t>14.5.2 竣工结算审核</w:t>
      </w:r>
    </w:p>
    <w:p w14:paraId="38884C46">
      <w:pPr>
        <w:adjustRightInd w:val="0"/>
        <w:snapToGrid w:val="0"/>
        <w:spacing w:line="500" w:lineRule="exact"/>
        <w:ind w:firstLine="420" w:firstLineChars="200"/>
        <w:outlineLvl w:val="9"/>
        <w:rPr>
          <w:rFonts w:asciiTheme="minorEastAsia" w:hAnsiTheme="minorEastAsia" w:eastAsiaTheme="minorEastAsia" w:cstheme="minorEastAsia"/>
          <w:color w:val="auto"/>
          <w:szCs w:val="21"/>
          <w:highlight w:val="none"/>
        </w:rPr>
      </w:pPr>
      <w:r>
        <w:rPr>
          <w:rFonts w:hint="eastAsia" w:asciiTheme="minorEastAsia" w:hAnsiTheme="minorEastAsia" w:eastAsiaTheme="minorEastAsia" w:cstheme="minorEastAsia"/>
          <w:color w:val="auto"/>
          <w:szCs w:val="21"/>
          <w:highlight w:val="none"/>
        </w:rPr>
        <w:t>发包人审批竣工付款申请单的期限：</w:t>
      </w:r>
      <w:r>
        <w:rPr>
          <w:rFonts w:hint="eastAsia" w:asciiTheme="minorEastAsia" w:hAnsiTheme="minorEastAsia" w:eastAsiaTheme="minorEastAsia" w:cstheme="minorEastAsia"/>
          <w:color w:val="auto"/>
          <w:szCs w:val="21"/>
          <w:highlight w:val="none"/>
          <w:u w:val="single"/>
        </w:rPr>
        <w:t>从收到承包人上报的完整的竣工结算资料（结算报告书、竣工图、变更、签证、认价单）之日起，十二个月内审核完成或提出审核意见</w:t>
      </w:r>
      <w:r>
        <w:rPr>
          <w:rFonts w:hint="eastAsia" w:asciiTheme="minorEastAsia" w:hAnsiTheme="minorEastAsia" w:eastAsiaTheme="minorEastAsia" w:cstheme="minorEastAsia"/>
          <w:color w:val="auto"/>
          <w:szCs w:val="21"/>
          <w:highlight w:val="none"/>
        </w:rPr>
        <w:t>。</w:t>
      </w:r>
    </w:p>
    <w:p w14:paraId="3E4672C6">
      <w:pPr>
        <w:adjustRightInd w:val="0"/>
        <w:snapToGrid w:val="0"/>
        <w:spacing w:line="500" w:lineRule="exact"/>
        <w:ind w:firstLine="420" w:firstLineChars="200"/>
        <w:outlineLvl w:val="9"/>
        <w:rPr>
          <w:rFonts w:asciiTheme="minorEastAsia" w:hAnsiTheme="minorEastAsia" w:eastAsiaTheme="minorEastAsia"/>
          <w:color w:val="auto"/>
          <w:szCs w:val="21"/>
          <w:highlight w:val="none"/>
          <w:u w:val="single"/>
        </w:rPr>
      </w:pPr>
      <w:r>
        <w:rPr>
          <w:rFonts w:hint="eastAsia" w:asciiTheme="minorEastAsia" w:hAnsiTheme="minorEastAsia" w:eastAsiaTheme="minorEastAsia"/>
          <w:color w:val="auto"/>
          <w:szCs w:val="21"/>
          <w:highlight w:val="none"/>
          <w:u w:val="single"/>
        </w:rPr>
        <w:t>工程结算及财务决算审计：</w:t>
      </w:r>
    </w:p>
    <w:p w14:paraId="72BC265E">
      <w:pPr>
        <w:adjustRightInd w:val="0"/>
        <w:snapToGrid w:val="0"/>
        <w:spacing w:line="500" w:lineRule="exact"/>
        <w:ind w:firstLine="420" w:firstLineChars="200"/>
        <w:outlineLvl w:val="9"/>
        <w:rPr>
          <w:rFonts w:asciiTheme="minorEastAsia" w:hAnsiTheme="minorEastAsia" w:eastAsiaTheme="minorEastAsia"/>
          <w:color w:val="auto"/>
          <w:szCs w:val="21"/>
          <w:highlight w:val="none"/>
          <w:u w:val="single"/>
        </w:rPr>
      </w:pPr>
      <w:r>
        <w:rPr>
          <w:rFonts w:hint="eastAsia" w:asciiTheme="minorEastAsia" w:hAnsiTheme="minorEastAsia" w:eastAsiaTheme="minorEastAsia"/>
          <w:color w:val="auto"/>
          <w:szCs w:val="21"/>
          <w:highlight w:val="none"/>
          <w:u w:val="single"/>
        </w:rPr>
        <w:t>该项目竣工后，发包人有权委托第三方进行工程结算及财务决算审计工作，最终结（决）算以审计结果为准。</w:t>
      </w:r>
    </w:p>
    <w:p w14:paraId="757D22A6">
      <w:pPr>
        <w:adjustRightInd w:val="0"/>
        <w:snapToGrid w:val="0"/>
        <w:spacing w:line="500" w:lineRule="exact"/>
        <w:outlineLvl w:val="9"/>
        <w:rPr>
          <w:rFonts w:asciiTheme="minorEastAsia" w:hAnsiTheme="minorEastAsia" w:eastAsiaTheme="minorEastAsia" w:cstheme="minorEastAsia"/>
          <w:color w:val="auto"/>
          <w:szCs w:val="21"/>
          <w:highlight w:val="none"/>
        </w:rPr>
      </w:pPr>
      <w:r>
        <w:rPr>
          <w:rFonts w:hint="eastAsia" w:asciiTheme="minorEastAsia" w:hAnsiTheme="minorEastAsia" w:eastAsiaTheme="minorEastAsia" w:cstheme="minorEastAsia"/>
          <w:color w:val="auto"/>
          <w:szCs w:val="21"/>
          <w:highlight w:val="none"/>
        </w:rPr>
        <w:t>发包人完成竣工结算初稿的期限：</w:t>
      </w:r>
      <w:r>
        <w:rPr>
          <w:rFonts w:hint="eastAsia" w:asciiTheme="minorEastAsia" w:hAnsiTheme="minorEastAsia" w:eastAsiaTheme="minorEastAsia" w:cstheme="minorEastAsia"/>
          <w:color w:val="auto"/>
          <w:szCs w:val="21"/>
          <w:highlight w:val="none"/>
          <w:u w:val="single"/>
        </w:rPr>
        <w:t xml:space="preserve">详见专用合同条款14.3.2 </w:t>
      </w:r>
      <w:r>
        <w:rPr>
          <w:rFonts w:hint="eastAsia" w:asciiTheme="minorEastAsia" w:hAnsiTheme="minorEastAsia" w:eastAsiaTheme="minorEastAsia" w:cstheme="minorEastAsia"/>
          <w:color w:val="auto"/>
          <w:szCs w:val="21"/>
          <w:highlight w:val="none"/>
        </w:rPr>
        <w:t>。</w:t>
      </w:r>
    </w:p>
    <w:p w14:paraId="03217A6D">
      <w:pPr>
        <w:adjustRightInd w:val="0"/>
        <w:snapToGrid w:val="0"/>
        <w:spacing w:line="500" w:lineRule="exact"/>
        <w:outlineLvl w:val="9"/>
        <w:rPr>
          <w:rFonts w:hint="eastAsia" w:asciiTheme="minorEastAsia" w:hAnsiTheme="minorEastAsia" w:eastAsiaTheme="minorEastAsia" w:cstheme="minorEastAsia"/>
          <w:color w:val="auto"/>
          <w:szCs w:val="21"/>
          <w:highlight w:val="none"/>
        </w:rPr>
      </w:pPr>
      <w:r>
        <w:rPr>
          <w:rFonts w:hint="eastAsia" w:asciiTheme="minorEastAsia" w:hAnsiTheme="minorEastAsia" w:eastAsiaTheme="minorEastAsia" w:cstheme="minorEastAsia"/>
          <w:color w:val="auto"/>
          <w:szCs w:val="21"/>
          <w:highlight w:val="none"/>
        </w:rPr>
        <w:t>关于竣工付款证书异议部分复核的方式和程序：</w:t>
      </w:r>
      <w:r>
        <w:rPr>
          <w:rFonts w:hint="eastAsia" w:asciiTheme="minorEastAsia" w:hAnsiTheme="minorEastAsia" w:eastAsiaTheme="minorEastAsia" w:cstheme="minorEastAsia"/>
          <w:color w:val="auto"/>
          <w:szCs w:val="21"/>
          <w:highlight w:val="none"/>
          <w:u w:val="single"/>
        </w:rPr>
        <w:t xml:space="preserve">    /    </w:t>
      </w:r>
      <w:r>
        <w:rPr>
          <w:rFonts w:hint="eastAsia" w:asciiTheme="minorEastAsia" w:hAnsiTheme="minorEastAsia" w:eastAsiaTheme="minorEastAsia" w:cstheme="minorEastAsia"/>
          <w:color w:val="auto"/>
          <w:szCs w:val="21"/>
          <w:highlight w:val="none"/>
        </w:rPr>
        <w:t>。</w:t>
      </w:r>
    </w:p>
    <w:p w14:paraId="24DEF21A">
      <w:pPr>
        <w:adjustRightInd w:val="0"/>
        <w:snapToGrid w:val="0"/>
        <w:spacing w:line="500" w:lineRule="exact"/>
        <w:ind w:firstLine="420" w:firstLineChars="200"/>
        <w:outlineLvl w:val="9"/>
        <w:rPr>
          <w:rFonts w:asciiTheme="minorEastAsia" w:hAnsiTheme="minorEastAsia" w:eastAsiaTheme="minorEastAsia"/>
          <w:color w:val="auto"/>
          <w:kern w:val="0"/>
          <w:szCs w:val="21"/>
          <w:highlight w:val="none"/>
          <w:u w:val="single"/>
        </w:rPr>
      </w:pPr>
      <w:r>
        <w:rPr>
          <w:rFonts w:hint="eastAsia" w:asciiTheme="minorEastAsia" w:hAnsiTheme="minorEastAsia" w:eastAsiaTheme="minorEastAsia"/>
          <w:color w:val="auto"/>
          <w:kern w:val="0"/>
          <w:szCs w:val="21"/>
          <w:highlight w:val="none"/>
          <w:u w:val="single"/>
        </w:rPr>
        <w:t>工程造价咨询机构出具的竣工结算报告经发、承包双方签字后生效。</w:t>
      </w:r>
    </w:p>
    <w:p w14:paraId="22ED6B1C">
      <w:pPr>
        <w:adjustRightInd w:val="0"/>
        <w:snapToGrid w:val="0"/>
        <w:spacing w:line="500" w:lineRule="exact"/>
        <w:ind w:firstLine="422"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b/>
          <w:color w:val="auto"/>
          <w:szCs w:val="21"/>
          <w:highlight w:val="none"/>
        </w:rPr>
        <w:t xml:space="preserve">14.6 </w:t>
      </w:r>
      <w:r>
        <w:rPr>
          <w:rFonts w:hint="eastAsia" w:cs="宋体" w:asciiTheme="minorEastAsia" w:hAnsiTheme="minorEastAsia" w:eastAsiaTheme="minorEastAsia"/>
          <w:b/>
          <w:color w:val="auto"/>
          <w:szCs w:val="21"/>
          <w:highlight w:val="none"/>
        </w:rPr>
        <w:t>质量保证金</w:t>
      </w:r>
    </w:p>
    <w:p w14:paraId="6285D91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关于是否扣留质量保证金的约定：</w:t>
      </w:r>
      <w:r>
        <w:rPr>
          <w:rFonts w:hint="eastAsia" w:cs="宋体" w:asciiTheme="minorEastAsia" w:hAnsiTheme="minorEastAsia" w:eastAsiaTheme="minorEastAsia"/>
          <w:color w:val="auto"/>
          <w:szCs w:val="21"/>
          <w:highlight w:val="none"/>
          <w:u w:val="single"/>
        </w:rPr>
        <w:t>承包人就暂估价工程与分包人承担连带责任，本工程质量保证金为合同结算金额的</w:t>
      </w:r>
      <w:r>
        <w:rPr>
          <w:rFonts w:cs="宋体" w:asciiTheme="minorEastAsia" w:hAnsiTheme="minorEastAsia" w:eastAsiaTheme="minorEastAsia"/>
          <w:color w:val="auto"/>
          <w:szCs w:val="21"/>
          <w:highlight w:val="none"/>
          <w:u w:val="single"/>
        </w:rPr>
        <w:t>3%。工程保修期、质量保证金返还等详见附件《工程质量保修书》，其中地基基础工程和主体结构工程为设计文件规定的该工程合理使用年限。在工程项目竣工前，承包人按专用合同条款第4.9条提供履约担保的，发包人不得同时预留工程质量保证金。</w:t>
      </w:r>
    </w:p>
    <w:p w14:paraId="5F2D993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14.6.1 </w:t>
      </w:r>
      <w:r>
        <w:rPr>
          <w:rFonts w:hint="eastAsia" w:cs="宋体" w:asciiTheme="minorEastAsia" w:hAnsiTheme="minorEastAsia" w:eastAsiaTheme="minorEastAsia"/>
          <w:color w:val="auto"/>
          <w:szCs w:val="21"/>
          <w:highlight w:val="none"/>
        </w:rPr>
        <w:t>承包人提供质量保证金的方式</w:t>
      </w:r>
    </w:p>
    <w:p w14:paraId="764FC8C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质量保证金采用以下第</w:t>
      </w:r>
      <w:r>
        <w:rPr>
          <w:rFonts w:cs="宋体" w:asciiTheme="minorEastAsia" w:hAnsiTheme="minorEastAsia" w:eastAsiaTheme="minorEastAsia"/>
          <w:color w:val="auto"/>
          <w:szCs w:val="21"/>
          <w:highlight w:val="none"/>
          <w:u w:val="single"/>
        </w:rPr>
        <w:t xml:space="preserve">  2  </w:t>
      </w:r>
      <w:r>
        <w:rPr>
          <w:rFonts w:hint="eastAsia" w:cs="宋体" w:asciiTheme="minorEastAsia" w:hAnsiTheme="minorEastAsia" w:eastAsiaTheme="minorEastAsia"/>
          <w:color w:val="auto"/>
          <w:szCs w:val="21"/>
          <w:highlight w:val="none"/>
        </w:rPr>
        <w:t>种方式：</w:t>
      </w:r>
    </w:p>
    <w:p w14:paraId="16B98C8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 </w:t>
      </w:r>
      <w:r>
        <w:rPr>
          <w:rFonts w:hint="eastAsia" w:cs="宋体" w:asciiTheme="minorEastAsia" w:hAnsiTheme="minorEastAsia" w:eastAsiaTheme="minorEastAsia"/>
          <w:color w:val="auto"/>
          <w:szCs w:val="21"/>
          <w:highlight w:val="none"/>
        </w:rPr>
        <w:t>工程质量保证担保，保证金额为：</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6078338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(2) </w:t>
      </w:r>
      <w:r>
        <w:rPr>
          <w:rFonts w:cs="宋体" w:asciiTheme="minorEastAsia" w:hAnsiTheme="minorEastAsia" w:eastAsiaTheme="minorEastAsia"/>
          <w:color w:val="auto"/>
          <w:szCs w:val="21"/>
          <w:highlight w:val="none"/>
          <w:u w:val="single"/>
        </w:rPr>
        <w:t xml:space="preserve">   3  </w:t>
      </w:r>
      <w:r>
        <w:rPr>
          <w:rFonts w:cs="宋体" w:asciiTheme="minorEastAsia" w:hAnsiTheme="minorEastAsia" w:eastAsiaTheme="minorEastAsia"/>
          <w:color w:val="auto"/>
          <w:szCs w:val="21"/>
          <w:highlight w:val="none"/>
        </w:rPr>
        <w:t>%的结算款；</w:t>
      </w:r>
    </w:p>
    <w:p w14:paraId="26C28B3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 </w:t>
      </w:r>
      <w:r>
        <w:rPr>
          <w:rFonts w:hint="eastAsia" w:cs="宋体" w:asciiTheme="minorEastAsia" w:hAnsiTheme="minorEastAsia" w:eastAsiaTheme="minorEastAsia"/>
          <w:color w:val="auto"/>
          <w:szCs w:val="21"/>
          <w:highlight w:val="none"/>
        </w:rPr>
        <w:t>其他方式：</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3C8F79B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14.6.2 </w:t>
      </w:r>
      <w:r>
        <w:rPr>
          <w:rFonts w:hint="eastAsia" w:cs="宋体" w:asciiTheme="minorEastAsia" w:hAnsiTheme="minorEastAsia" w:eastAsiaTheme="minorEastAsia"/>
          <w:color w:val="auto"/>
          <w:szCs w:val="21"/>
          <w:highlight w:val="none"/>
        </w:rPr>
        <w:t>质量保证金的预留</w:t>
      </w:r>
    </w:p>
    <w:p w14:paraId="159A9FD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质量保证金的预留采取以下第</w:t>
      </w:r>
      <w:r>
        <w:rPr>
          <w:rFonts w:cs="宋体" w:asciiTheme="minorEastAsia" w:hAnsiTheme="minorEastAsia" w:eastAsiaTheme="minorEastAsia"/>
          <w:color w:val="auto"/>
          <w:szCs w:val="21"/>
          <w:highlight w:val="none"/>
          <w:u w:val="single"/>
        </w:rPr>
        <w:t xml:space="preserve">2  </w:t>
      </w:r>
      <w:r>
        <w:rPr>
          <w:rFonts w:hint="eastAsia" w:cs="宋体" w:asciiTheme="minorEastAsia" w:hAnsiTheme="minorEastAsia" w:eastAsiaTheme="minorEastAsia"/>
          <w:color w:val="auto"/>
          <w:szCs w:val="21"/>
          <w:highlight w:val="none"/>
        </w:rPr>
        <w:t>种方式：</w:t>
      </w:r>
    </w:p>
    <w:p w14:paraId="3DF32FC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kern w:val="0"/>
          <w:szCs w:val="21"/>
          <w:highlight w:val="none"/>
        </w:rPr>
        <w:t>在支付工程进度款时逐次</w:t>
      </w:r>
      <w:r>
        <w:rPr>
          <w:rFonts w:hint="eastAsia" w:cs="宋体" w:asciiTheme="minorEastAsia" w:hAnsiTheme="minorEastAsia" w:eastAsiaTheme="minorEastAsia"/>
          <w:color w:val="auto"/>
          <w:szCs w:val="21"/>
          <w:highlight w:val="none"/>
        </w:rPr>
        <w:t>预</w:t>
      </w:r>
      <w:r>
        <w:rPr>
          <w:rFonts w:hint="eastAsia" w:cs="宋体" w:asciiTheme="minorEastAsia" w:hAnsiTheme="minorEastAsia" w:eastAsiaTheme="minorEastAsia"/>
          <w:color w:val="auto"/>
          <w:kern w:val="0"/>
          <w:szCs w:val="21"/>
          <w:highlight w:val="none"/>
        </w:rPr>
        <w:t>留，在此情形下，质量保证金的计算基数不包括预付款的支付、扣回以及价格调整的金额</w:t>
      </w:r>
      <w:r>
        <w:rPr>
          <w:rFonts w:hint="eastAsia" w:cs="宋体" w:asciiTheme="minorEastAsia" w:hAnsiTheme="minorEastAsia" w:eastAsiaTheme="minorEastAsia"/>
          <w:color w:val="auto"/>
          <w:szCs w:val="21"/>
          <w:highlight w:val="none"/>
        </w:rPr>
        <w:t>。</w:t>
      </w:r>
    </w:p>
    <w:p w14:paraId="6AD1F13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2）工程竣工结算时一次性预留质量保证金。</w:t>
      </w:r>
    </w:p>
    <w:p w14:paraId="22D7DFA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 xml:space="preserve">3）其他预留方式: </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06DF9CB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关于质量保证金的补充约定：</w:t>
      </w:r>
      <w:r>
        <w:rPr>
          <w:rFonts w:hint="eastAsia" w:cs="宋体" w:asciiTheme="minorEastAsia" w:hAnsiTheme="minorEastAsia" w:eastAsiaTheme="minorEastAsia"/>
          <w:color w:val="auto"/>
          <w:kern w:val="0"/>
          <w:szCs w:val="21"/>
          <w:highlight w:val="none"/>
          <w:u w:val="single"/>
        </w:rPr>
        <w:t>质量保证金返还需发包人签字确认</w:t>
      </w:r>
      <w:r>
        <w:rPr>
          <w:rFonts w:hint="eastAsia" w:cs="宋体" w:asciiTheme="minorEastAsia" w:hAnsiTheme="minorEastAsia" w:eastAsiaTheme="minorEastAsia"/>
          <w:color w:val="auto"/>
          <w:szCs w:val="21"/>
          <w:highlight w:val="none"/>
        </w:rPr>
        <w:t>。</w:t>
      </w:r>
    </w:p>
    <w:p w14:paraId="36C65036">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14.7 </w:t>
      </w:r>
      <w:r>
        <w:rPr>
          <w:rFonts w:hint="eastAsia" w:cs="宋体" w:asciiTheme="minorEastAsia" w:hAnsiTheme="minorEastAsia" w:eastAsiaTheme="minorEastAsia"/>
          <w:b/>
          <w:color w:val="auto"/>
          <w:szCs w:val="21"/>
          <w:highlight w:val="none"/>
        </w:rPr>
        <w:t>最终结清</w:t>
      </w:r>
    </w:p>
    <w:p w14:paraId="1638800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14.7.1 </w:t>
      </w:r>
      <w:r>
        <w:rPr>
          <w:rFonts w:hint="eastAsia" w:cs="宋体" w:asciiTheme="minorEastAsia" w:hAnsiTheme="minorEastAsia" w:eastAsiaTheme="minorEastAsia"/>
          <w:color w:val="auto"/>
          <w:szCs w:val="21"/>
          <w:highlight w:val="none"/>
        </w:rPr>
        <w:t>最终结清申请单</w:t>
      </w:r>
    </w:p>
    <w:p w14:paraId="478F916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当事人双方关于最终结清申请的其他约定：</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w:t>
      </w:r>
    </w:p>
    <w:p w14:paraId="3810190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14.7.2 </w:t>
      </w:r>
      <w:r>
        <w:rPr>
          <w:rFonts w:hint="eastAsia" w:cs="宋体" w:asciiTheme="minorEastAsia" w:hAnsiTheme="minorEastAsia" w:eastAsiaTheme="minorEastAsia"/>
          <w:color w:val="auto"/>
          <w:szCs w:val="21"/>
          <w:highlight w:val="none"/>
        </w:rPr>
        <w:t>最终结清证书和支付</w:t>
      </w:r>
    </w:p>
    <w:p w14:paraId="4C29C0F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当事人双方关于最终结清支付的其他约定：</w:t>
      </w:r>
      <w:r>
        <w:rPr>
          <w:rFonts w:hint="eastAsia" w:cs="宋体" w:asciiTheme="minorEastAsia" w:hAnsiTheme="minorEastAsia" w:eastAsiaTheme="minorEastAsia"/>
          <w:color w:val="auto"/>
          <w:szCs w:val="21"/>
          <w:highlight w:val="none"/>
          <w:u w:val="single"/>
        </w:rPr>
        <w:t>执行通用条款</w:t>
      </w:r>
      <w:r>
        <w:rPr>
          <w:rFonts w:hint="eastAsia" w:cs="宋体" w:asciiTheme="minorEastAsia" w:hAnsiTheme="minorEastAsia" w:eastAsiaTheme="minorEastAsia"/>
          <w:color w:val="auto"/>
          <w:szCs w:val="21"/>
          <w:highlight w:val="none"/>
        </w:rPr>
        <w:t>。</w:t>
      </w:r>
    </w:p>
    <w:p w14:paraId="1808A9C5">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20" w:name="_Toc54862346"/>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15条 </w:t>
      </w:r>
      <w:r>
        <w:rPr>
          <w:rFonts w:hint="eastAsia" w:cs="宋体" w:asciiTheme="minorEastAsia" w:hAnsiTheme="minorEastAsia" w:eastAsiaTheme="minorEastAsia"/>
          <w:b/>
          <w:color w:val="auto"/>
          <w:szCs w:val="21"/>
          <w:highlight w:val="none"/>
        </w:rPr>
        <w:t>违约</w:t>
      </w:r>
      <w:bookmarkEnd w:id="720"/>
    </w:p>
    <w:p w14:paraId="6589525D">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15.1 </w:t>
      </w:r>
      <w:r>
        <w:rPr>
          <w:rFonts w:hint="eastAsia" w:cs="宋体" w:asciiTheme="minorEastAsia" w:hAnsiTheme="minorEastAsia" w:eastAsiaTheme="minorEastAsia"/>
          <w:b/>
          <w:color w:val="auto"/>
          <w:szCs w:val="21"/>
          <w:highlight w:val="none"/>
        </w:rPr>
        <w:t>发包人违约</w:t>
      </w:r>
    </w:p>
    <w:p w14:paraId="7FC829F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15.1.1 </w:t>
      </w:r>
      <w:r>
        <w:rPr>
          <w:rFonts w:hint="eastAsia" w:cs="宋体" w:asciiTheme="minorEastAsia" w:hAnsiTheme="minorEastAsia" w:eastAsiaTheme="minorEastAsia"/>
          <w:color w:val="auto"/>
          <w:szCs w:val="21"/>
          <w:highlight w:val="none"/>
        </w:rPr>
        <w:t>发包人违约的情形</w:t>
      </w:r>
    </w:p>
    <w:p w14:paraId="596E958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发包人违约的其他情形：</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15BAB10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15.1.3 </w:t>
      </w:r>
      <w:r>
        <w:rPr>
          <w:rFonts w:hint="eastAsia" w:cs="宋体" w:asciiTheme="minorEastAsia" w:hAnsiTheme="minorEastAsia" w:eastAsiaTheme="minorEastAsia"/>
          <w:color w:val="auto"/>
          <w:szCs w:val="21"/>
          <w:highlight w:val="none"/>
        </w:rPr>
        <w:t>发包人违约的责任</w:t>
      </w:r>
    </w:p>
    <w:p w14:paraId="1BC7622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发包人违约应承担因其违约给承包人增加的费用和（或）延误的工期，双方商定顺延工期，工程价款以最终结算为准。</w:t>
      </w:r>
    </w:p>
    <w:p w14:paraId="06EF7CE4">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15.2 </w:t>
      </w:r>
      <w:r>
        <w:rPr>
          <w:rFonts w:hint="eastAsia" w:cs="宋体" w:asciiTheme="minorEastAsia" w:hAnsiTheme="minorEastAsia" w:eastAsiaTheme="minorEastAsia"/>
          <w:b/>
          <w:color w:val="auto"/>
          <w:szCs w:val="21"/>
          <w:highlight w:val="none"/>
        </w:rPr>
        <w:t>承包人违约</w:t>
      </w:r>
    </w:p>
    <w:p w14:paraId="119EA24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15.2.1 </w:t>
      </w:r>
      <w:r>
        <w:rPr>
          <w:rFonts w:hint="eastAsia" w:cs="宋体" w:asciiTheme="minorEastAsia" w:hAnsiTheme="minorEastAsia" w:eastAsiaTheme="minorEastAsia"/>
          <w:color w:val="auto"/>
          <w:szCs w:val="21"/>
          <w:highlight w:val="none"/>
        </w:rPr>
        <w:t>承包人违约的情形</w:t>
      </w:r>
    </w:p>
    <w:p w14:paraId="2F1A871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承包人违约的其他情形：</w:t>
      </w:r>
    </w:p>
    <w:p w14:paraId="4E89A47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分包人的任何违约行为或疏忽导致工程损害或给发包人造成其他损失，承包人承担连带责任。</w:t>
      </w:r>
    </w:p>
    <w:p w14:paraId="7983F0C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如遇承包人违约，承包人除应赔偿因其违约给发包人造成的一切损失外，发包人有权视承包人违约情节严重程度（是否达到解除合同的程度），要求承包人赔偿给发包人造成的损失、暂停支付工程款、相应缩减承包人承包范围和工程量、直至解除合同、清除其出场等。发包人解除合同后，按双方约定的附件《退场协议》约定退场。</w:t>
      </w:r>
    </w:p>
    <w:p w14:paraId="6D25929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zCs w:val="21"/>
          <w:highlight w:val="none"/>
          <w:u w:val="single"/>
        </w:rPr>
        <w:t>承包人在材料、设备采购供应及发包人另行分包工程之中不允许向供应商及分包单位索取好处费，如发现一次，承包人应向发包人支付索取好处费的违约金（违约金</w:t>
      </w:r>
      <w:r>
        <w:rPr>
          <w:rFonts w:cs="宋体" w:asciiTheme="minorEastAsia" w:hAnsiTheme="minorEastAsia" w:eastAsiaTheme="minorEastAsia"/>
          <w:color w:val="auto"/>
          <w:szCs w:val="21"/>
          <w:highlight w:val="none"/>
          <w:u w:val="single"/>
        </w:rPr>
        <w:t>=承包人索取的好处费×5+50000元），并双倍退回向供应商及分包单位索取的好处费，发包人有权从承包人的工程款中直接扣除前述违约金及费用。</w:t>
      </w:r>
    </w:p>
    <w:p w14:paraId="1100C92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w:t>
      </w:r>
      <w:r>
        <w:rPr>
          <w:rFonts w:hint="eastAsia" w:cs="宋体" w:asciiTheme="minorEastAsia" w:hAnsiTheme="minorEastAsia" w:eastAsiaTheme="minorEastAsia"/>
          <w:color w:val="auto"/>
          <w:szCs w:val="21"/>
          <w:highlight w:val="none"/>
          <w:u w:val="single"/>
        </w:rPr>
        <w:t>如果承包人进行专业分包，必须征得发包人书面同意，否则发包人有权解除合同，要求承包人赔偿全部损失并按照附件《退场协议》执行。</w:t>
      </w:r>
    </w:p>
    <w:p w14:paraId="6B42938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w:t>
      </w:r>
      <w:r>
        <w:rPr>
          <w:rFonts w:hint="eastAsia" w:cs="宋体" w:asciiTheme="minorEastAsia" w:hAnsiTheme="minorEastAsia" w:eastAsiaTheme="minorEastAsia"/>
          <w:color w:val="auto"/>
          <w:szCs w:val="21"/>
          <w:highlight w:val="none"/>
          <w:u w:val="single"/>
        </w:rPr>
        <w:t>承包人不得擅自将其承包的全部工程转包给他人，也不得将其承包的全部工程肢解以后以分包的名义分别转包给他人，否则发包人有权解除合同，要求承包人赔偿全部损失并按照附件《退场协议》执行。</w:t>
      </w:r>
    </w:p>
    <w:p w14:paraId="048431F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15.2.3 </w:t>
      </w:r>
      <w:r>
        <w:rPr>
          <w:rFonts w:hint="eastAsia" w:cs="宋体" w:asciiTheme="minorEastAsia" w:hAnsiTheme="minorEastAsia" w:eastAsiaTheme="minorEastAsia"/>
          <w:color w:val="auto"/>
          <w:szCs w:val="21"/>
          <w:highlight w:val="none"/>
        </w:rPr>
        <w:t>承包人违约的责任</w:t>
      </w:r>
    </w:p>
    <w:p w14:paraId="6224155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承包人违约责任的承担方式和计算方法：</w:t>
      </w:r>
    </w:p>
    <w:p w14:paraId="2386871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工期控制时间表详见附件，各节点工期严格按附件约定工期执行（各项验收完成时间以验收会议召开的通过日期为准），每一节点若推后一天按每天5</w:t>
      </w:r>
      <w:r>
        <w:rPr>
          <w:rFonts w:cs="宋体" w:asciiTheme="minorEastAsia" w:hAnsiTheme="minorEastAsia" w:eastAsiaTheme="minorEastAsia"/>
          <w:color w:val="auto"/>
          <w:szCs w:val="21"/>
          <w:highlight w:val="none"/>
          <w:u w:val="single"/>
        </w:rPr>
        <w:t>000元进行扣款。总工期每提前或推后一天,按结算价的万分之二对等奖罚（按单体工期分别考核）。</w:t>
      </w:r>
    </w:p>
    <w:p w14:paraId="72DD63E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本合同通用条款</w:t>
      </w:r>
      <w:r>
        <w:rPr>
          <w:rFonts w:cs="宋体" w:asciiTheme="minorEastAsia" w:hAnsiTheme="minorEastAsia" w:eastAsiaTheme="minorEastAsia"/>
          <w:color w:val="auto"/>
          <w:szCs w:val="21"/>
          <w:highlight w:val="none"/>
          <w:u w:val="single"/>
        </w:rPr>
        <w:t>15.2约定承包人违约应承担的违约责任：若在施工过程中某分部分项工程或工序验收达不到合格，发包人有权要求承包人停工整改至合格（整改费用承包人自行承担），若承包人在发包人项目部要求时间内拒不整改或整改后仍不合格的，每次罚款</w:t>
      </w:r>
      <w:r>
        <w:rPr>
          <w:rFonts w:hint="eastAsia" w:cs="宋体" w:asciiTheme="minorEastAsia" w:hAnsiTheme="minorEastAsia" w:eastAsiaTheme="minorEastAsia"/>
          <w:color w:val="auto"/>
          <w:szCs w:val="21"/>
          <w:highlight w:val="none"/>
          <w:u w:val="single"/>
        </w:rPr>
        <w:t>5</w:t>
      </w:r>
      <w:r>
        <w:rPr>
          <w:rFonts w:cs="宋体" w:asciiTheme="minorEastAsia" w:hAnsiTheme="minorEastAsia" w:eastAsiaTheme="minorEastAsia"/>
          <w:color w:val="auto"/>
          <w:szCs w:val="21"/>
          <w:highlight w:val="none"/>
          <w:u w:val="single"/>
        </w:rPr>
        <w:t>000元在当月工程款中扣除，同时当月工程款暂停支付直至整改合格。</w:t>
      </w:r>
    </w:p>
    <w:p w14:paraId="24E32CA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zCs w:val="21"/>
          <w:highlight w:val="none"/>
          <w:u w:val="single"/>
        </w:rPr>
        <w:t>若工程质量达不到合格，承包人应按要求整改至合格（整改费用承包人自行承担），否则承包人应向发包人支付中标总价</w:t>
      </w:r>
      <w:r>
        <w:rPr>
          <w:rFonts w:cs="宋体" w:asciiTheme="minorEastAsia" w:hAnsiTheme="minorEastAsia" w:eastAsiaTheme="minorEastAsia"/>
          <w:color w:val="auto"/>
          <w:szCs w:val="21"/>
          <w:highlight w:val="none"/>
          <w:u w:val="single"/>
        </w:rPr>
        <w:t>2%的违约金。</w:t>
      </w:r>
    </w:p>
    <w:p w14:paraId="378C604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（4）</w:t>
      </w:r>
      <w:r>
        <w:rPr>
          <w:rFonts w:hint="eastAsia" w:cs="宋体" w:asciiTheme="minorEastAsia" w:hAnsiTheme="minorEastAsia" w:eastAsiaTheme="minorEastAsia"/>
          <w:color w:val="auto"/>
          <w:szCs w:val="21"/>
          <w:highlight w:val="none"/>
          <w:u w:val="single"/>
        </w:rPr>
        <w:t>发包人有权将承包人未按计划完成或因承包人劳动力不足影响施工进度的工作进行调整，因以上原因承包人不能按计划完成的工作委托其他单位施工的，发包人将按完成此项工作的其他单位结算价格（如无此价格则按照市场价）的</w:t>
      </w:r>
      <w:r>
        <w:rPr>
          <w:rFonts w:hint="eastAsia" w:cs="宋体" w:asciiTheme="minorEastAsia" w:hAnsiTheme="minorEastAsia" w:eastAsiaTheme="minorEastAsia"/>
          <w:color w:val="auto"/>
          <w:szCs w:val="21"/>
          <w:highlight w:val="none"/>
          <w:u w:val="single"/>
          <w:lang w:val="en-US" w:eastAsia="zh-CN"/>
        </w:rPr>
        <w:t>2</w:t>
      </w:r>
      <w:r>
        <w:rPr>
          <w:rFonts w:cs="宋体" w:asciiTheme="minorEastAsia" w:hAnsiTheme="minorEastAsia" w:eastAsiaTheme="minorEastAsia"/>
          <w:color w:val="auto"/>
          <w:szCs w:val="21"/>
          <w:highlight w:val="none"/>
          <w:u w:val="single"/>
        </w:rPr>
        <w:t>倍直接从中标单位的合同价款中扣除。</w:t>
      </w:r>
    </w:p>
    <w:p w14:paraId="73F4CD3F">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21" w:name="_Toc54862347"/>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16条 </w:t>
      </w:r>
      <w:r>
        <w:rPr>
          <w:rFonts w:hint="eastAsia" w:cs="宋体" w:asciiTheme="minorEastAsia" w:hAnsiTheme="minorEastAsia" w:eastAsiaTheme="minorEastAsia"/>
          <w:b/>
          <w:color w:val="auto"/>
          <w:szCs w:val="21"/>
          <w:highlight w:val="none"/>
        </w:rPr>
        <w:t>合同解除</w:t>
      </w:r>
      <w:bookmarkEnd w:id="721"/>
    </w:p>
    <w:p w14:paraId="07889548">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16.1 </w:t>
      </w:r>
      <w:r>
        <w:rPr>
          <w:rFonts w:hint="eastAsia" w:cs="宋体" w:asciiTheme="minorEastAsia" w:hAnsiTheme="minorEastAsia" w:eastAsiaTheme="minorEastAsia"/>
          <w:b/>
          <w:color w:val="auto"/>
          <w:szCs w:val="21"/>
          <w:highlight w:val="none"/>
        </w:rPr>
        <w:t>由发包人解除合同</w:t>
      </w:r>
    </w:p>
    <w:p w14:paraId="64A4380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16.1.1 </w:t>
      </w:r>
      <w:r>
        <w:rPr>
          <w:rFonts w:hint="eastAsia" w:cs="宋体" w:asciiTheme="minorEastAsia" w:hAnsiTheme="minorEastAsia" w:eastAsiaTheme="minorEastAsia"/>
          <w:color w:val="auto"/>
          <w:szCs w:val="21"/>
          <w:highlight w:val="none"/>
        </w:rPr>
        <w:t>因承包人违约解除合同</w:t>
      </w:r>
    </w:p>
    <w:p w14:paraId="1B43CBA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w:t>
      </w:r>
      <w:r>
        <w:rPr>
          <w:rFonts w:cs="宋体" w:asciiTheme="minorEastAsia" w:hAnsiTheme="minorEastAsia" w:eastAsiaTheme="minorEastAsia"/>
          <w:color w:val="auto"/>
          <w:kern w:val="0"/>
          <w:szCs w:val="21"/>
          <w:highlight w:val="none"/>
        </w:rPr>
        <w:t>1）</w:t>
      </w:r>
      <w:r>
        <w:rPr>
          <w:rFonts w:hint="eastAsia" w:cs="宋体" w:asciiTheme="minorEastAsia" w:hAnsiTheme="minorEastAsia" w:eastAsiaTheme="minorEastAsia"/>
          <w:color w:val="auto"/>
          <w:kern w:val="0"/>
          <w:szCs w:val="21"/>
          <w:highlight w:val="none"/>
          <w:u w:val="single"/>
        </w:rPr>
        <w:t>合同解除后，承包人应妥善做好已完工程和已购材料、设备的保护和移交工作，按发包人要求将自有机械设备和人员撤出施工场地。</w:t>
      </w:r>
    </w:p>
    <w:p w14:paraId="43653281">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u w:val="single"/>
        </w:rPr>
      </w:pPr>
      <w:r>
        <w:rPr>
          <w:rFonts w:cs="宋体" w:asciiTheme="minorEastAsia" w:hAnsiTheme="minorEastAsia" w:eastAsiaTheme="minorEastAsia"/>
          <w:color w:val="auto"/>
          <w:kern w:val="0"/>
          <w:szCs w:val="21"/>
          <w:highlight w:val="none"/>
        </w:rPr>
        <w:t>（2）</w:t>
      </w:r>
      <w:r>
        <w:rPr>
          <w:rFonts w:hint="eastAsia" w:cs="宋体" w:asciiTheme="minorEastAsia" w:hAnsiTheme="minorEastAsia" w:eastAsiaTheme="minorEastAsia"/>
          <w:color w:val="auto"/>
          <w:kern w:val="0"/>
          <w:szCs w:val="21"/>
          <w:highlight w:val="none"/>
          <w:u w:val="single"/>
        </w:rPr>
        <w:t>合同解除后，不影响双方在合同中约定的结算和清理条款的效力。</w:t>
      </w:r>
    </w:p>
    <w:p w14:paraId="0BBDFBF0">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u w:val="single"/>
        </w:rPr>
      </w:pPr>
      <w:r>
        <w:rPr>
          <w:rFonts w:hint="eastAsia" w:cs="宋体" w:asciiTheme="minorEastAsia" w:hAnsiTheme="minorEastAsia" w:eastAsiaTheme="minorEastAsia"/>
          <w:color w:val="auto"/>
          <w:kern w:val="0"/>
          <w:szCs w:val="21"/>
          <w:highlight w:val="none"/>
        </w:rPr>
        <w:t>（</w:t>
      </w:r>
      <w:r>
        <w:rPr>
          <w:rFonts w:cs="宋体" w:asciiTheme="minorEastAsia" w:hAnsiTheme="minorEastAsia" w:eastAsiaTheme="minorEastAsia"/>
          <w:color w:val="auto"/>
          <w:kern w:val="0"/>
          <w:szCs w:val="21"/>
          <w:highlight w:val="none"/>
        </w:rPr>
        <w:t>3）</w:t>
      </w:r>
      <w:r>
        <w:rPr>
          <w:rFonts w:hint="eastAsia" w:cs="宋体" w:asciiTheme="minorEastAsia" w:hAnsiTheme="minorEastAsia" w:eastAsiaTheme="minorEastAsia"/>
          <w:color w:val="auto"/>
          <w:kern w:val="0"/>
          <w:szCs w:val="21"/>
          <w:highlight w:val="none"/>
          <w:u w:val="single"/>
        </w:rPr>
        <w:t>发包人继续使用承包人在施工现场的材料、设备、临时工程、承包人文件和由承包人或以其名义编制的其他文件的费用承担方式：由承包人承担。</w:t>
      </w:r>
    </w:p>
    <w:p w14:paraId="5F6BD503">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16.2 </w:t>
      </w:r>
      <w:r>
        <w:rPr>
          <w:rFonts w:hint="eastAsia" w:cs="宋体" w:asciiTheme="minorEastAsia" w:hAnsiTheme="minorEastAsia" w:eastAsiaTheme="minorEastAsia"/>
          <w:b/>
          <w:color w:val="auto"/>
          <w:szCs w:val="21"/>
          <w:highlight w:val="none"/>
        </w:rPr>
        <w:t>由承包人解除合同</w:t>
      </w:r>
    </w:p>
    <w:p w14:paraId="65F7828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16.2.1 </w:t>
      </w:r>
      <w:r>
        <w:rPr>
          <w:rFonts w:hint="eastAsia" w:cs="宋体" w:asciiTheme="minorEastAsia" w:hAnsiTheme="minorEastAsia" w:eastAsiaTheme="minorEastAsia"/>
          <w:color w:val="auto"/>
          <w:szCs w:val="21"/>
          <w:highlight w:val="none"/>
        </w:rPr>
        <w:t>因发包人违约解除合同</w:t>
      </w:r>
    </w:p>
    <w:p w14:paraId="0E025510">
      <w:pPr>
        <w:adjustRightInd w:val="0"/>
        <w:snapToGrid w:val="0"/>
        <w:spacing w:line="500" w:lineRule="exact"/>
        <w:ind w:firstLine="420" w:firstLineChars="200"/>
        <w:outlineLvl w:val="9"/>
        <w:rPr>
          <w:rFonts w:cs="宋体" w:asciiTheme="minorEastAsia" w:hAnsiTheme="minorEastAsia" w:eastAsiaTheme="minorEastAsia"/>
          <w:color w:val="auto"/>
          <w:kern w:val="0"/>
          <w:szCs w:val="21"/>
          <w:highlight w:val="none"/>
          <w:u w:val="single"/>
        </w:rPr>
      </w:pPr>
      <w:bookmarkStart w:id="722" w:name="_Toc54862348"/>
      <w:r>
        <w:rPr>
          <w:rFonts w:hint="eastAsia" w:cs="宋体" w:asciiTheme="minorEastAsia" w:hAnsiTheme="minorEastAsia" w:eastAsiaTheme="minorEastAsia"/>
          <w:color w:val="auto"/>
          <w:kern w:val="0"/>
          <w:szCs w:val="21"/>
          <w:highlight w:val="none"/>
          <w:u w:val="single"/>
        </w:rPr>
        <w:t>发包人按</w:t>
      </w:r>
      <w:r>
        <w:rPr>
          <w:rFonts w:cs="宋体" w:asciiTheme="minorEastAsia" w:hAnsiTheme="minorEastAsia" w:eastAsiaTheme="minorEastAsia"/>
          <w:color w:val="auto"/>
          <w:kern w:val="0"/>
          <w:szCs w:val="21"/>
          <w:highlight w:val="none"/>
          <w:u w:val="single"/>
        </w:rPr>
        <w:t>15.1.1项〔发包人违约的情形〕约定暂停施工满120</w:t>
      </w:r>
      <w:r>
        <w:rPr>
          <w:rFonts w:hint="eastAsia" w:cs="宋体" w:asciiTheme="minorEastAsia" w:hAnsiTheme="minorEastAsia" w:eastAsiaTheme="minorEastAsia"/>
          <w:color w:val="auto"/>
          <w:kern w:val="0"/>
          <w:szCs w:val="21"/>
          <w:highlight w:val="none"/>
          <w:u w:val="single"/>
        </w:rPr>
        <w:t>天后发包人仍不纠正其违约行为并致使合同目的不能实现的，承包人有权解除合同</w:t>
      </w:r>
      <w:bookmarkEnd w:id="722"/>
      <w:r>
        <w:rPr>
          <w:rFonts w:hint="eastAsia" w:cs="宋体" w:asciiTheme="minorEastAsia" w:hAnsiTheme="minorEastAsia" w:eastAsiaTheme="minorEastAsia"/>
          <w:color w:val="auto"/>
          <w:kern w:val="0"/>
          <w:szCs w:val="21"/>
          <w:highlight w:val="none"/>
          <w:u w:val="single"/>
        </w:rPr>
        <w:t>。</w:t>
      </w:r>
    </w:p>
    <w:p w14:paraId="55400624">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17.6 </w:t>
      </w:r>
      <w:r>
        <w:rPr>
          <w:rFonts w:hint="eastAsia" w:cs="宋体" w:asciiTheme="minorEastAsia" w:hAnsiTheme="minorEastAsia" w:eastAsiaTheme="minorEastAsia"/>
          <w:b/>
          <w:color w:val="auto"/>
          <w:szCs w:val="21"/>
          <w:highlight w:val="none"/>
        </w:rPr>
        <w:t>因不可抗力解除合同</w:t>
      </w:r>
    </w:p>
    <w:p w14:paraId="389C9BE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合同解除后，发包人应当在商定或确定发包人应支付款项后的</w:t>
      </w:r>
      <w:r>
        <w:rPr>
          <w:rFonts w:cs="宋体" w:asciiTheme="minorEastAsia" w:hAnsiTheme="minorEastAsia" w:eastAsiaTheme="minorEastAsia"/>
          <w:color w:val="auto"/>
          <w:szCs w:val="21"/>
          <w:highlight w:val="none"/>
          <w:u w:val="single"/>
        </w:rPr>
        <w:t xml:space="preserve"> 180</w:t>
      </w:r>
      <w:r>
        <w:rPr>
          <w:rFonts w:hint="eastAsia" w:cs="宋体" w:asciiTheme="minorEastAsia" w:hAnsiTheme="minorEastAsia" w:eastAsiaTheme="minorEastAsia"/>
          <w:color w:val="auto"/>
          <w:szCs w:val="21"/>
          <w:highlight w:val="none"/>
        </w:rPr>
        <w:t>天内完成款项的支付。</w:t>
      </w:r>
    </w:p>
    <w:p w14:paraId="1586F151">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23" w:name="_Toc4784276"/>
      <w:bookmarkEnd w:id="723"/>
      <w:bookmarkStart w:id="724" w:name="_Toc4784277"/>
      <w:bookmarkEnd w:id="724"/>
      <w:bookmarkStart w:id="725" w:name="_Toc54862349"/>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18条 </w:t>
      </w:r>
      <w:r>
        <w:rPr>
          <w:rFonts w:hint="eastAsia" w:cs="宋体" w:asciiTheme="minorEastAsia" w:hAnsiTheme="minorEastAsia" w:eastAsiaTheme="minorEastAsia"/>
          <w:b/>
          <w:color w:val="auto"/>
          <w:szCs w:val="21"/>
          <w:highlight w:val="none"/>
        </w:rPr>
        <w:t>保险</w:t>
      </w:r>
      <w:bookmarkEnd w:id="725"/>
    </w:p>
    <w:p w14:paraId="126FC26D">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18.1 </w:t>
      </w:r>
      <w:r>
        <w:rPr>
          <w:rFonts w:hint="eastAsia" w:cs="宋体" w:asciiTheme="minorEastAsia" w:hAnsiTheme="minorEastAsia" w:eastAsiaTheme="minorEastAsia"/>
          <w:b/>
          <w:color w:val="auto"/>
          <w:szCs w:val="21"/>
          <w:highlight w:val="none"/>
        </w:rPr>
        <w:t>设计和工程保险</w:t>
      </w:r>
    </w:p>
    <w:p w14:paraId="75CB5EC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18.1.1 </w:t>
      </w:r>
      <w:r>
        <w:rPr>
          <w:rFonts w:hint="eastAsia" w:cs="宋体" w:asciiTheme="minorEastAsia" w:hAnsiTheme="minorEastAsia" w:eastAsiaTheme="minorEastAsia"/>
          <w:color w:val="auto"/>
          <w:szCs w:val="21"/>
          <w:highlight w:val="none"/>
        </w:rPr>
        <w:t>双方当事人关于设计和工程保险的特别约定：</w:t>
      </w:r>
      <w:r>
        <w:rPr>
          <w:rFonts w:hint="eastAsia" w:cs="宋体" w:asciiTheme="minorEastAsia" w:hAnsiTheme="minorEastAsia" w:eastAsiaTheme="minorEastAsia"/>
          <w:color w:val="auto"/>
          <w:szCs w:val="21"/>
          <w:highlight w:val="none"/>
          <w:u w:val="single"/>
        </w:rPr>
        <w:t>发包人无投保内容。</w:t>
      </w:r>
    </w:p>
    <w:p w14:paraId="4A94F06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rPr>
        <w:t xml:space="preserve">18.1.2 </w:t>
      </w:r>
      <w:r>
        <w:rPr>
          <w:rFonts w:hint="eastAsia" w:cs="宋体" w:asciiTheme="minorEastAsia" w:hAnsiTheme="minorEastAsia" w:eastAsiaTheme="minorEastAsia"/>
          <w:color w:val="auto"/>
          <w:szCs w:val="21"/>
          <w:highlight w:val="none"/>
        </w:rPr>
        <w:t>双方当事人关于第三方责任险的特别约定：</w:t>
      </w:r>
      <w:r>
        <w:rPr>
          <w:rFonts w:hint="eastAsia" w:cs="宋体" w:asciiTheme="minorEastAsia" w:hAnsiTheme="minorEastAsia" w:eastAsiaTheme="minorEastAsia"/>
          <w:color w:val="auto"/>
          <w:szCs w:val="21"/>
          <w:highlight w:val="none"/>
          <w:u w:val="single"/>
        </w:rPr>
        <w:t>承包人购买，发包人不另行支付。</w:t>
      </w:r>
    </w:p>
    <w:p w14:paraId="50A9AFEA">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18.2 </w:t>
      </w:r>
      <w:r>
        <w:rPr>
          <w:rFonts w:hint="eastAsia" w:cs="宋体" w:asciiTheme="minorEastAsia" w:hAnsiTheme="minorEastAsia" w:eastAsiaTheme="minorEastAsia"/>
          <w:b/>
          <w:color w:val="auto"/>
          <w:szCs w:val="21"/>
          <w:highlight w:val="none"/>
        </w:rPr>
        <w:t>工伤和意外伤害保险</w:t>
      </w:r>
    </w:p>
    <w:p w14:paraId="78CA88F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18.2.3 </w:t>
      </w:r>
      <w:r>
        <w:rPr>
          <w:rFonts w:hint="eastAsia" w:cs="宋体" w:asciiTheme="minorEastAsia" w:hAnsiTheme="minorEastAsia" w:eastAsiaTheme="minorEastAsia"/>
          <w:color w:val="auto"/>
          <w:szCs w:val="21"/>
          <w:highlight w:val="none"/>
        </w:rPr>
        <w:t>关于工伤保险和意外伤害保险的特别约定：</w:t>
      </w:r>
      <w:r>
        <w:rPr>
          <w:rFonts w:hint="eastAsia" w:cs="宋体" w:asciiTheme="minorEastAsia" w:hAnsiTheme="minorEastAsia" w:eastAsiaTheme="minorEastAsia"/>
          <w:color w:val="auto"/>
          <w:szCs w:val="21"/>
          <w:highlight w:val="none"/>
          <w:u w:val="single"/>
        </w:rPr>
        <w:t>由承包人承担施工现场的全部人员办理工伤及意外伤害保险并支付保险费用，以上全部人员包括承包人员工以及为履行合同聘请的第三方人员（含农民工）</w:t>
      </w:r>
      <w:r>
        <w:rPr>
          <w:rFonts w:hint="eastAsia" w:cs="宋体" w:asciiTheme="minorEastAsia" w:hAnsiTheme="minorEastAsia" w:eastAsiaTheme="minorEastAsia"/>
          <w:color w:val="auto"/>
          <w:szCs w:val="21"/>
          <w:highlight w:val="none"/>
        </w:rPr>
        <w:t>。</w:t>
      </w:r>
    </w:p>
    <w:p w14:paraId="21C855FE">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18.3 </w:t>
      </w:r>
      <w:r>
        <w:rPr>
          <w:rFonts w:hint="eastAsia" w:cs="宋体" w:asciiTheme="minorEastAsia" w:hAnsiTheme="minorEastAsia" w:eastAsiaTheme="minorEastAsia"/>
          <w:b/>
          <w:color w:val="auto"/>
          <w:szCs w:val="21"/>
          <w:highlight w:val="none"/>
        </w:rPr>
        <w:t>货物保险</w:t>
      </w:r>
    </w:p>
    <w:p w14:paraId="06E803D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关于承包人应为其施工设备、材料、工程设备和临时工程等办理财产保险的特别约定：</w:t>
      </w:r>
      <w:r>
        <w:rPr>
          <w:rFonts w:hint="eastAsia" w:cs="宋体" w:asciiTheme="minorEastAsia" w:hAnsiTheme="minorEastAsia" w:eastAsiaTheme="minorEastAsia"/>
          <w:color w:val="auto"/>
          <w:szCs w:val="21"/>
          <w:highlight w:val="none"/>
          <w:u w:val="single"/>
        </w:rPr>
        <w:t>承包人自行办理，费用自理</w:t>
      </w:r>
      <w:r>
        <w:rPr>
          <w:rFonts w:hint="eastAsia" w:cs="宋体" w:asciiTheme="minorEastAsia" w:hAnsiTheme="minorEastAsia" w:eastAsiaTheme="minorEastAsia"/>
          <w:color w:val="auto"/>
          <w:szCs w:val="21"/>
          <w:highlight w:val="none"/>
        </w:rPr>
        <w:t>。</w:t>
      </w:r>
    </w:p>
    <w:p w14:paraId="28DD8CC7">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18.4 </w:t>
      </w:r>
      <w:r>
        <w:rPr>
          <w:rFonts w:hint="eastAsia" w:cs="宋体" w:asciiTheme="minorEastAsia" w:hAnsiTheme="minorEastAsia" w:eastAsiaTheme="minorEastAsia"/>
          <w:b/>
          <w:color w:val="auto"/>
          <w:szCs w:val="21"/>
          <w:highlight w:val="none"/>
        </w:rPr>
        <w:t>其他保险</w:t>
      </w:r>
    </w:p>
    <w:p w14:paraId="628E9C0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关于其他保险的约定：</w:t>
      </w:r>
      <w:r>
        <w:rPr>
          <w:rFonts w:hint="eastAsia" w:cs="宋体" w:asciiTheme="minorEastAsia" w:hAnsiTheme="minorEastAsia" w:eastAsiaTheme="minorEastAsia"/>
          <w:color w:val="auto"/>
          <w:szCs w:val="21"/>
          <w:highlight w:val="none"/>
          <w:u w:val="single"/>
        </w:rPr>
        <w:t>承包人投保内容应包括养老、失业、医疗、工伤、残疾人就业保险、女工生育保险、住房公积金、建筑施工安全生产责任保险，已包含在合同价款中，结算时承包人凭参加保险票据办理结算。</w:t>
      </w:r>
    </w:p>
    <w:p w14:paraId="60F0C605">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18.5 </w:t>
      </w:r>
      <w:r>
        <w:rPr>
          <w:rFonts w:hint="eastAsia" w:cs="宋体" w:asciiTheme="minorEastAsia" w:hAnsiTheme="minorEastAsia" w:eastAsiaTheme="minorEastAsia"/>
          <w:b/>
          <w:color w:val="auto"/>
          <w:szCs w:val="21"/>
          <w:highlight w:val="none"/>
        </w:rPr>
        <w:t>对各项保险的一般要求</w:t>
      </w:r>
    </w:p>
    <w:p w14:paraId="799BF79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18.5.4 </w:t>
      </w:r>
      <w:r>
        <w:rPr>
          <w:rFonts w:hint="eastAsia" w:cs="宋体" w:asciiTheme="minorEastAsia" w:hAnsiTheme="minorEastAsia" w:eastAsiaTheme="minorEastAsia"/>
          <w:color w:val="auto"/>
          <w:szCs w:val="21"/>
          <w:highlight w:val="none"/>
        </w:rPr>
        <w:t>通知义务</w:t>
      </w:r>
    </w:p>
    <w:p w14:paraId="5A83891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关于变更保险合同时的通知义务的约定：</w:t>
      </w:r>
      <w:r>
        <w:rPr>
          <w:rFonts w:hint="eastAsia" w:cs="宋体" w:asciiTheme="minorEastAsia" w:hAnsiTheme="minorEastAsia" w:eastAsiaTheme="minorEastAsia"/>
          <w:color w:val="auto"/>
          <w:szCs w:val="21"/>
          <w:highlight w:val="none"/>
          <w:u w:val="single"/>
        </w:rPr>
        <w:t>发包人不通知承包人及监理人，承包人应及时通知发包人。</w:t>
      </w:r>
    </w:p>
    <w:p w14:paraId="7990D74B">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bookmarkStart w:id="726" w:name="_Toc54862350"/>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 xml:space="preserve">20条 </w:t>
      </w:r>
      <w:r>
        <w:rPr>
          <w:rFonts w:hint="eastAsia" w:cs="宋体" w:asciiTheme="minorEastAsia" w:hAnsiTheme="minorEastAsia" w:eastAsiaTheme="minorEastAsia"/>
          <w:b/>
          <w:color w:val="auto"/>
          <w:szCs w:val="21"/>
          <w:highlight w:val="none"/>
        </w:rPr>
        <w:t>争议解决</w:t>
      </w:r>
      <w:bookmarkEnd w:id="726"/>
    </w:p>
    <w:p w14:paraId="64890053">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20.3 </w:t>
      </w:r>
      <w:r>
        <w:rPr>
          <w:rFonts w:hint="eastAsia" w:cs="宋体" w:asciiTheme="minorEastAsia" w:hAnsiTheme="minorEastAsia" w:eastAsiaTheme="minorEastAsia"/>
          <w:b/>
          <w:color w:val="auto"/>
          <w:szCs w:val="21"/>
          <w:highlight w:val="none"/>
        </w:rPr>
        <w:t>争议评审</w:t>
      </w:r>
    </w:p>
    <w:p w14:paraId="18BA9D7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合同当事人是否同意将工程争议提交争议评审小组决定：</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7F720A6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20.3.1 </w:t>
      </w:r>
      <w:r>
        <w:rPr>
          <w:rFonts w:hint="eastAsia" w:cs="宋体" w:asciiTheme="minorEastAsia" w:hAnsiTheme="minorEastAsia" w:eastAsiaTheme="minorEastAsia"/>
          <w:color w:val="auto"/>
          <w:szCs w:val="21"/>
          <w:highlight w:val="none"/>
        </w:rPr>
        <w:t>争议评审小组的确定</w:t>
      </w:r>
    </w:p>
    <w:p w14:paraId="7BD8B86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争议评审小组成员的人数：</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6503133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争议评审小组成员的确定：</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486F050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选定争议避免</w:t>
      </w:r>
      <w:r>
        <w:rPr>
          <w:rFonts w:cs="宋体" w:asciiTheme="minorEastAsia" w:hAnsiTheme="minorEastAsia" w:eastAsiaTheme="minorEastAsia"/>
          <w:color w:val="auto"/>
          <w:szCs w:val="21"/>
          <w:highlight w:val="none"/>
        </w:rPr>
        <w:t>/评审组的期限：</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37F2FFE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评审机构：</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2ECA58B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其他事项的约定：</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5A75D8F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争议评审员报酬的承担人：</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5485DFB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20.3.2 </w:t>
      </w:r>
      <w:r>
        <w:rPr>
          <w:rFonts w:hint="eastAsia" w:cs="宋体" w:asciiTheme="minorEastAsia" w:hAnsiTheme="minorEastAsia" w:eastAsiaTheme="minorEastAsia"/>
          <w:color w:val="auto"/>
          <w:szCs w:val="21"/>
          <w:highlight w:val="none"/>
        </w:rPr>
        <w:t>争议的避免</w:t>
      </w:r>
    </w:p>
    <w:p w14:paraId="1D92702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发包人和承包人是否均出席争议避免的非正式讨论：</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3AB26A0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20.3.3 </w:t>
      </w:r>
      <w:r>
        <w:rPr>
          <w:rFonts w:hint="eastAsia" w:cs="宋体" w:asciiTheme="minorEastAsia" w:hAnsiTheme="minorEastAsia" w:eastAsiaTheme="minorEastAsia"/>
          <w:color w:val="auto"/>
          <w:szCs w:val="21"/>
          <w:highlight w:val="none"/>
        </w:rPr>
        <w:t>争议评审小组的决定</w:t>
      </w:r>
    </w:p>
    <w:p w14:paraId="0AC7C8F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关于争议评审小组的决定的特别约定：</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w:t>
      </w:r>
    </w:p>
    <w:p w14:paraId="0F9D6378">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20.4 </w:t>
      </w:r>
      <w:r>
        <w:rPr>
          <w:rFonts w:hint="eastAsia" w:cs="宋体" w:asciiTheme="minorEastAsia" w:hAnsiTheme="minorEastAsia" w:eastAsiaTheme="minorEastAsia"/>
          <w:b/>
          <w:color w:val="auto"/>
          <w:szCs w:val="21"/>
          <w:highlight w:val="none"/>
        </w:rPr>
        <w:t>仲裁或诉讼</w:t>
      </w:r>
    </w:p>
    <w:p w14:paraId="5F3E567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bookmarkStart w:id="727" w:name="_Toc446841854"/>
      <w:bookmarkStart w:id="728" w:name="_Toc451936026"/>
      <w:bookmarkStart w:id="729" w:name="_Toc440118449"/>
      <w:bookmarkStart w:id="730" w:name="_Toc493612395"/>
      <w:r>
        <w:rPr>
          <w:rFonts w:hint="eastAsia" w:cs="宋体" w:asciiTheme="minorEastAsia" w:hAnsiTheme="minorEastAsia" w:eastAsiaTheme="minorEastAsia"/>
          <w:color w:val="auto"/>
          <w:szCs w:val="21"/>
          <w:highlight w:val="none"/>
        </w:rPr>
        <w:t>因合同及合同有关事项发生的争议，调解不成的，按下列第</w:t>
      </w:r>
      <w:r>
        <w:rPr>
          <w:rFonts w:cs="宋体" w:asciiTheme="minorEastAsia" w:hAnsiTheme="minorEastAsia" w:eastAsiaTheme="minorEastAsia"/>
          <w:color w:val="auto"/>
          <w:szCs w:val="21"/>
          <w:highlight w:val="none"/>
          <w:u w:val="single"/>
        </w:rPr>
        <w:t xml:space="preserve"> (2) </w:t>
      </w:r>
      <w:r>
        <w:rPr>
          <w:rFonts w:hint="eastAsia" w:cs="宋体" w:asciiTheme="minorEastAsia" w:hAnsiTheme="minorEastAsia" w:eastAsiaTheme="minorEastAsia"/>
          <w:color w:val="auto"/>
          <w:szCs w:val="21"/>
          <w:highlight w:val="none"/>
        </w:rPr>
        <w:t>种方式解决：</w:t>
      </w:r>
    </w:p>
    <w:p w14:paraId="0D26531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1）向</w:t>
      </w:r>
      <w:r>
        <w:rPr>
          <w:rFonts w:cs="宋体" w:asciiTheme="minorEastAsia" w:hAnsiTheme="minorEastAsia" w:eastAsiaTheme="minorEastAsia"/>
          <w:color w:val="auto"/>
          <w:szCs w:val="21"/>
          <w:highlight w:val="none"/>
          <w:u w:val="single"/>
        </w:rPr>
        <w:t xml:space="preserve">     /     </w:t>
      </w:r>
      <w:r>
        <w:rPr>
          <w:rFonts w:hint="eastAsia" w:cs="宋体" w:asciiTheme="minorEastAsia" w:hAnsiTheme="minorEastAsia" w:eastAsiaTheme="minorEastAsia"/>
          <w:color w:val="auto"/>
          <w:szCs w:val="21"/>
          <w:highlight w:val="none"/>
        </w:rPr>
        <w:t>仲裁委员会申请仲裁；</w:t>
      </w:r>
    </w:p>
    <w:p w14:paraId="0AA33B6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2）向</w:t>
      </w:r>
      <w:r>
        <w:rPr>
          <w:rFonts w:cs="宋体" w:asciiTheme="minorEastAsia" w:hAnsiTheme="minorEastAsia" w:eastAsiaTheme="minorEastAsia"/>
          <w:color w:val="auto"/>
          <w:szCs w:val="21"/>
          <w:highlight w:val="none"/>
          <w:u w:val="single"/>
        </w:rPr>
        <w:t xml:space="preserve"> 发包人所在地 </w:t>
      </w:r>
      <w:r>
        <w:rPr>
          <w:rFonts w:hint="eastAsia" w:cs="宋体" w:asciiTheme="minorEastAsia" w:hAnsiTheme="minorEastAsia" w:eastAsiaTheme="minorEastAsia"/>
          <w:color w:val="auto"/>
          <w:szCs w:val="21"/>
          <w:highlight w:val="none"/>
        </w:rPr>
        <w:t>人民法院起诉。</w:t>
      </w:r>
    </w:p>
    <w:p w14:paraId="2FCD4446">
      <w:pPr>
        <w:adjustRightInd w:val="0"/>
        <w:snapToGrid w:val="0"/>
        <w:spacing w:line="500" w:lineRule="exact"/>
        <w:ind w:firstLine="422" w:firstLineChars="200"/>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第</w:t>
      </w:r>
      <w:r>
        <w:rPr>
          <w:rFonts w:cs="宋体" w:asciiTheme="minorEastAsia" w:hAnsiTheme="minorEastAsia" w:eastAsiaTheme="minorEastAsia"/>
          <w:b/>
          <w:color w:val="auto"/>
          <w:szCs w:val="21"/>
          <w:highlight w:val="none"/>
        </w:rPr>
        <w:t>21条补充条款</w:t>
      </w:r>
      <w:bookmarkEnd w:id="727"/>
      <w:bookmarkEnd w:id="728"/>
      <w:bookmarkEnd w:id="729"/>
      <w:bookmarkEnd w:id="730"/>
      <w:bookmarkStart w:id="731" w:name="_Toc440118450"/>
    </w:p>
    <w:bookmarkEnd w:id="731"/>
    <w:p w14:paraId="0A275BA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施工过程中，数据和工程进度必须同步。每月发包人现场代表对施工进度和数据进行检查，出现问题限期整改，否则每次罚款1000元人民币。在工程竣工验收前，承包人要按规定将竣工数据交监理单位验收，由其出据相应证明后，发包人方可组织验收。</w:t>
      </w:r>
    </w:p>
    <w:p w14:paraId="3B13458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2、现场施工用电符合《施工现场临时用电安全技术规范》JGJ46-2005要求，如施工现场出现用电漏电或短路跳闸，造成停电或影响发包人用电，承包人承担由此给发包人造成的一切损失，并承担每项1000元的罚款。</w:t>
      </w:r>
    </w:p>
    <w:p w14:paraId="4422CF1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3、若由于承包人管理不善，造成社会不良影响（如媒体曝光、集体上访、安全事故、影响发包人正常办公秩序、上级部门通报批评等），承担合同金额2%-5%的违约金，具体违约金数额以发包人决定为准。</w:t>
      </w:r>
    </w:p>
    <w:p w14:paraId="1B73806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4、承包人进入项目所在地施工，应服从当地管委会对治安、卫生、环保、社会保险等工程建设的统一管理，并按有关规定交纳费用，如因违反上述义务，导致的罚款和责任均由承包人自行承担。项目所在地的创卫、创文工作，承包人应积极认真的进行配合。</w:t>
      </w:r>
    </w:p>
    <w:p w14:paraId="3D3F3C1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lang w:val="en-US" w:eastAsia="zh-CN"/>
        </w:rPr>
        <w:t>5</w:t>
      </w:r>
      <w:r>
        <w:rPr>
          <w:rFonts w:cs="宋体" w:asciiTheme="minorEastAsia" w:hAnsiTheme="minorEastAsia" w:eastAsiaTheme="minorEastAsia"/>
          <w:color w:val="auto"/>
          <w:szCs w:val="21"/>
          <w:highlight w:val="none"/>
          <w:u w:val="single"/>
        </w:rPr>
        <w:t>、承包人在施工后期，应全力配合发包人现场施工安排，按发包人要求及时拆除临建设施及地下临时构筑物，否则每拖延一天按1000元处罚并不予结算。</w:t>
      </w:r>
    </w:p>
    <w:p w14:paraId="4239800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lang w:val="en-US" w:eastAsia="zh-CN"/>
        </w:rPr>
        <w:t>6</w:t>
      </w:r>
      <w:r>
        <w:rPr>
          <w:rFonts w:cs="宋体" w:asciiTheme="minorEastAsia" w:hAnsiTheme="minorEastAsia" w:eastAsiaTheme="minorEastAsia"/>
          <w:color w:val="auto"/>
          <w:szCs w:val="21"/>
          <w:highlight w:val="none"/>
          <w:u w:val="single"/>
        </w:rPr>
        <w:t>、本工程使用预拌商品混凝土、预拌砂浆和袋装熟石灰，承包人应严格按照施工图纸及工程量列表要求的品种、数量和技术要求进行施工。施工现场禁止自行配置墙体浆体材料，应使用经市建委备案登记和公告的墙体浆体材料。</w:t>
      </w:r>
    </w:p>
    <w:p w14:paraId="5A9612A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lang w:val="en-US" w:eastAsia="zh-CN"/>
        </w:rPr>
        <w:t>7</w:t>
      </w:r>
      <w:r>
        <w:rPr>
          <w:rFonts w:cs="宋体" w:asciiTheme="minorEastAsia" w:hAnsiTheme="minorEastAsia" w:eastAsiaTheme="minorEastAsia"/>
          <w:color w:val="auto"/>
          <w:szCs w:val="21"/>
          <w:highlight w:val="none"/>
          <w:u w:val="single"/>
        </w:rPr>
        <w:t>、承包人提供现有垂直运输及外脚手架供各专业工程承包人运输材料、设备、机械（各专业工程承包人的大、中型设备、机械除外），承包人须协调好各专业工程承包人使用垂直运输机械及外脚手架的时间，在本合同总工期内确保垂直运输机械及外脚手架供各专业工程承包人的使用时间能满足各专业工程进度计划的要求，且在整个外墙装修、外墙铝合金窗、外墙保温等工程完成前不得拆除外脚手架。承包人拆除外脚手架和垂直运输机械必须报发包人批准后方可拆除。各专业工程对垂直运输、外脚手架的使用须符合承包人主体工程进度的整体安排。</w:t>
      </w:r>
    </w:p>
    <w:p w14:paraId="62E0172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若承包人未经发包人批准提前拆除外脚手架、垂直运输设备，则因此造成后续工程须重新搭设脚手架、采用其他运输方式所产生的所有费用或维修脚手架的所有费用将从承包人的当期工程款中按实转扣。</w:t>
      </w:r>
    </w:p>
    <w:p w14:paraId="5329B01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lang w:val="en-US" w:eastAsia="zh-CN"/>
        </w:rPr>
        <w:t>8</w:t>
      </w:r>
      <w:r>
        <w:rPr>
          <w:rFonts w:hint="eastAsia" w:cs="宋体" w:asciiTheme="minorEastAsia" w:hAnsiTheme="minorEastAsia" w:eastAsiaTheme="minorEastAsia"/>
          <w:color w:val="auto"/>
          <w:szCs w:val="21"/>
          <w:highlight w:val="none"/>
          <w:u w:val="single"/>
        </w:rPr>
        <w:t>、承包人现场施工全过程必须使用明源移动质检平台进行现场检查、工序移交、实测实量、材料验收等报验、整改工作，具体操作详见附件《经发地产明源移动质检平台实施管理办法》，违者发包人有权按照该管理办法进行处罚。</w:t>
      </w:r>
    </w:p>
    <w:p w14:paraId="20AFEA42">
      <w:pPr>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9、展示区配合：</w:t>
      </w:r>
    </w:p>
    <w:p w14:paraId="6208517C">
      <w:pPr>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9.1发包人如需设置展示区及样板间，承包人须按照发包人要求进行配合，合理布置施工现场，加工棚，料场，塔吊，施工电梯等不得设置在影响展示区及样板间区域，如影响展示区施工，承包人无条件进行挪移，费用包含在合同价款内。</w:t>
      </w:r>
    </w:p>
    <w:p w14:paraId="2C6A4333">
      <w:pPr>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9.2若外墙需增加广告位等设施，承包人应无条件配合。</w:t>
      </w:r>
    </w:p>
    <w:p w14:paraId="4A7AB465">
      <w:pPr>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9.3为配合展示区而须提前施工的项目，样板房及室外工程，承包人须无条件按按发包人的要求按时施工完成。未能按期完工的，按照5000元/天进行处罚。</w:t>
      </w:r>
    </w:p>
    <w:p w14:paraId="6BC3685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10</w:t>
      </w:r>
      <w:r>
        <w:rPr>
          <w:rFonts w:cs="宋体" w:asciiTheme="minorEastAsia" w:hAnsiTheme="minorEastAsia" w:eastAsiaTheme="minorEastAsia"/>
          <w:color w:val="auto"/>
          <w:szCs w:val="21"/>
          <w:highlight w:val="none"/>
          <w:u w:val="single"/>
        </w:rPr>
        <w:t>、农民工工资条款</w:t>
      </w:r>
    </w:p>
    <w:p w14:paraId="1DC7FB20">
      <w:pPr>
        <w:tabs>
          <w:tab w:val="left" w:pos="808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招聘的农民工工资，当承包人申报当期进度款计划时应一并报发包人，发包人有权监督承包人在支付的当期进度款中发放农民工工资。如承包人未按时发放农民工工资，影响到本工程的施工进度及工程质量，则发包人有权在工程进度款中将承包人所欠的工资额扣除，直接发放给农民工。承包人当月发放完工资后，需将农民工领取后的工资表复印一份加盖公章交发包人备案。农民工工资除按月发放外，其劳务费剩余部分应按照劳务分包合同付款办法支付。承包人若未支付，发包人有权在任意一笔工程款中直接予以扣除支付农民工劳务费。农民工工资专用账户中余额必须满足当地政府对农民工工资专用账户要求，因余额不满足当地政府要求，引起的罚款等损失由承包人承担。</w:t>
      </w:r>
    </w:p>
    <w:p w14:paraId="0230A65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1）承包人须承诺按国务院及当地政府的规定按时、足额、以实名方式支付农民工工资，否则发包人在工程进度款中代扣支付，并在工程结算时扣除。</w:t>
      </w:r>
    </w:p>
    <w:p w14:paraId="29D9C78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2）承包人须按照《西安市农民工工资保障办法》相关规定按时、足额缴纳农民工工资支付保证金。</w:t>
      </w:r>
    </w:p>
    <w:p w14:paraId="59AFE1D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3）如因承包人未能按时结算农民工工资，出现农民工围堵发包人项目部、施工现场或公司；发包人被新闻媒体报导或出现其他不利于发包人形象的事件，承包人应按合同暂定总价款的5%向发包人承担违约责任，如该违约金不能涵盖由此给发包人造成的全部损失，承包人应就超出部分承担损害赔偿责任。</w:t>
      </w:r>
    </w:p>
    <w:p w14:paraId="672AF77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任何情况下，承包人及其分包人不得因延迟或推迟支付工人的工资而引发社会矛盾，从而影响业主的经营、工程进展。如果因总承包人或分包人延迟或推迟支付工人工资导致下列事件</w:t>
      </w:r>
      <w:r>
        <w:rPr>
          <w:rFonts w:cs="宋体" w:asciiTheme="minorEastAsia" w:hAnsiTheme="minorEastAsia" w:eastAsiaTheme="minorEastAsia"/>
          <w:color w:val="auto"/>
          <w:szCs w:val="21"/>
          <w:highlight w:val="none"/>
          <w:u w:val="single"/>
        </w:rPr>
        <w:t>:</w:t>
      </w:r>
    </w:p>
    <w:p w14:paraId="1778C9E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①要求发包人支付工人工资；</w:t>
      </w:r>
    </w:p>
    <w:p w14:paraId="7A16D34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②媒体披露欠薪的情况；</w:t>
      </w:r>
    </w:p>
    <w:p w14:paraId="2945FE3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③工人因欠薪而有组织的上访；</w:t>
      </w:r>
    </w:p>
    <w:p w14:paraId="564B5AD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④工人因欠薪而引起的有组织的集会以及其他事件，尤其是对业主的经营、工程进展产生影响的事件。</w:t>
      </w:r>
    </w:p>
    <w:p w14:paraId="1D0668F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如果发生上述事件中的任何一件，总承包人不仅需要支付处理该事件的费用，还需要向业主支付违约金；违约金最低金额为：</w:t>
      </w:r>
      <w:r>
        <w:rPr>
          <w:rFonts w:cs="宋体" w:asciiTheme="minorEastAsia" w:hAnsiTheme="minorEastAsia" w:eastAsiaTheme="minorEastAsia"/>
          <w:color w:val="auto"/>
          <w:szCs w:val="21"/>
          <w:highlight w:val="none"/>
          <w:u w:val="single"/>
        </w:rPr>
        <w:t>20万元人民币/次。</w:t>
      </w:r>
    </w:p>
    <w:p w14:paraId="020AC95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其它有关施工企业农民工工资的要求须按现行相关法律法规执行。</w:t>
      </w:r>
    </w:p>
    <w:p w14:paraId="77EB98C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11、合同价款应视为是建立在承包人已经充分熟悉、理解招标文件及现场实际情况的基础上的，承包人不得因对招标文件的错误理解或现场实际情况的不了解而提出增加合同价款及延长工期的要求。</w:t>
      </w:r>
    </w:p>
    <w:p w14:paraId="17BB677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12、周边的扰民和民扰问题协调及发生的费用已包含在合同价款内。如因承包人未履行上述义务，造成的一切纠纷、损失和法律责任均由承包人自行承担，且工期不予顺延。</w:t>
      </w:r>
    </w:p>
    <w:p w14:paraId="379BD44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13、合同价中应包含（但不限于）完成该工程的成本：人工费、材料费、措施费、机械费、规费、税金、利润、风险、保险费、设备及运杂费、施工用水电费、技术数据费、管理费、现场施工协调费（含村民等协调费）、扬尘治理费；塔吊基础的砌筑、拆除及垃圾清运等费用；渣土清运费、城管费用、治污减霾不计次数覆盖费；水、电表校核费；各项检测、验收费</w:t>
      </w:r>
      <w:r>
        <w:rPr>
          <w:rFonts w:hint="eastAsia" w:cs="宋体" w:asciiTheme="minorEastAsia" w:hAnsiTheme="minorEastAsia" w:eastAsiaTheme="minorEastAsia"/>
          <w:color w:val="auto"/>
          <w:szCs w:val="21"/>
          <w:highlight w:val="none"/>
          <w:u w:val="single"/>
        </w:rPr>
        <w:t>、管理费、利润、税金、风险等</w:t>
      </w:r>
      <w:r>
        <w:rPr>
          <w:rFonts w:cs="宋体" w:asciiTheme="minorEastAsia" w:hAnsiTheme="minorEastAsia" w:eastAsiaTheme="minorEastAsia"/>
          <w:color w:val="auto"/>
          <w:szCs w:val="21"/>
          <w:highlight w:val="none"/>
          <w:u w:val="single"/>
        </w:rPr>
        <w:t>一切费用；监理单位城建档案数据归档费等所有费用。</w:t>
      </w:r>
    </w:p>
    <w:p w14:paraId="6FA7C3D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lang w:val="en-US" w:eastAsia="zh-CN"/>
        </w:rPr>
        <w:t>4</w:t>
      </w:r>
      <w:r>
        <w:rPr>
          <w:rFonts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rPr>
        <w:t>本工程劳保统筹基金及建筑施工安全生产责任保险（含暂估价工程内人建筑施工安全生产责任保险）已包含在施工图预算里，结算时不再调整</w:t>
      </w:r>
      <w:r>
        <w:rPr>
          <w:rFonts w:cs="宋体" w:asciiTheme="minorEastAsia" w:hAnsiTheme="minorEastAsia" w:eastAsiaTheme="minorEastAsia"/>
          <w:color w:val="auto"/>
          <w:szCs w:val="21"/>
          <w:highlight w:val="none"/>
          <w:u w:val="single"/>
        </w:rPr>
        <w:t>。</w:t>
      </w:r>
    </w:p>
    <w:p w14:paraId="40CD654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lang w:val="en-US" w:eastAsia="zh-CN"/>
        </w:rPr>
        <w:t>5</w:t>
      </w:r>
      <w:r>
        <w:rPr>
          <w:rFonts w:cs="宋体" w:asciiTheme="minorEastAsia" w:hAnsiTheme="minorEastAsia" w:eastAsiaTheme="minorEastAsia"/>
          <w:color w:val="auto"/>
          <w:szCs w:val="21"/>
          <w:highlight w:val="none"/>
          <w:u w:val="single"/>
        </w:rPr>
        <w:t>、各工序在大面积施工前需先做样板，经发包人及监理单位验收合格后方可大面积施工，样板间施工过程中除正常施工工序外需额外增加的施工措施、维护费用，承包人在措施费报价中均已充分考虑。本工程要求的砼模板施工方案</w:t>
      </w:r>
      <w:r>
        <w:rPr>
          <w:rFonts w:hint="eastAsia" w:cs="宋体" w:asciiTheme="minorEastAsia" w:hAnsiTheme="minorEastAsia" w:eastAsiaTheme="minorEastAsia"/>
          <w:color w:val="auto"/>
          <w:szCs w:val="21"/>
          <w:highlight w:val="none"/>
          <w:u w:val="single"/>
          <w:lang w:eastAsia="zh-CN"/>
        </w:rPr>
        <w:t>满足现场</w:t>
      </w:r>
      <w:r>
        <w:rPr>
          <w:rFonts w:cs="宋体" w:asciiTheme="minorEastAsia" w:hAnsiTheme="minorEastAsia" w:eastAsiaTheme="minorEastAsia"/>
          <w:color w:val="auto"/>
          <w:szCs w:val="21"/>
          <w:highlight w:val="none"/>
          <w:u w:val="single"/>
        </w:rPr>
        <w:t>有关规定，拆模后达到发包人要求的标准。</w:t>
      </w:r>
    </w:p>
    <w:p w14:paraId="5355DC11">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lang w:val="en-US" w:eastAsia="zh-CN"/>
        </w:rPr>
        <w:t>6</w:t>
      </w:r>
      <w:r>
        <w:rPr>
          <w:rFonts w:cs="宋体" w:asciiTheme="minorEastAsia" w:hAnsiTheme="minorEastAsia" w:eastAsiaTheme="minorEastAsia"/>
          <w:color w:val="auto"/>
          <w:szCs w:val="21"/>
          <w:highlight w:val="none"/>
          <w:u w:val="single"/>
        </w:rPr>
        <w:t>、本工程商品砼综合单价含砼泵送费。</w:t>
      </w:r>
    </w:p>
    <w:p w14:paraId="19C7143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lang w:val="en-US" w:eastAsia="zh-CN"/>
        </w:rPr>
        <w:t>7</w:t>
      </w:r>
      <w:r>
        <w:rPr>
          <w:rFonts w:cs="宋体" w:asciiTheme="minorEastAsia" w:hAnsiTheme="minorEastAsia" w:eastAsiaTheme="minorEastAsia"/>
          <w:color w:val="auto"/>
          <w:szCs w:val="21"/>
          <w:highlight w:val="none"/>
          <w:u w:val="single"/>
        </w:rPr>
        <w:t>、承包人为保证工程进度，需自备柴油发电机以应对意外停电，且此项费用包含在投标报价中。</w:t>
      </w:r>
    </w:p>
    <w:p w14:paraId="01A4158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lang w:val="en-US" w:eastAsia="zh-CN"/>
        </w:rPr>
        <w:t>18</w:t>
      </w:r>
      <w:r>
        <w:rPr>
          <w:rFonts w:cs="宋体" w:asciiTheme="minorEastAsia" w:hAnsiTheme="minorEastAsia" w:eastAsiaTheme="minorEastAsia"/>
          <w:color w:val="auto"/>
          <w:szCs w:val="21"/>
          <w:highlight w:val="none"/>
          <w:u w:val="single"/>
        </w:rPr>
        <w:t>、乙方必须无条件执行合同文本及附件中所涉及工艺工法、质量标准，且不额外增加费用。</w:t>
      </w:r>
    </w:p>
    <w:p w14:paraId="61CE0F6A">
      <w:pPr>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lang w:val="en-US" w:eastAsia="zh-CN"/>
        </w:rPr>
        <w:t>19</w:t>
      </w:r>
      <w:r>
        <w:rPr>
          <w:rFonts w:cs="宋体" w:asciiTheme="minorEastAsia" w:hAnsiTheme="minorEastAsia" w:eastAsiaTheme="minorEastAsia"/>
          <w:color w:val="auto"/>
          <w:szCs w:val="21"/>
          <w:highlight w:val="none"/>
          <w:u w:val="single"/>
        </w:rPr>
        <w:t>、承包人 (凭承包人出具的介绍信)定期与发包人进行付款等帐务核对，发包人应予以配合。</w:t>
      </w:r>
    </w:p>
    <w:p w14:paraId="5D52DA8E">
      <w:pPr>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0</w:t>
      </w:r>
      <w:r>
        <w:rPr>
          <w:rFonts w:cs="宋体" w:asciiTheme="minorEastAsia" w:hAnsiTheme="minorEastAsia" w:eastAsiaTheme="minorEastAsia"/>
          <w:color w:val="auto"/>
          <w:szCs w:val="21"/>
          <w:highlight w:val="none"/>
          <w:u w:val="single"/>
        </w:rPr>
        <w:t>、发包人若超建设工程规划许可规模建设时，发包人应及时办理相关手续，发包人未及时办理相关手续对承包人造成的所有损失及引起的责任均由发包人承担。</w:t>
      </w:r>
    </w:p>
    <w:p w14:paraId="3E6085E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1</w:t>
      </w:r>
      <w:r>
        <w:rPr>
          <w:rFonts w:cs="宋体" w:asciiTheme="minorEastAsia" w:hAnsiTheme="minorEastAsia" w:eastAsiaTheme="minorEastAsia"/>
          <w:color w:val="auto"/>
          <w:szCs w:val="21"/>
          <w:highlight w:val="none"/>
          <w:u w:val="single"/>
        </w:rPr>
        <w:t>、合同条款在文本上修改时，修改处需同时加盖发包人、承包人双方印章，否则修改处无效。</w:t>
      </w:r>
    </w:p>
    <w:p w14:paraId="3CAE831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2</w:t>
      </w:r>
      <w:r>
        <w:rPr>
          <w:rFonts w:cs="宋体" w:asciiTheme="minorEastAsia" w:hAnsiTheme="minorEastAsia" w:eastAsiaTheme="minorEastAsia"/>
          <w:color w:val="auto"/>
          <w:szCs w:val="21"/>
          <w:highlight w:val="none"/>
          <w:u w:val="single"/>
        </w:rPr>
        <w:t>、录音电话及电信部门出具的通话详单具有同等法律效力。</w:t>
      </w:r>
    </w:p>
    <w:p w14:paraId="661C3B3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3</w:t>
      </w:r>
      <w:r>
        <w:rPr>
          <w:rFonts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rPr>
        <w:t>施工时钢筋连接方式满足规范及图纸要求。以清单约定的计算规则结算。</w:t>
      </w:r>
    </w:p>
    <w:p w14:paraId="715A8DA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4</w:t>
      </w:r>
      <w:r>
        <w:rPr>
          <w:rFonts w:cs="宋体" w:asciiTheme="minorEastAsia" w:hAnsiTheme="minorEastAsia" w:eastAsiaTheme="minorEastAsia"/>
          <w:color w:val="auto"/>
          <w:szCs w:val="21"/>
          <w:highlight w:val="none"/>
          <w:u w:val="single"/>
        </w:rPr>
        <w:t>、本合同所有附件均为合同的组成部分，承包人为满足本合同附件中细部要求而采取的中标文件之外的施工方案或措施所增加的费用已包含在本合同价中，不另行增加费用。</w:t>
      </w:r>
      <w:r>
        <w:rPr>
          <w:rFonts w:hint="eastAsia" w:cs="宋体" w:asciiTheme="minorEastAsia" w:hAnsiTheme="minorEastAsia" w:eastAsiaTheme="minorEastAsia"/>
          <w:color w:val="auto"/>
          <w:szCs w:val="21"/>
          <w:highlight w:val="none"/>
          <w:u w:val="single"/>
        </w:rPr>
        <w:t>若因非承包人原因需调整施工方案，无费用增加的施工方案经监理单位及发包人甲方代表审批同意后实施，若涉及费用增加，需经发包人成本管理部、招标采供部及其主管领导审核确认后方可作为结算依据。施工过程中的施工方案若有费用增加，无成本管理部及招标采供部审核的一律不作为结算依据。</w:t>
      </w:r>
    </w:p>
    <w:p w14:paraId="64FB897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本合同附件中所有发包人公司的标准、工艺、流程、作业文件等若有细部更新，以更新后的为准，费用若有增加视为已经包含在合同价中。</w:t>
      </w:r>
    </w:p>
    <w:p w14:paraId="2410A08D">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5</w:t>
      </w:r>
      <w:r>
        <w:rPr>
          <w:rFonts w:cs="宋体" w:asciiTheme="minorEastAsia" w:hAnsiTheme="minorEastAsia" w:eastAsiaTheme="minorEastAsia"/>
          <w:color w:val="auto"/>
          <w:szCs w:val="21"/>
          <w:highlight w:val="none"/>
          <w:u w:val="single"/>
        </w:rPr>
        <w:t>、为了加强承、发包双方在重大经济活动中的廉政建设，规范签订合同双方的活动，防止发生谋取不正当利益的违法违纪行为，确保合法、有序、优质、高效地开展业务，双方于合同签订的同时签订廉政承诺书（详见附件《廉政承诺书》），承诺书按要求的份数单独装订。</w:t>
      </w:r>
    </w:p>
    <w:p w14:paraId="64FAD4E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6</w:t>
      </w:r>
      <w:r>
        <w:rPr>
          <w:rFonts w:cs="宋体" w:asciiTheme="minorEastAsia" w:hAnsiTheme="minorEastAsia" w:eastAsiaTheme="minorEastAsia"/>
          <w:color w:val="auto"/>
          <w:szCs w:val="21"/>
          <w:highlight w:val="none"/>
          <w:u w:val="single"/>
        </w:rPr>
        <w:t>、本合同未提及施工工艺、材料要求或发生施工工艺变更，以发包人提供的施工图纸、设计变更、书面要求和国家相关规范、图集为准。</w:t>
      </w:r>
    </w:p>
    <w:p w14:paraId="3241DB9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7</w:t>
      </w:r>
      <w:r>
        <w:rPr>
          <w:rFonts w:cs="宋体" w:asciiTheme="minorEastAsia" w:hAnsiTheme="minorEastAsia" w:eastAsiaTheme="minorEastAsia"/>
          <w:color w:val="auto"/>
          <w:szCs w:val="21"/>
          <w:highlight w:val="none"/>
          <w:u w:val="single"/>
        </w:rPr>
        <w:t>、工程施工过程中，承包人必须承担施工配合、协调及总包管理义务，负责对各专业工程承包人的施工质量、施工进度、安全文明施工、相互之间的协调与配合、竣工资料的归档与整理等进行管理，承包人、各专业工程承包人就各专业工程承包人所存在的任何违约行为按有关规定各自承担责任。承包人在履行前述义务时，如需发包人提供必要的信息或其它协助，承包人应书面向发包人提出申请。</w:t>
      </w:r>
    </w:p>
    <w:p w14:paraId="794E57F7">
      <w:pPr>
        <w:adjustRightInd w:val="0"/>
        <w:snapToGrid w:val="0"/>
        <w:spacing w:line="500" w:lineRule="exact"/>
        <w:ind w:firstLine="420" w:firstLineChars="200"/>
        <w:outlineLvl w:val="9"/>
        <w:rPr>
          <w:rFonts w:cs="宋体" w:asciiTheme="minorEastAsia" w:hAnsiTheme="minorEastAsia" w:eastAsiaTheme="minorEastAsia"/>
          <w:bCs/>
          <w:color w:val="auto"/>
          <w:szCs w:val="21"/>
          <w:highlight w:val="none"/>
          <w:u w:val="single"/>
        </w:rPr>
      </w:pPr>
      <w:r>
        <w:rPr>
          <w:rFonts w:hint="eastAsia" w:cs="宋体" w:asciiTheme="minorEastAsia" w:hAnsiTheme="minorEastAsia" w:eastAsiaTheme="minorEastAsia"/>
          <w:bCs/>
          <w:color w:val="auto"/>
          <w:szCs w:val="21"/>
          <w:highlight w:val="none"/>
          <w:u w:val="single"/>
        </w:rPr>
        <w:t>除合同附件中约定的对各分包工程配合责任外，承包人必须根据具体专业工程的特点与需要，按照发包人工程师的合理指令完成所需的配合工作，若该工作不属于配合范围内的工作，则发包人需另行签证计费。如由于承包人配合不力，或不执行工程师下达的提供施工配合的合理指令，导致相关专业工程工期延误的，承包人应向发包人承担工期延误的违约责任。</w:t>
      </w:r>
    </w:p>
    <w:p w14:paraId="430A1059">
      <w:pPr>
        <w:adjustRightInd w:val="0"/>
        <w:snapToGrid w:val="0"/>
        <w:spacing w:line="500" w:lineRule="exact"/>
        <w:ind w:firstLine="420" w:firstLineChars="200"/>
        <w:outlineLvl w:val="9"/>
        <w:rPr>
          <w:rFonts w:cs="宋体" w:asciiTheme="minorEastAsia" w:hAnsiTheme="minorEastAsia" w:eastAsiaTheme="minorEastAsia"/>
          <w:bCs/>
          <w:color w:val="auto"/>
          <w:szCs w:val="21"/>
          <w:highlight w:val="none"/>
          <w:u w:val="single"/>
        </w:rPr>
      </w:pPr>
      <w:r>
        <w:rPr>
          <w:rFonts w:hint="eastAsia" w:cs="宋体" w:asciiTheme="minorEastAsia" w:hAnsiTheme="minorEastAsia" w:eastAsiaTheme="minorEastAsia"/>
          <w:bCs/>
          <w:color w:val="auto"/>
          <w:szCs w:val="21"/>
          <w:highlight w:val="none"/>
          <w:u w:val="single"/>
        </w:rPr>
        <w:t>各专业分包工程承包人进场施工时，在发包人或委托的监理组织下，承包人应与其办理场地移交手续，以明确所移交场地的范围、条件及相互责任。承包人未办理场地移交手续，或场地移交时相关事项未予明确的，一切不利后果与责任均由承包人自行承担。</w:t>
      </w:r>
    </w:p>
    <w:p w14:paraId="100FCAF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lang w:val="en-US" w:eastAsia="zh-CN"/>
        </w:rPr>
        <w:t>28</w:t>
      </w:r>
      <w:r>
        <w:rPr>
          <w:rFonts w:cs="宋体" w:asciiTheme="minorEastAsia" w:hAnsiTheme="minorEastAsia" w:eastAsiaTheme="minorEastAsia"/>
          <w:color w:val="auto"/>
          <w:szCs w:val="21"/>
          <w:highlight w:val="none"/>
          <w:u w:val="single"/>
        </w:rPr>
        <w:t>、施工场地一经移交给承包人，承包人应在本补充合同工程实施过程中全面负责施工范围内的现场管理，对场地的安全保卫、环境卫生等负责，对施工场地内的用水、用电及各相关单位的施工协调负责。因场地管理不善引发的一切纠纷由承包人自行解决，发包人不承担任何责任。施工过程中，资料和工程进度必须同步。每月发包人管理人员对施工进度和资料进行检查，出现问题限期整改。在工程竣工验收前，承包人要按规定将竣工资料交监理验收，由监理出具相应证明后，发包人组织验收。</w:t>
      </w:r>
    </w:p>
    <w:p w14:paraId="4FB9EDD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lang w:val="en-US" w:eastAsia="zh-CN"/>
        </w:rPr>
        <w:t>29</w:t>
      </w:r>
      <w:r>
        <w:rPr>
          <w:rFonts w:cs="宋体" w:asciiTheme="minorEastAsia" w:hAnsiTheme="minorEastAsia" w:eastAsiaTheme="minorEastAsia"/>
          <w:color w:val="auto"/>
          <w:szCs w:val="21"/>
          <w:highlight w:val="none"/>
          <w:u w:val="single"/>
        </w:rPr>
        <w:t>、安全管理人员必须持证上岗，并负责检查现场和施工人员安全情况，如监理和发包人代表发现有不安全因素存在，承包人不按发包人要求时间整改，每次向发包人支付违约金1000元-5000元人民币，在月进度款中扣除。出现一切安全事故，均由承包人自行负责。</w:t>
      </w:r>
    </w:p>
    <w:p w14:paraId="338CE88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0</w:t>
      </w:r>
      <w:r>
        <w:rPr>
          <w:rFonts w:cs="宋体" w:asciiTheme="minorEastAsia" w:hAnsiTheme="minorEastAsia" w:eastAsiaTheme="minorEastAsia"/>
          <w:color w:val="auto"/>
          <w:szCs w:val="21"/>
          <w:highlight w:val="none"/>
          <w:u w:val="single"/>
        </w:rPr>
        <w:t>、承包人必须按发包人的要求完成场地内除发包人另行分包工程外的一切施工内容。否则，发包人另行安排施工产生的费用加20％管理费由承包人承担。</w:t>
      </w:r>
    </w:p>
    <w:p w14:paraId="11F9618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1</w:t>
      </w:r>
      <w:r>
        <w:rPr>
          <w:rFonts w:cs="宋体" w:asciiTheme="minorEastAsia" w:hAnsiTheme="minorEastAsia" w:eastAsiaTheme="minorEastAsia"/>
          <w:color w:val="auto"/>
          <w:szCs w:val="21"/>
          <w:highlight w:val="none"/>
          <w:u w:val="single"/>
        </w:rPr>
        <w:t>、出版、广告</w:t>
      </w:r>
    </w:p>
    <w:p w14:paraId="574D8B8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1）未经发包人事先批准，承包人不得在任何商业或技术文献上刊登或者披露任何与本补充合同工程有关的情报或者资料。</w:t>
      </w:r>
    </w:p>
    <w:p w14:paraId="5655FB9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2）承包人不应在工地或施工设施上展示或容许展示任何贸易和商业性广告。承包人在征得发包人书面同意后，可在施工场地设置有关承建本工程的广告。</w:t>
      </w:r>
    </w:p>
    <w:p w14:paraId="404311F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cs="宋体" w:asciiTheme="minorEastAsia" w:hAnsiTheme="minorEastAsia" w:eastAsiaTheme="minorEastAsia"/>
          <w:color w:val="auto"/>
          <w:szCs w:val="21"/>
          <w:highlight w:val="none"/>
          <w:u w:val="single"/>
        </w:rPr>
        <w:t>3）发包人保留施工期间在本补充合同施工场地的所有围栏及永久建筑物上设置广告的权利，承包人应对发包人行使该等权利提供必要的配合。</w:t>
      </w:r>
    </w:p>
    <w:p w14:paraId="3143F4F3">
      <w:pPr>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(4)发包人如需在施工现场外架、大门、围墙等临时设施设置宣传标语或广告的，承包人应对执行发包人对宣传标语或广告的制作、安装、维护及拆除等指令予以执行，费用以包含在合同总价内。</w:t>
      </w:r>
    </w:p>
    <w:p w14:paraId="68F5E93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2</w:t>
      </w:r>
      <w:r>
        <w:rPr>
          <w:rFonts w:cs="宋体" w:asciiTheme="minorEastAsia" w:hAnsiTheme="minorEastAsia" w:eastAsiaTheme="minorEastAsia"/>
          <w:color w:val="auto"/>
          <w:szCs w:val="21"/>
          <w:highlight w:val="none"/>
          <w:u w:val="single"/>
        </w:rPr>
        <w:t>、承包人有责任和义务在承包工程范围内的工程施工前和施工中向发包人提出其发现的图纸设计中存在的问题及缺陷，并以书面形式提出解决方案报发包人。如果承包人未在施工前提出图纸的疏漏或不足，则其除必须按发包人批准或指示的变更实施外，因此产生的费用由承包人自行承担且工期不予顺延。地下室外墙各工种穿墙管道封堵，防水处理由承包人负责施工，确保无渗水。主体施工阶段地下室外墙穿墙套管留洞必须临时进行封堵和防水处理，确保无渗水。屋面</w:t>
      </w:r>
      <w:r>
        <w:rPr>
          <w:rFonts w:hint="eastAsia" w:cs="宋体" w:asciiTheme="minorEastAsia" w:hAnsiTheme="minorEastAsia" w:eastAsiaTheme="minorEastAsia"/>
          <w:color w:val="auto"/>
          <w:szCs w:val="21"/>
          <w:highlight w:val="none"/>
          <w:u w:val="single"/>
          <w:lang w:eastAsia="zh-CN"/>
        </w:rPr>
        <w:t>、车库顶板</w:t>
      </w:r>
      <w:r>
        <w:rPr>
          <w:rFonts w:cs="宋体" w:asciiTheme="minorEastAsia" w:hAnsiTheme="minorEastAsia" w:eastAsiaTheme="minorEastAsia"/>
          <w:color w:val="auto"/>
          <w:szCs w:val="21"/>
          <w:highlight w:val="none"/>
          <w:u w:val="single"/>
        </w:rPr>
        <w:t>及室内外涉水房间均需结构层闭水试验合格后方可进行下道工序施工，确保无渗水。以上费用已包含在措施项目费用中。</w:t>
      </w:r>
    </w:p>
    <w:p w14:paraId="4BC0353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3</w:t>
      </w:r>
      <w:r>
        <w:rPr>
          <w:rFonts w:cs="宋体" w:asciiTheme="minorEastAsia" w:hAnsiTheme="minorEastAsia" w:eastAsiaTheme="minorEastAsia"/>
          <w:color w:val="auto"/>
          <w:szCs w:val="21"/>
          <w:highlight w:val="none"/>
          <w:u w:val="single"/>
        </w:rPr>
        <w:t>、承包人负责承包范围内施工图的门窗、管道、设备等与楼地面、墙体上所有收口、吊洞，包括二次收口、吊洞工作，不得以任何理由提出费用增加。若因分包方原因，由总包单位二次收口收边，费用由分包方承担。</w:t>
      </w:r>
    </w:p>
    <w:p w14:paraId="2DA354B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4</w:t>
      </w:r>
      <w:r>
        <w:rPr>
          <w:rFonts w:hint="eastAsia" w:cs="宋体" w:asciiTheme="minorEastAsia" w:hAnsiTheme="minorEastAsia" w:eastAsiaTheme="minorEastAsia"/>
          <w:color w:val="auto"/>
          <w:szCs w:val="21"/>
          <w:highlight w:val="none"/>
          <w:u w:val="single"/>
        </w:rPr>
        <w:t>、要求承包人利用BIM技术指导地下室管线的施工，此部分费用承包人已综合考虑在报价中。</w:t>
      </w:r>
    </w:p>
    <w:p w14:paraId="24F669F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5</w:t>
      </w:r>
      <w:r>
        <w:rPr>
          <w:rFonts w:cs="宋体" w:asciiTheme="minorEastAsia" w:hAnsiTheme="minorEastAsia" w:eastAsiaTheme="minorEastAsia"/>
          <w:color w:val="auto"/>
          <w:szCs w:val="21"/>
          <w:highlight w:val="none"/>
          <w:u w:val="single"/>
        </w:rPr>
        <w:t>、承包人负责场区施工道路的畅通，包括室外施工阶段。</w:t>
      </w:r>
    </w:p>
    <w:p w14:paraId="00A50AB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6</w:t>
      </w:r>
      <w:r>
        <w:rPr>
          <w:rFonts w:cs="宋体" w:asciiTheme="minorEastAsia" w:hAnsiTheme="minorEastAsia" w:eastAsiaTheme="minorEastAsia"/>
          <w:color w:val="auto"/>
          <w:szCs w:val="21"/>
          <w:highlight w:val="none"/>
          <w:u w:val="single"/>
        </w:rPr>
        <w:t>、承包人项目经理及其它岗位管理人员工作责任性差，导致项目工程施工质量、安全、进度隐患频出，发包人现场管理人员有权提出更换，承包人必须按发包人的要求限期更换。否则发包人有权责令停工整顿，造成的损失全部由承包人承担。</w:t>
      </w:r>
    </w:p>
    <w:p w14:paraId="2030F7B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7</w:t>
      </w:r>
      <w:r>
        <w:rPr>
          <w:rFonts w:cs="宋体" w:asciiTheme="minorEastAsia" w:hAnsiTheme="minorEastAsia" w:eastAsiaTheme="minorEastAsia"/>
          <w:color w:val="auto"/>
          <w:szCs w:val="21"/>
          <w:highlight w:val="none"/>
          <w:u w:val="single"/>
        </w:rPr>
        <w:t>、承包人负责其承包范围内及发包人分包工程的收口、塞缝及吊洞</w:t>
      </w:r>
      <w:r>
        <w:rPr>
          <w:rFonts w:hint="eastAsia" w:cs="宋体" w:asciiTheme="minorEastAsia" w:hAnsiTheme="minorEastAsia" w:eastAsiaTheme="minorEastAsia"/>
          <w:color w:val="auto"/>
          <w:szCs w:val="21"/>
          <w:highlight w:val="none"/>
          <w:u w:val="single"/>
          <w:lang w:eastAsia="zh-CN"/>
        </w:rPr>
        <w:t>工作（</w:t>
      </w:r>
      <w:r>
        <w:rPr>
          <w:rFonts w:cs="宋体" w:asciiTheme="minorEastAsia" w:hAnsiTheme="minorEastAsia" w:eastAsiaTheme="minorEastAsia"/>
          <w:color w:val="auto"/>
          <w:szCs w:val="21"/>
          <w:highlight w:val="none"/>
          <w:u w:val="single"/>
        </w:rPr>
        <w:t>包括二次收口、塞缝及吊洞工作</w:t>
      </w: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eastAsia="zh-CN"/>
        </w:rPr>
        <w:t>，具体范围详见附件三十九《总包与分包界面划分》</w:t>
      </w:r>
      <w:r>
        <w:rPr>
          <w:rFonts w:cs="宋体" w:asciiTheme="minorEastAsia" w:hAnsiTheme="minorEastAsia" w:eastAsiaTheme="minorEastAsia"/>
          <w:color w:val="auto"/>
          <w:szCs w:val="21"/>
          <w:highlight w:val="none"/>
          <w:u w:val="single"/>
        </w:rPr>
        <w:t>，费用</w:t>
      </w:r>
      <w:r>
        <w:rPr>
          <w:rFonts w:hint="eastAsia" w:cs="宋体" w:asciiTheme="minorEastAsia" w:hAnsiTheme="minorEastAsia" w:eastAsiaTheme="minorEastAsia"/>
          <w:color w:val="auto"/>
          <w:szCs w:val="21"/>
          <w:highlight w:val="none"/>
          <w:u w:val="single"/>
          <w:lang w:eastAsia="zh-CN"/>
        </w:rPr>
        <w:t>已</w:t>
      </w:r>
      <w:r>
        <w:rPr>
          <w:rFonts w:cs="宋体" w:asciiTheme="minorEastAsia" w:hAnsiTheme="minorEastAsia" w:eastAsiaTheme="minorEastAsia"/>
          <w:color w:val="auto"/>
          <w:szCs w:val="21"/>
          <w:highlight w:val="none"/>
          <w:u w:val="single"/>
        </w:rPr>
        <w:t>包含在合同价格中，承包人不得以任何理由提出费用增加。如承包人不履行收口、塞缝及吊洞的工作，发包人有权另行委托第三方施工单位施工，相应工程费用从承包人的结算款中</w:t>
      </w:r>
      <w:r>
        <w:rPr>
          <w:rFonts w:hint="eastAsia" w:cs="宋体" w:asciiTheme="minorEastAsia" w:hAnsiTheme="minorEastAsia" w:eastAsiaTheme="minorEastAsia"/>
          <w:color w:val="auto"/>
          <w:szCs w:val="21"/>
          <w:highlight w:val="none"/>
          <w:u w:val="single"/>
          <w:lang w:eastAsia="zh-CN"/>
        </w:rPr>
        <w:t>双倍</w:t>
      </w:r>
      <w:r>
        <w:rPr>
          <w:rFonts w:cs="宋体" w:asciiTheme="minorEastAsia" w:hAnsiTheme="minorEastAsia" w:eastAsiaTheme="minorEastAsia"/>
          <w:color w:val="auto"/>
          <w:szCs w:val="21"/>
          <w:highlight w:val="none"/>
          <w:u w:val="single"/>
        </w:rPr>
        <w:t>扣除。</w:t>
      </w:r>
    </w:p>
    <w:p w14:paraId="75CAD72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lang w:val="en-US" w:eastAsia="zh-CN"/>
        </w:rPr>
        <w:t>38</w:t>
      </w:r>
      <w:r>
        <w:rPr>
          <w:rFonts w:cs="宋体" w:asciiTheme="minorEastAsia" w:hAnsiTheme="minorEastAsia" w:eastAsiaTheme="minorEastAsia"/>
          <w:color w:val="auto"/>
          <w:szCs w:val="21"/>
          <w:highlight w:val="none"/>
          <w:u w:val="single"/>
        </w:rPr>
        <w:t>、承包人应无条件配合发包人开</w:t>
      </w:r>
      <w:r>
        <w:rPr>
          <w:rFonts w:hint="eastAsia" w:cs="宋体" w:asciiTheme="minorEastAsia" w:hAnsiTheme="minorEastAsia" w:eastAsiaTheme="minorEastAsia"/>
          <w:color w:val="auto"/>
          <w:szCs w:val="21"/>
          <w:highlight w:val="none"/>
          <w:u w:val="single"/>
        </w:rPr>
        <w:t>盘</w:t>
      </w:r>
      <w:r>
        <w:rPr>
          <w:rFonts w:cs="宋体" w:asciiTheme="minorEastAsia" w:hAnsiTheme="minorEastAsia" w:eastAsiaTheme="minorEastAsia"/>
          <w:color w:val="auto"/>
          <w:szCs w:val="21"/>
          <w:highlight w:val="none"/>
          <w:u w:val="single"/>
        </w:rPr>
        <w:t>，如不配合发包人开</w:t>
      </w:r>
      <w:r>
        <w:rPr>
          <w:rFonts w:hint="eastAsia" w:cs="宋体" w:asciiTheme="minorEastAsia" w:hAnsiTheme="minorEastAsia" w:eastAsiaTheme="minorEastAsia"/>
          <w:color w:val="auto"/>
          <w:szCs w:val="21"/>
          <w:highlight w:val="none"/>
          <w:u w:val="single"/>
        </w:rPr>
        <w:t>盘</w:t>
      </w:r>
      <w:r>
        <w:rPr>
          <w:rFonts w:cs="宋体" w:asciiTheme="minorEastAsia" w:hAnsiTheme="minorEastAsia" w:eastAsiaTheme="minorEastAsia"/>
          <w:color w:val="auto"/>
          <w:szCs w:val="21"/>
          <w:highlight w:val="none"/>
          <w:u w:val="single"/>
        </w:rPr>
        <w:t>，导致发包人开</w:t>
      </w:r>
      <w:r>
        <w:rPr>
          <w:rFonts w:hint="eastAsia" w:cs="宋体" w:asciiTheme="minorEastAsia" w:hAnsiTheme="minorEastAsia" w:eastAsiaTheme="minorEastAsia"/>
          <w:color w:val="auto"/>
          <w:szCs w:val="21"/>
          <w:highlight w:val="none"/>
          <w:u w:val="single"/>
        </w:rPr>
        <w:t>盘</w:t>
      </w:r>
      <w:r>
        <w:rPr>
          <w:rFonts w:cs="宋体" w:asciiTheme="minorEastAsia" w:hAnsiTheme="minorEastAsia" w:eastAsiaTheme="minorEastAsia"/>
          <w:color w:val="auto"/>
          <w:szCs w:val="21"/>
          <w:highlight w:val="none"/>
          <w:u w:val="single"/>
        </w:rPr>
        <w:t>推迟，每逾期一天，承包人应向发包人支付人民币伍拾万元的违约金，发包人有权在应支付给承包人的工程款项中直接扣除该违约金。</w:t>
      </w:r>
    </w:p>
    <w:p w14:paraId="461405E7">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lang w:val="en-US" w:eastAsia="zh-CN"/>
        </w:rPr>
        <w:t>39</w:t>
      </w:r>
      <w:r>
        <w:rPr>
          <w:rFonts w:cs="宋体" w:asciiTheme="minorEastAsia" w:hAnsiTheme="minorEastAsia" w:eastAsiaTheme="minorEastAsia"/>
          <w:color w:val="auto"/>
          <w:szCs w:val="21"/>
          <w:highlight w:val="none"/>
          <w:u w:val="single"/>
        </w:rPr>
        <w:t>、发包人不接受由于承包人对工程范围的理解存在偏差而导致的任何索赔。</w:t>
      </w:r>
    </w:p>
    <w:p w14:paraId="5160ECB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4</w:t>
      </w:r>
      <w:r>
        <w:rPr>
          <w:rFonts w:hint="eastAsia" w:cs="宋体" w:asciiTheme="minorEastAsia" w:hAnsiTheme="minorEastAsia" w:eastAsiaTheme="minorEastAsia"/>
          <w:color w:val="auto"/>
          <w:szCs w:val="21"/>
          <w:highlight w:val="none"/>
          <w:u w:val="single"/>
          <w:lang w:val="en-US" w:eastAsia="zh-CN"/>
        </w:rPr>
        <w:t>0</w:t>
      </w:r>
      <w:r>
        <w:rPr>
          <w:rFonts w:cs="宋体" w:asciiTheme="minorEastAsia" w:hAnsiTheme="minorEastAsia" w:eastAsiaTheme="minorEastAsia"/>
          <w:color w:val="auto"/>
          <w:szCs w:val="21"/>
          <w:highlight w:val="none"/>
          <w:u w:val="single"/>
        </w:rPr>
        <w:t>、承包人未经发包人同意，擅自断水、断电以及阻碍发包人及第三方工作的，发包人除按合同其他约定执行外，还有权每一次额外对承包人追究5万元违约金。</w:t>
      </w:r>
    </w:p>
    <w:p w14:paraId="0D9A81C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4</w:t>
      </w:r>
      <w:r>
        <w:rPr>
          <w:rFonts w:hint="eastAsia" w:cs="宋体" w:asciiTheme="minorEastAsia" w:hAnsiTheme="minorEastAsia" w:eastAsiaTheme="minorEastAsia"/>
          <w:color w:val="auto"/>
          <w:szCs w:val="21"/>
          <w:highlight w:val="none"/>
          <w:u w:val="single"/>
          <w:lang w:val="en-US" w:eastAsia="zh-CN"/>
        </w:rPr>
        <w:t>1</w:t>
      </w:r>
      <w:r>
        <w:rPr>
          <w:rFonts w:cs="宋体" w:asciiTheme="minorEastAsia" w:hAnsiTheme="minorEastAsia" w:eastAsiaTheme="minorEastAsia"/>
          <w:color w:val="auto"/>
          <w:szCs w:val="21"/>
          <w:highlight w:val="none"/>
          <w:u w:val="single"/>
        </w:rPr>
        <w:t>、合同的终止：除质量保修工作的约定外，发包人承包人履行合同全部义务，竣工结算价款支付完毕，承包人向发包人交付竣工工程后，本合同即告终止。合同的权利义务终止后，发包人承包人应当遵循诚实信用原则，履行通知、协助、保密等义务。</w:t>
      </w:r>
    </w:p>
    <w:p w14:paraId="174448F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4</w:t>
      </w:r>
      <w:r>
        <w:rPr>
          <w:rFonts w:hint="eastAsia" w:cs="宋体" w:asciiTheme="minorEastAsia" w:hAnsiTheme="minorEastAsia" w:eastAsiaTheme="minorEastAsia"/>
          <w:color w:val="auto"/>
          <w:szCs w:val="21"/>
          <w:highlight w:val="none"/>
          <w:u w:val="single"/>
          <w:lang w:val="en-US" w:eastAsia="zh-CN"/>
        </w:rPr>
        <w:t>2</w:t>
      </w:r>
      <w:r>
        <w:rPr>
          <w:rFonts w:cs="宋体" w:asciiTheme="minorEastAsia" w:hAnsiTheme="minorEastAsia" w:eastAsiaTheme="minorEastAsia"/>
          <w:color w:val="auto"/>
          <w:szCs w:val="21"/>
          <w:highlight w:val="none"/>
          <w:u w:val="single"/>
        </w:rPr>
        <w:t>、承包人报认价单要求：认价依据清晰，未附认价依据或依据不清晰的不予接收。已经上报的认价单不允许随意撤回，确有原因需要撤回的，需将撤回原因描述清楚，并经监理单位、发包人现场工程师和项目经理审核签字后撤回。认价单撤回后无特殊原因不得重新上报。</w:t>
      </w:r>
    </w:p>
    <w:p w14:paraId="5254D266">
      <w:pPr>
        <w:tabs>
          <w:tab w:val="left" w:pos="808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4</w:t>
      </w:r>
      <w:r>
        <w:rPr>
          <w:rFonts w:hint="eastAsia" w:cs="宋体" w:asciiTheme="minorEastAsia" w:hAnsiTheme="minorEastAsia" w:eastAsiaTheme="minorEastAsia"/>
          <w:color w:val="auto"/>
          <w:szCs w:val="21"/>
          <w:highlight w:val="none"/>
          <w:u w:val="single"/>
          <w:lang w:val="en-US" w:eastAsia="zh-CN"/>
        </w:rPr>
        <w:t>3</w:t>
      </w:r>
      <w:r>
        <w:rPr>
          <w:rFonts w:cs="宋体" w:asciiTheme="minorEastAsia" w:hAnsiTheme="minorEastAsia" w:eastAsiaTheme="minorEastAsia"/>
          <w:color w:val="auto"/>
          <w:szCs w:val="21"/>
          <w:highlight w:val="none"/>
          <w:u w:val="single"/>
        </w:rPr>
        <w:t>、关于质量、安全、农民工工资发放等重大问题的罚款：</w:t>
      </w:r>
      <w:r>
        <w:rPr>
          <w:rFonts w:hint="eastAsia" w:cs="宋体" w:asciiTheme="minorEastAsia" w:hAnsiTheme="minorEastAsia" w:eastAsiaTheme="minorEastAsia"/>
          <w:color w:val="auto"/>
          <w:szCs w:val="21"/>
          <w:highlight w:val="none"/>
          <w:u w:val="single"/>
        </w:rPr>
        <w:fldChar w:fldCharType="begin"/>
      </w:r>
      <w:r>
        <w:rPr>
          <w:rFonts w:cs="宋体" w:asciiTheme="minorEastAsia" w:hAnsiTheme="minorEastAsia" w:eastAsiaTheme="minorEastAsia"/>
          <w:color w:val="auto"/>
          <w:szCs w:val="21"/>
          <w:highlight w:val="none"/>
          <w:u w:val="single"/>
        </w:rPr>
        <w:instrText xml:space="preserve">= 1 \* GB3</w:instrText>
      </w:r>
      <w:r>
        <w:rPr>
          <w:rFonts w:hint="eastAsia" w:cs="宋体" w:asciiTheme="minorEastAsia" w:hAnsiTheme="minorEastAsia" w:eastAsiaTheme="minorEastAsia"/>
          <w:color w:val="auto"/>
          <w:szCs w:val="21"/>
          <w:highlight w:val="none"/>
          <w:u w:val="single"/>
        </w:rPr>
        <w:fldChar w:fldCharType="separate"/>
      </w:r>
      <w:r>
        <w:rPr>
          <w:rFonts w:hint="eastAsia" w:cs="宋体" w:asciiTheme="minorEastAsia" w:hAnsiTheme="minorEastAsia" w:eastAsiaTheme="minorEastAsia"/>
          <w:color w:val="auto"/>
          <w:szCs w:val="21"/>
          <w:highlight w:val="none"/>
          <w:u w:val="single"/>
        </w:rPr>
        <w:t>①</w:t>
      </w:r>
      <w:r>
        <w:rPr>
          <w:rFonts w:hint="eastAsia" w:cs="宋体" w:asciiTheme="minorEastAsia" w:hAnsiTheme="minorEastAsia" w:eastAsiaTheme="minorEastAsia"/>
          <w:color w:val="auto"/>
          <w:szCs w:val="21"/>
          <w:highlight w:val="none"/>
          <w:u w:val="single"/>
        </w:rPr>
        <w:fldChar w:fldCharType="end"/>
      </w:r>
      <w:r>
        <w:rPr>
          <w:rFonts w:hint="eastAsia" w:cs="宋体" w:asciiTheme="minorEastAsia" w:hAnsiTheme="minorEastAsia" w:eastAsiaTheme="minorEastAsia"/>
          <w:color w:val="auto"/>
          <w:szCs w:val="21"/>
          <w:highlight w:val="none"/>
          <w:u w:val="single"/>
        </w:rPr>
        <w:t>若出现以下质量、安全、农民工工资发放问题，按以下罚款约定从承包人工程进度款中直接扣除：</w:t>
      </w:r>
      <w:r>
        <w:rPr>
          <w:rFonts w:cs="宋体" w:asciiTheme="minorEastAsia" w:hAnsiTheme="minorEastAsia" w:eastAsiaTheme="minorEastAsia"/>
          <w:color w:val="auto"/>
          <w:szCs w:val="21"/>
          <w:highlight w:val="none"/>
          <w:u w:val="single"/>
        </w:rPr>
        <w:t>1、质量事故：质量低劣或达不到质量标准，需要加固修补，直接经济损失（包括修复费用）在20万以上的事故。直接经济损失在20--50万之间，一次性罚款10万；直接经济损失在50-150万，一次罚款20万；直接经济损失150万-300万，一次罚款30万；直接经济损失在300万以上的，一次罚款经济损失的20%。</w:t>
      </w:r>
      <w:r>
        <w:rPr>
          <w:rFonts w:hint="eastAsia" w:cs="宋体" w:asciiTheme="minorEastAsia" w:hAnsiTheme="minorEastAsia" w:eastAsiaTheme="minorEastAsia"/>
          <w:color w:val="auto"/>
          <w:szCs w:val="21"/>
          <w:highlight w:val="none"/>
          <w:u w:val="single"/>
        </w:rPr>
        <w:fldChar w:fldCharType="begin"/>
      </w:r>
      <w:r>
        <w:rPr>
          <w:rFonts w:cs="宋体" w:asciiTheme="minorEastAsia" w:hAnsiTheme="minorEastAsia" w:eastAsiaTheme="minorEastAsia"/>
          <w:color w:val="auto"/>
          <w:szCs w:val="21"/>
          <w:highlight w:val="none"/>
          <w:u w:val="single"/>
        </w:rPr>
        <w:instrText xml:space="preserve">= 2 \* GB3</w:instrText>
      </w:r>
      <w:r>
        <w:rPr>
          <w:rFonts w:hint="eastAsia" w:cs="宋体" w:asciiTheme="minorEastAsia" w:hAnsiTheme="minorEastAsia" w:eastAsiaTheme="minorEastAsia"/>
          <w:color w:val="auto"/>
          <w:szCs w:val="21"/>
          <w:highlight w:val="none"/>
          <w:u w:val="single"/>
        </w:rPr>
        <w:fldChar w:fldCharType="separate"/>
      </w:r>
      <w:r>
        <w:rPr>
          <w:rFonts w:hint="eastAsia" w:cs="宋体" w:asciiTheme="minorEastAsia" w:hAnsiTheme="minorEastAsia" w:eastAsiaTheme="minorEastAsia"/>
          <w:color w:val="auto"/>
          <w:szCs w:val="21"/>
          <w:highlight w:val="none"/>
          <w:u w:val="single"/>
        </w:rPr>
        <w:t>②</w:t>
      </w:r>
      <w:r>
        <w:rPr>
          <w:rFonts w:hint="eastAsia" w:cs="宋体" w:asciiTheme="minorEastAsia" w:hAnsiTheme="minorEastAsia" w:eastAsiaTheme="minorEastAsia"/>
          <w:color w:val="auto"/>
          <w:szCs w:val="21"/>
          <w:highlight w:val="none"/>
          <w:u w:val="single"/>
        </w:rPr>
        <w:fldChar w:fldCharType="end"/>
      </w:r>
      <w:r>
        <w:rPr>
          <w:rFonts w:hint="eastAsia" w:cs="宋体" w:asciiTheme="minorEastAsia" w:hAnsiTheme="minorEastAsia" w:eastAsiaTheme="minorEastAsia"/>
          <w:color w:val="auto"/>
          <w:szCs w:val="21"/>
          <w:highlight w:val="none"/>
          <w:u w:val="single"/>
        </w:rPr>
        <w:t>、出现安全事故，视轻重：发生发生重伤以下的生产安全事故，一起事故罚款</w:t>
      </w:r>
      <w:r>
        <w:rPr>
          <w:rFonts w:cs="宋体" w:asciiTheme="minorEastAsia" w:hAnsiTheme="minorEastAsia" w:eastAsiaTheme="minorEastAsia"/>
          <w:color w:val="auto"/>
          <w:szCs w:val="21"/>
          <w:highlight w:val="none"/>
          <w:u w:val="single"/>
        </w:rPr>
        <w:t xml:space="preserve">5万；发生1-2人重伤，或直接经济损失低于50万元的生产安全事故，一起事故罚款10万；发生人员死亡或3人以上重伤，或直接经济损失超过50万元（含）的生产安全事故，一起事故罚款15万。出现问题未积极解决或后续处理不到位造成上访或诉讼另罚10万元。 </w:t>
      </w:r>
      <w:r>
        <w:rPr>
          <w:rFonts w:hint="eastAsia" w:cs="宋体" w:asciiTheme="minorEastAsia" w:hAnsiTheme="minorEastAsia" w:eastAsiaTheme="minorEastAsia"/>
          <w:color w:val="auto"/>
          <w:szCs w:val="21"/>
          <w:highlight w:val="none"/>
          <w:u w:val="single"/>
        </w:rPr>
        <w:fldChar w:fldCharType="begin"/>
      </w:r>
      <w:r>
        <w:rPr>
          <w:rFonts w:cs="宋体" w:asciiTheme="minorEastAsia" w:hAnsiTheme="minorEastAsia" w:eastAsiaTheme="minorEastAsia"/>
          <w:color w:val="auto"/>
          <w:szCs w:val="21"/>
          <w:highlight w:val="none"/>
          <w:u w:val="single"/>
        </w:rPr>
        <w:instrText xml:space="preserve">= 3 \* GB3</w:instrText>
      </w:r>
      <w:r>
        <w:rPr>
          <w:rFonts w:hint="eastAsia" w:cs="宋体" w:asciiTheme="minorEastAsia" w:hAnsiTheme="minorEastAsia" w:eastAsiaTheme="minorEastAsia"/>
          <w:color w:val="auto"/>
          <w:szCs w:val="21"/>
          <w:highlight w:val="none"/>
          <w:u w:val="single"/>
        </w:rPr>
        <w:fldChar w:fldCharType="separate"/>
      </w:r>
      <w:r>
        <w:rPr>
          <w:rFonts w:hint="eastAsia" w:cs="宋体" w:asciiTheme="minorEastAsia" w:hAnsiTheme="minorEastAsia" w:eastAsiaTheme="minorEastAsia"/>
          <w:color w:val="auto"/>
          <w:szCs w:val="21"/>
          <w:highlight w:val="none"/>
          <w:u w:val="single"/>
        </w:rPr>
        <w:t>③</w:t>
      </w:r>
      <w:r>
        <w:rPr>
          <w:rFonts w:hint="eastAsia" w:cs="宋体" w:asciiTheme="minorEastAsia" w:hAnsiTheme="minorEastAsia" w:eastAsiaTheme="minorEastAsia"/>
          <w:color w:val="auto"/>
          <w:szCs w:val="21"/>
          <w:highlight w:val="none"/>
          <w:u w:val="single"/>
        </w:rPr>
        <w:fldChar w:fldCharType="end"/>
      </w:r>
      <w:r>
        <w:rPr>
          <w:rFonts w:hint="eastAsia" w:cs="宋体" w:asciiTheme="minorEastAsia" w:hAnsiTheme="minorEastAsia" w:eastAsiaTheme="minorEastAsia"/>
          <w:color w:val="auto"/>
          <w:szCs w:val="21"/>
          <w:highlight w:val="none"/>
          <w:u w:val="single"/>
        </w:rPr>
        <w:t>、因农民工工资发放问题向公司、集团及相关劳动部门上访维权：一次罚款</w:t>
      </w:r>
      <w:r>
        <w:rPr>
          <w:rFonts w:cs="宋体" w:asciiTheme="minorEastAsia" w:hAnsiTheme="minorEastAsia" w:eastAsiaTheme="minorEastAsia"/>
          <w:color w:val="auto"/>
          <w:szCs w:val="21"/>
          <w:highlight w:val="none"/>
          <w:u w:val="single"/>
        </w:rPr>
        <w:t>20万元。</w:t>
      </w:r>
    </w:p>
    <w:p w14:paraId="36A9539B">
      <w:pPr>
        <w:pStyle w:val="109"/>
        <w:adjustRightInd w:val="0"/>
        <w:snapToGrid w:val="0"/>
        <w:spacing w:line="500" w:lineRule="exact"/>
        <w:ind w:firstLine="420" w:firstLineChars="200"/>
        <w:outlineLvl w:val="9"/>
        <w:rPr>
          <w:rFonts w:hint="eastAsia" w:cs="宋体" w:asciiTheme="minorEastAsia" w:hAnsiTheme="minorEastAsia" w:eastAsiaTheme="minorEastAsia"/>
          <w:b w:val="0"/>
          <w:color w:val="auto"/>
          <w:sz w:val="21"/>
          <w:szCs w:val="21"/>
          <w:highlight w:val="none"/>
          <w:u w:val="single"/>
          <w:lang w:eastAsia="zh-CN"/>
        </w:rPr>
      </w:pPr>
      <w:r>
        <w:rPr>
          <w:rFonts w:cs="宋体" w:asciiTheme="minorEastAsia" w:hAnsiTheme="minorEastAsia" w:eastAsiaTheme="minorEastAsia"/>
          <w:b w:val="0"/>
          <w:color w:val="auto"/>
          <w:sz w:val="21"/>
          <w:szCs w:val="21"/>
          <w:highlight w:val="none"/>
          <w:u w:val="single"/>
        </w:rPr>
        <w:t>4</w:t>
      </w:r>
      <w:r>
        <w:rPr>
          <w:rFonts w:hint="eastAsia" w:cs="宋体" w:asciiTheme="minorEastAsia" w:hAnsiTheme="minorEastAsia" w:eastAsiaTheme="minorEastAsia"/>
          <w:b w:val="0"/>
          <w:color w:val="auto"/>
          <w:sz w:val="21"/>
          <w:szCs w:val="21"/>
          <w:highlight w:val="none"/>
          <w:u w:val="single"/>
          <w:lang w:val="en-US" w:eastAsia="zh-CN"/>
        </w:rPr>
        <w:t>4</w:t>
      </w:r>
      <w:r>
        <w:rPr>
          <w:rFonts w:cs="宋体" w:asciiTheme="minorEastAsia" w:hAnsiTheme="minorEastAsia" w:eastAsiaTheme="minorEastAsia"/>
          <w:b w:val="0"/>
          <w:color w:val="auto"/>
          <w:sz w:val="21"/>
          <w:szCs w:val="21"/>
          <w:highlight w:val="none"/>
          <w:u w:val="single"/>
        </w:rPr>
        <w:t>、本项目发包人现场提供的临电设施</w:t>
      </w:r>
      <w:r>
        <w:rPr>
          <w:rFonts w:hint="eastAsia" w:cs="宋体" w:asciiTheme="minorEastAsia" w:hAnsiTheme="minorEastAsia" w:eastAsiaTheme="minorEastAsia"/>
          <w:b w:val="0"/>
          <w:color w:val="auto"/>
          <w:sz w:val="21"/>
          <w:szCs w:val="21"/>
          <w:highlight w:val="none"/>
          <w:u w:val="single"/>
          <w:lang w:val="en-US" w:eastAsia="zh-CN"/>
        </w:rPr>
        <w:t>由承包人进行日常维护</w:t>
      </w:r>
      <w:r>
        <w:rPr>
          <w:rFonts w:cs="宋体" w:asciiTheme="minorEastAsia" w:hAnsiTheme="minorEastAsia" w:eastAsiaTheme="minorEastAsia"/>
          <w:b w:val="0"/>
          <w:color w:val="auto"/>
          <w:sz w:val="21"/>
          <w:szCs w:val="21"/>
          <w:highlight w:val="none"/>
          <w:u w:val="single"/>
        </w:rPr>
        <w:t>，包括线路巡检、日常维护、下雨积水处理等工作内容，</w:t>
      </w:r>
      <w:r>
        <w:rPr>
          <w:rFonts w:hint="eastAsia" w:cs="宋体" w:asciiTheme="minorEastAsia" w:hAnsiTheme="minorEastAsia" w:eastAsiaTheme="minorEastAsia"/>
          <w:b w:val="0"/>
          <w:color w:val="auto"/>
          <w:sz w:val="21"/>
          <w:szCs w:val="21"/>
          <w:highlight w:val="none"/>
          <w:u w:val="single"/>
          <w:lang w:eastAsia="zh-CN"/>
        </w:rPr>
        <w:t>维护费用已综合考虑在报价中。</w:t>
      </w:r>
    </w:p>
    <w:p w14:paraId="79EEE87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4</w:t>
      </w:r>
      <w:r>
        <w:rPr>
          <w:rFonts w:hint="eastAsia" w:cs="宋体" w:asciiTheme="minorEastAsia" w:hAnsiTheme="minorEastAsia" w:eastAsiaTheme="minorEastAsia"/>
          <w:color w:val="auto"/>
          <w:szCs w:val="21"/>
          <w:highlight w:val="none"/>
          <w:u w:val="single"/>
          <w:lang w:val="en-US" w:eastAsia="zh-CN"/>
        </w:rPr>
        <w:t>5</w:t>
      </w:r>
      <w:r>
        <w:rPr>
          <w:rFonts w:cs="宋体" w:asciiTheme="minorEastAsia" w:hAnsiTheme="minorEastAsia" w:eastAsiaTheme="minorEastAsia"/>
          <w:color w:val="auto"/>
          <w:szCs w:val="21"/>
          <w:highlight w:val="none"/>
          <w:u w:val="single"/>
        </w:rPr>
        <w:t>、土方工程施工前须由承包人、监理人、发包人现场代表人员三方共同测量或经发包人委托的第三方进行共同测量，形成原始资料，保留影像资料，各方对测量原始数据签字确认，第三方测量机构根据原始数据出具报告，并由实施单位在资料上</w:t>
      </w:r>
      <w:r>
        <w:rPr>
          <w:rFonts w:hint="eastAsia" w:cs="宋体" w:asciiTheme="minorEastAsia" w:hAnsiTheme="minorEastAsia" w:eastAsiaTheme="minorEastAsia"/>
          <w:color w:val="auto"/>
          <w:szCs w:val="21"/>
          <w:highlight w:val="none"/>
          <w:u w:val="single"/>
          <w:lang w:eastAsia="zh-CN"/>
        </w:rPr>
        <w:t>注</w:t>
      </w:r>
      <w:r>
        <w:rPr>
          <w:rFonts w:cs="宋体" w:asciiTheme="minorEastAsia" w:hAnsiTheme="minorEastAsia" w:eastAsiaTheme="minorEastAsia"/>
          <w:color w:val="auto"/>
          <w:szCs w:val="21"/>
          <w:highlight w:val="none"/>
          <w:u w:val="single"/>
        </w:rPr>
        <w:t>明土方工程的大开挖、外运或外购应说明具体部位，附原始地貌方格网，根据原始资料承包人实施前提供经监理、建设单位审批的土方施工方案，支付进度款的依据和施工完成后的实际执行方案（结算依据），如有比设计文件所示范围超挖的现象，应说明超挖原因，影像资料明确土方处理意见。</w:t>
      </w:r>
    </w:p>
    <w:p w14:paraId="6DFD7B8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4</w:t>
      </w:r>
      <w:r>
        <w:rPr>
          <w:rFonts w:hint="eastAsia" w:cs="宋体" w:asciiTheme="minorEastAsia" w:hAnsiTheme="minorEastAsia" w:eastAsiaTheme="minorEastAsia"/>
          <w:color w:val="auto"/>
          <w:szCs w:val="21"/>
          <w:highlight w:val="none"/>
          <w:u w:val="single"/>
          <w:lang w:val="en-US" w:eastAsia="zh-CN"/>
        </w:rPr>
        <w:t>6</w:t>
      </w:r>
      <w:r>
        <w:rPr>
          <w:rFonts w:cs="宋体" w:asciiTheme="minorEastAsia" w:hAnsiTheme="minorEastAsia" w:eastAsiaTheme="minorEastAsia"/>
          <w:color w:val="auto"/>
          <w:szCs w:val="21"/>
          <w:highlight w:val="none"/>
          <w:u w:val="single"/>
        </w:rPr>
        <w:t>、因承包</w:t>
      </w:r>
      <w:r>
        <w:rPr>
          <w:rFonts w:hint="eastAsia" w:cs="宋体" w:asciiTheme="minorEastAsia" w:hAnsiTheme="minorEastAsia" w:eastAsiaTheme="minorEastAsia"/>
          <w:color w:val="auto"/>
          <w:szCs w:val="21"/>
          <w:highlight w:val="none"/>
          <w:u w:val="single"/>
          <w:lang w:eastAsia="zh-CN"/>
        </w:rPr>
        <w:t>人</w:t>
      </w:r>
      <w:r>
        <w:rPr>
          <w:rFonts w:cs="宋体" w:asciiTheme="minorEastAsia" w:hAnsiTheme="minorEastAsia" w:eastAsiaTheme="minorEastAsia"/>
          <w:color w:val="auto"/>
          <w:szCs w:val="21"/>
          <w:highlight w:val="none"/>
          <w:u w:val="single"/>
        </w:rPr>
        <w:t>上报的施工图预算价格存在较大争议，发包人及发包人委托的工程造价咨询单位未能及时确认时，承包人不得以此为由，而拒绝或延迟执行该工程施工行为。</w:t>
      </w:r>
    </w:p>
    <w:p w14:paraId="4A0C62D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4</w:t>
      </w:r>
      <w:r>
        <w:rPr>
          <w:rFonts w:hint="eastAsia" w:cs="宋体" w:asciiTheme="minorEastAsia" w:hAnsiTheme="minorEastAsia" w:eastAsiaTheme="minorEastAsia"/>
          <w:color w:val="auto"/>
          <w:szCs w:val="21"/>
          <w:highlight w:val="none"/>
          <w:u w:val="single"/>
          <w:lang w:val="en-US" w:eastAsia="zh-CN"/>
        </w:rPr>
        <w:t>7</w:t>
      </w:r>
      <w:r>
        <w:rPr>
          <w:rFonts w:cs="宋体" w:asciiTheme="minorEastAsia" w:hAnsiTheme="minorEastAsia" w:eastAsiaTheme="minorEastAsia"/>
          <w:color w:val="auto"/>
          <w:szCs w:val="21"/>
          <w:highlight w:val="none"/>
          <w:u w:val="single"/>
        </w:rPr>
        <w:t>、发包人每半年对承包人进行履约评价，评价表详见附件。</w:t>
      </w:r>
    </w:p>
    <w:p w14:paraId="2ADD938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lang w:val="en-US" w:eastAsia="zh-CN"/>
        </w:rPr>
        <w:t>48</w:t>
      </w:r>
      <w:r>
        <w:rPr>
          <w:rFonts w:cs="宋体" w:asciiTheme="minorEastAsia" w:hAnsiTheme="minorEastAsia" w:eastAsiaTheme="minorEastAsia"/>
          <w:color w:val="auto"/>
          <w:szCs w:val="21"/>
          <w:highlight w:val="none"/>
          <w:u w:val="single"/>
        </w:rPr>
        <w:t>、材料认质认价管理：</w:t>
      </w:r>
    </w:p>
    <w:p w14:paraId="1445BCE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u w:val="single"/>
        </w:rPr>
        <w:t>所有需要认质认价的材料，均需要先完成认质（材质、产地、生产日期等），承包人向发包人和监理人提供实物样品，进行实物封样，施工前完成材料封样单的签章确认，具体要求如下：</w:t>
      </w:r>
    </w:p>
    <w:p w14:paraId="71BC777E">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封样材料实物应有完整的外包装，外包装上应有清晰的产品信息，包括但不限于：产品名称、生产厂家、规格型号、色号、系列号等详细说明。</w:t>
      </w:r>
    </w:p>
    <w:p w14:paraId="7A518A2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材料封样单应有附件，包括但不限于：产品合格证、检验报告、说明书等证明文件。材料封样单及附件应分类归档，永久保存，同时形成电子文档，各方留存。</w:t>
      </w:r>
    </w:p>
    <w:p w14:paraId="02496DEF">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u w:val="single"/>
        </w:rPr>
        <w:t>认质认价材料进场时，应核对材料封样单，严格履行报验制度，具体要求如下：</w:t>
      </w:r>
    </w:p>
    <w:p w14:paraId="5C8D593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材料封样没有完成的材料，不得进场，不得用于施工。</w:t>
      </w:r>
    </w:p>
    <w:p w14:paraId="283549B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材料进场时，应有完整的产品外包装，包装上应有清晰的产品信息，包括但不限于：产品名称、生产厂家、规格型号、色号、系列号等详细说明。</w:t>
      </w:r>
    </w:p>
    <w:p w14:paraId="51B3196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任何首批材料进场时，应同时提供材质证明文件，且必须通知甲方到场验收（其他参与验收的单位按约定执行），核对进场材料是否与封样材料一致，如果不一致不相同，应立即退场或者封存。</w:t>
      </w:r>
    </w:p>
    <w:p w14:paraId="5AB85E6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施工期间，所有任何进场材料必须经过报验，否则不得进场，如果发现实际使用的材料与封样材料不一致不相同，处理办法如下：首先，立即停工，监理发出停工通知，剩余材料退场，发现一次处罚</w:t>
      </w:r>
      <w:r>
        <w:rPr>
          <w:rFonts w:cs="宋体" w:asciiTheme="minorEastAsia" w:hAnsiTheme="minorEastAsia" w:eastAsiaTheme="minorEastAsia"/>
          <w:color w:val="auto"/>
          <w:szCs w:val="21"/>
          <w:highlight w:val="none"/>
          <w:u w:val="single"/>
        </w:rPr>
        <w:t>10000元；其次，对已经用于施工的材料应立即拆除或者清理；最后，对于无法拆除清理或者需要更换的材料，重新办理材料封样，材料封样单签章确认完成后再复工。</w:t>
      </w:r>
    </w:p>
    <w:p w14:paraId="32C637E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用于封样的材料不额外计费，不得挪作他用，不得调换，不得用于试验检测。</w:t>
      </w:r>
    </w:p>
    <w:p w14:paraId="40F0560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分部工程完工后</w:t>
      </w:r>
      <w:r>
        <w:rPr>
          <w:rFonts w:cs="宋体" w:asciiTheme="minorEastAsia" w:hAnsiTheme="minorEastAsia" w:eastAsiaTheme="minorEastAsia"/>
          <w:color w:val="auto"/>
          <w:szCs w:val="21"/>
          <w:highlight w:val="none"/>
          <w:u w:val="single"/>
        </w:rPr>
        <w:t>30天内，承包人应出具材料认质认价结束证明，作为认质认价工作终止的证明。</w:t>
      </w:r>
    </w:p>
    <w:p w14:paraId="3B6CB1F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w:t>
      </w:r>
      <w:r>
        <w:rPr>
          <w:rFonts w:hint="eastAsia" w:cs="宋体" w:asciiTheme="minorEastAsia" w:hAnsiTheme="minorEastAsia" w:eastAsiaTheme="minorEastAsia"/>
          <w:color w:val="auto"/>
          <w:szCs w:val="21"/>
          <w:highlight w:val="none"/>
          <w:u w:val="single"/>
        </w:rPr>
        <w:t>承包人在现场项目部应建立样品室，分类存放全部封样材料，封样材料的所有权属于承包人，施工期间由发包人管理，完工后由承包人保存至竣工结算完成。</w:t>
      </w:r>
    </w:p>
    <w:p w14:paraId="43DCE7A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4）</w:t>
      </w:r>
      <w:r>
        <w:rPr>
          <w:rFonts w:hint="eastAsia" w:cs="宋体" w:asciiTheme="minorEastAsia" w:hAnsiTheme="minorEastAsia" w:eastAsiaTheme="minorEastAsia"/>
          <w:color w:val="auto"/>
          <w:szCs w:val="21"/>
          <w:highlight w:val="none"/>
          <w:u w:val="single"/>
        </w:rPr>
        <w:t>除地材、钢筋按照正常的报验、试验进行验收外，其余材料均实行封样认质管理，且与认质认价材料的封样认质管理制度相同，具体的材料范围和办法以发包人要求为准。</w:t>
      </w:r>
    </w:p>
    <w:p w14:paraId="7F5A402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5）</w:t>
      </w:r>
      <w:r>
        <w:rPr>
          <w:rFonts w:hint="eastAsia" w:cs="宋体" w:asciiTheme="minorEastAsia" w:hAnsiTheme="minorEastAsia" w:eastAsiaTheme="minorEastAsia"/>
          <w:color w:val="auto"/>
          <w:szCs w:val="21"/>
          <w:highlight w:val="none"/>
          <w:u w:val="single"/>
        </w:rPr>
        <w:t>认质认价单编制时，内容应完整、齐全，具有可追溯性。施工位置应写明图纸索引的图号、标注施工位置、开始施工时间，同时附相应的图纸做法。如果实物材料名称与图纸材料名称不相符，应在备注位置注明图纸材料名称。材料品牌、规格、型号应包括但不限于：产品名称、生产厂家、规格型号、色号、系列号等详细说明。</w:t>
      </w:r>
    </w:p>
    <w:p w14:paraId="75ABB6A3">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 xml:space="preserve"> </w:t>
      </w:r>
      <w:r>
        <w:rPr>
          <w:rFonts w:hint="eastAsia" w:cs="宋体" w:asciiTheme="minorEastAsia" w:hAnsiTheme="minorEastAsia" w:eastAsiaTheme="minorEastAsia"/>
          <w:color w:val="auto"/>
          <w:szCs w:val="21"/>
          <w:highlight w:val="none"/>
          <w:u w:val="single"/>
          <w:lang w:val="en-US" w:eastAsia="zh-CN"/>
        </w:rPr>
        <w:t>49</w:t>
      </w:r>
      <w:r>
        <w:rPr>
          <w:rFonts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rPr>
        <w:t>本工程正式电梯检测合格并投入使用后，承包人才能停用施工电梯。并负责对正式电梯进行日常运行维护。正式电梯未启用引起承包人人工搬运材料等费用包含在投标报价中。变配电室等先于整体工程竣工验收前完成的，其看管及维护责任由承包人负责。承包配备人员必须严格按照操作规程进行操作。电梯工应做好电梯的例行维护、保养和设备清洁卫生，做好电梯运行记录和交接班。高压运行工必须持有国家统一颁发的有效电工操作证。严守岗位，不得擅自离开。总包单位在电梯验收后运行过程中需配专人进行看护及运行维护（因使用不当或强度过大造成的超出电梯厂家维保范围外的维保费用由总包单位承担），直至符合交工条件。以上工作产生的费用承包人已考虑在投标报价中，结算时不另外计取任何费用。</w:t>
      </w:r>
    </w:p>
    <w:p w14:paraId="2CEC5442">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lang w:val="en-US" w:eastAsia="zh-CN"/>
        </w:rPr>
        <w:t>50</w:t>
      </w:r>
      <w:r>
        <w:rPr>
          <w:rFonts w:hint="eastAsia" w:cs="宋体" w:asciiTheme="minorEastAsia" w:hAnsiTheme="minorEastAsia" w:eastAsiaTheme="minorEastAsia"/>
          <w:color w:val="auto"/>
          <w:szCs w:val="21"/>
          <w:highlight w:val="none"/>
          <w:u w:val="single"/>
        </w:rPr>
        <w:t>、（1）承包人需自行踏勘项目现场，根据项目周边实际市政道路情况，自行协调外部道路，相关费用已综合考虑在承包人报价中。周边市政给水及雨污水管道尚未接通，承包人应自行解决施工、生活用水及排污问题，相关费用承包人自行承担。</w:t>
      </w:r>
    </w:p>
    <w:p w14:paraId="4B72598D">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（2）承包人需负责材料、设备的看护工作，配合配套单位（如自来水单位、供电局单位、天然气单位、供热单位）的施工工作及现场材料的看护工作。</w:t>
      </w:r>
    </w:p>
    <w:p w14:paraId="4DD524DA">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（3）因场地有限，承包人生活</w:t>
      </w:r>
      <w:r>
        <w:rPr>
          <w:rFonts w:hint="eastAsia" w:cs="宋体" w:asciiTheme="minorEastAsia" w:hAnsiTheme="minorEastAsia" w:eastAsiaTheme="minorEastAsia"/>
          <w:color w:val="auto"/>
          <w:szCs w:val="21"/>
          <w:highlight w:val="none"/>
          <w:u w:val="single"/>
          <w:lang w:eastAsia="zh-CN"/>
        </w:rPr>
        <w:t>及办公</w:t>
      </w:r>
      <w:r>
        <w:rPr>
          <w:rFonts w:hint="eastAsia" w:cs="宋体" w:asciiTheme="minorEastAsia" w:hAnsiTheme="minorEastAsia" w:eastAsiaTheme="minorEastAsia"/>
          <w:color w:val="auto"/>
          <w:szCs w:val="21"/>
          <w:highlight w:val="none"/>
          <w:u w:val="single"/>
        </w:rPr>
        <w:t>区须设置在红线外，相关费用由承包人承担。承包人</w:t>
      </w:r>
      <w:r>
        <w:rPr>
          <w:rFonts w:hint="eastAsia" w:cs="宋体" w:asciiTheme="minorEastAsia" w:hAnsiTheme="minorEastAsia" w:eastAsiaTheme="minorEastAsia"/>
          <w:color w:val="auto"/>
          <w:szCs w:val="21"/>
          <w:highlight w:val="none"/>
          <w:u w:val="single"/>
          <w:lang w:eastAsia="zh-CN"/>
        </w:rPr>
        <w:t>生活及</w:t>
      </w:r>
      <w:r>
        <w:rPr>
          <w:rFonts w:hint="eastAsia" w:cs="宋体" w:asciiTheme="minorEastAsia" w:hAnsiTheme="minorEastAsia" w:eastAsiaTheme="minorEastAsia"/>
          <w:color w:val="auto"/>
          <w:szCs w:val="21"/>
          <w:highlight w:val="none"/>
          <w:u w:val="single"/>
        </w:rPr>
        <w:t>办公区因现场施工或政府部门要求原因需要全部或部分拆除搬迁，承包人应无条件配合，相关费用由承包人承担。</w:t>
      </w:r>
    </w:p>
    <w:p w14:paraId="3EE66E9C">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（4）若有超大叠合板等构件的相关措施费已综合考虑在承包人报价中，不再另外计取。</w:t>
      </w:r>
    </w:p>
    <w:p w14:paraId="5483B1BD">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5</w:t>
      </w:r>
      <w:r>
        <w:rPr>
          <w:rFonts w:hint="eastAsia" w:cs="宋体" w:asciiTheme="minorEastAsia" w:hAnsiTheme="minorEastAsia" w:eastAsiaTheme="minorEastAsia"/>
          <w:color w:val="auto"/>
          <w:szCs w:val="21"/>
          <w:highlight w:val="none"/>
          <w:u w:val="single"/>
          <w:lang w:val="en-US" w:eastAsia="zh-CN"/>
        </w:rPr>
        <w:t>1</w:t>
      </w:r>
      <w:r>
        <w:rPr>
          <w:rFonts w:hint="eastAsia" w:cs="宋体" w:asciiTheme="minorEastAsia" w:hAnsiTheme="minorEastAsia" w:eastAsiaTheme="minorEastAsia"/>
          <w:color w:val="auto"/>
          <w:szCs w:val="21"/>
          <w:highlight w:val="none"/>
          <w:u w:val="single"/>
        </w:rPr>
        <w:t>、承包人管理要求：</w:t>
      </w:r>
    </w:p>
    <w:p w14:paraId="23750E91">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1）现场勘查要求：承包人需到施工现场针对周边环境进行详细踏勘，充分了解项目位置、地质地貌、气候与水文条件、交通状况（包含出入口的数量、位置）、电力（包括现场及周边是否有高压线通过）、上、下水、热力和天然气等市政基础设施及任何其它足以影响其施工安全性、施工方案的可实现性，以及对环保、社区或相邻环境及对相关方相邻权的影响。工程实施过程中包括但不限于所有场内道路和交通设施、地下管线（电力、给排水管，中压燃气等）的保护、清除地下障碍物（包括地下构筑物、地下建筑物、老旧基础、废弃管道、漂石等）、安全文明照管等达到施工条件相关要求所采取的各种措施和投入均由承包人负责，相关费用综合计入在投标报价中，不另行计取；承包人应充分考虑现场施工场地内的地质情况，地下附着物、构筑物等影响桩基施工的，由承包人采取措施，费用包含在投标报价中，不另行记取计取。因承包人未能充分查勘、了解前述情况或未能充分估计前述情况所可能产生后果的，承包人承担由此增加的费用和（或）延误的工期。</w:t>
      </w:r>
    </w:p>
    <w:p w14:paraId="67F7BF13">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2）工程协调：施工过程中，工程中所有需要包括并不限于与政府及市政配套部门(市建委、人防办、市政水、电、燃气、环卫、环保、消防、交通、街道、城管、公安等)沟通、协调均由承包人负责，并承担所有费用（含沟通协调费）；承包人应设有专人负责此项工作并承诺：凡是与本工程施工过程中发生的一切协调工作，由承包人项目部负责解决，做到不推诿，不找发包方麻烦，不影响工程顺利进展。不得因手续、外围关系等问题擅自停工。所有费用（含沟通协调费）由承包人承担，发包人予以配合。</w:t>
      </w:r>
    </w:p>
    <w:p w14:paraId="2BEE16B8">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3）限土令：施工单位应充分考虑限土令包括并不限于对桩基施工、主体施工、地下室基坑周边、地下室顶板土方回填关键工序的工期影响，保证合同进度约定，工期不予顺延。相关费用及罚款等综合计入在投标报价中，不另行计取。</w:t>
      </w:r>
    </w:p>
    <w:p w14:paraId="79CEB8AC">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4）无证施工：建设初期不允许无证施工，工程中所有需要包括并不限于与政府及市政配套部门(经开管委会、规划与住房城乡建设局（质监站）、综合执法局、人防办、市政水、电、燃气、环卫、环保、消防、交通、街道、城管、公安等)沟通、协调均由承包人负责，并承担所有费用（含沟通协调费），相关费用综合计入在投标报价中，不再单独记取计取；</w:t>
      </w:r>
    </w:p>
    <w:p w14:paraId="0AE054E6">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val="en-US" w:eastAsia="zh-CN"/>
        </w:rPr>
        <w:t>5</w:t>
      </w:r>
      <w:r>
        <w:rPr>
          <w:rFonts w:hint="eastAsia" w:cs="宋体" w:asciiTheme="minorEastAsia" w:hAnsiTheme="minorEastAsia" w:eastAsiaTheme="minorEastAsia"/>
          <w:color w:val="auto"/>
          <w:szCs w:val="21"/>
          <w:highlight w:val="none"/>
          <w:u w:val="single"/>
        </w:rPr>
        <w:t>）治污减霾要求：施工现场做好裸露黄土覆盖工作满足当地政府相关要求，用地红线内所有裸土部位在施工全过程中要求全部硬化或覆盖，且方案需经发包方审核后方可实施；做到“六个100%”、“七个到位”的要求。需严格按照《2023年西安市建筑工程施工扬尘8个方面加严管控40条措施》实施到位。由于政府扬尘治理检查发现施工现场问题，由承包人负责整改（费用自行承担），因此造成相关罚款由承包人承担，不影响工程顺利进展，工期不予顺延。</w:t>
      </w:r>
    </w:p>
    <w:p w14:paraId="623F6913">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val="en-US" w:eastAsia="zh-CN"/>
        </w:rPr>
        <w:t>6</w:t>
      </w:r>
      <w:r>
        <w:rPr>
          <w:rFonts w:hint="eastAsia" w:cs="宋体" w:asciiTheme="minorEastAsia" w:hAnsiTheme="minorEastAsia" w:eastAsiaTheme="minorEastAsia"/>
          <w:color w:val="auto"/>
          <w:szCs w:val="21"/>
          <w:highlight w:val="none"/>
          <w:u w:val="single"/>
        </w:rPr>
        <w:t>）承包人需及时配合发包方办理包括但不限于施工许可证，配合完成验收备案（包括不限于政府部门要求的结算备案以及配合甲指分包单位的合同及竣工备案等），若各分包工程根据政府及相关部门管理要求，需要进行备案时，总包负责配合分包完成相应的合同备案工作、三方合同的签署工作，且总包人必须按本合同约定履行总承包管理及配合的义务，相关费用已在总包服务费中包含。</w:t>
      </w:r>
    </w:p>
    <w:p w14:paraId="567E53D3">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val="en-US" w:eastAsia="zh-CN"/>
        </w:rPr>
        <w:t>7</w:t>
      </w:r>
      <w:r>
        <w:rPr>
          <w:rFonts w:hint="eastAsia" w:cs="宋体" w:asciiTheme="minorEastAsia" w:hAnsiTheme="minorEastAsia" w:eastAsiaTheme="minorEastAsia"/>
          <w:color w:val="auto"/>
          <w:szCs w:val="21"/>
          <w:highlight w:val="none"/>
          <w:u w:val="single"/>
        </w:rPr>
        <w:t>）垃圾外运：见附件《总包对各专业分包工程的管理配合内容》。</w:t>
      </w:r>
    </w:p>
    <w:p w14:paraId="24533A03">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val="en-US" w:eastAsia="zh-CN"/>
        </w:rPr>
        <w:t>8</w:t>
      </w:r>
      <w:r>
        <w:rPr>
          <w:rFonts w:hint="eastAsia" w:cs="宋体" w:asciiTheme="minorEastAsia" w:hAnsiTheme="minorEastAsia" w:eastAsiaTheme="minorEastAsia"/>
          <w:color w:val="auto"/>
          <w:szCs w:val="21"/>
          <w:highlight w:val="none"/>
          <w:u w:val="single"/>
        </w:rPr>
        <w:t>）对场地内及周边地区的围墙、周边道路和建筑物、公共设施(如地铁等)、地下管线、绿化苗木、水平控制点、监测控制点的保护及修复工作。施工过程中承包人须做好原有地下管线的保护工作。</w:t>
      </w:r>
    </w:p>
    <w:p w14:paraId="023FE9B2">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val="en-US" w:eastAsia="zh-CN"/>
        </w:rPr>
        <w:t>9</w:t>
      </w:r>
      <w:r>
        <w:rPr>
          <w:rFonts w:hint="eastAsia" w:cs="宋体" w:asciiTheme="minorEastAsia" w:hAnsiTheme="minorEastAsia" w:eastAsiaTheme="minorEastAsia"/>
          <w:color w:val="auto"/>
          <w:szCs w:val="21"/>
          <w:highlight w:val="none"/>
          <w:u w:val="single"/>
        </w:rPr>
        <w:t>）承包人负责地块内和红线外运输通行道路的卫生文明清扫，须安排专职清扫队伍。人员不少于6人/日</w:t>
      </w:r>
      <w:r>
        <w:rPr>
          <w:rFonts w:hint="eastAsia" w:cs="宋体" w:asciiTheme="minorEastAsia" w:hAnsiTheme="minorEastAsia" w:eastAsiaTheme="minorEastAsia"/>
          <w:color w:val="auto"/>
          <w:szCs w:val="21"/>
          <w:highlight w:val="none"/>
          <w:u w:val="single"/>
          <w:lang w:eastAsia="zh-CN"/>
        </w:rPr>
        <w:t>，</w:t>
      </w:r>
      <w:r>
        <w:rPr>
          <w:rFonts w:hint="eastAsia" w:cs="宋体" w:asciiTheme="minorEastAsia" w:hAnsiTheme="minorEastAsia" w:eastAsiaTheme="minorEastAsia"/>
          <w:color w:val="auto"/>
          <w:szCs w:val="21"/>
          <w:highlight w:val="none"/>
          <w:u w:val="single"/>
        </w:rPr>
        <w:t>相关费用综合计入在投标报价中，不另行计取。</w:t>
      </w:r>
    </w:p>
    <w:p w14:paraId="33F61FCA">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lang w:val="en-US" w:eastAsia="zh-CN"/>
        </w:rPr>
        <w:t>0</w:t>
      </w:r>
      <w:r>
        <w:rPr>
          <w:rFonts w:hint="eastAsia" w:cs="宋体" w:asciiTheme="minorEastAsia" w:hAnsiTheme="minorEastAsia" w:eastAsiaTheme="minorEastAsia"/>
          <w:color w:val="auto"/>
          <w:szCs w:val="21"/>
          <w:highlight w:val="none"/>
          <w:u w:val="single"/>
        </w:rPr>
        <w:t>）承包人在投标文件中明确的项目经理及主要管理人员必须符合发包人要求，且需经发包人面试合格后，方能上岗。项目经理必须专职，不得兼职其它项目管理。</w:t>
      </w:r>
    </w:p>
    <w:p w14:paraId="23D3B4B9">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lang w:val="en-US" w:eastAsia="zh-CN"/>
        </w:rPr>
        <w:t>1</w:t>
      </w:r>
      <w:r>
        <w:rPr>
          <w:rFonts w:hint="eastAsia" w:cs="宋体" w:asciiTheme="minorEastAsia" w:hAnsiTheme="minorEastAsia" w:eastAsiaTheme="minorEastAsia"/>
          <w:color w:val="auto"/>
          <w:szCs w:val="21"/>
          <w:highlight w:val="none"/>
          <w:u w:val="single"/>
        </w:rPr>
        <w:t>）承包人免费提供场地内现有的现场卫生间、外墙脚手架、塔吊、施工电梯等设备设施给分包单位使用。相关费用综合计入在投标报价中，不另行计取。</w:t>
      </w:r>
    </w:p>
    <w:p w14:paraId="4D80BE70">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lang w:val="en-US" w:eastAsia="zh-CN"/>
        </w:rPr>
        <w:t>2</w:t>
      </w:r>
      <w:r>
        <w:rPr>
          <w:rFonts w:hint="eastAsia" w:cs="宋体" w:asciiTheme="minorEastAsia" w:hAnsiTheme="minorEastAsia" w:eastAsiaTheme="minorEastAsia"/>
          <w:color w:val="auto"/>
          <w:szCs w:val="21"/>
          <w:highlight w:val="none"/>
          <w:u w:val="single"/>
        </w:rPr>
        <w:t>）承包人在施工过程中，有现场管理权和质量安全文明处罚权，但不得收取任何分包单位的安全文明保证金等一切费用。</w:t>
      </w:r>
    </w:p>
    <w:p w14:paraId="65F1C108">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lang w:val="en-US" w:eastAsia="zh-CN"/>
        </w:rPr>
        <w:t>3</w:t>
      </w:r>
      <w:r>
        <w:rPr>
          <w:rFonts w:hint="eastAsia" w:cs="宋体" w:asciiTheme="minorEastAsia" w:hAnsiTheme="minorEastAsia" w:eastAsiaTheme="minorEastAsia"/>
          <w:color w:val="auto"/>
          <w:szCs w:val="21"/>
          <w:highlight w:val="none"/>
          <w:u w:val="single"/>
        </w:rPr>
        <w:t>）承包人牵头各相关专业进行单机调试、综合联动调试及消防联动调试工作，含电梯调试。</w:t>
      </w:r>
    </w:p>
    <w:p w14:paraId="2AB74481">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lang w:val="en-US" w:eastAsia="zh-CN"/>
        </w:rPr>
        <w:t>4</w:t>
      </w:r>
      <w:r>
        <w:rPr>
          <w:rFonts w:hint="eastAsia" w:cs="宋体" w:asciiTheme="minorEastAsia" w:hAnsiTheme="minorEastAsia" w:eastAsiaTheme="minorEastAsia"/>
          <w:color w:val="auto"/>
          <w:szCs w:val="21"/>
          <w:highlight w:val="none"/>
          <w:u w:val="single"/>
        </w:rPr>
        <w:t>）承包人负责依据规范及相关部门要求完成相应各子项的技术评审、测试、检验与验收工作（如节能专项检测、水质检测、材料检测检测、防火门检测、粉刷砂浆检测等检测），并承担相应的费用；总承包人使用的甲供材料，工程施工中正常的材料检验试验费由总承包人全部承担。</w:t>
      </w:r>
    </w:p>
    <w:p w14:paraId="094D2C75">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lang w:val="en-US" w:eastAsia="zh-CN"/>
        </w:rPr>
        <w:t>5</w:t>
      </w:r>
      <w:r>
        <w:rPr>
          <w:rFonts w:hint="eastAsia" w:cs="宋体" w:asciiTheme="minorEastAsia" w:hAnsiTheme="minorEastAsia" w:eastAsiaTheme="minorEastAsia"/>
          <w:color w:val="auto"/>
          <w:szCs w:val="21"/>
          <w:highlight w:val="none"/>
          <w:u w:val="single"/>
        </w:rPr>
        <w:t>）因项目各业态开发周期及性质不同，需根据政府要求分批进行合同备案、分批验收、分批交付，承包人须配合完成相关合同备案（若需要）、分批验收、分批交付工作。因备案合同金额与承包人自施合同额差异造成的安全文明措施费、农民工保证金差额及其它额外财务成本，均应在投标报价中综合考虑，不另行计取。</w:t>
      </w:r>
    </w:p>
    <w:p w14:paraId="4D7C1814">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lang w:val="en-US" w:eastAsia="zh-CN"/>
        </w:rPr>
        <w:t>6</w:t>
      </w:r>
      <w:r>
        <w:rPr>
          <w:rFonts w:hint="eastAsia" w:cs="宋体" w:asciiTheme="minorEastAsia" w:hAnsiTheme="minorEastAsia" w:eastAsiaTheme="minorEastAsia"/>
          <w:color w:val="auto"/>
          <w:szCs w:val="21"/>
          <w:highlight w:val="none"/>
          <w:u w:val="single"/>
        </w:rPr>
        <w:t>）承包人对暂估价工程、独立承包工程、独立供应进行管理、协调及配合工作。</w:t>
      </w:r>
    </w:p>
    <w:p w14:paraId="5C178434">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lang w:val="en-US" w:eastAsia="zh-CN"/>
        </w:rPr>
        <w:t>7</w:t>
      </w:r>
      <w:r>
        <w:rPr>
          <w:rFonts w:hint="eastAsia" w:cs="宋体" w:asciiTheme="minorEastAsia" w:hAnsiTheme="minorEastAsia" w:eastAsiaTheme="minorEastAsia"/>
          <w:color w:val="auto"/>
          <w:szCs w:val="21"/>
          <w:highlight w:val="none"/>
          <w:u w:val="single"/>
        </w:rPr>
        <w:t>）承包人负责工程的竣工档案收集、整理和报验，包括暂估价工程单位和甲供材料供货单位的工程资料的收集、整理、归档、盖章、备案验收，包括所有发包人需要提供的施工记录数据，包括但不限于纸质数据、影像数据、三方协议，以及申请各类评奖、迎接各项检查所整理的资料满足档案馆要求，所有费用由承包方承担，不单独计取。</w:t>
      </w:r>
    </w:p>
    <w:p w14:paraId="21A26F55">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（1</w:t>
      </w:r>
      <w:r>
        <w:rPr>
          <w:rFonts w:hint="eastAsia" w:cs="宋体" w:asciiTheme="minorEastAsia" w:hAnsiTheme="minorEastAsia" w:eastAsiaTheme="minorEastAsia"/>
          <w:color w:val="auto"/>
          <w:szCs w:val="21"/>
          <w:highlight w:val="none"/>
          <w:u w:val="single"/>
          <w:lang w:val="en-US" w:eastAsia="zh-CN"/>
        </w:rPr>
        <w:t>8</w:t>
      </w:r>
      <w:r>
        <w:rPr>
          <w:rFonts w:hint="eastAsia" w:cs="宋体" w:asciiTheme="minorEastAsia" w:hAnsiTheme="minorEastAsia" w:eastAsiaTheme="minorEastAsia"/>
          <w:color w:val="auto"/>
          <w:szCs w:val="21"/>
          <w:highlight w:val="none"/>
          <w:u w:val="single"/>
        </w:rPr>
        <w:t>）承包人负责项目范围内一切设施之成品保护管理，所有费用包含在本次工程报价中。</w:t>
      </w:r>
    </w:p>
    <w:p w14:paraId="7D4E7AAF">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val="en-US" w:eastAsia="zh-CN"/>
        </w:rPr>
        <w:t>19</w:t>
      </w: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b/>
          <w:color w:val="auto"/>
          <w:szCs w:val="21"/>
          <w:highlight w:val="none"/>
          <w:u w:val="single"/>
        </w:rPr>
        <w:t>发包方不提供任何办公、生活场地及配套用房及伙食，需承包人自行解决，相关费用考虑在报价内。</w:t>
      </w:r>
      <w:r>
        <w:rPr>
          <w:rFonts w:hint="eastAsia" w:cs="宋体" w:asciiTheme="minorEastAsia" w:hAnsiTheme="minorEastAsia" w:eastAsiaTheme="minorEastAsia"/>
          <w:color w:val="auto"/>
          <w:szCs w:val="21"/>
          <w:highlight w:val="none"/>
          <w:u w:val="single"/>
        </w:rPr>
        <w:t>承包人在场平布置符合总体需求并获得发包人方同意的情况下可在现场搭设部分办公用房，但如后期因室外总体工程或者发包人需要搬迁时，承包人必须无条件、无偿、限时搬迁，场地硬化破除及外运均有总承包人承担，不得因此进行工期或费用索赔。承包人须在红线外自行解决生活场地及配套用房，并办理相关手续。如履约过程中因故导致配套用房搬迁，由承包人自行承担，发包人不予补偿任何费用。</w:t>
      </w:r>
    </w:p>
    <w:p w14:paraId="1A1362F4">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0</w:t>
      </w:r>
      <w:r>
        <w:rPr>
          <w:rFonts w:hint="eastAsia" w:cs="宋体" w:asciiTheme="minorEastAsia" w:hAnsiTheme="minorEastAsia" w:eastAsiaTheme="minorEastAsia"/>
          <w:color w:val="auto"/>
          <w:szCs w:val="21"/>
          <w:highlight w:val="none"/>
          <w:u w:val="single"/>
        </w:rPr>
        <w:t>）承包人须在现场设置面积不小于15㎡的样品室两间。</w:t>
      </w:r>
    </w:p>
    <w:p w14:paraId="44DEBC04">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1</w:t>
      </w:r>
      <w:r>
        <w:rPr>
          <w:rFonts w:hint="eastAsia" w:cs="宋体" w:asciiTheme="minorEastAsia" w:hAnsiTheme="minorEastAsia" w:eastAsiaTheme="minorEastAsia"/>
          <w:color w:val="auto"/>
          <w:szCs w:val="21"/>
          <w:highlight w:val="none"/>
          <w:u w:val="single"/>
        </w:rPr>
        <w:t>）发包人及监理办公区的日常保洁及垃圾清运（包括发包人办公区卫生间的日常保洁）工作相关费用在报价中综合考虑。</w:t>
      </w:r>
    </w:p>
    <w:p w14:paraId="4037AF73">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2</w:t>
      </w:r>
      <w:r>
        <w:rPr>
          <w:rFonts w:hint="eastAsia" w:cs="宋体" w:asciiTheme="minorEastAsia" w:hAnsiTheme="minorEastAsia" w:eastAsiaTheme="minorEastAsia"/>
          <w:color w:val="auto"/>
          <w:szCs w:val="21"/>
          <w:highlight w:val="none"/>
          <w:u w:val="single"/>
        </w:rPr>
        <w:t>）承包人必须严格执行住房城乡建设部办公厅关于实施《危险性较大的分部分项工程安全管理规定》,必须严格执住建部（2018）37号文《危险性较大的分部分项工程安全管理规定》，相关费用在投标报价中综合考虑，不另行计取。</w:t>
      </w:r>
    </w:p>
    <w:p w14:paraId="390B8071">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3</w:t>
      </w:r>
      <w:r>
        <w:rPr>
          <w:rFonts w:hint="eastAsia" w:cs="宋体" w:asciiTheme="minorEastAsia" w:hAnsiTheme="minorEastAsia" w:eastAsiaTheme="minorEastAsia"/>
          <w:color w:val="auto"/>
          <w:szCs w:val="21"/>
          <w:highlight w:val="none"/>
          <w:u w:val="single"/>
        </w:rPr>
        <w:t>）承包人负责场地出入口管理及与外部道路使用协调；承包人施工范围涉及红线外周边道路的铺设、拆除等工作内容，相关费用</w:t>
      </w:r>
      <w:r>
        <w:rPr>
          <w:rFonts w:hint="eastAsia" w:cs="宋体" w:asciiTheme="minorEastAsia" w:hAnsiTheme="minorEastAsia" w:eastAsiaTheme="minorEastAsia"/>
          <w:color w:val="auto"/>
          <w:szCs w:val="21"/>
          <w:highlight w:val="none"/>
          <w:u w:val="single"/>
          <w:lang w:eastAsia="zh-CN"/>
        </w:rPr>
        <w:t>另行计算</w:t>
      </w:r>
      <w:r>
        <w:rPr>
          <w:rFonts w:hint="eastAsia" w:cs="宋体" w:asciiTheme="minorEastAsia" w:hAnsiTheme="minorEastAsia" w:eastAsiaTheme="minorEastAsia"/>
          <w:color w:val="auto"/>
          <w:szCs w:val="21"/>
          <w:highlight w:val="none"/>
          <w:u w:val="single"/>
        </w:rPr>
        <w:t>。</w:t>
      </w:r>
    </w:p>
    <w:p w14:paraId="3F8DED54">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4</w:t>
      </w:r>
      <w:r>
        <w:rPr>
          <w:rFonts w:hint="eastAsia" w:cs="宋体" w:asciiTheme="minorEastAsia" w:hAnsiTheme="minorEastAsia" w:eastAsiaTheme="minorEastAsia"/>
          <w:color w:val="auto"/>
          <w:szCs w:val="21"/>
          <w:highlight w:val="none"/>
          <w:u w:val="single"/>
        </w:rPr>
        <w:t>）承包人塔吊布置及选型需考虑满足本项目最大装配式构件的吊装，综合考虑在措施费中；承包人需按要求完善装配式建筑相关资料。</w:t>
      </w:r>
    </w:p>
    <w:p w14:paraId="7C4864B6">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5</w:t>
      </w:r>
      <w:r>
        <w:rPr>
          <w:rFonts w:hint="eastAsia" w:cs="宋体" w:asciiTheme="minorEastAsia" w:hAnsiTheme="minorEastAsia" w:eastAsiaTheme="minorEastAsia"/>
          <w:color w:val="auto"/>
          <w:szCs w:val="21"/>
          <w:highlight w:val="none"/>
          <w:u w:val="single"/>
        </w:rPr>
        <w:t>）承包人根据项目整体红线外市政条件以及地质条件在满足整体基坑安全的前提下，布置和实施红线内临时施工道路，要求临时道路全部硬化：a、红线内临时施工道路由总承包人施工完成，并对施工道路进行维护、修复及破除清运。道路宽度不小于5米，基础处理30cm2:8灰土压实，混凝土厚度不少于30cm，增加@200三级12钢筋单层网片，混凝土标号C25；b、±0以下施工道路硬化及破除由总承包人承担，坡道修至基坑底标高，道路宽度不小于6米，原状素土压实，混凝土厚度不少于30cm，标号C25，道路两侧设置排水沟进行有组织排水；需在施工组织设计内明确，相关费用在投标报价中综合考虑，不另行计取，如发包人有最新要求按最新要求执行，相应差价已综合考虑在投标报价中，不另行计取。</w:t>
      </w:r>
    </w:p>
    <w:p w14:paraId="43017F83">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6</w:t>
      </w:r>
      <w:r>
        <w:rPr>
          <w:rFonts w:hint="eastAsia" w:cs="宋体" w:asciiTheme="minorEastAsia" w:hAnsiTheme="minorEastAsia" w:eastAsiaTheme="minorEastAsia"/>
          <w:color w:val="auto"/>
          <w:szCs w:val="21"/>
          <w:highlight w:val="none"/>
          <w:u w:val="single"/>
        </w:rPr>
        <w:t>）用地红线内临时道路施工、道路清扫、裸土覆盖以及其他要求由承包人负责，所有裸土部位在施工全过程中要求承包人全部硬化或覆盖；并需满足安全文明要求及政府规章制度，满足西安市治污减霾相关文件要求；方案需经发包方审核后实施；相关费用在投标报价中综合考虑，不另行计取。</w:t>
      </w:r>
    </w:p>
    <w:p w14:paraId="386F2711">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（2</w:t>
      </w:r>
      <w:r>
        <w:rPr>
          <w:rFonts w:hint="eastAsia" w:cs="宋体" w:asciiTheme="minorEastAsia" w:hAnsiTheme="minorEastAsia" w:eastAsiaTheme="minorEastAsia"/>
          <w:color w:val="auto"/>
          <w:szCs w:val="21"/>
          <w:highlight w:val="none"/>
          <w:u w:val="single"/>
          <w:lang w:val="en-US" w:eastAsia="zh-CN"/>
        </w:rPr>
        <w:t>7</w:t>
      </w:r>
      <w:r>
        <w:rPr>
          <w:rFonts w:hint="eastAsia" w:cs="宋体" w:asciiTheme="minorEastAsia" w:hAnsiTheme="minorEastAsia" w:eastAsiaTheme="minorEastAsia"/>
          <w:color w:val="auto"/>
          <w:szCs w:val="21"/>
          <w:highlight w:val="none"/>
          <w:u w:val="single"/>
        </w:rPr>
        <w:t>）在整个施工过程中，凡是因发包人原因（包括但不限于图纸滞后、设计变更、外部环境变化等）而影响工程进度，承包人应在知道或者应当知道之日起3天内书面通知发包方，否则视为工程进度符合本工程发包方要求，工期不予延期。</w:t>
      </w:r>
    </w:p>
    <w:p w14:paraId="02BB9B6B">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val="en-US" w:eastAsia="zh-CN"/>
        </w:rPr>
        <w:t>28</w:t>
      </w:r>
      <w:r>
        <w:rPr>
          <w:rFonts w:hint="eastAsia" w:cs="宋体" w:asciiTheme="minorEastAsia" w:hAnsiTheme="minorEastAsia" w:eastAsiaTheme="minorEastAsia"/>
          <w:color w:val="auto"/>
          <w:szCs w:val="21"/>
          <w:highlight w:val="none"/>
          <w:u w:val="single"/>
        </w:rPr>
        <w:t>）承包人负责制定本工程所涵盖所有工作面的移交计划，经监理人、发包人审核通过后实施，同时必须保证所有分包人都具有施工工作面。</w:t>
      </w:r>
    </w:p>
    <w:p w14:paraId="49F61496">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val="en-US" w:eastAsia="zh-CN"/>
        </w:rPr>
        <w:t>29</w:t>
      </w:r>
      <w:r>
        <w:rPr>
          <w:rFonts w:hint="eastAsia" w:cs="宋体" w:asciiTheme="minorEastAsia" w:hAnsiTheme="minorEastAsia" w:eastAsiaTheme="minorEastAsia"/>
          <w:color w:val="auto"/>
          <w:szCs w:val="21"/>
          <w:highlight w:val="none"/>
          <w:u w:val="single"/>
        </w:rPr>
        <w:t>）后期配套单位进场后，承包人需服从发包方的总体安排，将影响到配套施工的材料堆场、现场办公室、道路、塔吊基础、仓库、厕所、人货梯基础及临时用房等一切妨碍的对象无条件拆除（一般在7天内全部拆除并清运完毕，场地内无垃圾）如不配合发包方安排，则发包人有权委托第三方进行拆除，费用翻倍扣除。</w:t>
      </w:r>
    </w:p>
    <w:p w14:paraId="6814CBDE">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0</w:t>
      </w:r>
      <w:r>
        <w:rPr>
          <w:rFonts w:hint="eastAsia" w:cs="宋体" w:asciiTheme="minorEastAsia" w:hAnsiTheme="minorEastAsia" w:eastAsiaTheme="minorEastAsia"/>
          <w:color w:val="auto"/>
          <w:szCs w:val="21"/>
          <w:highlight w:val="none"/>
          <w:u w:val="single"/>
        </w:rPr>
        <w:t>）承包人需无条件为工期在30天以内所有单位提供方便，比如临时用水、用电、仓库等。</w:t>
      </w:r>
    </w:p>
    <w:p w14:paraId="0F74FB0F">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1</w:t>
      </w:r>
      <w:r>
        <w:rPr>
          <w:rFonts w:hint="eastAsia" w:cs="宋体" w:asciiTheme="minorEastAsia" w:hAnsiTheme="minorEastAsia" w:eastAsiaTheme="minorEastAsia"/>
          <w:color w:val="auto"/>
          <w:szCs w:val="21"/>
          <w:highlight w:val="none"/>
          <w:u w:val="single"/>
        </w:rPr>
        <w:t>）承包人进场施工前场地现状，承包人需自行考察现场复核，且需充分考虑到可能需要的处理时间，不影响总体工期。</w:t>
      </w:r>
    </w:p>
    <w:p w14:paraId="7CD216C7">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2</w:t>
      </w:r>
      <w:r>
        <w:rPr>
          <w:rFonts w:hint="eastAsia" w:cs="宋体" w:asciiTheme="minorEastAsia" w:hAnsiTheme="minorEastAsia" w:eastAsiaTheme="minorEastAsia"/>
          <w:color w:val="auto"/>
          <w:szCs w:val="21"/>
          <w:highlight w:val="none"/>
          <w:u w:val="single"/>
        </w:rPr>
        <w:t>）承包人应按发包人时间节点完成当地备案。</w:t>
      </w:r>
    </w:p>
    <w:p w14:paraId="195348D0">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3</w:t>
      </w:r>
      <w:r>
        <w:rPr>
          <w:rFonts w:hint="eastAsia" w:cs="宋体" w:asciiTheme="minorEastAsia" w:hAnsiTheme="minorEastAsia" w:eastAsiaTheme="minorEastAsia"/>
          <w:color w:val="auto"/>
          <w:szCs w:val="21"/>
          <w:highlight w:val="none"/>
          <w:u w:val="single"/>
        </w:rPr>
        <w:t>）承包人应无条件接受发包方或第三方飞检（每季度一次）。</w:t>
      </w:r>
    </w:p>
    <w:p w14:paraId="3084940A">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4</w:t>
      </w:r>
      <w:r>
        <w:rPr>
          <w:rFonts w:hint="eastAsia" w:cs="宋体" w:asciiTheme="minorEastAsia" w:hAnsiTheme="minorEastAsia" w:eastAsiaTheme="minorEastAsia"/>
          <w:color w:val="auto"/>
          <w:szCs w:val="21"/>
          <w:highlight w:val="none"/>
          <w:u w:val="single"/>
        </w:rPr>
        <w:t>）承包人使用的大型设备要求如下：要求使用的塔吊、桩基设备、施工电梯、爬架、吊篮、临电电箱等机械设备已使用年限不超过三年。</w:t>
      </w:r>
    </w:p>
    <w:p w14:paraId="66252E6A">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5</w:t>
      </w:r>
      <w:r>
        <w:rPr>
          <w:rFonts w:hint="eastAsia" w:cs="宋体" w:asciiTheme="minorEastAsia" w:hAnsiTheme="minorEastAsia" w:eastAsiaTheme="minorEastAsia"/>
          <w:color w:val="auto"/>
          <w:szCs w:val="21"/>
          <w:highlight w:val="none"/>
          <w:u w:val="single"/>
        </w:rPr>
        <w:t>）承包人需配置不少于三家商混供应站，需保证治污减霾期间商混的正常供应。</w:t>
      </w:r>
    </w:p>
    <w:p w14:paraId="3E1ACE4A">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6</w:t>
      </w:r>
      <w:r>
        <w:rPr>
          <w:rFonts w:hint="eastAsia" w:cs="宋体" w:asciiTheme="minorEastAsia" w:hAnsiTheme="minorEastAsia" w:eastAsiaTheme="minorEastAsia"/>
          <w:color w:val="auto"/>
          <w:szCs w:val="21"/>
          <w:highlight w:val="none"/>
          <w:u w:val="single"/>
        </w:rPr>
        <w:t>）因承包人施工需要增加临时出入口，发包人协调承包人申请，相关费用由承包人承担。</w:t>
      </w:r>
    </w:p>
    <w:p w14:paraId="15B13532">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（3</w:t>
      </w:r>
      <w:r>
        <w:rPr>
          <w:rFonts w:hint="eastAsia" w:cs="宋体" w:asciiTheme="minorEastAsia" w:hAnsiTheme="minorEastAsia" w:eastAsiaTheme="minorEastAsia"/>
          <w:color w:val="auto"/>
          <w:szCs w:val="21"/>
          <w:highlight w:val="none"/>
          <w:u w:val="single"/>
          <w:lang w:val="en-US" w:eastAsia="zh-CN"/>
        </w:rPr>
        <w:t>7</w:t>
      </w:r>
      <w:r>
        <w:rPr>
          <w:rFonts w:hint="eastAsia" w:cs="宋体" w:asciiTheme="minorEastAsia" w:hAnsiTheme="minorEastAsia" w:eastAsiaTheme="minorEastAsia"/>
          <w:color w:val="auto"/>
          <w:szCs w:val="21"/>
          <w:highlight w:val="none"/>
          <w:u w:val="single"/>
        </w:rPr>
        <w:t>）承包人进场前需完成本工程承包工程策划报告（内容包括组织架构、施工组织、进度管理、质量管理、安全文明管理、验收及交付管理等）并向发包人进行汇报。</w:t>
      </w:r>
    </w:p>
    <w:p w14:paraId="663E45CE">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val="en-US" w:eastAsia="zh-CN"/>
        </w:rPr>
        <w:t>38</w:t>
      </w:r>
      <w:r>
        <w:rPr>
          <w:rFonts w:hint="eastAsia" w:cs="宋体" w:asciiTheme="minorEastAsia" w:hAnsiTheme="minorEastAsia" w:eastAsiaTheme="minorEastAsia"/>
          <w:color w:val="auto"/>
          <w:szCs w:val="21"/>
          <w:highlight w:val="none"/>
          <w:u w:val="single"/>
        </w:rPr>
        <w:t>）安全文明、智慧工地要求：承包人需配置智能视频监控、塔吊监控、升降机监控、体验式安全教育馆、智能门禁系统（工地人员出入口配置需人脸识别系统）；监控系统需向发包人开放权限。</w:t>
      </w:r>
    </w:p>
    <w:p w14:paraId="6AA9B33E">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w:t>
      </w:r>
      <w:r>
        <w:rPr>
          <w:rFonts w:hint="eastAsia" w:cs="宋体" w:asciiTheme="minorEastAsia" w:hAnsiTheme="minorEastAsia" w:eastAsiaTheme="minorEastAsia"/>
          <w:color w:val="auto"/>
          <w:szCs w:val="21"/>
          <w:highlight w:val="none"/>
          <w:u w:val="single"/>
          <w:lang w:val="en-US" w:eastAsia="zh-CN"/>
        </w:rPr>
        <w:t>39</w:t>
      </w:r>
      <w:r>
        <w:rPr>
          <w:rFonts w:hint="eastAsia" w:cs="宋体" w:asciiTheme="minorEastAsia" w:hAnsiTheme="minorEastAsia" w:eastAsiaTheme="minorEastAsia"/>
          <w:color w:val="auto"/>
          <w:szCs w:val="21"/>
          <w:highlight w:val="none"/>
          <w:u w:val="single"/>
        </w:rPr>
        <w:t>）发包人所有的进度计划要求，均视为已经充分考虑西安当地气象水文(包括并不限于冬季施工、雨季)、政府政策、法规要求（包括并不限于如治污减霾、未来三年内可预见的重大会议、活动等）、民俗（包括并不限于如农忙、春节、 中秋、端午等传统假日）所产生的停工影响，承包人不得以以上理由作为工期延误或费用索赔依据。</w:t>
      </w:r>
    </w:p>
    <w:p w14:paraId="0D1F1A1A">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（4</w:t>
      </w:r>
      <w:r>
        <w:rPr>
          <w:rFonts w:hint="eastAsia" w:cs="宋体" w:asciiTheme="minorEastAsia" w:hAnsiTheme="minorEastAsia" w:eastAsiaTheme="minorEastAsia"/>
          <w:color w:val="auto"/>
          <w:szCs w:val="21"/>
          <w:highlight w:val="none"/>
          <w:u w:val="single"/>
          <w:lang w:val="en-US" w:eastAsia="zh-CN"/>
        </w:rPr>
        <w:t>0</w:t>
      </w:r>
      <w:r>
        <w:rPr>
          <w:rFonts w:hint="eastAsia" w:cs="宋体" w:asciiTheme="minorEastAsia" w:hAnsiTheme="minorEastAsia" w:eastAsiaTheme="minorEastAsia"/>
          <w:color w:val="auto"/>
          <w:szCs w:val="21"/>
          <w:highlight w:val="none"/>
          <w:u w:val="single"/>
        </w:rPr>
        <w:t>）工程建设全周期内，承包人每个春节期间的停工时间不能超过15日。</w:t>
      </w:r>
    </w:p>
    <w:p w14:paraId="7044AA94">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（4</w:t>
      </w:r>
      <w:r>
        <w:rPr>
          <w:rFonts w:hint="eastAsia" w:cs="宋体" w:asciiTheme="minorEastAsia" w:hAnsiTheme="minorEastAsia" w:eastAsiaTheme="minorEastAsia"/>
          <w:color w:val="auto"/>
          <w:szCs w:val="21"/>
          <w:highlight w:val="none"/>
          <w:u w:val="single"/>
          <w:lang w:val="en-US" w:eastAsia="zh-CN"/>
        </w:rPr>
        <w:t>1</w:t>
      </w:r>
      <w:r>
        <w:rPr>
          <w:rFonts w:hint="eastAsia" w:cs="宋体" w:asciiTheme="minorEastAsia" w:hAnsiTheme="minorEastAsia" w:eastAsiaTheme="minorEastAsia"/>
          <w:color w:val="auto"/>
          <w:szCs w:val="21"/>
          <w:highlight w:val="none"/>
          <w:u w:val="single"/>
        </w:rPr>
        <w:t>）电梯井道的安全防护措施由总承包人负责实施到位，随电梯井道一起移交给电扶梯单位。</w:t>
      </w:r>
    </w:p>
    <w:p w14:paraId="3B8CB389">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（4</w:t>
      </w:r>
      <w:r>
        <w:rPr>
          <w:rFonts w:hint="eastAsia" w:cs="宋体" w:asciiTheme="minorEastAsia" w:hAnsiTheme="minorEastAsia" w:eastAsiaTheme="minorEastAsia"/>
          <w:color w:val="auto"/>
          <w:szCs w:val="21"/>
          <w:highlight w:val="none"/>
          <w:u w:val="single"/>
          <w:lang w:val="en-US" w:eastAsia="zh-CN"/>
        </w:rPr>
        <w:t>2</w:t>
      </w:r>
      <w:r>
        <w:rPr>
          <w:rFonts w:hint="eastAsia" w:cs="宋体" w:asciiTheme="minorEastAsia" w:hAnsiTheme="minorEastAsia" w:eastAsiaTheme="minorEastAsia"/>
          <w:color w:val="auto"/>
          <w:szCs w:val="21"/>
          <w:highlight w:val="none"/>
          <w:u w:val="single"/>
        </w:rPr>
        <w:t>）发包人已完成场地红线周边围墙；后期因工程需要的围墙拆改、拆除、回收利用、基础拆除外运等由承包人负责；围墙下部若需设置挡土墙由承包人承担；相关费用在投标报价中综合考虑，不另行计取。</w:t>
      </w:r>
    </w:p>
    <w:p w14:paraId="025ED668">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（4</w:t>
      </w:r>
      <w:r>
        <w:rPr>
          <w:rFonts w:hint="eastAsia" w:cs="宋体" w:asciiTheme="minorEastAsia" w:hAnsiTheme="minorEastAsia" w:eastAsiaTheme="minorEastAsia"/>
          <w:color w:val="auto"/>
          <w:szCs w:val="21"/>
          <w:highlight w:val="none"/>
          <w:u w:val="single"/>
          <w:lang w:val="en-US" w:eastAsia="zh-CN"/>
        </w:rPr>
        <w:t>3</w:t>
      </w:r>
      <w:r>
        <w:rPr>
          <w:rFonts w:hint="eastAsia" w:cs="宋体" w:asciiTheme="minorEastAsia" w:hAnsiTheme="minorEastAsia" w:eastAsiaTheme="minorEastAsia"/>
          <w:color w:val="auto"/>
          <w:szCs w:val="21"/>
          <w:highlight w:val="none"/>
          <w:u w:val="single"/>
        </w:rPr>
        <w:t>）承包人负责建立测量网格，并免费提供各专业分包使用；土方开挖阶段总承包人需配合现场开挖标高的控制。</w:t>
      </w:r>
    </w:p>
    <w:p w14:paraId="2FE3340E">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（4</w:t>
      </w:r>
      <w:r>
        <w:rPr>
          <w:rFonts w:hint="eastAsia" w:cs="宋体" w:asciiTheme="minorEastAsia" w:hAnsiTheme="minorEastAsia" w:eastAsiaTheme="minorEastAsia"/>
          <w:color w:val="auto"/>
          <w:szCs w:val="21"/>
          <w:highlight w:val="none"/>
          <w:u w:val="single"/>
          <w:lang w:val="en-US" w:eastAsia="zh-CN"/>
        </w:rPr>
        <w:t>4</w:t>
      </w:r>
      <w:r>
        <w:rPr>
          <w:rFonts w:hint="eastAsia" w:cs="宋体" w:asciiTheme="minorEastAsia" w:hAnsiTheme="minorEastAsia" w:eastAsiaTheme="minorEastAsia"/>
          <w:color w:val="auto"/>
          <w:szCs w:val="21"/>
          <w:highlight w:val="none"/>
          <w:u w:val="single"/>
        </w:rPr>
        <w:t>）防暑防汛：编制防暑防汛专项方案，经监理及甲方审批通过后，配备充足的物资。</w:t>
      </w:r>
    </w:p>
    <w:p w14:paraId="1388EEB6">
      <w:pPr>
        <w:tabs>
          <w:tab w:val="left" w:pos="3130"/>
        </w:tabs>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u w:val="single"/>
          <w:lang w:eastAsia="zh-CN"/>
        </w:rPr>
      </w:pPr>
      <w:r>
        <w:rPr>
          <w:rFonts w:hint="eastAsia" w:cs="宋体" w:asciiTheme="minorEastAsia" w:hAnsiTheme="minorEastAsia" w:eastAsiaTheme="minorEastAsia"/>
          <w:color w:val="auto"/>
          <w:szCs w:val="21"/>
          <w:highlight w:val="none"/>
          <w:u w:val="single"/>
        </w:rPr>
        <w:t>5</w:t>
      </w:r>
      <w:r>
        <w:rPr>
          <w:rFonts w:hint="eastAsia" w:cs="宋体" w:asciiTheme="minorEastAsia" w:hAnsiTheme="minorEastAsia" w:eastAsiaTheme="minorEastAsia"/>
          <w:color w:val="auto"/>
          <w:szCs w:val="21"/>
          <w:highlight w:val="none"/>
          <w:u w:val="single"/>
          <w:lang w:val="en-US" w:eastAsia="zh-CN"/>
        </w:rPr>
        <w:t>2</w:t>
      </w:r>
      <w:r>
        <w:rPr>
          <w:rFonts w:hint="eastAsia" w:cs="宋体" w:asciiTheme="minorEastAsia" w:hAnsiTheme="minorEastAsia" w:eastAsiaTheme="minorEastAsia"/>
          <w:color w:val="auto"/>
          <w:szCs w:val="21"/>
          <w:highlight w:val="none"/>
          <w:u w:val="single"/>
        </w:rPr>
        <w:t>、主楼砼、钢筋砼模板及顶架、支撑、墙模板全部采用铝模板（采用拉片）、地下室模板需用木模板。铝模板上，剪力墙和后砌墙衔接处必须留企口。地下室结构施工采用木模板，严禁使用小钢模。正负零以上结构墙模板全部采用铝模板（采用拉片），严禁使用旧大钢模板改造，窗洞口必须留企口</w:t>
      </w:r>
      <w:r>
        <w:rPr>
          <w:rFonts w:hint="eastAsia" w:cs="宋体" w:asciiTheme="minorEastAsia" w:hAnsiTheme="minorEastAsia" w:eastAsiaTheme="minorEastAsia"/>
          <w:color w:val="auto"/>
          <w:szCs w:val="21"/>
          <w:highlight w:val="none"/>
          <w:u w:val="single"/>
          <w:lang w:eastAsia="zh-CN"/>
        </w:rPr>
        <w:t>。</w:t>
      </w:r>
    </w:p>
    <w:p w14:paraId="2DDB4A7D">
      <w:pPr>
        <w:tabs>
          <w:tab w:val="left" w:pos="3130"/>
        </w:tabs>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lang w:val="en-US" w:eastAsia="zh-CN"/>
        </w:rPr>
        <w:t>53、</w:t>
      </w:r>
      <w:r>
        <w:rPr>
          <w:rFonts w:cs="宋体" w:asciiTheme="minorEastAsia" w:hAnsiTheme="minorEastAsia" w:eastAsiaTheme="minorEastAsia"/>
          <w:color w:val="auto"/>
          <w:szCs w:val="21"/>
          <w:highlight w:val="none"/>
          <w:u w:val="single"/>
        </w:rPr>
        <w:t>工程款支付管理：</w:t>
      </w:r>
    </w:p>
    <w:p w14:paraId="5697F45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为加强过程计量计价管理，使施工设计文件如实反映工程建设内容，承包人申请进度款支付时，必须提供能用于计算已完工程量的施工说明、施工图、工程做法等施工设计文件，发包人、承包人、发包人委托的监理人和造价咨询公司，必须对此已完工程的施工设计文件（包括施工说明、施工图、工程做法等）每页逐一签字和盖章（人员注册章和项目章）确认后，作为进度款支付的依据、关键附件和原始凭证，否则不予计量计价，不予支付进度款。具体要求详见专用条款</w:t>
      </w:r>
      <w:r>
        <w:rPr>
          <w:rFonts w:cs="宋体" w:asciiTheme="minorEastAsia" w:hAnsiTheme="minorEastAsia" w:eastAsiaTheme="minorEastAsia"/>
          <w:color w:val="auto"/>
          <w:szCs w:val="21"/>
          <w:highlight w:val="none"/>
          <w:u w:val="single"/>
        </w:rPr>
        <w:t>14.3.2约定。</w:t>
      </w:r>
    </w:p>
    <w:p w14:paraId="09F0CF2C">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承包人现场应按照专业配备人员，进行成本管理。所有认价、计量和计价工作，应在现场完成，与工程施工进度同步。</w:t>
      </w:r>
    </w:p>
    <w:p w14:paraId="6B0E08D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施工设计文件（包括施工说明、施工图、工程做法等）的纸张不限形式和规格，但施工设计资料应编号管理、装订成册，份数不少于月度工程款支付凭证的份数。如果一项工作持续数月，则数月应连续提供该项工作的施工设计文件，同一项工作如果提供的施工设计文件不一致时，则以造价最少、成本最低的作为结算依据。</w:t>
      </w:r>
    </w:p>
    <w:p w14:paraId="4BE42D93">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u w:val="single"/>
        </w:rPr>
        <w:t>承包人申请当月工程款支付时，应提供、完成上月工程款支付及附件（施工设计文件）的扫描电子文档，分专业保存，作为竣工图签字和结算的原始依据，通过邮件发送给发包人、发包人委托的监理人和造价咨询公司。结算时不再进行图纸确认。</w:t>
      </w:r>
    </w:p>
    <w:p w14:paraId="79E75B80">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进度款支付书应附现场航拍水印照片。每月进行两次，形成影像资料提交发包人。</w:t>
      </w:r>
    </w:p>
    <w:p w14:paraId="74FD7DF4">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以合同计量办法为准，即合同计量办法优先。</w:t>
      </w:r>
    </w:p>
    <w:p w14:paraId="3356688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u w:val="single"/>
        </w:rPr>
        <w:t>进度款支付前，需完成所包含的全部材料认质认价、工程量清单和工程量清单综合单价的书面手续办理，如果由于承包人原因导致认质、认价、计量、计价没有按要求完成，进度款支付条件没有达到，影响进度款支付时，双方应及时解决，承包人应全力保证现场施工进度，否则，拖延的工期及一切责任全部由承包人承担。</w:t>
      </w:r>
    </w:p>
    <w:p w14:paraId="6476AC7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cs="宋体" w:asciiTheme="minorEastAsia" w:hAnsiTheme="minorEastAsia" w:eastAsiaTheme="minorEastAsia"/>
          <w:color w:val="auto"/>
          <w:szCs w:val="21"/>
          <w:highlight w:val="none"/>
          <w:u w:val="single"/>
        </w:rPr>
        <w:t>5</w:t>
      </w:r>
      <w:r>
        <w:rPr>
          <w:rFonts w:hint="eastAsia" w:cs="宋体" w:asciiTheme="minorEastAsia" w:hAnsiTheme="minorEastAsia" w:eastAsiaTheme="minorEastAsia"/>
          <w:color w:val="auto"/>
          <w:szCs w:val="21"/>
          <w:highlight w:val="none"/>
          <w:u w:val="single"/>
          <w:lang w:val="en-US" w:eastAsia="zh-CN"/>
        </w:rPr>
        <w:t>4</w:t>
      </w:r>
      <w:r>
        <w:rPr>
          <w:rFonts w:cs="宋体" w:asciiTheme="minorEastAsia" w:hAnsiTheme="minorEastAsia" w:eastAsiaTheme="minorEastAsia"/>
          <w:color w:val="auto"/>
          <w:szCs w:val="21"/>
          <w:highlight w:val="none"/>
          <w:u w:val="single"/>
        </w:rPr>
        <w:t>、凡与增补条款抵触者，以增补条款为准。</w:t>
      </w:r>
    </w:p>
    <w:p w14:paraId="58C21AE8">
      <w:pPr>
        <w:adjustRightInd w:val="0"/>
        <w:snapToGrid w:val="0"/>
        <w:spacing w:line="360" w:lineRule="auto"/>
        <w:ind w:firstLine="420"/>
        <w:outlineLvl w:val="9"/>
        <w:rPr>
          <w:rFonts w:cs="宋体" w:asciiTheme="minorEastAsia" w:hAnsiTheme="minorEastAsia" w:eastAsiaTheme="minorEastAsia"/>
          <w:color w:val="auto"/>
          <w:szCs w:val="21"/>
          <w:highlight w:val="none"/>
        </w:rPr>
      </w:pPr>
    </w:p>
    <w:p w14:paraId="100588C6">
      <w:pPr>
        <w:ind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br w:type="page"/>
      </w:r>
    </w:p>
    <w:p w14:paraId="68719939">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附件一：</w:t>
      </w:r>
    </w:p>
    <w:p w14:paraId="1B71A4D0">
      <w:pPr>
        <w:adjustRightInd w:val="0"/>
        <w:snapToGrid w:val="0"/>
        <w:spacing w:line="360" w:lineRule="auto"/>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b/>
          <w:bCs/>
          <w:color w:val="auto"/>
          <w:kern w:val="0"/>
          <w:szCs w:val="21"/>
          <w:highlight w:val="none"/>
        </w:rPr>
        <w:t>承包人承揽工程项目一览表</w:t>
      </w:r>
    </w:p>
    <w:tbl>
      <w:tblPr>
        <w:tblStyle w:val="56"/>
        <w:tblW w:w="10084" w:type="dxa"/>
        <w:jc w:val="center"/>
        <w:tblLayout w:type="fixed"/>
        <w:tblCellMar>
          <w:top w:w="0" w:type="dxa"/>
          <w:left w:w="0" w:type="dxa"/>
          <w:bottom w:w="0" w:type="dxa"/>
          <w:right w:w="0" w:type="dxa"/>
        </w:tblCellMar>
      </w:tblPr>
      <w:tblGrid>
        <w:gridCol w:w="1843"/>
        <w:gridCol w:w="850"/>
        <w:gridCol w:w="851"/>
        <w:gridCol w:w="708"/>
        <w:gridCol w:w="709"/>
        <w:gridCol w:w="851"/>
        <w:gridCol w:w="992"/>
        <w:gridCol w:w="1840"/>
        <w:gridCol w:w="720"/>
        <w:gridCol w:w="720"/>
      </w:tblGrid>
      <w:tr w14:paraId="44F5F859">
        <w:tblPrEx>
          <w:tblCellMar>
            <w:top w:w="0" w:type="dxa"/>
            <w:left w:w="0" w:type="dxa"/>
            <w:bottom w:w="0" w:type="dxa"/>
            <w:right w:w="0" w:type="dxa"/>
          </w:tblCellMar>
        </w:tblPrEx>
        <w:trPr>
          <w:trHeight w:val="585" w:hRule="atLeast"/>
          <w:jc w:val="center"/>
        </w:trPr>
        <w:tc>
          <w:tcPr>
            <w:tcW w:w="1843"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30B94E4">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单位工程名称</w:t>
            </w:r>
          </w:p>
        </w:tc>
        <w:tc>
          <w:tcPr>
            <w:tcW w:w="85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5C17980">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建设</w:t>
            </w:r>
          </w:p>
          <w:p w14:paraId="676ECC6F">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规模</w:t>
            </w: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6689254">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建筑</w:t>
            </w:r>
          </w:p>
          <w:p w14:paraId="183E94A2">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面积</w:t>
            </w:r>
          </w:p>
          <w:p w14:paraId="004FE163">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w:t>
            </w: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8C4A6F3">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结构</w:t>
            </w:r>
          </w:p>
        </w:tc>
        <w:tc>
          <w:tcPr>
            <w:tcW w:w="70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36E9E01">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层数</w:t>
            </w: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AFF4AEB">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跨度</w:t>
            </w:r>
          </w:p>
          <w:p w14:paraId="312F25BB">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99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B2648D8">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设备安装内容</w:t>
            </w:r>
          </w:p>
        </w:tc>
        <w:tc>
          <w:tcPr>
            <w:tcW w:w="184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584BC7A">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工程造价（元）</w:t>
            </w:r>
          </w:p>
        </w:tc>
        <w:tc>
          <w:tcPr>
            <w:tcW w:w="72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E1BD7B8">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开工</w:t>
            </w:r>
          </w:p>
          <w:p w14:paraId="42F87EA1">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日期</w:t>
            </w:r>
          </w:p>
        </w:tc>
        <w:tc>
          <w:tcPr>
            <w:tcW w:w="72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A0C84EB">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竣工</w:t>
            </w:r>
          </w:p>
          <w:p w14:paraId="7FFBF3CC">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日期</w:t>
            </w:r>
          </w:p>
        </w:tc>
      </w:tr>
      <w:tr w14:paraId="3ABBD6BB">
        <w:tblPrEx>
          <w:tblCellMar>
            <w:top w:w="0" w:type="dxa"/>
            <w:left w:w="0" w:type="dxa"/>
            <w:bottom w:w="0" w:type="dxa"/>
            <w:right w:w="0" w:type="dxa"/>
          </w:tblCellMar>
        </w:tblPrEx>
        <w:trPr>
          <w:trHeight w:val="585" w:hRule="atLeast"/>
          <w:jc w:val="center"/>
        </w:trPr>
        <w:tc>
          <w:tcPr>
            <w:tcW w:w="1843"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470B5D5">
            <w:pPr>
              <w:keepNext w:val="0"/>
              <w:keepLines w:val="0"/>
              <w:suppressLineNumbers w:val="0"/>
              <w:spacing w:before="0" w:beforeAutospacing="0" w:after="0" w:afterAutospacing="0" w:line="360" w:lineRule="auto"/>
              <w:ind w:left="0" w:right="0"/>
              <w:outlineLvl w:val="9"/>
              <w:rPr>
                <w:rFonts w:hint="eastAsia" w:cs="宋体" w:asciiTheme="minorEastAsia" w:hAnsiTheme="minorEastAsia" w:eastAsiaTheme="minorEastAsia"/>
                <w:color w:val="auto"/>
                <w:kern w:val="0"/>
                <w:szCs w:val="21"/>
                <w:highlight w:val="none"/>
                <w:lang w:eastAsia="zh-CN"/>
              </w:rPr>
            </w:pPr>
            <w:r>
              <w:rPr>
                <w:rFonts w:hint="eastAsia" w:cs="宋体" w:asciiTheme="minorEastAsia" w:hAnsiTheme="minorEastAsia" w:eastAsiaTheme="minorEastAsia"/>
                <w:color w:val="auto"/>
                <w:kern w:val="0"/>
                <w:szCs w:val="21"/>
                <w:highlight w:val="none"/>
                <w:lang w:eastAsia="zh-CN"/>
              </w:rPr>
              <w:t>白桦林观澜项目</w:t>
            </w:r>
          </w:p>
        </w:tc>
        <w:tc>
          <w:tcPr>
            <w:tcW w:w="85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F8D0BE3">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27618B2">
            <w:pPr>
              <w:keepNext/>
              <w:keepLines/>
              <w:suppressLineNumbers w:val="0"/>
              <w:spacing w:before="260" w:beforeAutospacing="0" w:after="260" w:afterAutospacing="0" w:line="416" w:lineRule="auto"/>
              <w:ind w:left="0" w:right="0"/>
              <w:jc w:val="both"/>
              <w:outlineLvl w:val="9"/>
              <w:rPr>
                <w:rFonts w:hint="default" w:cs="宋体" w:asciiTheme="minorEastAsia" w:hAnsiTheme="minorEastAsia" w:eastAsiaTheme="minorEastAsia"/>
                <w:color w:val="auto"/>
                <w:szCs w:val="21"/>
                <w:highlight w:val="none"/>
                <w:lang w:val="en-US" w:eastAsia="zh-CN"/>
              </w:rPr>
            </w:pPr>
            <w:r>
              <w:rPr>
                <w:rFonts w:hint="eastAsia" w:cs="宋体" w:asciiTheme="minorEastAsia" w:hAnsiTheme="minorEastAsia" w:eastAsiaTheme="minorEastAsia"/>
                <w:color w:val="auto"/>
                <w:szCs w:val="21"/>
                <w:highlight w:val="none"/>
                <w:lang w:val="en-US" w:eastAsia="zh-CN"/>
              </w:rPr>
              <w:t>8.77万</w:t>
            </w: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BC24EEC">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7AD0A2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E1E4DE9">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99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509003C">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642AB0D">
            <w:pPr>
              <w:keepNext/>
              <w:keepLines/>
              <w:suppressLineNumbers w:val="0"/>
              <w:spacing w:before="260" w:beforeAutospacing="0" w:after="260" w:afterAutospacing="0" w:line="360" w:lineRule="auto"/>
              <w:ind w:left="0" w:right="0" w:firstLine="480"/>
              <w:jc w:val="right"/>
              <w:outlineLvl w:val="9"/>
              <w:rPr>
                <w:rFonts w:cs="宋体" w:asciiTheme="minorEastAsia" w:hAnsiTheme="minorEastAsia" w:eastAsiaTheme="minorEastAsia"/>
                <w:color w:val="auto"/>
                <w:kern w:val="0"/>
                <w:szCs w:val="21"/>
                <w:highlight w:val="none"/>
              </w:rPr>
            </w:pPr>
          </w:p>
        </w:tc>
        <w:tc>
          <w:tcPr>
            <w:tcW w:w="72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E529745">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2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991792A">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r w14:paraId="09FA8A1F">
        <w:tblPrEx>
          <w:tblCellMar>
            <w:top w:w="0" w:type="dxa"/>
            <w:left w:w="0" w:type="dxa"/>
            <w:bottom w:w="0" w:type="dxa"/>
            <w:right w:w="0" w:type="dxa"/>
          </w:tblCellMar>
        </w:tblPrEx>
        <w:trPr>
          <w:trHeight w:val="585" w:hRule="atLeast"/>
          <w:jc w:val="center"/>
        </w:trPr>
        <w:tc>
          <w:tcPr>
            <w:tcW w:w="1843"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69EC02D6">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85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20A1F04">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10D7B34">
            <w:pPr>
              <w:keepNext/>
              <w:keepLines/>
              <w:suppressLineNumbers w:val="0"/>
              <w:spacing w:before="260" w:beforeAutospacing="0" w:after="260" w:afterAutospacing="0" w:line="416" w:lineRule="auto"/>
              <w:ind w:left="0" w:right="0" w:firstLine="480"/>
              <w:jc w:val="center"/>
              <w:outlineLvl w:val="9"/>
              <w:rPr>
                <w:rFonts w:cs="宋体" w:asciiTheme="minorEastAsia" w:hAnsiTheme="minorEastAsia" w:eastAsiaTheme="minorEastAsia"/>
                <w:color w:val="auto"/>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5B8A059">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804F0FC">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79B3D66">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99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233EE4B">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54DD91D">
            <w:pPr>
              <w:keepNext/>
              <w:keepLines/>
              <w:suppressLineNumbers w:val="0"/>
              <w:spacing w:before="260" w:beforeAutospacing="0" w:after="260" w:afterAutospacing="0" w:line="360" w:lineRule="auto"/>
              <w:ind w:left="0" w:right="0" w:firstLine="480"/>
              <w:jc w:val="right"/>
              <w:outlineLvl w:val="9"/>
              <w:rPr>
                <w:rFonts w:cs="宋体" w:asciiTheme="minorEastAsia" w:hAnsiTheme="minorEastAsia" w:eastAsiaTheme="minorEastAsia"/>
                <w:color w:val="auto"/>
                <w:kern w:val="0"/>
                <w:szCs w:val="21"/>
                <w:highlight w:val="none"/>
              </w:rPr>
            </w:pPr>
          </w:p>
        </w:tc>
        <w:tc>
          <w:tcPr>
            <w:tcW w:w="72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19E0677">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2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1D31AB9">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r w14:paraId="41C4F932">
        <w:tblPrEx>
          <w:tblCellMar>
            <w:top w:w="0" w:type="dxa"/>
            <w:left w:w="0" w:type="dxa"/>
            <w:bottom w:w="0" w:type="dxa"/>
            <w:right w:w="0" w:type="dxa"/>
          </w:tblCellMar>
        </w:tblPrEx>
        <w:trPr>
          <w:trHeight w:val="585" w:hRule="atLeast"/>
          <w:jc w:val="center"/>
        </w:trPr>
        <w:tc>
          <w:tcPr>
            <w:tcW w:w="1843"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3FCEE823">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85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0E7F23A">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357E949">
            <w:pPr>
              <w:keepNext/>
              <w:keepLines/>
              <w:suppressLineNumbers w:val="0"/>
              <w:spacing w:before="260" w:beforeAutospacing="0" w:after="260" w:afterAutospacing="0" w:line="416" w:lineRule="auto"/>
              <w:ind w:left="0" w:right="0" w:firstLine="480"/>
              <w:jc w:val="center"/>
              <w:outlineLvl w:val="9"/>
              <w:rPr>
                <w:rFonts w:cs="宋体" w:asciiTheme="minorEastAsia" w:hAnsiTheme="minorEastAsia" w:eastAsiaTheme="minorEastAsia"/>
                <w:color w:val="auto"/>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D5AB245">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5A7EFDA">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3E90465">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99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33DAAE9">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E8467FF">
            <w:pPr>
              <w:keepNext/>
              <w:keepLines/>
              <w:suppressLineNumbers w:val="0"/>
              <w:spacing w:before="260" w:beforeAutospacing="0" w:after="260" w:afterAutospacing="0" w:line="360" w:lineRule="auto"/>
              <w:ind w:left="0" w:right="0" w:firstLine="480"/>
              <w:jc w:val="right"/>
              <w:outlineLvl w:val="9"/>
              <w:rPr>
                <w:rFonts w:cs="宋体" w:asciiTheme="minorEastAsia" w:hAnsiTheme="minorEastAsia" w:eastAsiaTheme="minorEastAsia"/>
                <w:color w:val="auto"/>
                <w:kern w:val="0"/>
                <w:szCs w:val="21"/>
                <w:highlight w:val="none"/>
              </w:rPr>
            </w:pPr>
          </w:p>
        </w:tc>
        <w:tc>
          <w:tcPr>
            <w:tcW w:w="72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22A39E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2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C5D788A">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r w14:paraId="2E023014">
        <w:tblPrEx>
          <w:tblCellMar>
            <w:top w:w="0" w:type="dxa"/>
            <w:left w:w="0" w:type="dxa"/>
            <w:bottom w:w="0" w:type="dxa"/>
            <w:right w:w="0" w:type="dxa"/>
          </w:tblCellMar>
        </w:tblPrEx>
        <w:trPr>
          <w:trHeight w:val="585" w:hRule="atLeast"/>
          <w:jc w:val="center"/>
        </w:trPr>
        <w:tc>
          <w:tcPr>
            <w:tcW w:w="1843"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D18C25F">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85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1502261">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1AA2896">
            <w:pPr>
              <w:keepNext/>
              <w:keepLines/>
              <w:suppressLineNumbers w:val="0"/>
              <w:spacing w:before="260" w:beforeAutospacing="0" w:after="260" w:afterAutospacing="0" w:line="416" w:lineRule="auto"/>
              <w:ind w:left="0" w:right="0" w:firstLine="480"/>
              <w:jc w:val="center"/>
              <w:outlineLvl w:val="9"/>
              <w:rPr>
                <w:rFonts w:cs="宋体" w:asciiTheme="minorEastAsia" w:hAnsiTheme="minorEastAsia" w:eastAsiaTheme="minorEastAsia"/>
                <w:color w:val="auto"/>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3A6D8C1">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3B126EF">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E6099A5">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99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6E2EAF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9E03E7E">
            <w:pPr>
              <w:keepNext/>
              <w:keepLines/>
              <w:suppressLineNumbers w:val="0"/>
              <w:spacing w:before="260" w:beforeAutospacing="0" w:after="260" w:afterAutospacing="0" w:line="360" w:lineRule="auto"/>
              <w:ind w:left="0" w:right="0" w:firstLine="480"/>
              <w:jc w:val="right"/>
              <w:outlineLvl w:val="9"/>
              <w:rPr>
                <w:rFonts w:cs="宋体" w:asciiTheme="minorEastAsia" w:hAnsiTheme="minorEastAsia" w:eastAsiaTheme="minorEastAsia"/>
                <w:color w:val="auto"/>
                <w:kern w:val="0"/>
                <w:szCs w:val="21"/>
                <w:highlight w:val="none"/>
              </w:rPr>
            </w:pPr>
          </w:p>
        </w:tc>
        <w:tc>
          <w:tcPr>
            <w:tcW w:w="72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6F6503A">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2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1846AAA">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r w14:paraId="446F9A0B">
        <w:tblPrEx>
          <w:tblCellMar>
            <w:top w:w="0" w:type="dxa"/>
            <w:left w:w="0" w:type="dxa"/>
            <w:bottom w:w="0" w:type="dxa"/>
            <w:right w:w="0" w:type="dxa"/>
          </w:tblCellMar>
        </w:tblPrEx>
        <w:trPr>
          <w:trHeight w:val="585" w:hRule="atLeast"/>
          <w:jc w:val="center"/>
        </w:trPr>
        <w:tc>
          <w:tcPr>
            <w:tcW w:w="1843"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1AE7F66">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63B3906">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827B053">
            <w:pPr>
              <w:keepNext/>
              <w:keepLines/>
              <w:suppressLineNumbers w:val="0"/>
              <w:spacing w:before="260" w:beforeAutospacing="0" w:after="260" w:afterAutospacing="0" w:line="416" w:lineRule="auto"/>
              <w:ind w:left="0" w:right="0" w:firstLine="480"/>
              <w:jc w:val="center"/>
              <w:outlineLvl w:val="9"/>
              <w:rPr>
                <w:rFonts w:cs="宋体" w:asciiTheme="minorEastAsia" w:hAnsiTheme="minorEastAsia" w:eastAsiaTheme="minorEastAsia"/>
                <w:color w:val="auto"/>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5E85578">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A64365D">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5B77AA4">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99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325FBF6">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3CBF2FC">
            <w:pPr>
              <w:keepNext/>
              <w:keepLines/>
              <w:suppressLineNumbers w:val="0"/>
              <w:spacing w:before="260" w:beforeAutospacing="0" w:after="260" w:afterAutospacing="0" w:line="360" w:lineRule="auto"/>
              <w:ind w:left="0" w:right="0" w:firstLine="480"/>
              <w:jc w:val="right"/>
              <w:outlineLvl w:val="9"/>
              <w:rPr>
                <w:rFonts w:cs="宋体" w:asciiTheme="minorEastAsia" w:hAnsiTheme="minorEastAsia" w:eastAsiaTheme="minorEastAsia"/>
                <w:color w:val="auto"/>
                <w:kern w:val="0"/>
                <w:szCs w:val="21"/>
                <w:highlight w:val="none"/>
              </w:rPr>
            </w:pPr>
          </w:p>
        </w:tc>
        <w:tc>
          <w:tcPr>
            <w:tcW w:w="72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1770DA4">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2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9FA04C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bl>
    <w:p w14:paraId="6463E81B">
      <w:pPr>
        <w:adjustRightInd w:val="0"/>
        <w:spacing w:line="360" w:lineRule="auto"/>
        <w:ind w:firstLine="480"/>
        <w:outlineLvl w:val="9"/>
        <w:rPr>
          <w:rFonts w:cs="宋体" w:asciiTheme="minorEastAsia" w:hAnsiTheme="minorEastAsia" w:eastAsiaTheme="minorEastAsia"/>
          <w:color w:val="auto"/>
          <w:szCs w:val="21"/>
          <w:highlight w:val="none"/>
        </w:rPr>
      </w:pPr>
    </w:p>
    <w:p w14:paraId="18EAB98E">
      <w:pPr>
        <w:adjustRightIn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br w:type="page"/>
      </w:r>
    </w:p>
    <w:p w14:paraId="63B6C589">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附件二：</w:t>
      </w:r>
    </w:p>
    <w:p w14:paraId="65DC1230">
      <w:pPr>
        <w:adjustRightInd w:val="0"/>
        <w:snapToGrid w:val="0"/>
        <w:spacing w:line="360" w:lineRule="auto"/>
        <w:ind w:firstLine="643"/>
        <w:jc w:val="center"/>
        <w:outlineLvl w:val="9"/>
        <w:rPr>
          <w:rFonts w:cs="宋体" w:asciiTheme="minorEastAsia" w:hAnsiTheme="minorEastAsia" w:eastAsiaTheme="minorEastAsia"/>
          <w:b/>
          <w:bCs/>
          <w:color w:val="auto"/>
          <w:kern w:val="0"/>
          <w:szCs w:val="21"/>
          <w:highlight w:val="none"/>
        </w:rPr>
      </w:pPr>
      <w:r>
        <w:rPr>
          <w:rFonts w:hint="eastAsia" w:cs="宋体" w:asciiTheme="minorEastAsia" w:hAnsiTheme="minorEastAsia" w:eastAsiaTheme="minorEastAsia"/>
          <w:b/>
          <w:bCs/>
          <w:color w:val="auto"/>
          <w:kern w:val="0"/>
          <w:szCs w:val="21"/>
          <w:highlight w:val="none"/>
        </w:rPr>
        <w:t>发包人供应材料设备一览表</w:t>
      </w:r>
    </w:p>
    <w:tbl>
      <w:tblPr>
        <w:tblStyle w:val="56"/>
        <w:tblW w:w="0" w:type="auto"/>
        <w:jc w:val="center"/>
        <w:tblLayout w:type="fixed"/>
        <w:tblCellMar>
          <w:top w:w="0" w:type="dxa"/>
          <w:left w:w="0" w:type="dxa"/>
          <w:bottom w:w="0" w:type="dxa"/>
          <w:right w:w="0" w:type="dxa"/>
        </w:tblCellMar>
      </w:tblPr>
      <w:tblGrid>
        <w:gridCol w:w="676"/>
        <w:gridCol w:w="1843"/>
        <w:gridCol w:w="1418"/>
        <w:gridCol w:w="708"/>
        <w:gridCol w:w="851"/>
        <w:gridCol w:w="752"/>
        <w:gridCol w:w="872"/>
        <w:gridCol w:w="872"/>
        <w:gridCol w:w="872"/>
        <w:gridCol w:w="749"/>
      </w:tblGrid>
      <w:tr w14:paraId="5A9DBB9C">
        <w:tblPrEx>
          <w:tblCellMar>
            <w:top w:w="0" w:type="dxa"/>
            <w:left w:w="0" w:type="dxa"/>
            <w:bottom w:w="0" w:type="dxa"/>
            <w:right w:w="0" w:type="dxa"/>
          </w:tblCellMar>
        </w:tblPrEx>
        <w:trPr>
          <w:trHeight w:val="570" w:hRule="atLeast"/>
          <w:jc w:val="center"/>
        </w:trPr>
        <w:tc>
          <w:tcPr>
            <w:tcW w:w="67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8D0D93D">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序号</w:t>
            </w:r>
          </w:p>
        </w:tc>
        <w:tc>
          <w:tcPr>
            <w:tcW w:w="1843"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1309B7E">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材料设备品种</w:t>
            </w:r>
          </w:p>
        </w:tc>
        <w:tc>
          <w:tcPr>
            <w:tcW w:w="141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FB390AE">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规格型号</w:t>
            </w: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1F756A3">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单位</w:t>
            </w: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FBF2DD5">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数量</w:t>
            </w:r>
          </w:p>
        </w:tc>
        <w:tc>
          <w:tcPr>
            <w:tcW w:w="75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2DB6DF3">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单价</w:t>
            </w: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5FE71F3">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品质</w:t>
            </w:r>
          </w:p>
          <w:p w14:paraId="7AA9388B">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等级</w:t>
            </w: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AE36370">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供应</w:t>
            </w:r>
          </w:p>
          <w:p w14:paraId="5A6A9DC5">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时间</w:t>
            </w: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3E32260">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送达</w:t>
            </w:r>
          </w:p>
          <w:p w14:paraId="34DB4319">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地点</w:t>
            </w:r>
          </w:p>
        </w:tc>
        <w:tc>
          <w:tcPr>
            <w:tcW w:w="74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F474F0D">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备注</w:t>
            </w:r>
          </w:p>
        </w:tc>
      </w:tr>
      <w:tr w14:paraId="447202A6">
        <w:tblPrEx>
          <w:tblCellMar>
            <w:top w:w="0" w:type="dxa"/>
            <w:left w:w="0" w:type="dxa"/>
            <w:bottom w:w="0" w:type="dxa"/>
            <w:right w:w="0" w:type="dxa"/>
          </w:tblCellMar>
        </w:tblPrEx>
        <w:trPr>
          <w:trHeight w:val="570" w:hRule="atLeast"/>
          <w:jc w:val="center"/>
        </w:trPr>
        <w:tc>
          <w:tcPr>
            <w:tcW w:w="67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3B51C128">
            <w:pPr>
              <w:keepNext/>
              <w:keepLines/>
              <w:suppressLineNumbers w:val="0"/>
              <w:spacing w:before="260" w:beforeAutospacing="0" w:after="260" w:afterAutospacing="0" w:line="360" w:lineRule="auto"/>
              <w:ind w:left="0" w:right="0"/>
              <w:outlineLvl w:val="9"/>
              <w:rPr>
                <w:rFonts w:cs="宋体" w:asciiTheme="minorEastAsia" w:hAnsiTheme="minorEastAsia" w:eastAsiaTheme="minorEastAsia"/>
                <w:color w:val="auto"/>
                <w:kern w:val="0"/>
                <w:szCs w:val="21"/>
                <w:highlight w:val="none"/>
              </w:rPr>
            </w:pPr>
          </w:p>
        </w:tc>
        <w:tc>
          <w:tcPr>
            <w:tcW w:w="1843"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051798C">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无</w:t>
            </w:r>
          </w:p>
        </w:tc>
        <w:tc>
          <w:tcPr>
            <w:tcW w:w="141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8FDE9FA">
            <w:pPr>
              <w:keepNext/>
              <w:keepLines/>
              <w:suppressLineNumbers w:val="0"/>
              <w:spacing w:before="260" w:beforeAutospacing="0" w:after="260" w:afterAutospacing="0" w:line="360" w:lineRule="auto"/>
              <w:ind w:left="0" w:right="0"/>
              <w:outlineLvl w:val="9"/>
              <w:rPr>
                <w:rFonts w:cs="宋体" w:asciiTheme="minorEastAsia" w:hAnsiTheme="minorEastAsia" w:eastAsiaTheme="minorEastAsia"/>
                <w:color w:val="auto"/>
                <w:kern w:val="0"/>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6365F66">
            <w:pPr>
              <w:keepNext/>
              <w:keepLines/>
              <w:suppressLineNumbers w:val="0"/>
              <w:spacing w:before="260" w:beforeAutospacing="0" w:after="260" w:afterAutospacing="0" w:line="360" w:lineRule="auto"/>
              <w:ind w:left="0" w:right="0"/>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5D975F8">
            <w:pPr>
              <w:keepNext/>
              <w:keepLines/>
              <w:suppressLineNumbers w:val="0"/>
              <w:spacing w:before="260" w:beforeAutospacing="0" w:after="260" w:afterAutospacing="0" w:line="360" w:lineRule="auto"/>
              <w:ind w:left="0" w:right="0"/>
              <w:outlineLvl w:val="9"/>
              <w:rPr>
                <w:rFonts w:cs="宋体" w:asciiTheme="minorEastAsia" w:hAnsiTheme="minorEastAsia" w:eastAsiaTheme="minorEastAsia"/>
                <w:color w:val="auto"/>
                <w:kern w:val="0"/>
                <w:szCs w:val="21"/>
                <w:highlight w:val="none"/>
              </w:rPr>
            </w:pPr>
          </w:p>
        </w:tc>
        <w:tc>
          <w:tcPr>
            <w:tcW w:w="75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C346569">
            <w:pPr>
              <w:keepNext/>
              <w:keepLines/>
              <w:suppressLineNumbers w:val="0"/>
              <w:spacing w:before="260" w:beforeAutospacing="0" w:after="260" w:afterAutospacing="0" w:line="360" w:lineRule="auto"/>
              <w:ind w:left="0" w:right="0"/>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60DB0D9">
            <w:pPr>
              <w:keepNext/>
              <w:keepLines/>
              <w:suppressLineNumbers w:val="0"/>
              <w:spacing w:before="260" w:beforeAutospacing="0" w:after="260" w:afterAutospacing="0" w:line="360" w:lineRule="auto"/>
              <w:ind w:left="0" w:right="0"/>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C7ECB6C">
            <w:pPr>
              <w:keepNext/>
              <w:keepLines/>
              <w:suppressLineNumbers w:val="0"/>
              <w:spacing w:before="260" w:beforeAutospacing="0" w:after="260" w:afterAutospacing="0" w:line="360" w:lineRule="auto"/>
              <w:ind w:left="0" w:right="0"/>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7CF323D">
            <w:pPr>
              <w:keepNext/>
              <w:keepLines/>
              <w:suppressLineNumbers w:val="0"/>
              <w:spacing w:before="260" w:beforeAutospacing="0" w:after="260" w:afterAutospacing="0" w:line="360" w:lineRule="auto"/>
              <w:ind w:left="0" w:right="0"/>
              <w:outlineLvl w:val="9"/>
              <w:rPr>
                <w:rFonts w:cs="宋体" w:asciiTheme="minorEastAsia" w:hAnsiTheme="minorEastAsia" w:eastAsiaTheme="minorEastAsia"/>
                <w:color w:val="auto"/>
                <w:kern w:val="0"/>
                <w:szCs w:val="21"/>
                <w:highlight w:val="none"/>
              </w:rPr>
            </w:pPr>
          </w:p>
        </w:tc>
        <w:tc>
          <w:tcPr>
            <w:tcW w:w="74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0516F8B">
            <w:pPr>
              <w:keepNext/>
              <w:keepLines/>
              <w:suppressLineNumbers w:val="0"/>
              <w:spacing w:before="260" w:beforeAutospacing="0" w:after="260" w:afterAutospacing="0" w:line="360" w:lineRule="auto"/>
              <w:ind w:left="0" w:right="0"/>
              <w:outlineLvl w:val="9"/>
              <w:rPr>
                <w:rFonts w:cs="宋体" w:asciiTheme="minorEastAsia" w:hAnsiTheme="minorEastAsia" w:eastAsiaTheme="minorEastAsia"/>
                <w:color w:val="auto"/>
                <w:kern w:val="0"/>
                <w:szCs w:val="21"/>
                <w:highlight w:val="none"/>
              </w:rPr>
            </w:pPr>
          </w:p>
        </w:tc>
      </w:tr>
      <w:tr w14:paraId="57E2C736">
        <w:tblPrEx>
          <w:tblCellMar>
            <w:top w:w="0" w:type="dxa"/>
            <w:left w:w="0" w:type="dxa"/>
            <w:bottom w:w="0" w:type="dxa"/>
            <w:right w:w="0" w:type="dxa"/>
          </w:tblCellMar>
        </w:tblPrEx>
        <w:trPr>
          <w:trHeight w:val="570" w:hRule="atLeast"/>
          <w:jc w:val="center"/>
        </w:trPr>
        <w:tc>
          <w:tcPr>
            <w:tcW w:w="67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01AC472">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3"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5D5E591">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41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E92D97C">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3389BC6">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70E69E6">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5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B5BBF37">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53FE4A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A8EC961">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4E78FB4">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4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FB7E30E">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r w14:paraId="597E3E59">
        <w:tblPrEx>
          <w:tblCellMar>
            <w:top w:w="0" w:type="dxa"/>
            <w:left w:w="0" w:type="dxa"/>
            <w:bottom w:w="0" w:type="dxa"/>
            <w:right w:w="0" w:type="dxa"/>
          </w:tblCellMar>
        </w:tblPrEx>
        <w:trPr>
          <w:trHeight w:val="570" w:hRule="atLeast"/>
          <w:jc w:val="center"/>
        </w:trPr>
        <w:tc>
          <w:tcPr>
            <w:tcW w:w="67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47F19D6D">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3"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46A5FDF">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41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9EB8898">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AB83A62">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F3D920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5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9B74281">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32FA3BB">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AED5203">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EEEEC79">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4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C5412D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r w14:paraId="2EA53484">
        <w:tblPrEx>
          <w:tblCellMar>
            <w:top w:w="0" w:type="dxa"/>
            <w:left w:w="0" w:type="dxa"/>
            <w:bottom w:w="0" w:type="dxa"/>
            <w:right w:w="0" w:type="dxa"/>
          </w:tblCellMar>
        </w:tblPrEx>
        <w:trPr>
          <w:trHeight w:val="570" w:hRule="atLeast"/>
          <w:jc w:val="center"/>
        </w:trPr>
        <w:tc>
          <w:tcPr>
            <w:tcW w:w="67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CAF67A2">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3"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2E0323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41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51AF603">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6EB5B9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E6C24B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5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1421EB1">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022E0E1">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4862CA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D5AB9C5">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4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AD731FE">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r w14:paraId="7035255A">
        <w:tblPrEx>
          <w:tblCellMar>
            <w:top w:w="0" w:type="dxa"/>
            <w:left w:w="0" w:type="dxa"/>
            <w:bottom w:w="0" w:type="dxa"/>
            <w:right w:w="0" w:type="dxa"/>
          </w:tblCellMar>
        </w:tblPrEx>
        <w:trPr>
          <w:trHeight w:val="570" w:hRule="atLeast"/>
          <w:jc w:val="center"/>
        </w:trPr>
        <w:tc>
          <w:tcPr>
            <w:tcW w:w="67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2DC9A6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3"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1DACEEF">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41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CAA7312">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8C09C75">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85F9702">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5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7048A62">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746EE21">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9776812">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C6DB69C">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4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52C1C0F">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r w14:paraId="331C0D33">
        <w:tblPrEx>
          <w:tblCellMar>
            <w:top w:w="0" w:type="dxa"/>
            <w:left w:w="0" w:type="dxa"/>
            <w:bottom w:w="0" w:type="dxa"/>
            <w:right w:w="0" w:type="dxa"/>
          </w:tblCellMar>
        </w:tblPrEx>
        <w:trPr>
          <w:trHeight w:val="570" w:hRule="atLeast"/>
          <w:jc w:val="center"/>
        </w:trPr>
        <w:tc>
          <w:tcPr>
            <w:tcW w:w="67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3764D1E">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3"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077EA84">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41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E08284F">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9514502">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EE18D14">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5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4409539">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56496C3">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420B289">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A1890C6">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4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17744BF">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r w14:paraId="45C7D526">
        <w:tblPrEx>
          <w:tblCellMar>
            <w:top w:w="0" w:type="dxa"/>
            <w:left w:w="0" w:type="dxa"/>
            <w:bottom w:w="0" w:type="dxa"/>
            <w:right w:w="0" w:type="dxa"/>
          </w:tblCellMar>
        </w:tblPrEx>
        <w:trPr>
          <w:trHeight w:val="570" w:hRule="atLeast"/>
          <w:jc w:val="center"/>
        </w:trPr>
        <w:tc>
          <w:tcPr>
            <w:tcW w:w="67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2C6D7DA1">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3"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6C2FD57">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41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481CD2E">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5793E66">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7E05022">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5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24C50FF">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67219FF">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C84B7A3">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7DAE2AC">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4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6B0EDB1">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r w14:paraId="19C33F15">
        <w:tblPrEx>
          <w:tblCellMar>
            <w:top w:w="0" w:type="dxa"/>
            <w:left w:w="0" w:type="dxa"/>
            <w:bottom w:w="0" w:type="dxa"/>
            <w:right w:w="0" w:type="dxa"/>
          </w:tblCellMar>
        </w:tblPrEx>
        <w:trPr>
          <w:trHeight w:val="570" w:hRule="atLeast"/>
          <w:jc w:val="center"/>
        </w:trPr>
        <w:tc>
          <w:tcPr>
            <w:tcW w:w="67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085EBE97">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3"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81B5A91">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41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12E07E7">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7CA4E45">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CCDB5C1">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5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A5DF033">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40B600F">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CCB9B66">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4D066C2">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4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B472E88">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r w14:paraId="34A2C9F8">
        <w:tblPrEx>
          <w:tblCellMar>
            <w:top w:w="0" w:type="dxa"/>
            <w:left w:w="0" w:type="dxa"/>
            <w:bottom w:w="0" w:type="dxa"/>
            <w:right w:w="0" w:type="dxa"/>
          </w:tblCellMar>
        </w:tblPrEx>
        <w:trPr>
          <w:trHeight w:val="570" w:hRule="atLeast"/>
          <w:jc w:val="center"/>
        </w:trPr>
        <w:tc>
          <w:tcPr>
            <w:tcW w:w="67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33F681DF">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3"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6A9A343">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41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6350A37">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959EBC3">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CAE880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5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6890EA96">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84B309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13BA349">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AA5C217">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4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03665FD">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r w14:paraId="2E748C14">
        <w:tblPrEx>
          <w:tblCellMar>
            <w:top w:w="0" w:type="dxa"/>
            <w:left w:w="0" w:type="dxa"/>
            <w:bottom w:w="0" w:type="dxa"/>
            <w:right w:w="0" w:type="dxa"/>
          </w:tblCellMar>
        </w:tblPrEx>
        <w:trPr>
          <w:trHeight w:val="570" w:hRule="atLeast"/>
          <w:jc w:val="center"/>
        </w:trPr>
        <w:tc>
          <w:tcPr>
            <w:tcW w:w="67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115BCB74">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3"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42E54C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41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54E564B">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D929A0A">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D7B9EA5">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5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5A5F983">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F7E991B">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129B601">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FDAB824">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4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76086AD4">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r w14:paraId="41F62487">
        <w:tblPrEx>
          <w:tblCellMar>
            <w:top w:w="0" w:type="dxa"/>
            <w:left w:w="0" w:type="dxa"/>
            <w:bottom w:w="0" w:type="dxa"/>
            <w:right w:w="0" w:type="dxa"/>
          </w:tblCellMar>
        </w:tblPrEx>
        <w:trPr>
          <w:trHeight w:val="570" w:hRule="atLeast"/>
          <w:jc w:val="center"/>
        </w:trPr>
        <w:tc>
          <w:tcPr>
            <w:tcW w:w="67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14:paraId="7E60BB59">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843"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293A3F9">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141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14752D00">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0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6638786">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51"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5027CB94">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5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F07EDDB">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0AFE899F">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29F1F8ED">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872"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3E9C78CA">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c>
          <w:tcPr>
            <w:tcW w:w="749"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14:paraId="46936ED7">
            <w:pPr>
              <w:keepNext/>
              <w:keepLines/>
              <w:suppressLineNumbers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kern w:val="0"/>
                <w:szCs w:val="21"/>
                <w:highlight w:val="none"/>
              </w:rPr>
            </w:pPr>
          </w:p>
        </w:tc>
      </w:tr>
    </w:tbl>
    <w:p w14:paraId="04FF4645">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18F64AC0">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br w:type="page"/>
      </w:r>
    </w:p>
    <w:p w14:paraId="7FBB6369">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附件三：</w:t>
      </w:r>
    </w:p>
    <w:p w14:paraId="2EFA1259">
      <w:pPr>
        <w:adjustRightInd w:val="0"/>
        <w:snapToGrid w:val="0"/>
        <w:spacing w:line="360" w:lineRule="auto"/>
        <w:ind w:firstLine="422"/>
        <w:jc w:val="center"/>
        <w:outlineLvl w:val="9"/>
        <w:rPr>
          <w:rFonts w:cs="宋体" w:asciiTheme="minorEastAsia" w:hAnsiTheme="minorEastAsia" w:eastAsiaTheme="minorEastAsia"/>
          <w:b/>
          <w:bCs/>
          <w:color w:val="auto"/>
          <w:kern w:val="0"/>
          <w:szCs w:val="21"/>
          <w:highlight w:val="none"/>
        </w:rPr>
      </w:pPr>
      <w:r>
        <w:rPr>
          <w:rFonts w:hint="eastAsia" w:cs="宋体" w:asciiTheme="minorEastAsia" w:hAnsiTheme="minorEastAsia" w:eastAsiaTheme="minorEastAsia"/>
          <w:b/>
          <w:bCs/>
          <w:color w:val="auto"/>
          <w:kern w:val="0"/>
          <w:szCs w:val="21"/>
          <w:highlight w:val="none"/>
        </w:rPr>
        <w:t>工程质量保修书</w:t>
      </w:r>
    </w:p>
    <w:p w14:paraId="4DABE984">
      <w:pPr>
        <w:adjustRightInd w:val="0"/>
        <w:snapToGrid w:val="0"/>
        <w:spacing w:line="360" w:lineRule="auto"/>
        <w:ind w:firstLine="420"/>
        <w:outlineLvl w:val="9"/>
        <w:rPr>
          <w:rFonts w:hint="eastAsia" w:cs="宋体" w:asciiTheme="minorEastAsia" w:hAnsiTheme="minorEastAsia" w:eastAsiaTheme="minorEastAsia"/>
          <w:color w:val="auto"/>
          <w:szCs w:val="21"/>
          <w:highlight w:val="none"/>
          <w:lang w:eastAsia="zh-CN"/>
        </w:rPr>
      </w:pPr>
      <w:r>
        <w:rPr>
          <w:rFonts w:hint="eastAsia" w:cs="宋体" w:asciiTheme="minorEastAsia" w:hAnsiTheme="minorEastAsia" w:eastAsiaTheme="minorEastAsia"/>
          <w:color w:val="auto"/>
          <w:szCs w:val="21"/>
          <w:highlight w:val="none"/>
        </w:rPr>
        <w:t>发包人（甲方）：</w:t>
      </w:r>
      <w:r>
        <w:rPr>
          <w:rFonts w:hint="eastAsia" w:cs="宋体" w:asciiTheme="minorEastAsia" w:hAnsiTheme="minorEastAsia" w:eastAsiaTheme="minorEastAsia"/>
          <w:color w:val="auto"/>
          <w:szCs w:val="21"/>
          <w:highlight w:val="none"/>
          <w:lang w:eastAsia="zh-CN"/>
        </w:rPr>
        <w:t>西安经发景弘项目开发有限公司</w:t>
      </w:r>
    </w:p>
    <w:p w14:paraId="1A758728">
      <w:pPr>
        <w:adjustRightInd w:val="0"/>
        <w:snapToGrid w:val="0"/>
        <w:spacing w:line="360" w:lineRule="auto"/>
        <w:ind w:firstLine="42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承包人（乙方,联合体牵头人）：中建八局第二建设有限公司</w:t>
      </w:r>
    </w:p>
    <w:p w14:paraId="255D89AB">
      <w:pPr>
        <w:adjustRightInd w:val="0"/>
        <w:snapToGrid w:val="0"/>
        <w:spacing w:line="360" w:lineRule="auto"/>
        <w:ind w:firstLine="42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承包人（乙方，联合体成员）：中建八局(陕西)建设科技有限公司</w:t>
      </w:r>
    </w:p>
    <w:p w14:paraId="47BCE77F">
      <w:pPr>
        <w:adjustRightInd w:val="0"/>
        <w:snapToGrid w:val="0"/>
        <w:spacing w:line="360" w:lineRule="auto"/>
        <w:ind w:firstLine="420"/>
        <w:outlineLvl w:val="9"/>
        <w:rPr>
          <w:rFonts w:cs="宋体" w:asciiTheme="minorEastAsia" w:hAnsiTheme="minorEastAsia" w:eastAsiaTheme="minorEastAsia"/>
          <w:color w:val="auto"/>
          <w:sz w:val="21"/>
          <w:szCs w:val="21"/>
          <w:highlight w:val="none"/>
          <w:u w:val="single"/>
        </w:rPr>
      </w:pPr>
      <w:r>
        <w:rPr>
          <w:rFonts w:hint="eastAsia" w:cs="宋体" w:asciiTheme="minorEastAsia" w:hAnsiTheme="minorEastAsia" w:eastAsiaTheme="minorEastAsia"/>
          <w:color w:val="auto"/>
          <w:szCs w:val="21"/>
          <w:highlight w:val="none"/>
        </w:rPr>
        <w:t>承包人（乙方，联合体成员）：中国建筑西北设计研究院有限公司</w:t>
      </w:r>
    </w:p>
    <w:p w14:paraId="59485C9E">
      <w:pPr>
        <w:adjustRightInd w:val="0"/>
        <w:snapToGrid w:val="0"/>
        <w:spacing w:line="480" w:lineRule="exact"/>
        <w:ind w:firstLine="420" w:firstLineChars="200"/>
        <w:rPr>
          <w:rFonts w:ascii="宋体" w:hAnsi="宋体" w:cs="宋体"/>
          <w:color w:val="auto"/>
          <w:sz w:val="21"/>
          <w:szCs w:val="21"/>
          <w:highlight w:val="none"/>
          <w:lang w:eastAsia="zh-TW"/>
        </w:rPr>
      </w:pPr>
      <w:r>
        <w:rPr>
          <w:rFonts w:hint="eastAsia" w:ascii="宋体" w:hAnsi="宋体" w:cs="宋体"/>
          <w:color w:val="auto"/>
          <w:sz w:val="21"/>
          <w:szCs w:val="21"/>
          <w:highlight w:val="none"/>
        </w:rPr>
        <w:t>为保证本工程在合理使用期限内正常使用，发包人、承包人协商一致签定工程质量保修书。承包人在质量保修期内，按照有关管理规定及双方约定承担工程质量保修责任。</w:t>
      </w:r>
    </w:p>
    <w:p w14:paraId="2A61785E">
      <w:pPr>
        <w:adjustRightInd w:val="0"/>
        <w:snapToGrid w:val="0"/>
        <w:spacing w:line="480" w:lineRule="exact"/>
        <w:ind w:firstLine="422" w:firstLineChars="200"/>
        <w:rPr>
          <w:rFonts w:ascii="宋体" w:hAnsi="宋体" w:cs="宋体"/>
          <w:b/>
          <w:color w:val="auto"/>
          <w:sz w:val="21"/>
          <w:szCs w:val="21"/>
          <w:highlight w:val="none"/>
          <w:lang w:eastAsia="zh-TW"/>
        </w:rPr>
      </w:pPr>
      <w:r>
        <w:rPr>
          <w:rFonts w:hint="eastAsia" w:ascii="宋体" w:hAnsi="宋体" w:cs="宋体"/>
          <w:b/>
          <w:color w:val="auto"/>
          <w:sz w:val="21"/>
          <w:szCs w:val="21"/>
          <w:highlight w:val="none"/>
        </w:rPr>
        <w:t>一、工程质量保修范围和内容</w:t>
      </w:r>
    </w:p>
    <w:p w14:paraId="5B7E59F9">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质量保修范围包括（1）地基基础工程（建筑物地基、基础、肥槽回填土、房心回填土等）；</w:t>
      </w:r>
    </w:p>
    <w:p w14:paraId="451BF67C">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（2）建筑主体工程（梁、板、柱、墙、外围护墙、分户墙、非承重墙楼梯、结构性幕墙等）；</w:t>
      </w:r>
    </w:p>
    <w:p w14:paraId="4F9F954A">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（3）建筑装饰装修（(原始装修)建筑地面、抹灰、门窗、吊顶、轻质隔墙、装饰性幕墙、饰面板、饰面砖、涂饰、裱糊与软包、栏杆、扶手等）；</w:t>
      </w:r>
    </w:p>
    <w:p w14:paraId="49DC06A0">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（4）保温工程（屋顶、外墙、架空或外挑楼板、不供暖地下室顶板分隔供暖与非供暖空间隔墙等部位的保温工程）；</w:t>
      </w:r>
    </w:p>
    <w:p w14:paraId="5931FDD1">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（5）防水工程（建筑屋面、地下室、外墙面、住宅室内有防水要求的房间等）；</w:t>
      </w:r>
    </w:p>
    <w:p w14:paraId="0C3F7C49">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（6）建筑给排水工程（给排水系统、中水系统、热水系统及消防给水系统的输水设备及附属设施、管道设施及配件）；</w:t>
      </w:r>
    </w:p>
    <w:p w14:paraId="0E2F9875">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（7）供暖工程质量保修内容应包括（室内热水热源、室内电采暖管线、供暖设备及相关配套设备、管道设施、末端散热设施等）；</w:t>
      </w:r>
    </w:p>
    <w:p w14:paraId="1595ED64">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（8）通风与空调工程（送排风及防排烟系统的风机、风管、风口及阀部件及其绝热防腐做法等，空调系统的冷源及配套设备、管道设施及其绝热、阀门部件、末端空调设备等）；</w:t>
      </w:r>
    </w:p>
    <w:p w14:paraId="0734574E">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（9）电气工程（电线、电缆敷设，配电箱、插座、开关、灯具、防雷和接地等设施；</w:t>
      </w:r>
    </w:p>
    <w:p w14:paraId="6C155BDF">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（10）智能建筑工程（通信系统(通讯、网络、有线电视)、安全防范系统、建筑设备监控系统、智能家居及智能控制系统等）；</w:t>
      </w:r>
    </w:p>
    <w:p w14:paraId="67B34D2B">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（11）消防工程（火灾自动报警及联动控制系统、消防应急广播系统应急照明系统）；</w:t>
      </w:r>
    </w:p>
    <w:p w14:paraId="2E3FA80F">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（12）电梯工程（产品和安装两部分，产品包含电梯驱动主机、悬挂装置、电气控制系统、导轨、门系统、轿厢、安全部件）；</w:t>
      </w:r>
    </w:p>
    <w:p w14:paraId="64DB7B76">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（13）室外工程（车棚、围墙、大门、垃圾收集站、建筑小品、亭台、连廊、入口台阶、无障碍通道、散水、管井、道路及交通设施等）。</w:t>
      </w:r>
    </w:p>
    <w:p w14:paraId="03FCD7ED">
      <w:pPr>
        <w:adjustRightInd w:val="0"/>
        <w:snapToGrid w:val="0"/>
        <w:spacing w:line="480" w:lineRule="exact"/>
        <w:ind w:firstLine="420" w:firstLineChars="200"/>
        <w:rPr>
          <w:rFonts w:ascii="宋体" w:hAnsi="宋体" w:cs="宋体"/>
          <w:color w:val="auto"/>
          <w:sz w:val="21"/>
          <w:szCs w:val="21"/>
          <w:highlight w:val="none"/>
          <w:lang w:eastAsia="zh-TW"/>
        </w:rPr>
      </w:pPr>
      <w:r>
        <w:rPr>
          <w:rFonts w:hint="eastAsia" w:ascii="宋体" w:hAnsi="宋体" w:cs="宋体"/>
          <w:color w:val="auto"/>
          <w:sz w:val="21"/>
          <w:szCs w:val="21"/>
          <w:highlight w:val="none"/>
        </w:rPr>
        <w:t>具体质量保修的内容双方约定如下：合同承包范围内的全部工作内容。</w:t>
      </w:r>
    </w:p>
    <w:p w14:paraId="0771D898">
      <w:pPr>
        <w:adjustRightInd w:val="0"/>
        <w:snapToGrid w:val="0"/>
        <w:spacing w:line="480" w:lineRule="exact"/>
        <w:ind w:firstLine="422" w:firstLineChars="200"/>
        <w:rPr>
          <w:rFonts w:ascii="宋体" w:hAnsi="宋体" w:cs="宋体"/>
          <w:b/>
          <w:color w:val="auto"/>
          <w:sz w:val="21"/>
          <w:szCs w:val="21"/>
          <w:highlight w:val="none"/>
          <w:lang w:eastAsia="zh-TW"/>
        </w:rPr>
      </w:pPr>
      <w:r>
        <w:rPr>
          <w:rFonts w:hint="eastAsia" w:ascii="宋体" w:hAnsi="宋体" w:cs="宋体"/>
          <w:b/>
          <w:color w:val="auto"/>
          <w:sz w:val="21"/>
          <w:szCs w:val="21"/>
          <w:highlight w:val="none"/>
        </w:rPr>
        <w:t>二、质量保修期</w:t>
      </w:r>
    </w:p>
    <w:p w14:paraId="55FAB1B2">
      <w:pPr>
        <w:adjustRightInd w:val="0"/>
        <w:snapToGrid w:val="0"/>
        <w:spacing w:line="480" w:lineRule="exact"/>
        <w:ind w:firstLine="420" w:firstLineChars="200"/>
        <w:rPr>
          <w:rFonts w:ascii="宋体" w:hAnsi="宋体" w:cs="宋体"/>
          <w:color w:val="auto"/>
          <w:sz w:val="21"/>
          <w:szCs w:val="21"/>
          <w:highlight w:val="none"/>
          <w:lang w:eastAsia="zh-TW"/>
        </w:rPr>
      </w:pPr>
      <w:r>
        <w:rPr>
          <w:rFonts w:hint="eastAsia" w:ascii="宋体" w:hAnsi="宋体" w:cs="宋体"/>
          <w:color w:val="auto"/>
          <w:sz w:val="21"/>
          <w:szCs w:val="21"/>
          <w:highlight w:val="none"/>
        </w:rPr>
        <w:t>质量保修期自工程交付甲方委托的物业公司之日起计算。分单项竣工验收的工程，按单项工程分别计算质量保修期。</w:t>
      </w:r>
    </w:p>
    <w:p w14:paraId="6031F57D">
      <w:pPr>
        <w:adjustRightInd w:val="0"/>
        <w:snapToGrid w:val="0"/>
        <w:spacing w:line="48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双方根据《建设工程质量管理条例》及国家有关规定，结合具体工程约定质量保修期如下：</w:t>
      </w:r>
    </w:p>
    <w:p w14:paraId="00322049">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1、地基基础和主体结构工程为设计文件规定的该工程的合理使用年限。</w:t>
      </w:r>
    </w:p>
    <w:p w14:paraId="45323400">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 xml:space="preserve">2、电气工程、给排水安装工程质量保修期限为两年；其中采取隐蔽方式安装和共用部位的电气管线、上下水管线质量保修期限不得低于十年，且管道设置在建筑主体内时，其质量保修期限应与建筑设计使用年限相同； </w:t>
      </w:r>
    </w:p>
    <w:p w14:paraId="4C146B33">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3、供暖工程质量保修年限为两个采暖期；其中采取隐蔽方式安装的管线质量保修期限不得低于十年，且管线设置在建筑主体内时，其质量保修期限应与建筑设计使用年限相同；通风与空调工程质量保修期限为2个完整采暖供冷季；</w:t>
      </w:r>
    </w:p>
    <w:p w14:paraId="4308B72D">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4、室外的上下水和小区道路等市政公用工程为两年；</w:t>
      </w:r>
    </w:p>
    <w:p w14:paraId="7D6AE3BC">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5、幕墙工程为五年，结构性幕墙的质量保修期限应为设计文件确定的设计使用年限；</w:t>
      </w:r>
    </w:p>
    <w:p w14:paraId="4D6591CD">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6、保温工程为五年；</w:t>
      </w:r>
    </w:p>
    <w:p w14:paraId="5A4C9611">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7、主楼</w:t>
      </w:r>
      <w:r>
        <w:rPr>
          <w:rFonts w:hint="eastAsia" w:ascii="宋体" w:hAnsi="宋体" w:cs="宋体"/>
          <w:color w:val="auto"/>
          <w:sz w:val="21"/>
          <w:szCs w:val="21"/>
          <w:highlight w:val="none"/>
          <w:lang w:eastAsia="zh-CN"/>
        </w:rPr>
        <w:t>屋面</w:t>
      </w:r>
      <w:r>
        <w:rPr>
          <w:rFonts w:hint="eastAsia" w:ascii="宋体" w:hAnsi="宋体" w:cs="宋体"/>
          <w:color w:val="auto"/>
          <w:sz w:val="21"/>
          <w:szCs w:val="21"/>
          <w:highlight w:val="none"/>
        </w:rPr>
        <w:t>、构筑物</w:t>
      </w:r>
      <w:r>
        <w:rPr>
          <w:rFonts w:hint="eastAsia" w:ascii="宋体" w:hAnsi="宋体" w:cs="宋体"/>
          <w:color w:val="auto"/>
          <w:sz w:val="21"/>
          <w:szCs w:val="21"/>
          <w:highlight w:val="none"/>
          <w:lang w:eastAsia="zh-CN"/>
        </w:rPr>
        <w:t>屋面</w:t>
      </w:r>
      <w:r>
        <w:rPr>
          <w:rFonts w:hint="eastAsia" w:ascii="宋体" w:hAnsi="宋体" w:cs="宋体"/>
          <w:color w:val="auto"/>
          <w:sz w:val="21"/>
          <w:szCs w:val="21"/>
          <w:highlight w:val="none"/>
        </w:rPr>
        <w:t>、室外工程屋面、卫生间、外墙、门窗、幕墙</w:t>
      </w:r>
      <w:r>
        <w:rPr>
          <w:rFonts w:hint="eastAsia" w:ascii="宋体" w:hAnsi="宋体" w:cs="宋体"/>
          <w:color w:val="auto"/>
          <w:sz w:val="21"/>
          <w:szCs w:val="21"/>
          <w:highlight w:val="none"/>
          <w:lang w:eastAsia="zh-CN"/>
        </w:rPr>
        <w:t>等</w:t>
      </w:r>
      <w:r>
        <w:rPr>
          <w:rFonts w:hint="eastAsia" w:ascii="宋体" w:hAnsi="宋体" w:cs="宋体"/>
          <w:color w:val="auto"/>
          <w:sz w:val="21"/>
          <w:szCs w:val="21"/>
          <w:highlight w:val="none"/>
        </w:rPr>
        <w:t>的防水工程质量保修年限均为五年。</w:t>
      </w:r>
    </w:p>
    <w:p w14:paraId="57E0260E">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8、装饰装修工程中，除有专门规定质量保修期限的分项工程应遵从其规定外，室内装修工程质量保修期限为2年；</w:t>
      </w:r>
    </w:p>
    <w:p w14:paraId="704BA9D4">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9、智能建筑工程质量保修期限为</w:t>
      </w:r>
      <w:r>
        <w:rPr>
          <w:rFonts w:hint="eastAsia" w:ascii="宋体" w:hAnsi="宋体" w:cs="宋体"/>
          <w:color w:val="auto"/>
          <w:sz w:val="21"/>
          <w:szCs w:val="21"/>
          <w:highlight w:val="none"/>
          <w:lang w:val="en-US" w:eastAsia="zh-CN"/>
        </w:rPr>
        <w:t>2</w:t>
      </w:r>
      <w:r>
        <w:rPr>
          <w:rFonts w:hint="eastAsia" w:ascii="宋体" w:hAnsi="宋体" w:cs="宋体"/>
          <w:color w:val="auto"/>
          <w:sz w:val="21"/>
          <w:szCs w:val="21"/>
          <w:highlight w:val="none"/>
        </w:rPr>
        <w:t>年；</w:t>
      </w:r>
    </w:p>
    <w:p w14:paraId="100E8D89">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10、消防工程的火灾自动报警及联动控制系统、消防应急广播系统、应急照明系统保修年限为</w:t>
      </w:r>
      <w:r>
        <w:rPr>
          <w:rFonts w:hint="eastAsia" w:ascii="宋体" w:hAnsi="宋体" w:cs="宋体"/>
          <w:color w:val="auto"/>
          <w:sz w:val="21"/>
          <w:szCs w:val="21"/>
          <w:highlight w:val="none"/>
          <w:lang w:val="en-US" w:eastAsia="zh-CN"/>
        </w:rPr>
        <w:t>2</w:t>
      </w:r>
      <w:r>
        <w:rPr>
          <w:rFonts w:hint="eastAsia" w:ascii="宋体" w:hAnsi="宋体" w:cs="宋体"/>
          <w:color w:val="auto"/>
          <w:sz w:val="21"/>
          <w:szCs w:val="21"/>
          <w:highlight w:val="none"/>
        </w:rPr>
        <w:t>年。</w:t>
      </w:r>
    </w:p>
    <w:p w14:paraId="6E749C6F">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11、电梯工程质量保修期限为3年。</w:t>
      </w:r>
    </w:p>
    <w:p w14:paraId="28AF58DA">
      <w:pPr>
        <w:adjustRightInd w:val="0"/>
        <w:snapToGrid w:val="0"/>
        <w:spacing w:line="48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12、室外工程中硬质铺装、水电安装、水景、绿化苗木等质量保修期限为2年，其中涉及防水的质量保修年限为5年，附属构筑物质量保修期为设计文件规定的该工程的合理使用年限。。</w:t>
      </w:r>
    </w:p>
    <w:p w14:paraId="5EBBB8B0">
      <w:pPr>
        <w:adjustRightInd w:val="0"/>
        <w:snapToGrid w:val="0"/>
        <w:spacing w:line="48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lang w:val="en-US" w:eastAsia="zh-CN"/>
        </w:rPr>
        <w:t>13</w:t>
      </w:r>
      <w:r>
        <w:rPr>
          <w:rFonts w:hint="eastAsia" w:ascii="宋体" w:hAnsi="宋体" w:cs="宋体"/>
          <w:color w:val="auto"/>
          <w:sz w:val="21"/>
          <w:szCs w:val="21"/>
          <w:highlight w:val="none"/>
        </w:rPr>
        <w:t>、其他约定：</w:t>
      </w:r>
    </w:p>
    <w:p w14:paraId="2E48FF64">
      <w:pPr>
        <w:adjustRightInd w:val="0"/>
        <w:snapToGrid w:val="0"/>
        <w:spacing w:line="48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（1）、主体外墙在质保期内出现渗漏点5处以上10处以下，整个质保期顺延1年；出现渗漏点10处以上，整个质保期顺延2年，同时暂缓支付质量保修金的16%，待维修完成、验收合格并满足延期要求后一个月内退还。</w:t>
      </w:r>
    </w:p>
    <w:p w14:paraId="6D60616E">
      <w:pPr>
        <w:adjustRightInd w:val="0"/>
        <w:snapToGrid w:val="0"/>
        <w:spacing w:line="48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2）、铝合金（塑钢）门窗在质保期内出现渗漏点5处以上10处以下，整个质保期顺延1年；出现渗漏点10处以上，整个质保期顺延2年，同时暂缓支付质量保修金的16%，待维修完成、验收合格并满足延期要求后一个月内退还。</w:t>
      </w:r>
    </w:p>
    <w:p w14:paraId="3BBEC23C">
      <w:pPr>
        <w:adjustRightInd w:val="0"/>
        <w:snapToGrid w:val="0"/>
        <w:spacing w:line="48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（3）、屋面在质保期内出现渗漏点2处以上整个质保期顺延1年，同时暂缓支付质量保修金的16%，待维修完成、验收合格并满足延期要求后一个月内退还。</w:t>
      </w:r>
    </w:p>
    <w:p w14:paraId="708F0BB8">
      <w:pPr>
        <w:adjustRightInd w:val="0"/>
        <w:snapToGrid w:val="0"/>
        <w:spacing w:line="48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（4）、车库在质保期内出现渗漏点5处以上10处以下，整个质保期顺延1年；出现渗漏点10处以上，整个质保期顺延2年，同时暂缓支付质量保修金的16%，待维修完成、验收合格并满足延期要求后一个月内退还。</w:t>
      </w:r>
    </w:p>
    <w:p w14:paraId="59780C93">
      <w:pPr>
        <w:adjustRightInd w:val="0"/>
        <w:snapToGrid w:val="0"/>
        <w:spacing w:line="48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（5）、工程外墙渗漏相关项目（主体、保温、涂料、外墙门窗、玻璃幕墙）及屋面、卫生间、车库等部位均属于防水5年保修范围。</w:t>
      </w:r>
    </w:p>
    <w:p w14:paraId="269A7370">
      <w:pPr>
        <w:adjustRightInd w:val="0"/>
        <w:snapToGrid w:val="0"/>
        <w:spacing w:line="48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6）、在建设工程保修期限内，经维修的部位保修期限自所有权人和相关单位验收合格之日起重新计算。车库、屋面每出现一处渗漏点，暂缓支付质量保修金2万元；外墙、外窗每出现一处渗漏点，暂缓支付质量保修金5千元，累计不超过质量保修金总额的16%。</w:t>
      </w:r>
    </w:p>
    <w:p w14:paraId="6B4010BD">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（7）在建设工程保修期限内如出现漏水现场，承包人应先出具漏水维修方案，经发包人工程管理部审核同意后方可维修。</w:t>
      </w:r>
    </w:p>
    <w:p w14:paraId="79751EBF">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14、维修人员安排</w:t>
      </w:r>
    </w:p>
    <w:p w14:paraId="08C89D67">
      <w:pPr>
        <w:adjustRightInd w:val="0"/>
        <w:snapToGrid w:val="0"/>
        <w:spacing w:line="480" w:lineRule="exact"/>
        <w:ind w:firstLine="420" w:firstLineChars="200"/>
        <w:rPr>
          <w:rFonts w:hint="eastAsia" w:ascii="宋体" w:hAnsi="宋体" w:cs="宋体"/>
          <w:color w:val="auto"/>
          <w:sz w:val="21"/>
          <w:szCs w:val="21"/>
          <w:highlight w:val="none"/>
        </w:rPr>
      </w:pPr>
      <w:r>
        <w:rPr>
          <w:rFonts w:hint="eastAsia" w:ascii="宋体" w:hAnsi="宋体" w:cs="宋体"/>
          <w:color w:val="auto"/>
          <w:sz w:val="21"/>
          <w:szCs w:val="21"/>
          <w:highlight w:val="none"/>
        </w:rPr>
        <w:t>承包人承诺，在住宅项目入伙阶段的集中维修期，即集中交付日期起算二个月内，保证各专业维修人员留驻现场，且每天留驻现场维修人员不少于十名，以完成业主收房时，所提出质量问题的及时整改。维修人员数量需按照发包人要求配置，当人员出现变化、增加、减少，均需以书面形式报发包人项目部之书面认可。所有费用由承包人自行承担。</w:t>
      </w:r>
    </w:p>
    <w:p w14:paraId="0608DBD9">
      <w:pPr>
        <w:adjustRightInd w:val="0"/>
        <w:snapToGrid w:val="0"/>
        <w:spacing w:line="480" w:lineRule="exact"/>
        <w:ind w:firstLine="422" w:firstLineChars="200"/>
        <w:rPr>
          <w:rFonts w:ascii="宋体" w:hAnsi="宋体" w:cs="宋体"/>
          <w:b/>
          <w:color w:val="auto"/>
          <w:sz w:val="21"/>
          <w:szCs w:val="21"/>
          <w:highlight w:val="none"/>
        </w:rPr>
      </w:pPr>
      <w:r>
        <w:rPr>
          <w:rFonts w:hint="eastAsia" w:ascii="宋体" w:hAnsi="宋体" w:cs="宋体"/>
          <w:b/>
          <w:color w:val="auto"/>
          <w:sz w:val="21"/>
          <w:szCs w:val="21"/>
          <w:highlight w:val="none"/>
        </w:rPr>
        <w:t>三、质量保修责任</w:t>
      </w:r>
    </w:p>
    <w:p w14:paraId="27140FF6">
      <w:pPr>
        <w:adjustRightInd w:val="0"/>
        <w:snapToGrid w:val="0"/>
        <w:spacing w:line="480" w:lineRule="exact"/>
        <w:ind w:firstLine="420" w:firstLineChars="200"/>
        <w:rPr>
          <w:rFonts w:ascii="宋体" w:hAnsi="宋体" w:cs="宋体"/>
          <w:color w:val="auto"/>
          <w:sz w:val="21"/>
          <w:szCs w:val="21"/>
          <w:highlight w:val="none"/>
          <w:lang w:eastAsia="zh-TW"/>
        </w:rPr>
      </w:pPr>
      <w:r>
        <w:rPr>
          <w:rFonts w:ascii="宋体" w:hAnsi="宋体" w:cs="宋体"/>
          <w:color w:val="auto"/>
          <w:sz w:val="21"/>
          <w:szCs w:val="21"/>
          <w:highlight w:val="none"/>
        </w:rPr>
        <w:t>1、属于保修范围和内容的项目，承包人应在接到通知之日后按附件《工程返修》要求时间内派人修理。承包人不在约定期限内派人修理的，发包人可委托他人人员修理，保修费用从质量保修金内扣除。</w:t>
      </w:r>
    </w:p>
    <w:p w14:paraId="51EDA280">
      <w:pPr>
        <w:adjustRightInd w:val="0"/>
        <w:snapToGrid w:val="0"/>
        <w:spacing w:line="48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2、发生须紧急抢修事故（如上水跑水、暖气漏水漏气、燃气漏气等），承包人接到事故通知后，应立即到达事故现场抢修。非承包人施工质量引起的事故，抢修费用由发包人承担。</w:t>
      </w:r>
    </w:p>
    <w:p w14:paraId="6FE652D5">
      <w:pPr>
        <w:adjustRightInd w:val="0"/>
        <w:snapToGrid w:val="0"/>
        <w:spacing w:line="480" w:lineRule="exact"/>
        <w:ind w:firstLine="420" w:firstLineChars="200"/>
        <w:rPr>
          <w:rFonts w:ascii="宋体" w:hAnsi="宋体" w:cs="宋体"/>
          <w:color w:val="auto"/>
          <w:sz w:val="21"/>
          <w:szCs w:val="21"/>
          <w:highlight w:val="none"/>
          <w:lang w:eastAsia="zh-TW"/>
        </w:rPr>
      </w:pPr>
      <w:r>
        <w:rPr>
          <w:rFonts w:hint="eastAsia" w:ascii="宋体" w:hAnsi="宋体" w:cs="宋体"/>
          <w:color w:val="auto"/>
          <w:sz w:val="21"/>
          <w:szCs w:val="21"/>
          <w:highlight w:val="none"/>
        </w:rPr>
        <w:t>3、在国家规定的工程合理使用期限内，承包人确保地基基础工程和主体结构的质量。因承包人原因致使工程在合理使用期限内造成人身和财产损害的，承包人应承担损害赔偿责任。</w:t>
      </w:r>
    </w:p>
    <w:p w14:paraId="3C4FFE02">
      <w:pPr>
        <w:adjustRightInd w:val="0"/>
        <w:snapToGrid w:val="0"/>
        <w:spacing w:line="480" w:lineRule="exact"/>
        <w:ind w:firstLine="422" w:firstLineChars="200"/>
        <w:rPr>
          <w:rFonts w:ascii="宋体" w:hAnsi="宋体" w:cs="宋体"/>
          <w:b/>
          <w:color w:val="auto"/>
          <w:sz w:val="21"/>
          <w:szCs w:val="21"/>
          <w:highlight w:val="none"/>
          <w:lang w:eastAsia="zh-TW"/>
        </w:rPr>
      </w:pPr>
      <w:r>
        <w:rPr>
          <w:rFonts w:hint="eastAsia" w:ascii="宋体" w:hAnsi="宋体" w:cs="宋体"/>
          <w:b/>
          <w:color w:val="auto"/>
          <w:sz w:val="21"/>
          <w:szCs w:val="21"/>
          <w:highlight w:val="none"/>
        </w:rPr>
        <w:t>四、质量保修金的支付</w:t>
      </w:r>
    </w:p>
    <w:p w14:paraId="31A55170">
      <w:pPr>
        <w:adjustRightInd w:val="0"/>
        <w:snapToGrid w:val="0"/>
        <w:spacing w:line="480" w:lineRule="exact"/>
        <w:ind w:firstLine="420" w:firstLineChars="200"/>
        <w:rPr>
          <w:rFonts w:ascii="宋体" w:hAnsi="宋体" w:cs="宋体"/>
          <w:color w:val="auto"/>
          <w:sz w:val="21"/>
          <w:szCs w:val="21"/>
          <w:highlight w:val="none"/>
          <w:lang w:eastAsia="zh-TW"/>
        </w:rPr>
      </w:pPr>
      <w:r>
        <w:rPr>
          <w:rFonts w:hint="eastAsia" w:ascii="宋体" w:hAnsi="宋体" w:cs="宋体"/>
          <w:color w:val="auto"/>
          <w:sz w:val="21"/>
          <w:szCs w:val="21"/>
          <w:highlight w:val="none"/>
        </w:rPr>
        <w:t>工程质量保修金一般不超过施工合同价款的</w:t>
      </w:r>
      <w:r>
        <w:rPr>
          <w:rFonts w:ascii="宋体" w:hAnsi="宋体" w:cs="宋体"/>
          <w:color w:val="auto"/>
          <w:sz w:val="21"/>
          <w:szCs w:val="21"/>
          <w:highlight w:val="none"/>
        </w:rPr>
        <w:t>3％，本工程约定的工程质量保修金为施工合同结算总价款（不含土方开挖（不含二次）及基坑支护工程）的</w:t>
      </w:r>
      <w:r>
        <w:rPr>
          <w:rFonts w:ascii="宋体" w:hAnsi="宋体" w:cs="宋体"/>
          <w:color w:val="auto"/>
          <w:sz w:val="21"/>
          <w:szCs w:val="21"/>
          <w:highlight w:val="none"/>
          <w:u w:val="single"/>
        </w:rPr>
        <w:t>3</w:t>
      </w:r>
      <w:r>
        <w:rPr>
          <w:rFonts w:hint="eastAsia" w:ascii="宋体" w:hAnsi="宋体" w:cs="宋体"/>
          <w:color w:val="auto"/>
          <w:sz w:val="21"/>
          <w:szCs w:val="21"/>
          <w:highlight w:val="none"/>
        </w:rPr>
        <w:t>％</w:t>
      </w: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rPr>
        <w:t>本工程双方约定承包人向发包人支付工程质量保修金金额为</w:t>
      </w:r>
      <w:r>
        <w:rPr>
          <w:rFonts w:hint="eastAsia" w:ascii="宋体" w:hAnsi="宋体" w:cs="宋体"/>
          <w:color w:val="auto"/>
          <w:sz w:val="21"/>
          <w:szCs w:val="21"/>
          <w:highlight w:val="none"/>
          <w:u w:val="single"/>
        </w:rPr>
        <w:t>以结算审定单为准</w:t>
      </w:r>
      <w:r>
        <w:rPr>
          <w:rFonts w:hint="eastAsia" w:ascii="宋体" w:hAnsi="宋体" w:cs="宋体"/>
          <w:color w:val="auto"/>
          <w:sz w:val="21"/>
          <w:szCs w:val="21"/>
          <w:highlight w:val="none"/>
        </w:rPr>
        <w:t>。</w:t>
      </w:r>
    </w:p>
    <w:p w14:paraId="5849E559">
      <w:pPr>
        <w:adjustRightInd w:val="0"/>
        <w:snapToGrid w:val="0"/>
        <w:spacing w:line="480" w:lineRule="exact"/>
        <w:ind w:firstLine="422" w:firstLineChars="200"/>
        <w:rPr>
          <w:rFonts w:ascii="宋体" w:hAnsi="宋体" w:cs="宋体"/>
          <w:b/>
          <w:color w:val="auto"/>
          <w:sz w:val="21"/>
          <w:szCs w:val="21"/>
          <w:highlight w:val="none"/>
          <w:lang w:eastAsia="zh-TW"/>
        </w:rPr>
      </w:pPr>
      <w:r>
        <w:rPr>
          <w:rFonts w:hint="eastAsia" w:ascii="宋体" w:hAnsi="宋体" w:cs="宋体"/>
          <w:b/>
          <w:color w:val="auto"/>
          <w:sz w:val="21"/>
          <w:szCs w:val="21"/>
          <w:highlight w:val="none"/>
        </w:rPr>
        <w:t>五、其他</w:t>
      </w:r>
    </w:p>
    <w:p w14:paraId="404CECD0">
      <w:pPr>
        <w:adjustRightInd w:val="0"/>
        <w:snapToGrid w:val="0"/>
        <w:spacing w:line="480" w:lineRule="exact"/>
        <w:ind w:firstLine="420" w:firstLineChars="200"/>
        <w:rPr>
          <w:rFonts w:ascii="宋体" w:hAnsi="宋体" w:cs="宋体"/>
          <w:color w:val="auto"/>
          <w:sz w:val="21"/>
          <w:szCs w:val="21"/>
          <w:highlight w:val="none"/>
          <w:u w:val="single"/>
          <w:lang w:eastAsia="zh-TW"/>
        </w:rPr>
      </w:pPr>
      <w:r>
        <w:rPr>
          <w:rFonts w:hint="eastAsia" w:ascii="宋体" w:hAnsi="宋体" w:cs="宋体"/>
          <w:color w:val="auto"/>
          <w:sz w:val="21"/>
          <w:szCs w:val="21"/>
          <w:highlight w:val="none"/>
        </w:rPr>
        <w:t>双方约定的其他工程质量保修事项：工程验收合格之日起，缺陷责任期（交付甲方委托的物业公司后2年）且办完质保金退还申请单签字手续之日起30天内发包人支付承包人保修金的70%；满五年且办完质保金退还申请单签字后，支付剩余保修金。（若在保修期内，出现渗漏问题，按照上述第二条“质量保修期”第9、（5）款的约定顺延质保期，等相应的顺延质保期满并将遗留问题处理维修完成，经发包方物业验收合格后，方可办理剩余质保金退付手续），保修期维修金及质保金返还需甲方物业公司签字认可。</w:t>
      </w:r>
    </w:p>
    <w:p w14:paraId="5848ECA4">
      <w:pPr>
        <w:adjustRightInd w:val="0"/>
        <w:snapToGrid w:val="0"/>
        <w:spacing w:line="480" w:lineRule="exact"/>
        <w:ind w:firstLine="420" w:firstLineChars="200"/>
        <w:rPr>
          <w:rFonts w:ascii="宋体" w:hAnsi="宋体" w:cs="宋体"/>
          <w:color w:val="auto"/>
          <w:sz w:val="21"/>
          <w:szCs w:val="21"/>
          <w:highlight w:val="none"/>
        </w:rPr>
      </w:pPr>
      <w:r>
        <w:rPr>
          <w:rFonts w:hint="eastAsia" w:ascii="宋体" w:hAnsi="宋体" w:cs="宋体"/>
          <w:color w:val="auto"/>
          <w:sz w:val="21"/>
          <w:szCs w:val="21"/>
          <w:highlight w:val="none"/>
        </w:rPr>
        <w:t>本工程质量保修书作为施工合同附件，由施工合同发包人、承包人双方共同签订。</w:t>
      </w:r>
    </w:p>
    <w:p w14:paraId="155EE0B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p>
    <w:p w14:paraId="381AE2D6">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发包人（公章）：                    承包人（联合体牵头人，公章）：</w:t>
      </w:r>
    </w:p>
    <w:p w14:paraId="4743BE1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p>
    <w:p w14:paraId="2F4D36A5">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法定代表人（签字）：                法定代表人（签字）：</w:t>
      </w:r>
    </w:p>
    <w:p w14:paraId="4DAA482A">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p>
    <w:p w14:paraId="201CD529">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  月  日                                   年  月  日</w:t>
      </w:r>
    </w:p>
    <w:p w14:paraId="212AD4F9">
      <w:pPr>
        <w:adjustRightInd w:val="0"/>
        <w:snapToGrid w:val="0"/>
        <w:spacing w:line="360" w:lineRule="auto"/>
        <w:ind w:firstLine="420"/>
        <w:outlineLvl w:val="9"/>
        <w:rPr>
          <w:rFonts w:cs="宋体" w:asciiTheme="minorEastAsia" w:hAnsiTheme="minorEastAsia" w:eastAsiaTheme="minorEastAsia"/>
          <w:color w:val="auto"/>
          <w:szCs w:val="21"/>
          <w:highlight w:val="none"/>
        </w:rPr>
      </w:pPr>
    </w:p>
    <w:p w14:paraId="2F91CCD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承包人（联合体成员，公章）：          承包人（联合体成员，公章）：</w:t>
      </w:r>
    </w:p>
    <w:p w14:paraId="6DA89462">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p>
    <w:p w14:paraId="19D2560B">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法定代表人（签字）：                法定代表人（签字）：</w:t>
      </w:r>
    </w:p>
    <w:p w14:paraId="687A4198">
      <w:pPr>
        <w:adjustRightInd w:val="0"/>
        <w:snapToGrid w:val="0"/>
        <w:spacing w:line="500" w:lineRule="exact"/>
        <w:ind w:firstLine="420" w:firstLineChars="200"/>
        <w:outlineLvl w:val="9"/>
        <w:rPr>
          <w:rFonts w:cs="宋体" w:asciiTheme="minorEastAsia" w:hAnsiTheme="minorEastAsia" w:eastAsiaTheme="minorEastAsia"/>
          <w:color w:val="auto"/>
          <w:szCs w:val="21"/>
          <w:highlight w:val="none"/>
        </w:rPr>
      </w:pPr>
    </w:p>
    <w:p w14:paraId="7E6FF1D7">
      <w:pPr>
        <w:adjustRightInd w:val="0"/>
        <w:snapToGrid w:val="0"/>
        <w:spacing w:line="500" w:lineRule="exact"/>
        <w:ind w:firstLine="420" w:firstLineChars="20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  月  日                                   年  月  日</w:t>
      </w:r>
    </w:p>
    <w:p w14:paraId="5C514268">
      <w:pPr>
        <w:pStyle w:val="22"/>
        <w:rPr>
          <w:rFonts w:hint="eastAsia" w:cs="宋体" w:asciiTheme="minorEastAsia" w:hAnsiTheme="minorEastAsia" w:eastAsiaTheme="minorEastAsia"/>
          <w:color w:val="auto"/>
          <w:szCs w:val="21"/>
          <w:highlight w:val="none"/>
        </w:rPr>
      </w:pPr>
    </w:p>
    <w:p w14:paraId="32BCE9EA">
      <w:pPr>
        <w:rPr>
          <w:rFonts w:hint="eastAsia" w:cs="宋体" w:asciiTheme="minorEastAsia" w:hAnsiTheme="minorEastAsia" w:eastAsiaTheme="minorEastAsia"/>
          <w:color w:val="auto"/>
          <w:szCs w:val="21"/>
          <w:highlight w:val="none"/>
        </w:rPr>
      </w:pPr>
    </w:p>
    <w:p w14:paraId="6729813E">
      <w:pPr>
        <w:pStyle w:val="22"/>
        <w:rPr>
          <w:rFonts w:hint="eastAsia" w:cs="宋体" w:asciiTheme="minorEastAsia" w:hAnsiTheme="minorEastAsia" w:eastAsiaTheme="minorEastAsia"/>
          <w:color w:val="auto"/>
          <w:szCs w:val="21"/>
          <w:highlight w:val="none"/>
        </w:rPr>
      </w:pPr>
    </w:p>
    <w:p w14:paraId="63E196B9">
      <w:pPr>
        <w:rPr>
          <w:rFonts w:hint="eastAsia" w:cs="宋体" w:asciiTheme="minorEastAsia" w:hAnsiTheme="minorEastAsia" w:eastAsiaTheme="minorEastAsia"/>
          <w:color w:val="auto"/>
          <w:szCs w:val="21"/>
          <w:highlight w:val="none"/>
        </w:rPr>
      </w:pPr>
    </w:p>
    <w:p w14:paraId="63BF0109">
      <w:pPr>
        <w:pStyle w:val="22"/>
        <w:rPr>
          <w:rFonts w:hint="eastAsia" w:cs="宋体" w:asciiTheme="minorEastAsia" w:hAnsiTheme="minorEastAsia" w:eastAsiaTheme="minorEastAsia"/>
          <w:color w:val="auto"/>
          <w:szCs w:val="21"/>
          <w:highlight w:val="none"/>
        </w:rPr>
      </w:pPr>
    </w:p>
    <w:p w14:paraId="3EF51AD0">
      <w:pPr>
        <w:rPr>
          <w:rFonts w:hint="eastAsia" w:cs="宋体" w:asciiTheme="minorEastAsia" w:hAnsiTheme="minorEastAsia" w:eastAsiaTheme="minorEastAsia"/>
          <w:color w:val="auto"/>
          <w:szCs w:val="21"/>
          <w:highlight w:val="none"/>
        </w:rPr>
      </w:pPr>
    </w:p>
    <w:p w14:paraId="26967DD4">
      <w:pPr>
        <w:pStyle w:val="22"/>
        <w:rPr>
          <w:rFonts w:hint="eastAsia" w:cs="宋体" w:asciiTheme="minorEastAsia" w:hAnsiTheme="minorEastAsia" w:eastAsiaTheme="minorEastAsia"/>
          <w:color w:val="auto"/>
          <w:szCs w:val="21"/>
          <w:highlight w:val="none"/>
        </w:rPr>
      </w:pPr>
    </w:p>
    <w:p w14:paraId="0B2BC74F">
      <w:pPr>
        <w:rPr>
          <w:rFonts w:hint="eastAsia" w:cs="宋体" w:asciiTheme="minorEastAsia" w:hAnsiTheme="minorEastAsia" w:eastAsiaTheme="minorEastAsia"/>
          <w:color w:val="auto"/>
          <w:szCs w:val="21"/>
          <w:highlight w:val="none"/>
        </w:rPr>
      </w:pPr>
    </w:p>
    <w:p w14:paraId="1E2243A6">
      <w:pPr>
        <w:pStyle w:val="22"/>
      </w:pPr>
    </w:p>
    <w:p w14:paraId="2699429D">
      <w:pPr>
        <w:adjustRightInd w:val="0"/>
        <w:snapToGrid w:val="0"/>
        <w:spacing w:line="360" w:lineRule="auto"/>
        <w:ind w:firstLine="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附件四：</w:t>
      </w:r>
    </w:p>
    <w:p w14:paraId="1FFB3767">
      <w:pPr>
        <w:pStyle w:val="22"/>
        <w:adjustRightInd w:val="0"/>
        <w:snapToGrid w:val="0"/>
        <w:spacing w:line="360" w:lineRule="auto"/>
        <w:ind w:firstLine="422"/>
        <w:outlineLvl w:val="9"/>
        <w:rPr>
          <w:b/>
          <w:color w:val="auto"/>
          <w:kern w:val="0"/>
          <w:highlight w:val="none"/>
        </w:rPr>
      </w:pPr>
      <w:r>
        <w:rPr>
          <w:rFonts w:hint="eastAsia" w:cs="宋体" w:asciiTheme="minorEastAsia" w:hAnsiTheme="minorEastAsia" w:eastAsiaTheme="minorEastAsia"/>
          <w:b/>
          <w:bCs/>
          <w:color w:val="auto"/>
          <w:kern w:val="0"/>
          <w:szCs w:val="21"/>
          <w:highlight w:val="none"/>
        </w:rPr>
        <w:t>承包人供应材料设备参考品牌范围表</w:t>
      </w:r>
      <w:r>
        <w:rPr>
          <w:rFonts w:hint="eastAsia"/>
          <w:b/>
          <w:color w:val="auto"/>
          <w:kern w:val="0"/>
          <w:highlight w:val="none"/>
        </w:rPr>
        <w:t>一、土建部分</w:t>
      </w:r>
    </w:p>
    <w:tbl>
      <w:tblPr>
        <w:tblStyle w:val="56"/>
        <w:tblW w:w="10230" w:type="dxa"/>
        <w:jc w:val="center"/>
        <w:tblLayout w:type="autofit"/>
        <w:tblCellMar>
          <w:top w:w="0" w:type="dxa"/>
          <w:left w:w="108" w:type="dxa"/>
          <w:bottom w:w="0" w:type="dxa"/>
          <w:right w:w="108" w:type="dxa"/>
        </w:tblCellMar>
      </w:tblPr>
      <w:tblGrid>
        <w:gridCol w:w="849"/>
        <w:gridCol w:w="2508"/>
        <w:gridCol w:w="1417"/>
        <w:gridCol w:w="4111"/>
        <w:gridCol w:w="1345"/>
      </w:tblGrid>
      <w:tr w14:paraId="71C55D6D">
        <w:tblPrEx>
          <w:tblCellMar>
            <w:top w:w="0" w:type="dxa"/>
            <w:left w:w="108" w:type="dxa"/>
            <w:bottom w:w="0" w:type="dxa"/>
            <w:right w:w="108" w:type="dxa"/>
          </w:tblCellMar>
        </w:tblPrEx>
        <w:trPr>
          <w:trHeight w:val="283" w:hRule="atLeast"/>
          <w:jc w:val="center"/>
        </w:trPr>
        <w:tc>
          <w:tcPr>
            <w:tcW w:w="849" w:type="dxa"/>
            <w:tcBorders>
              <w:top w:val="single" w:color="auto" w:sz="4" w:space="0"/>
              <w:left w:val="single" w:color="auto" w:sz="4" w:space="0"/>
              <w:bottom w:val="single" w:color="auto" w:sz="4" w:space="0"/>
              <w:right w:val="single" w:color="auto" w:sz="4" w:space="0"/>
            </w:tcBorders>
            <w:noWrap/>
            <w:vAlign w:val="center"/>
          </w:tcPr>
          <w:p w14:paraId="777780EF">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序号</w:t>
            </w:r>
          </w:p>
        </w:tc>
        <w:tc>
          <w:tcPr>
            <w:tcW w:w="2508" w:type="dxa"/>
            <w:tcBorders>
              <w:top w:val="single" w:color="auto" w:sz="4" w:space="0"/>
              <w:left w:val="nil"/>
              <w:bottom w:val="single" w:color="auto" w:sz="4" w:space="0"/>
              <w:right w:val="single" w:color="auto" w:sz="4" w:space="0"/>
            </w:tcBorders>
            <w:noWrap/>
            <w:vAlign w:val="center"/>
          </w:tcPr>
          <w:p w14:paraId="4683D84E">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材料名称</w:t>
            </w:r>
          </w:p>
        </w:tc>
        <w:tc>
          <w:tcPr>
            <w:tcW w:w="1417" w:type="dxa"/>
            <w:tcBorders>
              <w:top w:val="single" w:color="auto" w:sz="4" w:space="0"/>
              <w:left w:val="nil"/>
              <w:bottom w:val="single" w:color="auto" w:sz="4" w:space="0"/>
              <w:right w:val="single" w:color="auto" w:sz="4" w:space="0"/>
            </w:tcBorders>
            <w:noWrap/>
            <w:vAlign w:val="center"/>
          </w:tcPr>
          <w:p w14:paraId="00AFFF0C">
            <w:pPr>
              <w:keepNext w:val="0"/>
              <w:keepLines w:val="0"/>
              <w:suppressLineNumbers w:val="0"/>
              <w:adjustRightInd w:val="0"/>
              <w:snapToGrid w:val="0"/>
              <w:spacing w:before="0" w:beforeAutospacing="0" w:after="0" w:afterAutospacing="0" w:line="360" w:lineRule="auto"/>
              <w:ind w:left="0" w:right="0" w:firstLine="422"/>
              <w:jc w:val="left"/>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规格、型号</w:t>
            </w:r>
          </w:p>
        </w:tc>
        <w:tc>
          <w:tcPr>
            <w:tcW w:w="4111" w:type="dxa"/>
            <w:tcBorders>
              <w:top w:val="single" w:color="auto" w:sz="4" w:space="0"/>
              <w:left w:val="nil"/>
              <w:bottom w:val="single" w:color="auto" w:sz="4" w:space="0"/>
              <w:right w:val="single" w:color="auto" w:sz="4" w:space="0"/>
            </w:tcBorders>
            <w:noWrap/>
            <w:vAlign w:val="center"/>
          </w:tcPr>
          <w:p w14:paraId="7FBF4073">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参考品牌</w:t>
            </w:r>
          </w:p>
        </w:tc>
        <w:tc>
          <w:tcPr>
            <w:tcW w:w="1345" w:type="dxa"/>
            <w:tcBorders>
              <w:top w:val="single" w:color="auto" w:sz="4" w:space="0"/>
              <w:left w:val="nil"/>
              <w:bottom w:val="single" w:color="auto" w:sz="4" w:space="0"/>
              <w:right w:val="single" w:color="auto" w:sz="4" w:space="0"/>
            </w:tcBorders>
            <w:noWrap w:val="0"/>
            <w:vAlign w:val="center"/>
          </w:tcPr>
          <w:p w14:paraId="027159F1">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备注</w:t>
            </w:r>
          </w:p>
        </w:tc>
      </w:tr>
      <w:tr w14:paraId="4B109A3E">
        <w:tblPrEx>
          <w:tblCellMar>
            <w:top w:w="0" w:type="dxa"/>
            <w:left w:w="108" w:type="dxa"/>
            <w:bottom w:w="0" w:type="dxa"/>
            <w:right w:w="108" w:type="dxa"/>
          </w:tblCellMar>
        </w:tblPrEx>
        <w:trPr>
          <w:trHeight w:val="283" w:hRule="atLeast"/>
          <w:jc w:val="center"/>
        </w:trPr>
        <w:tc>
          <w:tcPr>
            <w:tcW w:w="849" w:type="dxa"/>
            <w:tcBorders>
              <w:top w:val="single" w:color="auto" w:sz="4" w:space="0"/>
              <w:left w:val="single" w:color="auto" w:sz="4" w:space="0"/>
              <w:bottom w:val="single" w:color="auto" w:sz="4" w:space="0"/>
              <w:right w:val="single" w:color="auto" w:sz="4" w:space="0"/>
            </w:tcBorders>
            <w:noWrap/>
            <w:vAlign w:val="center"/>
          </w:tcPr>
          <w:p w14:paraId="31CE21F7">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Cs/>
                <w:color w:val="auto"/>
                <w:kern w:val="0"/>
                <w:szCs w:val="21"/>
                <w:highlight w:val="none"/>
                <w:lang w:eastAsia="zh-CN"/>
              </w:rPr>
            </w:pPr>
            <w:r>
              <w:rPr>
                <w:rFonts w:hint="eastAsia" w:ascii="宋体" w:hAnsi="宋体" w:cs="宋体"/>
                <w:bCs/>
                <w:color w:val="auto"/>
                <w:kern w:val="0"/>
                <w:szCs w:val="21"/>
                <w:highlight w:val="none"/>
                <w:lang w:val="en-US" w:eastAsia="zh-CN"/>
              </w:rPr>
              <w:t>1</w:t>
            </w:r>
          </w:p>
        </w:tc>
        <w:tc>
          <w:tcPr>
            <w:tcW w:w="2508" w:type="dxa"/>
            <w:tcBorders>
              <w:top w:val="single" w:color="auto" w:sz="4" w:space="0"/>
              <w:left w:val="nil"/>
              <w:bottom w:val="single" w:color="auto" w:sz="4" w:space="0"/>
              <w:right w:val="single" w:color="auto" w:sz="4" w:space="0"/>
            </w:tcBorders>
            <w:noWrap/>
            <w:vAlign w:val="center"/>
          </w:tcPr>
          <w:p w14:paraId="690DCDC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人防门、人防战时封堵</w:t>
            </w:r>
          </w:p>
        </w:tc>
        <w:tc>
          <w:tcPr>
            <w:tcW w:w="1417" w:type="dxa"/>
            <w:tcBorders>
              <w:top w:val="single" w:color="auto" w:sz="4" w:space="0"/>
              <w:left w:val="nil"/>
              <w:bottom w:val="single" w:color="auto" w:sz="4" w:space="0"/>
              <w:right w:val="single" w:color="auto" w:sz="4" w:space="0"/>
            </w:tcBorders>
            <w:noWrap/>
            <w:vAlign w:val="center"/>
          </w:tcPr>
          <w:p w14:paraId="1FF5B17D">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111" w:type="dxa"/>
            <w:tcBorders>
              <w:top w:val="single" w:color="auto" w:sz="4" w:space="0"/>
              <w:left w:val="nil"/>
              <w:bottom w:val="single" w:color="auto" w:sz="4" w:space="0"/>
              <w:right w:val="single" w:color="auto" w:sz="4" w:space="0"/>
            </w:tcBorders>
            <w:noWrap/>
            <w:vAlign w:val="center"/>
          </w:tcPr>
          <w:p w14:paraId="41F7955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bCs/>
                <w:color w:val="auto"/>
                <w:kern w:val="0"/>
                <w:szCs w:val="21"/>
                <w:highlight w:val="none"/>
              </w:rPr>
            </w:pPr>
            <w:r>
              <w:rPr>
                <w:rFonts w:hint="eastAsia" w:ascii="宋体" w:hAnsi="宋体" w:cs="宋体"/>
                <w:color w:val="auto"/>
                <w:kern w:val="0"/>
                <w:szCs w:val="21"/>
                <w:highlight w:val="none"/>
              </w:rPr>
              <w:t>通过西安市人防办备案产品</w:t>
            </w:r>
          </w:p>
        </w:tc>
        <w:tc>
          <w:tcPr>
            <w:tcW w:w="1345" w:type="dxa"/>
            <w:tcBorders>
              <w:top w:val="single" w:color="auto" w:sz="4" w:space="0"/>
              <w:left w:val="nil"/>
              <w:bottom w:val="single" w:color="auto" w:sz="4" w:space="0"/>
              <w:right w:val="single" w:color="auto" w:sz="4" w:space="0"/>
            </w:tcBorders>
            <w:noWrap w:val="0"/>
            <w:vAlign w:val="center"/>
          </w:tcPr>
          <w:p w14:paraId="48423D3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E6655C6">
        <w:tblPrEx>
          <w:tblCellMar>
            <w:top w:w="0" w:type="dxa"/>
            <w:left w:w="108" w:type="dxa"/>
            <w:bottom w:w="0" w:type="dxa"/>
            <w:right w:w="108" w:type="dxa"/>
          </w:tblCellMar>
        </w:tblPrEx>
        <w:trPr>
          <w:trHeight w:val="283" w:hRule="atLeast"/>
          <w:jc w:val="center"/>
        </w:trPr>
        <w:tc>
          <w:tcPr>
            <w:tcW w:w="849" w:type="dxa"/>
            <w:tcBorders>
              <w:top w:val="single" w:color="auto" w:sz="4" w:space="0"/>
              <w:left w:val="single" w:color="auto" w:sz="4" w:space="0"/>
              <w:bottom w:val="single" w:color="auto" w:sz="4" w:space="0"/>
              <w:right w:val="single" w:color="auto" w:sz="4" w:space="0"/>
            </w:tcBorders>
            <w:noWrap/>
            <w:vAlign w:val="center"/>
          </w:tcPr>
          <w:p w14:paraId="4EC5D815">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lang w:eastAsia="zh-CN"/>
              </w:rPr>
            </w:pPr>
            <w:r>
              <w:rPr>
                <w:rFonts w:hint="eastAsia" w:ascii="宋体" w:hAnsi="宋体" w:cs="宋体"/>
                <w:color w:val="auto"/>
                <w:kern w:val="0"/>
                <w:szCs w:val="21"/>
                <w:highlight w:val="none"/>
                <w:lang w:val="en-US" w:eastAsia="zh-CN"/>
              </w:rPr>
              <w:t>2</w:t>
            </w:r>
          </w:p>
        </w:tc>
        <w:tc>
          <w:tcPr>
            <w:tcW w:w="2508" w:type="dxa"/>
            <w:tcBorders>
              <w:top w:val="single" w:color="auto" w:sz="4" w:space="0"/>
              <w:left w:val="nil"/>
              <w:bottom w:val="single" w:color="auto" w:sz="4" w:space="0"/>
              <w:right w:val="single" w:color="auto" w:sz="4" w:space="0"/>
            </w:tcBorders>
            <w:noWrap/>
            <w:vAlign w:val="center"/>
          </w:tcPr>
          <w:p w14:paraId="1594C06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混凝土硬化剂地坪</w:t>
            </w:r>
          </w:p>
        </w:tc>
        <w:tc>
          <w:tcPr>
            <w:tcW w:w="1417" w:type="dxa"/>
            <w:tcBorders>
              <w:top w:val="single" w:color="auto" w:sz="4" w:space="0"/>
              <w:left w:val="nil"/>
              <w:bottom w:val="single" w:color="auto" w:sz="4" w:space="0"/>
              <w:right w:val="single" w:color="auto" w:sz="4" w:space="0"/>
            </w:tcBorders>
            <w:noWrap/>
            <w:vAlign w:val="center"/>
          </w:tcPr>
          <w:p w14:paraId="486D1AF6">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111" w:type="dxa"/>
            <w:tcBorders>
              <w:top w:val="single" w:color="auto" w:sz="4" w:space="0"/>
              <w:left w:val="nil"/>
              <w:bottom w:val="single" w:color="auto" w:sz="4" w:space="0"/>
              <w:right w:val="single" w:color="auto" w:sz="4" w:space="0"/>
            </w:tcBorders>
            <w:noWrap/>
            <w:vAlign w:val="center"/>
          </w:tcPr>
          <w:p w14:paraId="2561B68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西卡、巴斯夫、马贝</w:t>
            </w:r>
            <w:r>
              <w:rPr>
                <w:rFonts w:hint="eastAsia" w:ascii="宋体" w:hAnsi="宋体" w:cs="宋体"/>
                <w:color w:val="auto"/>
                <w:kern w:val="0"/>
                <w:szCs w:val="21"/>
                <w:highlight w:val="none"/>
                <w:lang w:eastAsia="zh-CN"/>
              </w:rPr>
              <w:t>、</w:t>
            </w:r>
            <w:r>
              <w:rPr>
                <w:rFonts w:hint="eastAsia" w:ascii="宋体" w:hAnsi="宋体" w:cs="宋体"/>
                <w:color w:val="auto"/>
                <w:kern w:val="0"/>
                <w:szCs w:val="21"/>
                <w:highlight w:val="none"/>
              </w:rPr>
              <w:t>立邦等同档次国标产品</w:t>
            </w:r>
          </w:p>
        </w:tc>
        <w:tc>
          <w:tcPr>
            <w:tcW w:w="1345" w:type="dxa"/>
            <w:tcBorders>
              <w:top w:val="single" w:color="auto" w:sz="4" w:space="0"/>
              <w:left w:val="nil"/>
              <w:bottom w:val="single" w:color="auto" w:sz="4" w:space="0"/>
              <w:right w:val="single" w:color="auto" w:sz="4" w:space="0"/>
            </w:tcBorders>
            <w:noWrap w:val="0"/>
            <w:vAlign w:val="center"/>
          </w:tcPr>
          <w:p w14:paraId="3460FDB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798FACD5">
        <w:tblPrEx>
          <w:tblCellMar>
            <w:top w:w="0" w:type="dxa"/>
            <w:left w:w="108" w:type="dxa"/>
            <w:bottom w:w="0" w:type="dxa"/>
            <w:right w:w="108" w:type="dxa"/>
          </w:tblCellMar>
        </w:tblPrEx>
        <w:trPr>
          <w:trHeight w:val="283" w:hRule="atLeast"/>
          <w:jc w:val="center"/>
        </w:trPr>
        <w:tc>
          <w:tcPr>
            <w:tcW w:w="849" w:type="dxa"/>
            <w:tcBorders>
              <w:top w:val="single" w:color="auto" w:sz="4" w:space="0"/>
              <w:left w:val="single" w:color="auto" w:sz="4" w:space="0"/>
              <w:bottom w:val="single" w:color="auto" w:sz="4" w:space="0"/>
              <w:right w:val="single" w:color="auto" w:sz="4" w:space="0"/>
            </w:tcBorders>
            <w:noWrap/>
            <w:vAlign w:val="center"/>
          </w:tcPr>
          <w:p w14:paraId="3F138B16">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lang w:eastAsia="zh-CN"/>
              </w:rPr>
            </w:pPr>
            <w:r>
              <w:rPr>
                <w:rFonts w:hint="eastAsia" w:ascii="宋体" w:hAnsi="宋体" w:cs="宋体"/>
                <w:color w:val="auto"/>
                <w:kern w:val="0"/>
                <w:szCs w:val="21"/>
                <w:highlight w:val="none"/>
                <w:lang w:val="en-US" w:eastAsia="zh-CN"/>
              </w:rPr>
              <w:t>3</w:t>
            </w:r>
          </w:p>
        </w:tc>
        <w:tc>
          <w:tcPr>
            <w:tcW w:w="2508" w:type="dxa"/>
            <w:tcBorders>
              <w:top w:val="single" w:color="auto" w:sz="4" w:space="0"/>
              <w:left w:val="nil"/>
              <w:bottom w:val="single" w:color="auto" w:sz="4" w:space="0"/>
              <w:right w:val="single" w:color="auto" w:sz="4" w:space="0"/>
            </w:tcBorders>
            <w:noWrap/>
            <w:vAlign w:val="center"/>
          </w:tcPr>
          <w:p w14:paraId="772142E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szCs w:val="21"/>
                <w:highlight w:val="none"/>
              </w:rPr>
              <w:t>防水涂料、防水卷材</w:t>
            </w:r>
          </w:p>
        </w:tc>
        <w:tc>
          <w:tcPr>
            <w:tcW w:w="1417" w:type="dxa"/>
            <w:tcBorders>
              <w:top w:val="single" w:color="auto" w:sz="4" w:space="0"/>
              <w:left w:val="nil"/>
              <w:bottom w:val="single" w:color="auto" w:sz="4" w:space="0"/>
              <w:right w:val="single" w:color="auto" w:sz="4" w:space="0"/>
            </w:tcBorders>
            <w:noWrap/>
            <w:vAlign w:val="center"/>
          </w:tcPr>
          <w:p w14:paraId="2E39CD89">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111" w:type="dxa"/>
            <w:tcBorders>
              <w:top w:val="single" w:color="auto" w:sz="4" w:space="0"/>
              <w:left w:val="nil"/>
              <w:bottom w:val="single" w:color="auto" w:sz="4" w:space="0"/>
              <w:right w:val="single" w:color="auto" w:sz="4" w:space="0"/>
            </w:tcBorders>
            <w:noWrap/>
            <w:vAlign w:val="center"/>
          </w:tcPr>
          <w:p w14:paraId="5200C85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基仕伯、东方雨虹、科顺、卓宝、大禹、凯伦、西牛皮等同档次国标产品</w:t>
            </w:r>
          </w:p>
        </w:tc>
        <w:tc>
          <w:tcPr>
            <w:tcW w:w="1345" w:type="dxa"/>
            <w:tcBorders>
              <w:top w:val="single" w:color="auto" w:sz="4" w:space="0"/>
              <w:left w:val="nil"/>
              <w:bottom w:val="single" w:color="auto" w:sz="4" w:space="0"/>
              <w:right w:val="single" w:color="auto" w:sz="4" w:space="0"/>
            </w:tcBorders>
            <w:noWrap w:val="0"/>
            <w:vAlign w:val="center"/>
          </w:tcPr>
          <w:p w14:paraId="3701B13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40636B2C">
        <w:tblPrEx>
          <w:tblCellMar>
            <w:top w:w="0" w:type="dxa"/>
            <w:left w:w="108" w:type="dxa"/>
            <w:bottom w:w="0" w:type="dxa"/>
            <w:right w:w="108" w:type="dxa"/>
          </w:tblCellMar>
        </w:tblPrEx>
        <w:trPr>
          <w:trHeight w:val="283" w:hRule="atLeast"/>
          <w:jc w:val="center"/>
        </w:trPr>
        <w:tc>
          <w:tcPr>
            <w:tcW w:w="849" w:type="dxa"/>
            <w:tcBorders>
              <w:top w:val="nil"/>
              <w:left w:val="single" w:color="auto" w:sz="4" w:space="0"/>
              <w:bottom w:val="single" w:color="auto" w:sz="4" w:space="0"/>
              <w:right w:val="single" w:color="auto" w:sz="4" w:space="0"/>
            </w:tcBorders>
            <w:noWrap/>
            <w:vAlign w:val="center"/>
          </w:tcPr>
          <w:p w14:paraId="49A7A9F0">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lang w:eastAsia="zh-CN"/>
              </w:rPr>
            </w:pPr>
            <w:r>
              <w:rPr>
                <w:rFonts w:hint="eastAsia" w:ascii="宋体" w:hAnsi="宋体" w:cs="宋体"/>
                <w:color w:val="auto"/>
                <w:kern w:val="0"/>
                <w:szCs w:val="21"/>
                <w:highlight w:val="none"/>
                <w:lang w:val="en-US" w:eastAsia="zh-CN"/>
              </w:rPr>
              <w:t>4</w:t>
            </w:r>
          </w:p>
        </w:tc>
        <w:tc>
          <w:tcPr>
            <w:tcW w:w="2508" w:type="dxa"/>
            <w:tcBorders>
              <w:top w:val="nil"/>
              <w:left w:val="nil"/>
              <w:bottom w:val="single" w:color="auto" w:sz="4" w:space="0"/>
              <w:right w:val="single" w:color="auto" w:sz="4" w:space="0"/>
            </w:tcBorders>
            <w:noWrap/>
            <w:vAlign w:val="center"/>
          </w:tcPr>
          <w:p w14:paraId="6BDC178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室外墙地砖</w:t>
            </w:r>
          </w:p>
        </w:tc>
        <w:tc>
          <w:tcPr>
            <w:tcW w:w="1417" w:type="dxa"/>
            <w:tcBorders>
              <w:top w:val="nil"/>
              <w:left w:val="nil"/>
              <w:bottom w:val="single" w:color="auto" w:sz="4" w:space="0"/>
              <w:right w:val="single" w:color="auto" w:sz="4" w:space="0"/>
            </w:tcBorders>
            <w:noWrap/>
            <w:vAlign w:val="center"/>
          </w:tcPr>
          <w:p w14:paraId="610CD096">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111" w:type="dxa"/>
            <w:tcBorders>
              <w:top w:val="nil"/>
              <w:left w:val="nil"/>
              <w:bottom w:val="single" w:color="auto" w:sz="4" w:space="0"/>
              <w:right w:val="single" w:color="auto" w:sz="4" w:space="0"/>
            </w:tcBorders>
            <w:noWrap/>
            <w:vAlign w:val="center"/>
          </w:tcPr>
          <w:p w14:paraId="5DE0889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白兔、腾达、恒达、协盛、爱和陶等同档次国标产品</w:t>
            </w:r>
          </w:p>
        </w:tc>
        <w:tc>
          <w:tcPr>
            <w:tcW w:w="1345" w:type="dxa"/>
            <w:tcBorders>
              <w:top w:val="nil"/>
              <w:left w:val="nil"/>
              <w:bottom w:val="single" w:color="auto" w:sz="4" w:space="0"/>
              <w:right w:val="single" w:color="auto" w:sz="4" w:space="0"/>
            </w:tcBorders>
            <w:noWrap w:val="0"/>
            <w:vAlign w:val="center"/>
          </w:tcPr>
          <w:p w14:paraId="199C776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6E79FA05">
        <w:tblPrEx>
          <w:tblCellMar>
            <w:top w:w="0" w:type="dxa"/>
            <w:left w:w="108" w:type="dxa"/>
            <w:bottom w:w="0" w:type="dxa"/>
            <w:right w:w="108" w:type="dxa"/>
          </w:tblCellMar>
        </w:tblPrEx>
        <w:trPr>
          <w:trHeight w:val="283" w:hRule="atLeast"/>
          <w:jc w:val="center"/>
        </w:trPr>
        <w:tc>
          <w:tcPr>
            <w:tcW w:w="849" w:type="dxa"/>
            <w:tcBorders>
              <w:top w:val="nil"/>
              <w:left w:val="single" w:color="auto" w:sz="4" w:space="0"/>
              <w:bottom w:val="single" w:color="auto" w:sz="4" w:space="0"/>
              <w:right w:val="single" w:color="auto" w:sz="4" w:space="0"/>
            </w:tcBorders>
            <w:noWrap/>
            <w:vAlign w:val="center"/>
          </w:tcPr>
          <w:p w14:paraId="3440C716">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lang w:eastAsia="zh-CN"/>
              </w:rPr>
            </w:pPr>
            <w:r>
              <w:rPr>
                <w:rFonts w:hint="eastAsia" w:ascii="宋体" w:hAnsi="宋体" w:cs="宋体"/>
                <w:color w:val="auto"/>
                <w:kern w:val="0"/>
                <w:szCs w:val="21"/>
                <w:highlight w:val="none"/>
                <w:lang w:val="en-US" w:eastAsia="zh-CN"/>
              </w:rPr>
              <w:t>5</w:t>
            </w:r>
          </w:p>
        </w:tc>
        <w:tc>
          <w:tcPr>
            <w:tcW w:w="2508" w:type="dxa"/>
            <w:tcBorders>
              <w:top w:val="nil"/>
              <w:left w:val="nil"/>
              <w:bottom w:val="single" w:color="auto" w:sz="4" w:space="0"/>
              <w:right w:val="single" w:color="auto" w:sz="4" w:space="0"/>
            </w:tcBorders>
            <w:noWrap/>
            <w:vAlign w:val="center"/>
          </w:tcPr>
          <w:p w14:paraId="023EF73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彩色缸砖</w:t>
            </w:r>
          </w:p>
        </w:tc>
        <w:tc>
          <w:tcPr>
            <w:tcW w:w="1417" w:type="dxa"/>
            <w:tcBorders>
              <w:top w:val="nil"/>
              <w:left w:val="nil"/>
              <w:bottom w:val="single" w:color="auto" w:sz="4" w:space="0"/>
              <w:right w:val="single" w:color="auto" w:sz="4" w:space="0"/>
            </w:tcBorders>
            <w:noWrap/>
            <w:vAlign w:val="center"/>
          </w:tcPr>
          <w:p w14:paraId="6F373A28">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111" w:type="dxa"/>
            <w:tcBorders>
              <w:top w:val="nil"/>
              <w:left w:val="nil"/>
              <w:bottom w:val="single" w:color="auto" w:sz="4" w:space="0"/>
              <w:right w:val="single" w:color="auto" w:sz="4" w:space="0"/>
            </w:tcBorders>
            <w:noWrap/>
            <w:vAlign w:val="center"/>
          </w:tcPr>
          <w:p w14:paraId="5BB55DD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w:t>
            </w:r>
          </w:p>
        </w:tc>
        <w:tc>
          <w:tcPr>
            <w:tcW w:w="1345" w:type="dxa"/>
            <w:tcBorders>
              <w:top w:val="nil"/>
              <w:left w:val="nil"/>
              <w:bottom w:val="single" w:color="auto" w:sz="4" w:space="0"/>
              <w:right w:val="single" w:color="auto" w:sz="4" w:space="0"/>
            </w:tcBorders>
            <w:noWrap w:val="0"/>
            <w:vAlign w:val="center"/>
          </w:tcPr>
          <w:p w14:paraId="69FEBE0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0FCA2613">
        <w:tblPrEx>
          <w:tblCellMar>
            <w:top w:w="0" w:type="dxa"/>
            <w:left w:w="108" w:type="dxa"/>
            <w:bottom w:w="0" w:type="dxa"/>
            <w:right w:w="108" w:type="dxa"/>
          </w:tblCellMar>
        </w:tblPrEx>
        <w:trPr>
          <w:trHeight w:val="283" w:hRule="atLeast"/>
          <w:jc w:val="center"/>
        </w:trPr>
        <w:tc>
          <w:tcPr>
            <w:tcW w:w="849" w:type="dxa"/>
            <w:tcBorders>
              <w:top w:val="nil"/>
              <w:left w:val="single" w:color="auto" w:sz="4" w:space="0"/>
              <w:bottom w:val="single" w:color="auto" w:sz="4" w:space="0"/>
              <w:right w:val="single" w:color="auto" w:sz="4" w:space="0"/>
            </w:tcBorders>
            <w:noWrap/>
            <w:vAlign w:val="center"/>
          </w:tcPr>
          <w:p w14:paraId="39C0E92F">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lang w:eastAsia="zh-CN"/>
              </w:rPr>
            </w:pPr>
            <w:r>
              <w:rPr>
                <w:rFonts w:hint="eastAsia" w:ascii="宋体" w:hAnsi="宋体" w:cs="宋体"/>
                <w:color w:val="auto"/>
                <w:kern w:val="0"/>
                <w:szCs w:val="21"/>
                <w:highlight w:val="none"/>
                <w:lang w:val="en-US" w:eastAsia="zh-CN"/>
              </w:rPr>
              <w:t>6</w:t>
            </w:r>
          </w:p>
        </w:tc>
        <w:tc>
          <w:tcPr>
            <w:tcW w:w="2508" w:type="dxa"/>
            <w:tcBorders>
              <w:top w:val="nil"/>
              <w:left w:val="nil"/>
              <w:bottom w:val="single" w:color="auto" w:sz="4" w:space="0"/>
              <w:right w:val="single" w:color="auto" w:sz="4" w:space="0"/>
            </w:tcBorders>
            <w:noWrap/>
            <w:vAlign w:val="center"/>
          </w:tcPr>
          <w:p w14:paraId="6129CD0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调和漆（金属面）</w:t>
            </w:r>
          </w:p>
        </w:tc>
        <w:tc>
          <w:tcPr>
            <w:tcW w:w="1417" w:type="dxa"/>
            <w:tcBorders>
              <w:top w:val="nil"/>
              <w:left w:val="nil"/>
              <w:bottom w:val="single" w:color="auto" w:sz="4" w:space="0"/>
              <w:right w:val="single" w:color="auto" w:sz="4" w:space="0"/>
            </w:tcBorders>
            <w:noWrap/>
            <w:vAlign w:val="center"/>
          </w:tcPr>
          <w:p w14:paraId="4DB30973">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111" w:type="dxa"/>
            <w:tcBorders>
              <w:top w:val="nil"/>
              <w:left w:val="nil"/>
              <w:bottom w:val="single" w:color="auto" w:sz="4" w:space="0"/>
              <w:right w:val="single" w:color="auto" w:sz="4" w:space="0"/>
            </w:tcBorders>
            <w:noWrap/>
            <w:vAlign w:val="center"/>
          </w:tcPr>
          <w:p w14:paraId="7B3BD49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kern w:val="0"/>
                <w:szCs w:val="21"/>
                <w:highlight w:val="none"/>
              </w:rPr>
              <w:t>国标产品</w:t>
            </w:r>
          </w:p>
        </w:tc>
        <w:tc>
          <w:tcPr>
            <w:tcW w:w="1345" w:type="dxa"/>
            <w:tcBorders>
              <w:top w:val="nil"/>
              <w:left w:val="nil"/>
              <w:bottom w:val="single" w:color="auto" w:sz="4" w:space="0"/>
              <w:right w:val="single" w:color="auto" w:sz="4" w:space="0"/>
            </w:tcBorders>
            <w:noWrap w:val="0"/>
            <w:vAlign w:val="center"/>
          </w:tcPr>
          <w:p w14:paraId="7EB0589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72937FB">
        <w:tblPrEx>
          <w:tblCellMar>
            <w:top w:w="0" w:type="dxa"/>
            <w:left w:w="108" w:type="dxa"/>
            <w:bottom w:w="0" w:type="dxa"/>
            <w:right w:w="108" w:type="dxa"/>
          </w:tblCellMar>
        </w:tblPrEx>
        <w:trPr>
          <w:trHeight w:val="283" w:hRule="atLeast"/>
          <w:jc w:val="center"/>
        </w:trPr>
        <w:tc>
          <w:tcPr>
            <w:tcW w:w="849" w:type="dxa"/>
            <w:tcBorders>
              <w:top w:val="nil"/>
              <w:left w:val="single" w:color="auto" w:sz="4" w:space="0"/>
              <w:bottom w:val="single" w:color="auto" w:sz="4" w:space="0"/>
              <w:right w:val="single" w:color="auto" w:sz="4" w:space="0"/>
            </w:tcBorders>
            <w:noWrap/>
            <w:vAlign w:val="center"/>
          </w:tcPr>
          <w:p w14:paraId="67CFBA3B">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lang w:eastAsia="zh-CN"/>
              </w:rPr>
            </w:pPr>
            <w:r>
              <w:rPr>
                <w:rFonts w:hint="eastAsia" w:ascii="宋体" w:hAnsi="宋体" w:cs="宋体"/>
                <w:color w:val="auto"/>
                <w:kern w:val="0"/>
                <w:szCs w:val="21"/>
                <w:highlight w:val="none"/>
                <w:lang w:val="en-US" w:eastAsia="zh-CN"/>
              </w:rPr>
              <w:t>4</w:t>
            </w:r>
          </w:p>
        </w:tc>
        <w:tc>
          <w:tcPr>
            <w:tcW w:w="2508" w:type="dxa"/>
            <w:tcBorders>
              <w:top w:val="nil"/>
              <w:left w:val="nil"/>
              <w:bottom w:val="single" w:color="auto" w:sz="4" w:space="0"/>
              <w:right w:val="single" w:color="auto" w:sz="4" w:space="0"/>
            </w:tcBorders>
            <w:noWrap/>
            <w:vAlign w:val="center"/>
          </w:tcPr>
          <w:p w14:paraId="1408C0B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调和漆（木材面）</w:t>
            </w:r>
          </w:p>
        </w:tc>
        <w:tc>
          <w:tcPr>
            <w:tcW w:w="1417" w:type="dxa"/>
            <w:tcBorders>
              <w:top w:val="nil"/>
              <w:left w:val="nil"/>
              <w:bottom w:val="single" w:color="auto" w:sz="4" w:space="0"/>
              <w:right w:val="single" w:color="auto" w:sz="4" w:space="0"/>
            </w:tcBorders>
            <w:noWrap/>
            <w:vAlign w:val="center"/>
          </w:tcPr>
          <w:p w14:paraId="524EA8B9">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111" w:type="dxa"/>
            <w:tcBorders>
              <w:top w:val="nil"/>
              <w:left w:val="nil"/>
              <w:bottom w:val="single" w:color="auto" w:sz="4" w:space="0"/>
              <w:right w:val="single" w:color="auto" w:sz="4" w:space="0"/>
            </w:tcBorders>
            <w:noWrap/>
            <w:vAlign w:val="center"/>
          </w:tcPr>
          <w:p w14:paraId="1AF86CB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w:t>
            </w:r>
          </w:p>
        </w:tc>
        <w:tc>
          <w:tcPr>
            <w:tcW w:w="1345" w:type="dxa"/>
            <w:tcBorders>
              <w:top w:val="nil"/>
              <w:left w:val="nil"/>
              <w:bottom w:val="single" w:color="auto" w:sz="4" w:space="0"/>
              <w:right w:val="single" w:color="auto" w:sz="4" w:space="0"/>
            </w:tcBorders>
            <w:noWrap w:val="0"/>
            <w:vAlign w:val="center"/>
          </w:tcPr>
          <w:p w14:paraId="1B849F1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43DF17D0">
        <w:tblPrEx>
          <w:tblCellMar>
            <w:top w:w="0" w:type="dxa"/>
            <w:left w:w="108" w:type="dxa"/>
            <w:bottom w:w="0" w:type="dxa"/>
            <w:right w:w="108" w:type="dxa"/>
          </w:tblCellMar>
        </w:tblPrEx>
        <w:trPr>
          <w:trHeight w:val="283" w:hRule="atLeast"/>
          <w:jc w:val="center"/>
        </w:trPr>
        <w:tc>
          <w:tcPr>
            <w:tcW w:w="849" w:type="dxa"/>
            <w:tcBorders>
              <w:top w:val="nil"/>
              <w:left w:val="single" w:color="auto" w:sz="4" w:space="0"/>
              <w:bottom w:val="single" w:color="auto" w:sz="4" w:space="0"/>
              <w:right w:val="single" w:color="auto" w:sz="4" w:space="0"/>
            </w:tcBorders>
            <w:noWrap/>
            <w:vAlign w:val="center"/>
          </w:tcPr>
          <w:p w14:paraId="43151AEF">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lang w:eastAsia="zh-CN"/>
              </w:rPr>
            </w:pPr>
            <w:r>
              <w:rPr>
                <w:rFonts w:hint="eastAsia" w:ascii="宋体" w:hAnsi="宋体" w:cs="宋体"/>
                <w:color w:val="auto"/>
                <w:kern w:val="0"/>
                <w:szCs w:val="21"/>
                <w:highlight w:val="none"/>
                <w:lang w:val="en-US" w:eastAsia="zh-CN"/>
              </w:rPr>
              <w:t>8</w:t>
            </w:r>
          </w:p>
        </w:tc>
        <w:tc>
          <w:tcPr>
            <w:tcW w:w="2508" w:type="dxa"/>
            <w:tcBorders>
              <w:top w:val="nil"/>
              <w:left w:val="nil"/>
              <w:bottom w:val="single" w:color="auto" w:sz="4" w:space="0"/>
              <w:right w:val="single" w:color="auto" w:sz="4" w:space="0"/>
            </w:tcBorders>
            <w:noWrap/>
            <w:vAlign w:val="center"/>
          </w:tcPr>
          <w:p w14:paraId="72DD8EC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井盖（铸件或复合）</w:t>
            </w:r>
          </w:p>
        </w:tc>
        <w:tc>
          <w:tcPr>
            <w:tcW w:w="1417" w:type="dxa"/>
            <w:tcBorders>
              <w:top w:val="nil"/>
              <w:left w:val="nil"/>
              <w:bottom w:val="single" w:color="auto" w:sz="4" w:space="0"/>
              <w:right w:val="single" w:color="auto" w:sz="4" w:space="0"/>
            </w:tcBorders>
            <w:noWrap/>
            <w:vAlign w:val="center"/>
          </w:tcPr>
          <w:p w14:paraId="38C4012E">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111" w:type="dxa"/>
            <w:tcBorders>
              <w:top w:val="nil"/>
              <w:left w:val="nil"/>
              <w:bottom w:val="single" w:color="auto" w:sz="4" w:space="0"/>
              <w:right w:val="single" w:color="auto" w:sz="4" w:space="0"/>
            </w:tcBorders>
            <w:noWrap/>
            <w:vAlign w:val="center"/>
          </w:tcPr>
          <w:p w14:paraId="507107A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国标产品</w:t>
            </w:r>
          </w:p>
        </w:tc>
        <w:tc>
          <w:tcPr>
            <w:tcW w:w="1345" w:type="dxa"/>
            <w:tcBorders>
              <w:top w:val="nil"/>
              <w:left w:val="nil"/>
              <w:bottom w:val="single" w:color="auto" w:sz="4" w:space="0"/>
              <w:right w:val="single" w:color="auto" w:sz="4" w:space="0"/>
            </w:tcBorders>
            <w:noWrap w:val="0"/>
            <w:vAlign w:val="center"/>
          </w:tcPr>
          <w:p w14:paraId="6C25651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222206AF">
        <w:tblPrEx>
          <w:tblCellMar>
            <w:top w:w="0" w:type="dxa"/>
            <w:left w:w="108" w:type="dxa"/>
            <w:bottom w:w="0" w:type="dxa"/>
            <w:right w:w="108" w:type="dxa"/>
          </w:tblCellMar>
        </w:tblPrEx>
        <w:trPr>
          <w:trHeight w:val="283" w:hRule="atLeast"/>
          <w:jc w:val="center"/>
        </w:trPr>
        <w:tc>
          <w:tcPr>
            <w:tcW w:w="849" w:type="dxa"/>
            <w:tcBorders>
              <w:top w:val="nil"/>
              <w:left w:val="single" w:color="auto" w:sz="4" w:space="0"/>
              <w:bottom w:val="single" w:color="auto" w:sz="4" w:space="0"/>
              <w:right w:val="single" w:color="auto" w:sz="4" w:space="0"/>
            </w:tcBorders>
            <w:noWrap/>
            <w:vAlign w:val="center"/>
          </w:tcPr>
          <w:p w14:paraId="0BE2917B">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lang w:eastAsia="zh-CN"/>
              </w:rPr>
            </w:pPr>
            <w:r>
              <w:rPr>
                <w:rFonts w:hint="eastAsia" w:ascii="宋体" w:hAnsi="宋体" w:cs="宋体"/>
                <w:color w:val="auto"/>
                <w:kern w:val="0"/>
                <w:szCs w:val="21"/>
                <w:highlight w:val="none"/>
                <w:lang w:val="en-US" w:eastAsia="zh-CN"/>
              </w:rPr>
              <w:t>9</w:t>
            </w:r>
          </w:p>
        </w:tc>
        <w:tc>
          <w:tcPr>
            <w:tcW w:w="2508" w:type="dxa"/>
            <w:tcBorders>
              <w:top w:val="nil"/>
              <w:left w:val="nil"/>
              <w:bottom w:val="single" w:color="auto" w:sz="4" w:space="0"/>
              <w:right w:val="single" w:color="auto" w:sz="4" w:space="0"/>
            </w:tcBorders>
            <w:noWrap/>
            <w:vAlign w:val="center"/>
          </w:tcPr>
          <w:p w14:paraId="1BF03F4A">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lang w:eastAsia="zh-CN"/>
              </w:rPr>
            </w:pPr>
            <w:r>
              <w:rPr>
                <w:rFonts w:hint="eastAsia" w:ascii="宋体" w:hAnsi="宋体" w:cs="宋体"/>
                <w:color w:val="auto"/>
                <w:kern w:val="0"/>
                <w:szCs w:val="21"/>
                <w:highlight w:val="none"/>
              </w:rPr>
              <w:t>聚苯板（EPS）</w:t>
            </w:r>
            <w:r>
              <w:rPr>
                <w:rFonts w:hint="eastAsia" w:ascii="宋体" w:hAnsi="宋体" w:cs="宋体"/>
                <w:color w:val="auto"/>
                <w:kern w:val="0"/>
                <w:szCs w:val="21"/>
                <w:highlight w:val="none"/>
                <w:lang w:eastAsia="zh-CN"/>
              </w:rPr>
              <w:t>、挤塑板（</w:t>
            </w:r>
            <w:r>
              <w:rPr>
                <w:rFonts w:hint="eastAsia" w:ascii="宋体" w:hAnsi="宋体" w:cs="宋体"/>
                <w:color w:val="auto"/>
                <w:kern w:val="0"/>
                <w:szCs w:val="21"/>
                <w:highlight w:val="none"/>
                <w:lang w:val="en-US" w:eastAsia="zh-CN"/>
              </w:rPr>
              <w:t>XPS</w:t>
            </w:r>
            <w:r>
              <w:rPr>
                <w:rFonts w:hint="eastAsia" w:ascii="宋体" w:hAnsi="宋体" w:cs="宋体"/>
                <w:color w:val="auto"/>
                <w:kern w:val="0"/>
                <w:szCs w:val="21"/>
                <w:highlight w:val="none"/>
                <w:lang w:eastAsia="zh-CN"/>
              </w:rPr>
              <w:t>）</w:t>
            </w:r>
          </w:p>
        </w:tc>
        <w:tc>
          <w:tcPr>
            <w:tcW w:w="1417" w:type="dxa"/>
            <w:tcBorders>
              <w:top w:val="nil"/>
              <w:left w:val="nil"/>
              <w:bottom w:val="single" w:color="auto" w:sz="4" w:space="0"/>
              <w:right w:val="single" w:color="auto" w:sz="4" w:space="0"/>
            </w:tcBorders>
            <w:noWrap/>
            <w:vAlign w:val="center"/>
          </w:tcPr>
          <w:p w14:paraId="1707066C">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111" w:type="dxa"/>
            <w:tcBorders>
              <w:top w:val="nil"/>
              <w:left w:val="nil"/>
              <w:bottom w:val="single" w:color="auto" w:sz="4" w:space="0"/>
              <w:right w:val="single" w:color="auto" w:sz="4" w:space="0"/>
            </w:tcBorders>
            <w:noWrap/>
            <w:vAlign w:val="center"/>
          </w:tcPr>
          <w:p w14:paraId="34BBCB3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国标产品</w:t>
            </w:r>
          </w:p>
        </w:tc>
        <w:tc>
          <w:tcPr>
            <w:tcW w:w="1345" w:type="dxa"/>
            <w:tcBorders>
              <w:top w:val="nil"/>
              <w:left w:val="nil"/>
              <w:bottom w:val="single" w:color="auto" w:sz="4" w:space="0"/>
              <w:right w:val="single" w:color="auto" w:sz="4" w:space="0"/>
            </w:tcBorders>
            <w:noWrap w:val="0"/>
            <w:vAlign w:val="center"/>
          </w:tcPr>
          <w:p w14:paraId="29E9B01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284B376E">
        <w:tblPrEx>
          <w:tblCellMar>
            <w:top w:w="0" w:type="dxa"/>
            <w:left w:w="108" w:type="dxa"/>
            <w:bottom w:w="0" w:type="dxa"/>
            <w:right w:w="108" w:type="dxa"/>
          </w:tblCellMar>
        </w:tblPrEx>
        <w:trPr>
          <w:trHeight w:val="283" w:hRule="atLeast"/>
          <w:jc w:val="center"/>
        </w:trPr>
        <w:tc>
          <w:tcPr>
            <w:tcW w:w="849" w:type="dxa"/>
            <w:tcBorders>
              <w:top w:val="nil"/>
              <w:left w:val="single" w:color="auto" w:sz="4" w:space="0"/>
              <w:bottom w:val="single" w:color="auto" w:sz="4" w:space="0"/>
              <w:right w:val="single" w:color="auto" w:sz="4" w:space="0"/>
            </w:tcBorders>
            <w:noWrap/>
            <w:vAlign w:val="center"/>
          </w:tcPr>
          <w:p w14:paraId="177B4143">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kern w:val="0"/>
                <w:szCs w:val="21"/>
                <w:highlight w:val="none"/>
                <w:lang w:eastAsia="zh-CN"/>
              </w:rPr>
            </w:pPr>
            <w:r>
              <w:rPr>
                <w:rFonts w:hint="eastAsia" w:ascii="宋体" w:hAnsi="宋体" w:cs="宋体"/>
                <w:color w:val="auto"/>
                <w:kern w:val="0"/>
                <w:szCs w:val="21"/>
                <w:highlight w:val="none"/>
              </w:rPr>
              <w:t>1</w:t>
            </w:r>
            <w:r>
              <w:rPr>
                <w:rFonts w:hint="eastAsia" w:ascii="宋体" w:hAnsi="宋体" w:cs="宋体"/>
                <w:color w:val="auto"/>
                <w:kern w:val="0"/>
                <w:szCs w:val="21"/>
                <w:highlight w:val="none"/>
                <w:lang w:val="en-US" w:eastAsia="zh-CN"/>
              </w:rPr>
              <w:t>0</w:t>
            </w:r>
          </w:p>
        </w:tc>
        <w:tc>
          <w:tcPr>
            <w:tcW w:w="2508" w:type="dxa"/>
            <w:tcBorders>
              <w:top w:val="nil"/>
              <w:left w:val="nil"/>
              <w:bottom w:val="single" w:color="auto" w:sz="4" w:space="0"/>
              <w:right w:val="single" w:color="auto" w:sz="4" w:space="0"/>
            </w:tcBorders>
            <w:noWrap/>
            <w:vAlign w:val="center"/>
          </w:tcPr>
          <w:p w14:paraId="1382179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钢筋砼排水管、套环</w:t>
            </w:r>
          </w:p>
        </w:tc>
        <w:tc>
          <w:tcPr>
            <w:tcW w:w="1417" w:type="dxa"/>
            <w:tcBorders>
              <w:top w:val="nil"/>
              <w:left w:val="nil"/>
              <w:bottom w:val="single" w:color="auto" w:sz="4" w:space="0"/>
              <w:right w:val="single" w:color="auto" w:sz="4" w:space="0"/>
            </w:tcBorders>
            <w:noWrap/>
            <w:vAlign w:val="center"/>
          </w:tcPr>
          <w:p w14:paraId="0D6E25CE">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111" w:type="dxa"/>
            <w:tcBorders>
              <w:top w:val="nil"/>
              <w:left w:val="nil"/>
              <w:bottom w:val="single" w:color="auto" w:sz="4" w:space="0"/>
              <w:right w:val="single" w:color="auto" w:sz="4" w:space="0"/>
            </w:tcBorders>
            <w:noWrap/>
            <w:vAlign w:val="center"/>
          </w:tcPr>
          <w:p w14:paraId="56F5E67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国标I级</w:t>
            </w:r>
          </w:p>
        </w:tc>
        <w:tc>
          <w:tcPr>
            <w:tcW w:w="1345" w:type="dxa"/>
            <w:tcBorders>
              <w:top w:val="nil"/>
              <w:left w:val="nil"/>
              <w:bottom w:val="single" w:color="auto" w:sz="4" w:space="0"/>
              <w:right w:val="single" w:color="auto" w:sz="4" w:space="0"/>
            </w:tcBorders>
            <w:noWrap w:val="0"/>
            <w:vAlign w:val="center"/>
          </w:tcPr>
          <w:p w14:paraId="741FB4E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2E3860F1">
        <w:tblPrEx>
          <w:tblCellMar>
            <w:top w:w="0" w:type="dxa"/>
            <w:left w:w="108" w:type="dxa"/>
            <w:bottom w:w="0" w:type="dxa"/>
            <w:right w:w="108" w:type="dxa"/>
          </w:tblCellMar>
        </w:tblPrEx>
        <w:trPr>
          <w:trHeight w:val="283" w:hRule="atLeast"/>
          <w:jc w:val="center"/>
        </w:trPr>
        <w:tc>
          <w:tcPr>
            <w:tcW w:w="849" w:type="dxa"/>
            <w:tcBorders>
              <w:top w:val="single" w:color="auto" w:sz="4" w:space="0"/>
              <w:left w:val="single" w:color="auto" w:sz="4" w:space="0"/>
              <w:bottom w:val="single" w:color="auto" w:sz="4" w:space="0"/>
              <w:right w:val="single" w:color="auto" w:sz="4" w:space="0"/>
            </w:tcBorders>
            <w:noWrap/>
            <w:vAlign w:val="center"/>
          </w:tcPr>
          <w:p w14:paraId="02881F0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color w:val="auto"/>
                <w:kern w:val="0"/>
                <w:szCs w:val="21"/>
                <w:highlight w:val="none"/>
                <w:lang w:eastAsia="zh-CN"/>
              </w:rPr>
            </w:pPr>
            <w:r>
              <w:rPr>
                <w:rFonts w:hint="eastAsia" w:ascii="宋体" w:hAnsi="宋体" w:cs="宋体"/>
                <w:color w:val="auto"/>
                <w:kern w:val="0"/>
                <w:szCs w:val="21"/>
                <w:highlight w:val="none"/>
              </w:rPr>
              <w:t>1</w:t>
            </w:r>
            <w:r>
              <w:rPr>
                <w:rFonts w:hint="eastAsia" w:ascii="宋体" w:hAnsi="宋体" w:cs="宋体"/>
                <w:color w:val="auto"/>
                <w:kern w:val="0"/>
                <w:szCs w:val="21"/>
                <w:highlight w:val="none"/>
                <w:lang w:val="en-US" w:eastAsia="zh-CN"/>
              </w:rPr>
              <w:t>1</w:t>
            </w:r>
          </w:p>
        </w:tc>
        <w:tc>
          <w:tcPr>
            <w:tcW w:w="2508" w:type="dxa"/>
            <w:tcBorders>
              <w:top w:val="single" w:color="auto" w:sz="4" w:space="0"/>
              <w:left w:val="nil"/>
              <w:bottom w:val="single" w:color="auto" w:sz="4" w:space="0"/>
              <w:right w:val="single" w:color="auto" w:sz="4" w:space="0"/>
            </w:tcBorders>
            <w:noWrap/>
            <w:vAlign w:val="center"/>
          </w:tcPr>
          <w:p w14:paraId="4618EAE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疏水板</w:t>
            </w:r>
          </w:p>
        </w:tc>
        <w:tc>
          <w:tcPr>
            <w:tcW w:w="1417" w:type="dxa"/>
            <w:tcBorders>
              <w:top w:val="single" w:color="auto" w:sz="4" w:space="0"/>
              <w:left w:val="nil"/>
              <w:bottom w:val="single" w:color="auto" w:sz="4" w:space="0"/>
              <w:right w:val="single" w:color="auto" w:sz="4" w:space="0"/>
            </w:tcBorders>
            <w:noWrap/>
            <w:vAlign w:val="center"/>
          </w:tcPr>
          <w:p w14:paraId="24E2183D">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111" w:type="dxa"/>
            <w:tcBorders>
              <w:top w:val="single" w:color="auto" w:sz="4" w:space="0"/>
              <w:left w:val="nil"/>
              <w:bottom w:val="single" w:color="auto" w:sz="4" w:space="0"/>
              <w:right w:val="single" w:color="auto" w:sz="4" w:space="0"/>
            </w:tcBorders>
            <w:noWrap/>
            <w:vAlign w:val="center"/>
          </w:tcPr>
          <w:p w14:paraId="1E6E075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cs="宋体"/>
                <w:color w:val="auto"/>
                <w:kern w:val="0"/>
                <w:szCs w:val="21"/>
                <w:highlight w:val="none"/>
              </w:rPr>
            </w:pPr>
            <w:r>
              <w:rPr>
                <w:rFonts w:hint="eastAsia" w:ascii="宋体" w:hAnsi="宋体" w:cs="宋体"/>
                <w:color w:val="auto"/>
                <w:kern w:val="0"/>
                <w:szCs w:val="21"/>
                <w:highlight w:val="none"/>
              </w:rPr>
              <w:t>抗压≥478KP，材质HDPE,聚酯无纺布200g/m2，H=21mm，凸点向上</w:t>
            </w:r>
          </w:p>
        </w:tc>
        <w:tc>
          <w:tcPr>
            <w:tcW w:w="1345" w:type="dxa"/>
            <w:tcBorders>
              <w:top w:val="single" w:color="auto" w:sz="4" w:space="0"/>
              <w:left w:val="nil"/>
              <w:bottom w:val="single" w:color="auto" w:sz="4" w:space="0"/>
              <w:right w:val="single" w:color="auto" w:sz="4" w:space="0"/>
            </w:tcBorders>
            <w:noWrap w:val="0"/>
            <w:vAlign w:val="center"/>
          </w:tcPr>
          <w:p w14:paraId="6F6BEAAB">
            <w:pPr>
              <w:keepNext w:val="0"/>
              <w:keepLines w:val="0"/>
              <w:suppressLineNumbers w:val="0"/>
              <w:adjustRightInd w:val="0"/>
              <w:snapToGrid w:val="0"/>
              <w:spacing w:before="0" w:beforeAutospacing="0" w:after="0" w:afterAutospacing="0" w:line="360" w:lineRule="auto"/>
              <w:ind w:left="0" w:right="0"/>
              <w:jc w:val="center"/>
              <w:rPr>
                <w:rFonts w:ascii="宋体" w:hAnsi="宋体" w:cs="宋体"/>
                <w:color w:val="auto"/>
                <w:kern w:val="0"/>
                <w:szCs w:val="21"/>
                <w:highlight w:val="none"/>
              </w:rPr>
            </w:pPr>
          </w:p>
        </w:tc>
      </w:tr>
    </w:tbl>
    <w:p w14:paraId="2560F26F">
      <w:pPr>
        <w:pStyle w:val="22"/>
        <w:adjustRightInd w:val="0"/>
        <w:snapToGrid w:val="0"/>
        <w:spacing w:line="360" w:lineRule="auto"/>
        <w:ind w:firstLine="422"/>
        <w:outlineLvl w:val="9"/>
        <w:rPr>
          <w:b/>
          <w:color w:val="auto"/>
          <w:kern w:val="0"/>
          <w:highlight w:val="none"/>
        </w:rPr>
      </w:pPr>
    </w:p>
    <w:p w14:paraId="3FB415FD">
      <w:pPr>
        <w:pStyle w:val="22"/>
        <w:adjustRightInd w:val="0"/>
        <w:snapToGrid w:val="0"/>
        <w:spacing w:line="360" w:lineRule="auto"/>
        <w:ind w:firstLine="422"/>
        <w:outlineLvl w:val="9"/>
        <w:rPr>
          <w:b/>
          <w:color w:val="auto"/>
          <w:highlight w:val="none"/>
        </w:rPr>
      </w:pPr>
      <w:r>
        <w:rPr>
          <w:rFonts w:hint="eastAsia"/>
          <w:b/>
          <w:color w:val="auto"/>
          <w:kern w:val="0"/>
          <w:highlight w:val="none"/>
        </w:rPr>
        <w:t>二、安装部分</w:t>
      </w:r>
    </w:p>
    <w:tbl>
      <w:tblPr>
        <w:tblStyle w:val="56"/>
        <w:tblW w:w="102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4"/>
        <w:gridCol w:w="2410"/>
        <w:gridCol w:w="1417"/>
        <w:gridCol w:w="4383"/>
        <w:gridCol w:w="1230"/>
      </w:tblGrid>
      <w:tr w14:paraId="444E5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5733759F">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序号</w:t>
            </w:r>
          </w:p>
        </w:tc>
        <w:tc>
          <w:tcPr>
            <w:tcW w:w="2410" w:type="dxa"/>
            <w:noWrap/>
            <w:vAlign w:val="center"/>
          </w:tcPr>
          <w:p w14:paraId="03359B59">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材料名称</w:t>
            </w:r>
          </w:p>
        </w:tc>
        <w:tc>
          <w:tcPr>
            <w:tcW w:w="1417" w:type="dxa"/>
            <w:noWrap/>
            <w:vAlign w:val="center"/>
          </w:tcPr>
          <w:p w14:paraId="25303FC4">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规格、型号</w:t>
            </w:r>
          </w:p>
        </w:tc>
        <w:tc>
          <w:tcPr>
            <w:tcW w:w="4383" w:type="dxa"/>
            <w:noWrap/>
            <w:vAlign w:val="center"/>
          </w:tcPr>
          <w:p w14:paraId="4C1560A2">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参考品牌</w:t>
            </w:r>
          </w:p>
        </w:tc>
        <w:tc>
          <w:tcPr>
            <w:tcW w:w="1230" w:type="dxa"/>
            <w:noWrap w:val="0"/>
            <w:vAlign w:val="center"/>
          </w:tcPr>
          <w:p w14:paraId="555B90AF">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备注</w:t>
            </w:r>
          </w:p>
        </w:tc>
      </w:tr>
      <w:tr w14:paraId="4F214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E2D81A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bCs/>
                <w:color w:val="auto"/>
                <w:kern w:val="0"/>
                <w:szCs w:val="21"/>
                <w:highlight w:val="none"/>
              </w:rPr>
            </w:pPr>
          </w:p>
        </w:tc>
        <w:tc>
          <w:tcPr>
            <w:tcW w:w="2410" w:type="dxa"/>
            <w:noWrap/>
            <w:vAlign w:val="center"/>
          </w:tcPr>
          <w:p w14:paraId="1B14C419">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color w:val="auto"/>
                <w:kern w:val="0"/>
                <w:szCs w:val="21"/>
                <w:highlight w:val="none"/>
              </w:rPr>
            </w:pPr>
            <w:r>
              <w:rPr>
                <w:rFonts w:hint="eastAsia" w:ascii="宋体" w:hAnsi="宋体" w:cs="宋体"/>
                <w:b/>
                <w:color w:val="auto"/>
                <w:kern w:val="0"/>
                <w:szCs w:val="21"/>
                <w:highlight w:val="none"/>
              </w:rPr>
              <w:t>（一）各专业通用</w:t>
            </w:r>
          </w:p>
        </w:tc>
        <w:tc>
          <w:tcPr>
            <w:tcW w:w="1417" w:type="dxa"/>
            <w:noWrap/>
            <w:vAlign w:val="center"/>
          </w:tcPr>
          <w:p w14:paraId="64186FC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c>
          <w:tcPr>
            <w:tcW w:w="4383" w:type="dxa"/>
            <w:noWrap/>
            <w:vAlign w:val="center"/>
          </w:tcPr>
          <w:p w14:paraId="68F3616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bCs/>
                <w:color w:val="auto"/>
                <w:kern w:val="0"/>
                <w:szCs w:val="21"/>
                <w:highlight w:val="none"/>
              </w:rPr>
            </w:pPr>
          </w:p>
        </w:tc>
        <w:tc>
          <w:tcPr>
            <w:tcW w:w="1230" w:type="dxa"/>
            <w:noWrap w:val="0"/>
            <w:vAlign w:val="center"/>
          </w:tcPr>
          <w:p w14:paraId="2A2993A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bCs/>
                <w:color w:val="auto"/>
                <w:kern w:val="0"/>
                <w:szCs w:val="21"/>
                <w:highlight w:val="none"/>
              </w:rPr>
            </w:pPr>
          </w:p>
        </w:tc>
      </w:tr>
      <w:tr w14:paraId="34E57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7968413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w:t>
            </w:r>
          </w:p>
        </w:tc>
        <w:tc>
          <w:tcPr>
            <w:tcW w:w="2410" w:type="dxa"/>
            <w:noWrap/>
            <w:vAlign w:val="center"/>
          </w:tcPr>
          <w:p w14:paraId="0ADEFD2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所有型钢（镀锌或非镀锌角钢、扁钢、圆钢、槽钢、钢板、花纹钢板等）</w:t>
            </w:r>
          </w:p>
        </w:tc>
        <w:tc>
          <w:tcPr>
            <w:tcW w:w="1417" w:type="dxa"/>
            <w:noWrap/>
            <w:vAlign w:val="center"/>
          </w:tcPr>
          <w:p w14:paraId="62DB799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222A27C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w:t>
            </w:r>
          </w:p>
        </w:tc>
        <w:tc>
          <w:tcPr>
            <w:tcW w:w="1230" w:type="dxa"/>
            <w:noWrap w:val="0"/>
            <w:vAlign w:val="center"/>
          </w:tcPr>
          <w:p w14:paraId="352E0FA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62FA8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0943932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2</w:t>
            </w:r>
          </w:p>
        </w:tc>
        <w:tc>
          <w:tcPr>
            <w:tcW w:w="2410" w:type="dxa"/>
            <w:noWrap/>
            <w:vAlign w:val="center"/>
          </w:tcPr>
          <w:p w14:paraId="5E11DB9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焊接钢管、镀锌钢管</w:t>
            </w:r>
          </w:p>
        </w:tc>
        <w:tc>
          <w:tcPr>
            <w:tcW w:w="1417" w:type="dxa"/>
            <w:noWrap/>
            <w:vAlign w:val="center"/>
          </w:tcPr>
          <w:p w14:paraId="5051554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49BEFA2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天津利达、天津友发、河北东升等同档次国标产品，</w:t>
            </w:r>
          </w:p>
        </w:tc>
        <w:tc>
          <w:tcPr>
            <w:tcW w:w="1230" w:type="dxa"/>
            <w:noWrap w:val="0"/>
            <w:vAlign w:val="center"/>
          </w:tcPr>
          <w:p w14:paraId="6E23388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6F50A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564A025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3</w:t>
            </w:r>
          </w:p>
        </w:tc>
        <w:tc>
          <w:tcPr>
            <w:tcW w:w="2410" w:type="dxa"/>
            <w:noWrap/>
            <w:vAlign w:val="center"/>
          </w:tcPr>
          <w:p w14:paraId="7CD8C92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无缝钢管</w:t>
            </w:r>
          </w:p>
        </w:tc>
        <w:tc>
          <w:tcPr>
            <w:tcW w:w="1417" w:type="dxa"/>
            <w:noWrap/>
            <w:vAlign w:val="center"/>
          </w:tcPr>
          <w:p w14:paraId="1EC6A49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20FF8F2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成都无缝钢管厂、江苏洪都、河南安阳、包头钢铁等同档次国标产品</w:t>
            </w:r>
          </w:p>
        </w:tc>
        <w:tc>
          <w:tcPr>
            <w:tcW w:w="1230" w:type="dxa"/>
            <w:noWrap w:val="0"/>
            <w:vAlign w:val="center"/>
          </w:tcPr>
          <w:p w14:paraId="01C9538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5779A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0A4FD2B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4</w:t>
            </w:r>
          </w:p>
        </w:tc>
        <w:tc>
          <w:tcPr>
            <w:tcW w:w="2410" w:type="dxa"/>
            <w:noWrap/>
            <w:vAlign w:val="center"/>
          </w:tcPr>
          <w:p w14:paraId="5AAB130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压力表及表弯、旋塞阀、温度计</w:t>
            </w:r>
          </w:p>
        </w:tc>
        <w:tc>
          <w:tcPr>
            <w:tcW w:w="1417" w:type="dxa"/>
            <w:noWrap/>
            <w:vAlign w:val="center"/>
          </w:tcPr>
          <w:p w14:paraId="429302A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52FE725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w:t>
            </w:r>
          </w:p>
        </w:tc>
        <w:tc>
          <w:tcPr>
            <w:tcW w:w="1230" w:type="dxa"/>
            <w:noWrap w:val="0"/>
            <w:vAlign w:val="center"/>
          </w:tcPr>
          <w:p w14:paraId="517F370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70BBF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56CD6C4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5</w:t>
            </w:r>
          </w:p>
        </w:tc>
        <w:tc>
          <w:tcPr>
            <w:tcW w:w="2410" w:type="dxa"/>
            <w:noWrap/>
            <w:vAlign w:val="center"/>
          </w:tcPr>
          <w:p w14:paraId="574530F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玻璃丝布、铝箔辐射膜、钢丝网、铝箔胶带</w:t>
            </w:r>
          </w:p>
        </w:tc>
        <w:tc>
          <w:tcPr>
            <w:tcW w:w="1417" w:type="dxa"/>
            <w:noWrap/>
            <w:vAlign w:val="center"/>
          </w:tcPr>
          <w:p w14:paraId="2D033B9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031029C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w:t>
            </w:r>
          </w:p>
        </w:tc>
        <w:tc>
          <w:tcPr>
            <w:tcW w:w="1230" w:type="dxa"/>
            <w:noWrap w:val="0"/>
            <w:vAlign w:val="center"/>
          </w:tcPr>
          <w:p w14:paraId="3E38CE5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9074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26CC1B5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6</w:t>
            </w:r>
          </w:p>
        </w:tc>
        <w:tc>
          <w:tcPr>
            <w:tcW w:w="2410" w:type="dxa"/>
            <w:noWrap/>
            <w:vAlign w:val="center"/>
          </w:tcPr>
          <w:p w14:paraId="63E8D4B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阀门用法兰、螺栓、橡胶垫</w:t>
            </w:r>
          </w:p>
        </w:tc>
        <w:tc>
          <w:tcPr>
            <w:tcW w:w="1417" w:type="dxa"/>
            <w:noWrap/>
            <w:vAlign w:val="center"/>
          </w:tcPr>
          <w:p w14:paraId="582A9AE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2E34706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国标产品</w:t>
            </w:r>
          </w:p>
        </w:tc>
        <w:tc>
          <w:tcPr>
            <w:tcW w:w="1230" w:type="dxa"/>
            <w:noWrap w:val="0"/>
            <w:vAlign w:val="center"/>
          </w:tcPr>
          <w:p w14:paraId="425A3ED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8656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2326439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7</w:t>
            </w:r>
          </w:p>
        </w:tc>
        <w:tc>
          <w:tcPr>
            <w:tcW w:w="2410" w:type="dxa"/>
            <w:noWrap/>
            <w:vAlign w:val="center"/>
          </w:tcPr>
          <w:p w14:paraId="11D69E4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szCs w:val="21"/>
                <w:highlight w:val="none"/>
              </w:rPr>
              <w:t>各类穿墙套管（包括刚性、柔性套管）</w:t>
            </w:r>
          </w:p>
        </w:tc>
        <w:tc>
          <w:tcPr>
            <w:tcW w:w="1417" w:type="dxa"/>
            <w:noWrap/>
            <w:vAlign w:val="center"/>
          </w:tcPr>
          <w:p w14:paraId="5E68756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31B8F6B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szCs w:val="21"/>
                <w:highlight w:val="none"/>
              </w:rPr>
              <w:t>国标产品</w:t>
            </w:r>
          </w:p>
        </w:tc>
        <w:tc>
          <w:tcPr>
            <w:tcW w:w="1230" w:type="dxa"/>
            <w:noWrap w:val="0"/>
            <w:vAlign w:val="center"/>
          </w:tcPr>
          <w:p w14:paraId="416E6C0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0CE64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100A5F3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8</w:t>
            </w:r>
          </w:p>
        </w:tc>
        <w:tc>
          <w:tcPr>
            <w:tcW w:w="2410" w:type="dxa"/>
            <w:noWrap/>
            <w:vAlign w:val="center"/>
          </w:tcPr>
          <w:p w14:paraId="361E89B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橡塑保温材料</w:t>
            </w:r>
          </w:p>
        </w:tc>
        <w:tc>
          <w:tcPr>
            <w:tcW w:w="1417" w:type="dxa"/>
            <w:noWrap/>
            <w:vAlign w:val="center"/>
          </w:tcPr>
          <w:p w14:paraId="787C01E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5514FF9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福乐斯、赢胜、凯门富乐斯、华美、神州等同档次国标产品</w:t>
            </w:r>
          </w:p>
        </w:tc>
        <w:tc>
          <w:tcPr>
            <w:tcW w:w="1230" w:type="dxa"/>
            <w:noWrap w:val="0"/>
            <w:vAlign w:val="center"/>
          </w:tcPr>
          <w:p w14:paraId="4C761DA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1FDE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29BCA51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c>
          <w:tcPr>
            <w:tcW w:w="2410" w:type="dxa"/>
            <w:noWrap/>
            <w:vAlign w:val="center"/>
          </w:tcPr>
          <w:p w14:paraId="35FD2B71">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color w:val="auto"/>
                <w:szCs w:val="21"/>
                <w:highlight w:val="none"/>
              </w:rPr>
            </w:pPr>
            <w:r>
              <w:rPr>
                <w:rFonts w:hint="eastAsia" w:ascii="宋体" w:hAnsi="宋体" w:cs="宋体"/>
                <w:b/>
                <w:color w:val="auto"/>
                <w:kern w:val="0"/>
                <w:szCs w:val="21"/>
                <w:highlight w:val="none"/>
              </w:rPr>
              <w:t>（二）电气专业</w:t>
            </w:r>
          </w:p>
        </w:tc>
        <w:tc>
          <w:tcPr>
            <w:tcW w:w="1417" w:type="dxa"/>
            <w:noWrap/>
            <w:vAlign w:val="center"/>
          </w:tcPr>
          <w:p w14:paraId="608922C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c>
          <w:tcPr>
            <w:tcW w:w="4383" w:type="dxa"/>
            <w:noWrap/>
            <w:vAlign w:val="center"/>
          </w:tcPr>
          <w:p w14:paraId="32ECDCF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c>
          <w:tcPr>
            <w:tcW w:w="1230" w:type="dxa"/>
            <w:noWrap w:val="0"/>
            <w:vAlign w:val="center"/>
          </w:tcPr>
          <w:p w14:paraId="0268B84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0C6AA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586044D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w:t>
            </w:r>
          </w:p>
        </w:tc>
        <w:tc>
          <w:tcPr>
            <w:tcW w:w="2410" w:type="dxa"/>
            <w:noWrap/>
            <w:vAlign w:val="center"/>
          </w:tcPr>
          <w:p w14:paraId="3C63091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铜电线、铜电缆</w:t>
            </w:r>
          </w:p>
        </w:tc>
        <w:tc>
          <w:tcPr>
            <w:tcW w:w="1417" w:type="dxa"/>
            <w:noWrap/>
            <w:vAlign w:val="center"/>
          </w:tcPr>
          <w:p w14:paraId="16FA582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szCs w:val="21"/>
                <w:highlight w:val="none"/>
              </w:rPr>
              <w:t>按设计要求</w:t>
            </w:r>
          </w:p>
        </w:tc>
        <w:tc>
          <w:tcPr>
            <w:tcW w:w="4383" w:type="dxa"/>
            <w:noWrap/>
            <w:vAlign w:val="center"/>
          </w:tcPr>
          <w:p w14:paraId="3392F2D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szCs w:val="21"/>
                <w:highlight w:val="none"/>
              </w:rPr>
              <w:t>上上、远东、宝胜、飞航、亨通等同档次国标产品</w:t>
            </w:r>
          </w:p>
        </w:tc>
        <w:tc>
          <w:tcPr>
            <w:tcW w:w="1230" w:type="dxa"/>
            <w:noWrap w:val="0"/>
            <w:vAlign w:val="center"/>
          </w:tcPr>
          <w:p w14:paraId="5224438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p>
        </w:tc>
      </w:tr>
      <w:tr w14:paraId="62063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2C21A5B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2</w:t>
            </w:r>
          </w:p>
        </w:tc>
        <w:tc>
          <w:tcPr>
            <w:tcW w:w="2410" w:type="dxa"/>
            <w:noWrap/>
            <w:vAlign w:val="center"/>
          </w:tcPr>
          <w:p w14:paraId="6676C53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铝合金电缆</w:t>
            </w:r>
          </w:p>
        </w:tc>
        <w:tc>
          <w:tcPr>
            <w:tcW w:w="1417" w:type="dxa"/>
            <w:noWrap/>
            <w:vAlign w:val="center"/>
          </w:tcPr>
          <w:p w14:paraId="5630814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按设计要求</w:t>
            </w:r>
          </w:p>
        </w:tc>
        <w:tc>
          <w:tcPr>
            <w:tcW w:w="4383" w:type="dxa"/>
            <w:noWrap/>
            <w:vAlign w:val="center"/>
          </w:tcPr>
          <w:p w14:paraId="60FEBC5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lang w:val="en-US" w:eastAsia="zh-CN"/>
              </w:rPr>
              <w:t>亨通、上上、宝胜、远东</w:t>
            </w:r>
            <w:r>
              <w:rPr>
                <w:rFonts w:hint="eastAsia" w:ascii="宋体" w:hAnsi="宋体" w:cs="宋体"/>
                <w:color w:val="auto"/>
                <w:szCs w:val="21"/>
                <w:highlight w:val="none"/>
              </w:rPr>
              <w:t>等同档次国标产品</w:t>
            </w:r>
          </w:p>
        </w:tc>
        <w:tc>
          <w:tcPr>
            <w:tcW w:w="1230" w:type="dxa"/>
            <w:noWrap w:val="0"/>
            <w:vAlign w:val="center"/>
          </w:tcPr>
          <w:p w14:paraId="19812FA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p>
        </w:tc>
      </w:tr>
      <w:tr w14:paraId="51961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4" w:type="dxa"/>
            <w:noWrap/>
            <w:vAlign w:val="center"/>
          </w:tcPr>
          <w:p w14:paraId="60DE212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3</w:t>
            </w:r>
          </w:p>
        </w:tc>
        <w:tc>
          <w:tcPr>
            <w:tcW w:w="2410" w:type="dxa"/>
            <w:noWrap/>
            <w:vAlign w:val="center"/>
          </w:tcPr>
          <w:p w14:paraId="697A8AA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PVC穿线管</w:t>
            </w:r>
          </w:p>
        </w:tc>
        <w:tc>
          <w:tcPr>
            <w:tcW w:w="1417" w:type="dxa"/>
            <w:noWrap/>
            <w:vAlign w:val="center"/>
          </w:tcPr>
          <w:p w14:paraId="787CA60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28334E9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联塑、伟星、中财、金德、金牛、顾地等同档次国标产品</w:t>
            </w:r>
          </w:p>
        </w:tc>
        <w:tc>
          <w:tcPr>
            <w:tcW w:w="1230" w:type="dxa"/>
            <w:noWrap w:val="0"/>
            <w:vAlign w:val="center"/>
          </w:tcPr>
          <w:p w14:paraId="159FD9C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p>
        </w:tc>
      </w:tr>
      <w:tr w14:paraId="5CAEE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2A1B5E2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4</w:t>
            </w:r>
          </w:p>
        </w:tc>
        <w:tc>
          <w:tcPr>
            <w:tcW w:w="2410" w:type="dxa"/>
            <w:noWrap/>
            <w:vAlign w:val="center"/>
          </w:tcPr>
          <w:p w14:paraId="24BDC97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KBG管</w:t>
            </w:r>
          </w:p>
        </w:tc>
        <w:tc>
          <w:tcPr>
            <w:tcW w:w="1417" w:type="dxa"/>
            <w:noWrap/>
            <w:vAlign w:val="center"/>
          </w:tcPr>
          <w:p w14:paraId="01C3006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27DB015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w:t>
            </w:r>
          </w:p>
        </w:tc>
        <w:tc>
          <w:tcPr>
            <w:tcW w:w="1230" w:type="dxa"/>
            <w:noWrap w:val="0"/>
            <w:vAlign w:val="center"/>
          </w:tcPr>
          <w:p w14:paraId="3829682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p>
        </w:tc>
      </w:tr>
      <w:tr w14:paraId="76EBF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78EDC6D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5</w:t>
            </w:r>
          </w:p>
        </w:tc>
        <w:tc>
          <w:tcPr>
            <w:tcW w:w="2410" w:type="dxa"/>
            <w:noWrap/>
            <w:vAlign w:val="center"/>
          </w:tcPr>
          <w:p w14:paraId="65EB5CF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JDG管</w:t>
            </w:r>
          </w:p>
        </w:tc>
        <w:tc>
          <w:tcPr>
            <w:tcW w:w="1417" w:type="dxa"/>
            <w:noWrap/>
            <w:vAlign w:val="center"/>
          </w:tcPr>
          <w:p w14:paraId="4D7D5F3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48914C4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w:t>
            </w:r>
          </w:p>
        </w:tc>
        <w:tc>
          <w:tcPr>
            <w:tcW w:w="1230" w:type="dxa"/>
            <w:noWrap w:val="0"/>
            <w:vAlign w:val="center"/>
          </w:tcPr>
          <w:p w14:paraId="272D859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086A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0646AEE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6</w:t>
            </w:r>
          </w:p>
        </w:tc>
        <w:tc>
          <w:tcPr>
            <w:tcW w:w="2410" w:type="dxa"/>
            <w:noWrap/>
            <w:vAlign w:val="center"/>
          </w:tcPr>
          <w:p w14:paraId="1F1F69F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桥架</w:t>
            </w:r>
          </w:p>
        </w:tc>
        <w:tc>
          <w:tcPr>
            <w:tcW w:w="1417" w:type="dxa"/>
            <w:noWrap/>
            <w:vAlign w:val="center"/>
          </w:tcPr>
          <w:p w14:paraId="2F39216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2E6A38D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w:t>
            </w:r>
          </w:p>
        </w:tc>
        <w:tc>
          <w:tcPr>
            <w:tcW w:w="1230" w:type="dxa"/>
            <w:noWrap w:val="0"/>
            <w:vAlign w:val="center"/>
          </w:tcPr>
          <w:p w14:paraId="0FAB133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D45A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4A5BCB9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7</w:t>
            </w:r>
          </w:p>
        </w:tc>
        <w:tc>
          <w:tcPr>
            <w:tcW w:w="2410" w:type="dxa"/>
            <w:noWrap/>
            <w:vAlign w:val="center"/>
          </w:tcPr>
          <w:p w14:paraId="084605E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T接端子</w:t>
            </w:r>
          </w:p>
        </w:tc>
        <w:tc>
          <w:tcPr>
            <w:tcW w:w="1417" w:type="dxa"/>
            <w:noWrap/>
            <w:vAlign w:val="center"/>
          </w:tcPr>
          <w:p w14:paraId="52AFE3C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40819FA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向开、雷电、森鹏、科易等同档次国标产品</w:t>
            </w:r>
          </w:p>
        </w:tc>
        <w:tc>
          <w:tcPr>
            <w:tcW w:w="1230" w:type="dxa"/>
            <w:noWrap w:val="0"/>
            <w:vAlign w:val="center"/>
          </w:tcPr>
          <w:p w14:paraId="386BF88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52A0A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7B49CC9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8</w:t>
            </w:r>
          </w:p>
        </w:tc>
        <w:tc>
          <w:tcPr>
            <w:tcW w:w="2410" w:type="dxa"/>
            <w:noWrap/>
            <w:vAlign w:val="center"/>
          </w:tcPr>
          <w:p w14:paraId="74D8837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光纤、网线</w:t>
            </w:r>
          </w:p>
        </w:tc>
        <w:tc>
          <w:tcPr>
            <w:tcW w:w="1417" w:type="dxa"/>
            <w:noWrap/>
            <w:vAlign w:val="center"/>
          </w:tcPr>
          <w:p w14:paraId="08D85EC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按设计要求</w:t>
            </w:r>
          </w:p>
        </w:tc>
        <w:tc>
          <w:tcPr>
            <w:tcW w:w="4383" w:type="dxa"/>
            <w:noWrap/>
            <w:vAlign w:val="center"/>
          </w:tcPr>
          <w:p w14:paraId="745FAC3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参考或相当于普天</w:t>
            </w:r>
            <w:r>
              <w:rPr>
                <w:rFonts w:hint="eastAsia" w:ascii="宋体" w:hAnsi="宋体" w:cs="宋体"/>
                <w:color w:val="auto"/>
                <w:szCs w:val="21"/>
                <w:highlight w:val="none"/>
                <w:lang w:val="en-US" w:eastAsia="zh-CN"/>
              </w:rPr>
              <w:t>天际</w:t>
            </w:r>
            <w:r>
              <w:rPr>
                <w:rFonts w:hint="eastAsia" w:ascii="宋体" w:hAnsi="宋体" w:cs="宋体"/>
                <w:color w:val="auto"/>
                <w:szCs w:val="21"/>
                <w:highlight w:val="none"/>
              </w:rPr>
              <w:t>、一舟、爱谱华顿、康普、大唐电信等同档次国标产品</w:t>
            </w:r>
          </w:p>
        </w:tc>
        <w:tc>
          <w:tcPr>
            <w:tcW w:w="1230" w:type="dxa"/>
            <w:noWrap w:val="0"/>
            <w:vAlign w:val="center"/>
          </w:tcPr>
          <w:p w14:paraId="5963541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58382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58FC7DD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9</w:t>
            </w:r>
          </w:p>
        </w:tc>
        <w:tc>
          <w:tcPr>
            <w:tcW w:w="2410" w:type="dxa"/>
            <w:noWrap/>
            <w:vAlign w:val="center"/>
          </w:tcPr>
          <w:p w14:paraId="7509D3A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铜母线槽</w:t>
            </w:r>
          </w:p>
        </w:tc>
        <w:tc>
          <w:tcPr>
            <w:tcW w:w="1417" w:type="dxa"/>
            <w:noWrap/>
            <w:vAlign w:val="center"/>
          </w:tcPr>
          <w:p w14:paraId="2E6F321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按设计要求</w:t>
            </w:r>
          </w:p>
        </w:tc>
        <w:tc>
          <w:tcPr>
            <w:tcW w:w="4383" w:type="dxa"/>
            <w:noWrap/>
            <w:vAlign w:val="center"/>
          </w:tcPr>
          <w:p w14:paraId="42EA5D1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江苏帅天、江苏全惠、江苏乾博、江苏华鹏、大全等同档次品牌产品</w:t>
            </w:r>
          </w:p>
        </w:tc>
        <w:tc>
          <w:tcPr>
            <w:tcW w:w="1230" w:type="dxa"/>
            <w:noWrap w:val="0"/>
            <w:vAlign w:val="center"/>
          </w:tcPr>
          <w:p w14:paraId="17D0285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0C80E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4C21921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10</w:t>
            </w:r>
          </w:p>
        </w:tc>
        <w:tc>
          <w:tcPr>
            <w:tcW w:w="2410" w:type="dxa"/>
            <w:noWrap/>
            <w:vAlign w:val="center"/>
          </w:tcPr>
          <w:p w14:paraId="3457D6A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普通照明灯具</w:t>
            </w:r>
          </w:p>
        </w:tc>
        <w:tc>
          <w:tcPr>
            <w:tcW w:w="1417" w:type="dxa"/>
            <w:noWrap/>
            <w:vAlign w:val="center"/>
          </w:tcPr>
          <w:p w14:paraId="563A33D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3931749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kern w:val="0"/>
                <w:szCs w:val="21"/>
                <w:highlight w:val="none"/>
              </w:rPr>
              <w:t>飞利浦、三雄极光、雷士、欧普、西顿等同档次国标产品</w:t>
            </w:r>
          </w:p>
        </w:tc>
        <w:tc>
          <w:tcPr>
            <w:tcW w:w="1230" w:type="dxa"/>
            <w:noWrap w:val="0"/>
            <w:vAlign w:val="center"/>
          </w:tcPr>
          <w:p w14:paraId="7CE2612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50EFE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0D13FA6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11</w:t>
            </w:r>
          </w:p>
        </w:tc>
        <w:tc>
          <w:tcPr>
            <w:tcW w:w="2410" w:type="dxa"/>
            <w:noWrap/>
            <w:vAlign w:val="center"/>
          </w:tcPr>
          <w:p w14:paraId="2A47183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消防应急灯具</w:t>
            </w:r>
          </w:p>
        </w:tc>
        <w:tc>
          <w:tcPr>
            <w:tcW w:w="1417" w:type="dxa"/>
            <w:noWrap/>
            <w:vAlign w:val="center"/>
          </w:tcPr>
          <w:p w14:paraId="0C5292E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20CC2E4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崇正华盛、劳士、三雄极光、西默</w:t>
            </w:r>
            <w:r>
              <w:rPr>
                <w:rFonts w:hint="eastAsia" w:ascii="宋体" w:hAnsi="宋体" w:cs="宋体"/>
                <w:color w:val="auto"/>
                <w:kern w:val="0"/>
                <w:szCs w:val="21"/>
                <w:highlight w:val="none"/>
                <w:lang w:eastAsia="zh-CN"/>
              </w:rPr>
              <w:t>、</w:t>
            </w:r>
            <w:r>
              <w:rPr>
                <w:rFonts w:hint="eastAsia" w:ascii="宋体" w:hAnsi="宋体" w:cs="宋体"/>
                <w:color w:val="auto"/>
                <w:kern w:val="0"/>
                <w:szCs w:val="21"/>
                <w:highlight w:val="none"/>
                <w:lang w:val="en-US" w:eastAsia="zh-CN"/>
              </w:rPr>
              <w:t>欧普、青鸟</w:t>
            </w:r>
            <w:r>
              <w:rPr>
                <w:rFonts w:hint="eastAsia" w:ascii="宋体" w:hAnsi="宋体" w:cs="宋体"/>
                <w:color w:val="auto"/>
                <w:kern w:val="0"/>
                <w:szCs w:val="21"/>
                <w:highlight w:val="none"/>
              </w:rPr>
              <w:t>等同档次国标产品</w:t>
            </w:r>
          </w:p>
        </w:tc>
        <w:tc>
          <w:tcPr>
            <w:tcW w:w="1230" w:type="dxa"/>
            <w:noWrap w:val="0"/>
            <w:vAlign w:val="center"/>
          </w:tcPr>
          <w:p w14:paraId="00660CF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2E08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745A4CC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12</w:t>
            </w:r>
          </w:p>
        </w:tc>
        <w:tc>
          <w:tcPr>
            <w:tcW w:w="2410" w:type="dxa"/>
            <w:noWrap/>
            <w:vAlign w:val="center"/>
          </w:tcPr>
          <w:p w14:paraId="74C4CF5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开关插座（非公共装修区域）</w:t>
            </w:r>
          </w:p>
        </w:tc>
        <w:tc>
          <w:tcPr>
            <w:tcW w:w="1417" w:type="dxa"/>
            <w:noWrap/>
            <w:vAlign w:val="center"/>
          </w:tcPr>
          <w:p w14:paraId="3E7EB0D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3BD6E3F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kern w:val="0"/>
                <w:szCs w:val="21"/>
                <w:highlight w:val="none"/>
              </w:rPr>
              <w:t>公牛、飞雕、正泰、龙胜、鸿雁、德力西、良信等同档次国标产品</w:t>
            </w:r>
          </w:p>
        </w:tc>
        <w:tc>
          <w:tcPr>
            <w:tcW w:w="1230" w:type="dxa"/>
            <w:noWrap w:val="0"/>
            <w:vAlign w:val="center"/>
          </w:tcPr>
          <w:p w14:paraId="0BA351B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BE69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44A50A5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13</w:t>
            </w:r>
          </w:p>
        </w:tc>
        <w:tc>
          <w:tcPr>
            <w:tcW w:w="2410" w:type="dxa"/>
            <w:noWrap/>
            <w:vAlign w:val="center"/>
          </w:tcPr>
          <w:p w14:paraId="708B8E2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接线盒（箱）、开关盒</w:t>
            </w:r>
          </w:p>
        </w:tc>
        <w:tc>
          <w:tcPr>
            <w:tcW w:w="1417" w:type="dxa"/>
            <w:noWrap/>
            <w:vAlign w:val="center"/>
          </w:tcPr>
          <w:p w14:paraId="022AFB8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54328FE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kern w:val="0"/>
                <w:szCs w:val="21"/>
                <w:highlight w:val="none"/>
              </w:rPr>
              <w:t>国标产品</w:t>
            </w:r>
          </w:p>
        </w:tc>
        <w:tc>
          <w:tcPr>
            <w:tcW w:w="1230" w:type="dxa"/>
            <w:noWrap w:val="0"/>
            <w:vAlign w:val="center"/>
          </w:tcPr>
          <w:p w14:paraId="3B7B2AB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45429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677C14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14</w:t>
            </w:r>
          </w:p>
        </w:tc>
        <w:tc>
          <w:tcPr>
            <w:tcW w:w="2410" w:type="dxa"/>
            <w:noWrap/>
            <w:vAlign w:val="center"/>
          </w:tcPr>
          <w:p w14:paraId="79C7477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金属软管及金属软管活接头</w:t>
            </w:r>
          </w:p>
        </w:tc>
        <w:tc>
          <w:tcPr>
            <w:tcW w:w="1417" w:type="dxa"/>
            <w:noWrap/>
            <w:vAlign w:val="center"/>
          </w:tcPr>
          <w:p w14:paraId="1110875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62D3742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kern w:val="0"/>
                <w:szCs w:val="21"/>
                <w:highlight w:val="none"/>
              </w:rPr>
              <w:t>南通中航</w:t>
            </w:r>
            <w:r>
              <w:rPr>
                <w:rFonts w:hint="eastAsia" w:ascii="宋体" w:hAnsi="宋体" w:cs="宋体"/>
                <w:color w:val="auto"/>
                <w:kern w:val="0"/>
                <w:szCs w:val="21"/>
                <w:highlight w:val="none"/>
                <w:lang w:eastAsia="zh-CN"/>
              </w:rPr>
              <w:t>、北京首航、上海松江</w:t>
            </w:r>
            <w:r>
              <w:rPr>
                <w:rFonts w:hint="eastAsia" w:ascii="宋体" w:hAnsi="宋体" w:cs="宋体"/>
                <w:color w:val="auto"/>
                <w:kern w:val="0"/>
                <w:szCs w:val="21"/>
                <w:highlight w:val="none"/>
                <w:lang w:val="en-US" w:eastAsia="zh-CN"/>
              </w:rPr>
              <w:t>等同档次品牌产品</w:t>
            </w:r>
          </w:p>
        </w:tc>
        <w:tc>
          <w:tcPr>
            <w:tcW w:w="1230" w:type="dxa"/>
            <w:noWrap w:val="0"/>
            <w:vAlign w:val="center"/>
          </w:tcPr>
          <w:p w14:paraId="09C6BF3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1C07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234A1D3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15</w:t>
            </w:r>
          </w:p>
        </w:tc>
        <w:tc>
          <w:tcPr>
            <w:tcW w:w="2410" w:type="dxa"/>
            <w:noWrap/>
            <w:vAlign w:val="center"/>
          </w:tcPr>
          <w:p w14:paraId="02B45DA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人防按钮</w:t>
            </w:r>
          </w:p>
        </w:tc>
        <w:tc>
          <w:tcPr>
            <w:tcW w:w="1417" w:type="dxa"/>
            <w:noWrap/>
            <w:vAlign w:val="center"/>
          </w:tcPr>
          <w:p w14:paraId="78FF0E3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62E64B6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kern w:val="0"/>
                <w:szCs w:val="21"/>
                <w:highlight w:val="none"/>
              </w:rPr>
              <w:t>国标产品</w:t>
            </w:r>
          </w:p>
        </w:tc>
        <w:tc>
          <w:tcPr>
            <w:tcW w:w="1230" w:type="dxa"/>
            <w:noWrap w:val="0"/>
            <w:vAlign w:val="center"/>
          </w:tcPr>
          <w:p w14:paraId="02C5A3B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11B5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4627360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16</w:t>
            </w:r>
          </w:p>
        </w:tc>
        <w:tc>
          <w:tcPr>
            <w:tcW w:w="2410" w:type="dxa"/>
            <w:noWrap/>
            <w:vAlign w:val="center"/>
          </w:tcPr>
          <w:p w14:paraId="7629BF1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手动电动启动器</w:t>
            </w:r>
          </w:p>
        </w:tc>
        <w:tc>
          <w:tcPr>
            <w:tcW w:w="1417" w:type="dxa"/>
            <w:noWrap/>
            <w:vAlign w:val="center"/>
          </w:tcPr>
          <w:p w14:paraId="279FA86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0134603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kern w:val="0"/>
                <w:szCs w:val="21"/>
                <w:highlight w:val="none"/>
              </w:rPr>
              <w:t>国标产品</w:t>
            </w:r>
          </w:p>
        </w:tc>
        <w:tc>
          <w:tcPr>
            <w:tcW w:w="1230" w:type="dxa"/>
            <w:noWrap w:val="0"/>
            <w:vAlign w:val="center"/>
          </w:tcPr>
          <w:p w14:paraId="5DF4C97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7C3D9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4C5AEF0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17</w:t>
            </w:r>
          </w:p>
        </w:tc>
        <w:tc>
          <w:tcPr>
            <w:tcW w:w="2410" w:type="dxa"/>
            <w:noWrap/>
            <w:vAlign w:val="center"/>
          </w:tcPr>
          <w:p w14:paraId="550AF36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通风信号控制箱</w:t>
            </w:r>
          </w:p>
        </w:tc>
        <w:tc>
          <w:tcPr>
            <w:tcW w:w="1417" w:type="dxa"/>
            <w:noWrap/>
            <w:vAlign w:val="center"/>
          </w:tcPr>
          <w:p w14:paraId="4D36BA2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3B544D1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w:t>
            </w:r>
          </w:p>
        </w:tc>
        <w:tc>
          <w:tcPr>
            <w:tcW w:w="1230" w:type="dxa"/>
            <w:noWrap w:val="0"/>
            <w:vAlign w:val="center"/>
          </w:tcPr>
          <w:p w14:paraId="2C744C3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94BB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A0D396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18</w:t>
            </w:r>
          </w:p>
        </w:tc>
        <w:tc>
          <w:tcPr>
            <w:tcW w:w="2410" w:type="dxa"/>
            <w:noWrap/>
            <w:vAlign w:val="center"/>
          </w:tcPr>
          <w:p w14:paraId="7D1D2B1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户箱、弱电箱、端子箱</w:t>
            </w:r>
          </w:p>
        </w:tc>
        <w:tc>
          <w:tcPr>
            <w:tcW w:w="1417" w:type="dxa"/>
            <w:noWrap/>
            <w:vAlign w:val="center"/>
          </w:tcPr>
          <w:p w14:paraId="7E83738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343C626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成都尤立科、成都科美家、西安瑞鼎特等同档次国标产品</w:t>
            </w:r>
          </w:p>
        </w:tc>
        <w:tc>
          <w:tcPr>
            <w:tcW w:w="1230" w:type="dxa"/>
            <w:noWrap w:val="0"/>
            <w:vAlign w:val="center"/>
          </w:tcPr>
          <w:p w14:paraId="5242587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728C8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C064DC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19</w:t>
            </w:r>
          </w:p>
        </w:tc>
        <w:tc>
          <w:tcPr>
            <w:tcW w:w="2410" w:type="dxa"/>
            <w:noWrap/>
            <w:vAlign w:val="center"/>
          </w:tcPr>
          <w:p w14:paraId="2AC0088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配电箱（成套厂）</w:t>
            </w:r>
          </w:p>
        </w:tc>
        <w:tc>
          <w:tcPr>
            <w:tcW w:w="1417" w:type="dxa"/>
            <w:noWrap/>
            <w:vAlign w:val="center"/>
          </w:tcPr>
          <w:p w14:paraId="0490D1B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按设计要求</w:t>
            </w:r>
          </w:p>
        </w:tc>
        <w:tc>
          <w:tcPr>
            <w:tcW w:w="4383" w:type="dxa"/>
            <w:noWrap/>
            <w:vAlign w:val="center"/>
          </w:tcPr>
          <w:p w14:paraId="2B93F7D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西安电器开关、西安高科电气、西安汤姆森电气、新疆特变电工、西安华雷机电、陕西鹏宇电力</w:t>
            </w:r>
            <w:r>
              <w:rPr>
                <w:rFonts w:hint="eastAsia" w:ascii="宋体" w:hAnsi="宋体" w:cs="宋体"/>
                <w:color w:val="auto"/>
                <w:kern w:val="0"/>
                <w:szCs w:val="21"/>
                <w:highlight w:val="none"/>
              </w:rPr>
              <w:t>等同档次国标产品</w:t>
            </w:r>
          </w:p>
        </w:tc>
        <w:tc>
          <w:tcPr>
            <w:tcW w:w="1230" w:type="dxa"/>
            <w:noWrap w:val="0"/>
            <w:vAlign w:val="center"/>
          </w:tcPr>
          <w:p w14:paraId="259C466C">
            <w:pPr>
              <w:keepNext w:val="0"/>
              <w:keepLines w:val="0"/>
              <w:suppressLineNumbers w:val="0"/>
              <w:adjustRightInd w:val="0"/>
              <w:snapToGrid w:val="0"/>
              <w:spacing w:before="0" w:beforeAutospacing="0" w:after="0" w:afterAutospacing="0" w:line="360" w:lineRule="auto"/>
              <w:ind w:left="0" w:right="0"/>
              <w:jc w:val="both"/>
              <w:outlineLvl w:val="9"/>
              <w:rPr>
                <w:rFonts w:ascii="宋体" w:hAnsi="宋体" w:cs="宋体"/>
                <w:color w:val="auto"/>
                <w:kern w:val="0"/>
                <w:szCs w:val="21"/>
                <w:highlight w:val="none"/>
              </w:rPr>
            </w:pPr>
            <w:r>
              <w:rPr>
                <w:rFonts w:hint="eastAsia" w:ascii="宋体" w:hAnsi="宋体" w:cs="宋体"/>
                <w:b/>
                <w:bCs/>
                <w:color w:val="auto"/>
                <w:kern w:val="0"/>
                <w:szCs w:val="21"/>
                <w:highlight w:val="none"/>
              </w:rPr>
              <w:t>元器件品牌范围</w:t>
            </w:r>
            <w:r>
              <w:rPr>
                <w:rFonts w:hint="eastAsia" w:ascii="宋体" w:hAnsi="宋体" w:cs="宋体"/>
                <w:bCs/>
                <w:color w:val="auto"/>
                <w:kern w:val="0"/>
                <w:szCs w:val="21"/>
                <w:highlight w:val="none"/>
              </w:rPr>
              <w:t>及技术要求见附件</w:t>
            </w:r>
          </w:p>
        </w:tc>
      </w:tr>
      <w:tr w14:paraId="6CA88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4834AD5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c>
          <w:tcPr>
            <w:tcW w:w="2410" w:type="dxa"/>
            <w:noWrap/>
            <w:vAlign w:val="center"/>
          </w:tcPr>
          <w:p w14:paraId="2A006F4D">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color w:val="auto"/>
                <w:szCs w:val="21"/>
                <w:highlight w:val="none"/>
              </w:rPr>
            </w:pPr>
            <w:r>
              <w:rPr>
                <w:rFonts w:hint="eastAsia" w:ascii="宋体" w:hAnsi="宋体" w:cs="宋体"/>
                <w:b/>
                <w:color w:val="auto"/>
                <w:kern w:val="0"/>
                <w:szCs w:val="21"/>
                <w:highlight w:val="none"/>
              </w:rPr>
              <w:t>（三）给排水、采暖专业</w:t>
            </w:r>
          </w:p>
        </w:tc>
        <w:tc>
          <w:tcPr>
            <w:tcW w:w="1417" w:type="dxa"/>
            <w:noWrap/>
            <w:vAlign w:val="center"/>
          </w:tcPr>
          <w:p w14:paraId="7819AD8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c>
          <w:tcPr>
            <w:tcW w:w="4383" w:type="dxa"/>
            <w:noWrap/>
            <w:vAlign w:val="center"/>
          </w:tcPr>
          <w:p w14:paraId="182CBAC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c>
          <w:tcPr>
            <w:tcW w:w="1230" w:type="dxa"/>
            <w:noWrap w:val="0"/>
            <w:vAlign w:val="center"/>
          </w:tcPr>
          <w:p w14:paraId="401C2E5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63F66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2EB4565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w:t>
            </w:r>
          </w:p>
        </w:tc>
        <w:tc>
          <w:tcPr>
            <w:tcW w:w="2410" w:type="dxa"/>
            <w:noWrap/>
            <w:vAlign w:val="center"/>
          </w:tcPr>
          <w:p w14:paraId="6642BB9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PE给水管</w:t>
            </w:r>
          </w:p>
        </w:tc>
        <w:tc>
          <w:tcPr>
            <w:tcW w:w="1417" w:type="dxa"/>
            <w:noWrap/>
            <w:vAlign w:val="center"/>
          </w:tcPr>
          <w:p w14:paraId="4978F04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6D673D9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联塑、伟星、金德、金牛、顾地、中财</w:t>
            </w:r>
            <w:r>
              <w:rPr>
                <w:rFonts w:hint="eastAsia" w:ascii="宋体" w:hAnsi="宋体" w:cs="宋体"/>
                <w:color w:val="auto"/>
                <w:kern w:val="0"/>
                <w:szCs w:val="21"/>
                <w:highlight w:val="none"/>
                <w:lang w:eastAsia="zh-CN"/>
              </w:rPr>
              <w:t>、</w:t>
            </w:r>
            <w:r>
              <w:rPr>
                <w:rFonts w:hint="eastAsia" w:ascii="宋体" w:hAnsi="宋体" w:cs="宋体"/>
                <w:color w:val="auto"/>
                <w:kern w:val="0"/>
                <w:szCs w:val="21"/>
                <w:highlight w:val="none"/>
                <w:lang w:val="en-US" w:eastAsia="zh-CN"/>
              </w:rPr>
              <w:t>日丰</w:t>
            </w:r>
            <w:r>
              <w:rPr>
                <w:rFonts w:hint="eastAsia" w:ascii="宋体" w:hAnsi="宋体" w:cs="宋体"/>
                <w:color w:val="auto"/>
                <w:kern w:val="0"/>
                <w:szCs w:val="21"/>
                <w:highlight w:val="none"/>
              </w:rPr>
              <w:t>等同档次国标产品</w:t>
            </w:r>
          </w:p>
        </w:tc>
        <w:tc>
          <w:tcPr>
            <w:tcW w:w="1230" w:type="dxa"/>
            <w:noWrap w:val="0"/>
            <w:vAlign w:val="center"/>
          </w:tcPr>
          <w:p w14:paraId="2349279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2025C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1ACA50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2</w:t>
            </w:r>
          </w:p>
        </w:tc>
        <w:tc>
          <w:tcPr>
            <w:tcW w:w="2410" w:type="dxa"/>
            <w:noWrap/>
            <w:vAlign w:val="center"/>
          </w:tcPr>
          <w:p w14:paraId="03F3755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UPVC排水管（实壁、中空螺旋消音）</w:t>
            </w:r>
          </w:p>
        </w:tc>
        <w:tc>
          <w:tcPr>
            <w:tcW w:w="1417" w:type="dxa"/>
            <w:noWrap/>
            <w:vAlign w:val="center"/>
          </w:tcPr>
          <w:p w14:paraId="4D2E097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5E34F8D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联塑、伟星、金德、金牛、顾地、中财</w:t>
            </w:r>
            <w:r>
              <w:rPr>
                <w:rFonts w:hint="eastAsia" w:ascii="宋体" w:hAnsi="宋体" w:cs="宋体"/>
                <w:color w:val="auto"/>
                <w:kern w:val="0"/>
                <w:szCs w:val="21"/>
                <w:highlight w:val="none"/>
                <w:lang w:eastAsia="zh-CN"/>
              </w:rPr>
              <w:t>、</w:t>
            </w:r>
            <w:r>
              <w:rPr>
                <w:rFonts w:hint="eastAsia" w:ascii="宋体" w:hAnsi="宋体" w:cs="宋体"/>
                <w:color w:val="auto"/>
                <w:kern w:val="0"/>
                <w:szCs w:val="21"/>
                <w:highlight w:val="none"/>
                <w:lang w:val="en-US" w:eastAsia="zh-CN"/>
              </w:rPr>
              <w:t>日丰</w:t>
            </w:r>
            <w:r>
              <w:rPr>
                <w:rFonts w:hint="eastAsia" w:ascii="宋体" w:hAnsi="宋体" w:cs="宋体"/>
                <w:color w:val="auto"/>
                <w:kern w:val="0"/>
                <w:szCs w:val="21"/>
                <w:highlight w:val="none"/>
              </w:rPr>
              <w:t>等同档次国标产品</w:t>
            </w:r>
          </w:p>
        </w:tc>
        <w:tc>
          <w:tcPr>
            <w:tcW w:w="1230" w:type="dxa"/>
            <w:noWrap w:val="0"/>
            <w:vAlign w:val="center"/>
          </w:tcPr>
          <w:p w14:paraId="4E5B75F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8043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3F67469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3</w:t>
            </w:r>
          </w:p>
        </w:tc>
        <w:tc>
          <w:tcPr>
            <w:tcW w:w="2410" w:type="dxa"/>
            <w:noWrap/>
            <w:vAlign w:val="center"/>
          </w:tcPr>
          <w:p w14:paraId="0E52097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PPR给水管（冷、热水，含钢塑转换接头）</w:t>
            </w:r>
          </w:p>
        </w:tc>
        <w:tc>
          <w:tcPr>
            <w:tcW w:w="1417" w:type="dxa"/>
            <w:noWrap/>
            <w:vAlign w:val="center"/>
          </w:tcPr>
          <w:p w14:paraId="4763E45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2E13589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联塑、伟星、金德、金牛、顾地、中财</w:t>
            </w:r>
            <w:r>
              <w:rPr>
                <w:rFonts w:hint="eastAsia" w:ascii="宋体" w:hAnsi="宋体" w:cs="宋体"/>
                <w:color w:val="auto"/>
                <w:kern w:val="0"/>
                <w:szCs w:val="21"/>
                <w:highlight w:val="none"/>
                <w:lang w:eastAsia="zh-CN"/>
              </w:rPr>
              <w:t>、</w:t>
            </w:r>
            <w:r>
              <w:rPr>
                <w:rFonts w:hint="eastAsia" w:ascii="宋体" w:hAnsi="宋体" w:cs="宋体"/>
                <w:color w:val="auto"/>
                <w:kern w:val="0"/>
                <w:szCs w:val="21"/>
                <w:highlight w:val="none"/>
                <w:lang w:val="en-US" w:eastAsia="zh-CN"/>
              </w:rPr>
              <w:t>日丰</w:t>
            </w:r>
            <w:r>
              <w:rPr>
                <w:rFonts w:hint="eastAsia" w:ascii="宋体" w:hAnsi="宋体" w:cs="宋体"/>
                <w:color w:val="auto"/>
                <w:kern w:val="0"/>
                <w:szCs w:val="21"/>
                <w:highlight w:val="none"/>
              </w:rPr>
              <w:t>等同档次国标产品</w:t>
            </w:r>
          </w:p>
        </w:tc>
        <w:tc>
          <w:tcPr>
            <w:tcW w:w="1230" w:type="dxa"/>
            <w:noWrap w:val="0"/>
            <w:vAlign w:val="center"/>
          </w:tcPr>
          <w:p w14:paraId="4428E2B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2A77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0BBD81A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4</w:t>
            </w:r>
          </w:p>
        </w:tc>
        <w:tc>
          <w:tcPr>
            <w:tcW w:w="2410" w:type="dxa"/>
            <w:noWrap/>
            <w:vAlign w:val="center"/>
          </w:tcPr>
          <w:p w14:paraId="62DBB20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HDPE双壁波纹排水管</w:t>
            </w:r>
          </w:p>
        </w:tc>
        <w:tc>
          <w:tcPr>
            <w:tcW w:w="1417" w:type="dxa"/>
            <w:noWrap/>
            <w:vAlign w:val="center"/>
          </w:tcPr>
          <w:p w14:paraId="6472125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094E2E0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联塑、伟星、金德、金牛、顾地、中财</w:t>
            </w:r>
            <w:r>
              <w:rPr>
                <w:rFonts w:hint="eastAsia" w:ascii="宋体" w:hAnsi="宋体" w:cs="宋体"/>
                <w:color w:val="auto"/>
                <w:kern w:val="0"/>
                <w:szCs w:val="21"/>
                <w:highlight w:val="none"/>
                <w:lang w:eastAsia="zh-CN"/>
              </w:rPr>
              <w:t>、</w:t>
            </w:r>
            <w:r>
              <w:rPr>
                <w:rFonts w:hint="eastAsia" w:ascii="宋体" w:hAnsi="宋体" w:cs="宋体"/>
                <w:color w:val="auto"/>
                <w:kern w:val="0"/>
                <w:szCs w:val="21"/>
                <w:highlight w:val="none"/>
                <w:lang w:val="en-US" w:eastAsia="zh-CN"/>
              </w:rPr>
              <w:t>日丰</w:t>
            </w:r>
            <w:r>
              <w:rPr>
                <w:rFonts w:hint="eastAsia" w:ascii="宋体" w:hAnsi="宋体" w:cs="宋体"/>
                <w:color w:val="auto"/>
                <w:kern w:val="0"/>
                <w:szCs w:val="21"/>
                <w:highlight w:val="none"/>
              </w:rPr>
              <w:t>等同档次国标产品</w:t>
            </w:r>
          </w:p>
        </w:tc>
        <w:tc>
          <w:tcPr>
            <w:tcW w:w="1230" w:type="dxa"/>
            <w:noWrap w:val="0"/>
            <w:vAlign w:val="center"/>
          </w:tcPr>
          <w:p w14:paraId="21DD110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0DE41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4D792E3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5</w:t>
            </w:r>
          </w:p>
        </w:tc>
        <w:tc>
          <w:tcPr>
            <w:tcW w:w="2410" w:type="dxa"/>
            <w:noWrap/>
            <w:vAlign w:val="center"/>
          </w:tcPr>
          <w:p w14:paraId="75D1490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塑料管（PERT）</w:t>
            </w:r>
          </w:p>
        </w:tc>
        <w:tc>
          <w:tcPr>
            <w:tcW w:w="1417" w:type="dxa"/>
            <w:noWrap/>
            <w:vAlign w:val="center"/>
          </w:tcPr>
          <w:p w14:paraId="1C61BBA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0AA7A1A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联塑、伟星、金德、金牛、乔治费歇尔、中财</w:t>
            </w:r>
            <w:r>
              <w:rPr>
                <w:rFonts w:hint="eastAsia" w:ascii="宋体" w:hAnsi="宋体" w:cs="宋体"/>
                <w:color w:val="auto"/>
                <w:kern w:val="0"/>
                <w:szCs w:val="21"/>
                <w:highlight w:val="none"/>
                <w:lang w:eastAsia="zh-CN"/>
              </w:rPr>
              <w:t>、</w:t>
            </w:r>
            <w:r>
              <w:rPr>
                <w:rFonts w:hint="eastAsia" w:ascii="宋体" w:hAnsi="宋体" w:cs="宋体"/>
                <w:color w:val="auto"/>
                <w:kern w:val="0"/>
                <w:szCs w:val="21"/>
                <w:highlight w:val="none"/>
                <w:lang w:val="en-US" w:eastAsia="zh-CN"/>
              </w:rPr>
              <w:t>日丰</w:t>
            </w:r>
            <w:r>
              <w:rPr>
                <w:rFonts w:hint="eastAsia" w:ascii="宋体" w:hAnsi="宋体" w:cs="宋体"/>
                <w:color w:val="auto"/>
                <w:kern w:val="0"/>
                <w:szCs w:val="21"/>
                <w:highlight w:val="none"/>
              </w:rPr>
              <w:t>等同档次国标产品</w:t>
            </w:r>
          </w:p>
        </w:tc>
        <w:tc>
          <w:tcPr>
            <w:tcW w:w="1230" w:type="dxa"/>
            <w:noWrap w:val="0"/>
            <w:vAlign w:val="center"/>
          </w:tcPr>
          <w:p w14:paraId="3CD8A71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6C0C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C941FB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6</w:t>
            </w:r>
          </w:p>
        </w:tc>
        <w:tc>
          <w:tcPr>
            <w:tcW w:w="2410" w:type="dxa"/>
            <w:noWrap/>
            <w:vAlign w:val="center"/>
          </w:tcPr>
          <w:p w14:paraId="79EB57B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薄壁不锈钢管</w:t>
            </w:r>
          </w:p>
        </w:tc>
        <w:tc>
          <w:tcPr>
            <w:tcW w:w="1417" w:type="dxa"/>
            <w:noWrap/>
            <w:vAlign w:val="center"/>
          </w:tcPr>
          <w:p w14:paraId="6FB22D7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1E02145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金羊、正康、共同、雅昌、美亚等同档次国标产品</w:t>
            </w:r>
          </w:p>
        </w:tc>
        <w:tc>
          <w:tcPr>
            <w:tcW w:w="1230" w:type="dxa"/>
            <w:noWrap w:val="0"/>
            <w:vAlign w:val="center"/>
          </w:tcPr>
          <w:p w14:paraId="54F30FD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590A5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32D24A0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7</w:t>
            </w:r>
          </w:p>
        </w:tc>
        <w:tc>
          <w:tcPr>
            <w:tcW w:w="2410" w:type="dxa"/>
            <w:noWrap/>
            <w:vAlign w:val="center"/>
          </w:tcPr>
          <w:p w14:paraId="0EB5EE4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钢塑复合管</w:t>
            </w:r>
          </w:p>
        </w:tc>
        <w:tc>
          <w:tcPr>
            <w:tcW w:w="1417" w:type="dxa"/>
            <w:noWrap/>
            <w:vAlign w:val="center"/>
          </w:tcPr>
          <w:p w14:paraId="5EE7155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46D1D3D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利达、友发、桥山、捷派埃等同档次国标产品</w:t>
            </w:r>
          </w:p>
        </w:tc>
        <w:tc>
          <w:tcPr>
            <w:tcW w:w="1230" w:type="dxa"/>
            <w:noWrap w:val="0"/>
            <w:vAlign w:val="center"/>
          </w:tcPr>
          <w:p w14:paraId="639BC3F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25803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0213178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8</w:t>
            </w:r>
          </w:p>
        </w:tc>
        <w:tc>
          <w:tcPr>
            <w:tcW w:w="2410" w:type="dxa"/>
            <w:noWrap/>
            <w:vAlign w:val="center"/>
          </w:tcPr>
          <w:p w14:paraId="7D4DC12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铸铁排水管</w:t>
            </w:r>
          </w:p>
        </w:tc>
        <w:tc>
          <w:tcPr>
            <w:tcW w:w="1417" w:type="dxa"/>
            <w:noWrap/>
            <w:vAlign w:val="center"/>
          </w:tcPr>
          <w:p w14:paraId="0280FE7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10B70F3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泫氏、新兴、联通、申利等同档次国标产品</w:t>
            </w:r>
          </w:p>
        </w:tc>
        <w:tc>
          <w:tcPr>
            <w:tcW w:w="1230" w:type="dxa"/>
            <w:noWrap w:val="0"/>
            <w:vAlign w:val="center"/>
          </w:tcPr>
          <w:p w14:paraId="708D927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5EAE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0F2A0EA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9</w:t>
            </w:r>
          </w:p>
        </w:tc>
        <w:tc>
          <w:tcPr>
            <w:tcW w:w="2410" w:type="dxa"/>
            <w:noWrap/>
            <w:vAlign w:val="center"/>
          </w:tcPr>
          <w:p w14:paraId="6E69233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集分水器</w:t>
            </w:r>
          </w:p>
        </w:tc>
        <w:tc>
          <w:tcPr>
            <w:tcW w:w="1417" w:type="dxa"/>
            <w:noWrap/>
            <w:vAlign w:val="center"/>
          </w:tcPr>
          <w:p w14:paraId="4C9AAEA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70E0547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伟星、金德、金牛、曼瑞德、唯嘉等同档次国标产品</w:t>
            </w:r>
          </w:p>
        </w:tc>
        <w:tc>
          <w:tcPr>
            <w:tcW w:w="1230" w:type="dxa"/>
            <w:noWrap w:val="0"/>
            <w:vAlign w:val="center"/>
          </w:tcPr>
          <w:p w14:paraId="63C875E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69332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850CA1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10</w:t>
            </w:r>
          </w:p>
        </w:tc>
        <w:tc>
          <w:tcPr>
            <w:tcW w:w="2410" w:type="dxa"/>
            <w:noWrap/>
            <w:vAlign w:val="center"/>
          </w:tcPr>
          <w:p w14:paraId="26C8539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铜阀门</w:t>
            </w:r>
          </w:p>
        </w:tc>
        <w:tc>
          <w:tcPr>
            <w:tcW w:w="1417" w:type="dxa"/>
            <w:noWrap/>
            <w:vAlign w:val="center"/>
          </w:tcPr>
          <w:p w14:paraId="6E18C95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6ABF528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埃美柯、盾安、杰克龙、等同档次国标产品</w:t>
            </w:r>
          </w:p>
        </w:tc>
        <w:tc>
          <w:tcPr>
            <w:tcW w:w="1230" w:type="dxa"/>
            <w:noWrap w:val="0"/>
            <w:vAlign w:val="center"/>
          </w:tcPr>
          <w:p w14:paraId="3398CC9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24C08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08C3FA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11</w:t>
            </w:r>
          </w:p>
        </w:tc>
        <w:tc>
          <w:tcPr>
            <w:tcW w:w="2410" w:type="dxa"/>
            <w:noWrap/>
            <w:vAlign w:val="center"/>
          </w:tcPr>
          <w:p w14:paraId="4CD445D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钢阀门</w:t>
            </w:r>
          </w:p>
        </w:tc>
        <w:tc>
          <w:tcPr>
            <w:tcW w:w="1417" w:type="dxa"/>
            <w:noWrap/>
            <w:vAlign w:val="center"/>
          </w:tcPr>
          <w:p w14:paraId="168A246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36FF1C1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良工、中诚、埃克森、瓦特斯、北京阀门等同档次国标产品</w:t>
            </w:r>
          </w:p>
        </w:tc>
        <w:tc>
          <w:tcPr>
            <w:tcW w:w="1230" w:type="dxa"/>
            <w:noWrap w:val="0"/>
            <w:vAlign w:val="center"/>
          </w:tcPr>
          <w:p w14:paraId="36FCDC7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76BC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2FC0ABE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12</w:t>
            </w:r>
          </w:p>
        </w:tc>
        <w:tc>
          <w:tcPr>
            <w:tcW w:w="2410" w:type="dxa"/>
            <w:noWrap/>
            <w:vAlign w:val="center"/>
          </w:tcPr>
          <w:p w14:paraId="47AB862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波纹补偿器、金属软管</w:t>
            </w:r>
          </w:p>
        </w:tc>
        <w:tc>
          <w:tcPr>
            <w:tcW w:w="1417" w:type="dxa"/>
            <w:noWrap/>
            <w:vAlign w:val="center"/>
          </w:tcPr>
          <w:p w14:paraId="3442F9E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3EA17FC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南通中航、北京首航等同档次国标产品</w:t>
            </w:r>
          </w:p>
        </w:tc>
        <w:tc>
          <w:tcPr>
            <w:tcW w:w="1230" w:type="dxa"/>
            <w:noWrap w:val="0"/>
            <w:vAlign w:val="center"/>
          </w:tcPr>
          <w:p w14:paraId="4BC10EB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4259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03E857C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13</w:t>
            </w:r>
          </w:p>
        </w:tc>
        <w:tc>
          <w:tcPr>
            <w:tcW w:w="2410" w:type="dxa"/>
            <w:noWrap/>
            <w:vAlign w:val="center"/>
          </w:tcPr>
          <w:p w14:paraId="1C17A3D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橡胶软接头</w:t>
            </w:r>
          </w:p>
        </w:tc>
        <w:tc>
          <w:tcPr>
            <w:tcW w:w="1417" w:type="dxa"/>
            <w:noWrap/>
            <w:vAlign w:val="center"/>
          </w:tcPr>
          <w:p w14:paraId="2654578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69677BE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上海松江同档次国标产品</w:t>
            </w:r>
          </w:p>
        </w:tc>
        <w:tc>
          <w:tcPr>
            <w:tcW w:w="1230" w:type="dxa"/>
            <w:noWrap w:val="0"/>
            <w:vAlign w:val="center"/>
          </w:tcPr>
          <w:p w14:paraId="2CF6331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D727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0B2A338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14</w:t>
            </w:r>
          </w:p>
        </w:tc>
        <w:tc>
          <w:tcPr>
            <w:tcW w:w="2410" w:type="dxa"/>
            <w:noWrap/>
            <w:vAlign w:val="center"/>
          </w:tcPr>
          <w:p w14:paraId="49EEF54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热量表</w:t>
            </w:r>
          </w:p>
        </w:tc>
        <w:tc>
          <w:tcPr>
            <w:tcW w:w="1417" w:type="dxa"/>
            <w:noWrap/>
            <w:vAlign w:val="center"/>
          </w:tcPr>
          <w:p w14:paraId="5AE1AE1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533F624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浙江佳友、青岛海威茨、陕西米特、山东晨硕等同档次国标产品</w:t>
            </w:r>
          </w:p>
        </w:tc>
        <w:tc>
          <w:tcPr>
            <w:tcW w:w="1230" w:type="dxa"/>
            <w:noWrap w:val="0"/>
            <w:vAlign w:val="center"/>
          </w:tcPr>
          <w:p w14:paraId="6B099B7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bCs/>
                <w:color w:val="auto"/>
                <w:kern w:val="0"/>
                <w:szCs w:val="21"/>
                <w:highlight w:val="none"/>
              </w:rPr>
              <w:t>技术要求见附件</w:t>
            </w:r>
          </w:p>
        </w:tc>
      </w:tr>
      <w:tr w14:paraId="0A2E4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272B9D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15</w:t>
            </w:r>
          </w:p>
        </w:tc>
        <w:tc>
          <w:tcPr>
            <w:tcW w:w="2410" w:type="dxa"/>
            <w:noWrap/>
            <w:vAlign w:val="center"/>
          </w:tcPr>
          <w:p w14:paraId="71970CC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水表</w:t>
            </w:r>
          </w:p>
        </w:tc>
        <w:tc>
          <w:tcPr>
            <w:tcW w:w="1417" w:type="dxa"/>
            <w:noWrap/>
            <w:vAlign w:val="center"/>
          </w:tcPr>
          <w:p w14:paraId="2DB928A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4C47DFF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埃美柯、宁波水表、三川、河南新天、陕西米特、山东晨硕等同档次国标产品</w:t>
            </w:r>
          </w:p>
        </w:tc>
        <w:tc>
          <w:tcPr>
            <w:tcW w:w="1230" w:type="dxa"/>
            <w:noWrap w:val="0"/>
            <w:vAlign w:val="center"/>
          </w:tcPr>
          <w:p w14:paraId="36E8F15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bCs/>
                <w:color w:val="auto"/>
                <w:kern w:val="0"/>
                <w:szCs w:val="21"/>
                <w:highlight w:val="none"/>
              </w:rPr>
              <w:t>技术要求见附件</w:t>
            </w:r>
          </w:p>
        </w:tc>
      </w:tr>
      <w:tr w14:paraId="44072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05A2028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16</w:t>
            </w:r>
          </w:p>
        </w:tc>
        <w:tc>
          <w:tcPr>
            <w:tcW w:w="2410" w:type="dxa"/>
            <w:noWrap/>
            <w:vAlign w:val="center"/>
          </w:tcPr>
          <w:p w14:paraId="17657C6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太阳能热水器</w:t>
            </w:r>
          </w:p>
        </w:tc>
        <w:tc>
          <w:tcPr>
            <w:tcW w:w="1417" w:type="dxa"/>
            <w:noWrap/>
            <w:vAlign w:val="center"/>
          </w:tcPr>
          <w:p w14:paraId="35C4809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307F471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四季沐歌、清华阳光、太阳雨、山东桑乐等同档次国标产品</w:t>
            </w:r>
          </w:p>
        </w:tc>
        <w:tc>
          <w:tcPr>
            <w:tcW w:w="1230" w:type="dxa"/>
            <w:noWrap w:val="0"/>
            <w:vAlign w:val="center"/>
          </w:tcPr>
          <w:p w14:paraId="6B935B3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D339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49EDC7B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17</w:t>
            </w:r>
          </w:p>
        </w:tc>
        <w:tc>
          <w:tcPr>
            <w:tcW w:w="2410" w:type="dxa"/>
            <w:noWrap/>
            <w:vAlign w:val="center"/>
          </w:tcPr>
          <w:p w14:paraId="42C0236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泵类（</w:t>
            </w:r>
            <w:r>
              <w:rPr>
                <w:rFonts w:ascii="宋体" w:hAnsi="宋体"/>
                <w:color w:val="auto"/>
                <w:szCs w:val="21"/>
                <w:highlight w:val="none"/>
              </w:rPr>
              <w:t>供水成套设备</w:t>
            </w:r>
            <w:r>
              <w:rPr>
                <w:rFonts w:hint="eastAsia" w:ascii="宋体" w:hAnsi="宋体" w:cs="宋体"/>
                <w:color w:val="auto"/>
                <w:kern w:val="0"/>
                <w:szCs w:val="21"/>
                <w:highlight w:val="none"/>
              </w:rPr>
              <w:t>）</w:t>
            </w:r>
          </w:p>
        </w:tc>
        <w:tc>
          <w:tcPr>
            <w:tcW w:w="1417" w:type="dxa"/>
            <w:noWrap/>
            <w:vAlign w:val="center"/>
          </w:tcPr>
          <w:p w14:paraId="635D88A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355BF12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格兰富、威乐、凯士比、赛莱默等同档次国标产品</w:t>
            </w:r>
          </w:p>
        </w:tc>
        <w:tc>
          <w:tcPr>
            <w:tcW w:w="1230" w:type="dxa"/>
            <w:noWrap w:val="0"/>
            <w:vAlign w:val="center"/>
          </w:tcPr>
          <w:p w14:paraId="7721AD3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24E88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726D6CC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18</w:t>
            </w:r>
          </w:p>
        </w:tc>
        <w:tc>
          <w:tcPr>
            <w:tcW w:w="2410" w:type="dxa"/>
            <w:noWrap/>
            <w:vAlign w:val="center"/>
          </w:tcPr>
          <w:p w14:paraId="45CED37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泵类（其它）</w:t>
            </w:r>
          </w:p>
        </w:tc>
        <w:tc>
          <w:tcPr>
            <w:tcW w:w="1417" w:type="dxa"/>
            <w:noWrap/>
            <w:vAlign w:val="center"/>
          </w:tcPr>
          <w:p w14:paraId="31C4F15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590D0A3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凯泉、连成、东方、南方、熊猫、太平洋等同档次国标产品</w:t>
            </w:r>
          </w:p>
        </w:tc>
        <w:tc>
          <w:tcPr>
            <w:tcW w:w="1230" w:type="dxa"/>
            <w:noWrap w:val="0"/>
            <w:vAlign w:val="center"/>
          </w:tcPr>
          <w:p w14:paraId="445FD0C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CDBB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2EDE185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19</w:t>
            </w:r>
          </w:p>
        </w:tc>
        <w:tc>
          <w:tcPr>
            <w:tcW w:w="2410" w:type="dxa"/>
            <w:noWrap/>
            <w:vAlign w:val="center"/>
          </w:tcPr>
          <w:p w14:paraId="174B71A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防爆地漏、铜制管堵</w:t>
            </w:r>
          </w:p>
        </w:tc>
        <w:tc>
          <w:tcPr>
            <w:tcW w:w="1417" w:type="dxa"/>
            <w:noWrap/>
            <w:vAlign w:val="center"/>
          </w:tcPr>
          <w:p w14:paraId="0517536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3937FAA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人防定点厂家产品，数据齐全</w:t>
            </w:r>
          </w:p>
        </w:tc>
        <w:tc>
          <w:tcPr>
            <w:tcW w:w="1230" w:type="dxa"/>
            <w:noWrap w:val="0"/>
            <w:vAlign w:val="center"/>
          </w:tcPr>
          <w:p w14:paraId="0B6FB8D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5A1EE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171A04D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20</w:t>
            </w:r>
          </w:p>
        </w:tc>
        <w:tc>
          <w:tcPr>
            <w:tcW w:w="2410" w:type="dxa"/>
            <w:noWrap/>
            <w:vAlign w:val="center"/>
          </w:tcPr>
          <w:p w14:paraId="07F98B7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球墨铸铁给水管(含管件)</w:t>
            </w:r>
          </w:p>
        </w:tc>
        <w:tc>
          <w:tcPr>
            <w:tcW w:w="1417" w:type="dxa"/>
            <w:noWrap/>
            <w:vAlign w:val="center"/>
          </w:tcPr>
          <w:p w14:paraId="3ABD52D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155F772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w:t>
            </w:r>
          </w:p>
        </w:tc>
        <w:tc>
          <w:tcPr>
            <w:tcW w:w="1230" w:type="dxa"/>
            <w:noWrap w:val="0"/>
            <w:vAlign w:val="center"/>
          </w:tcPr>
          <w:p w14:paraId="35D3C0A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23A28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3BE397B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21</w:t>
            </w:r>
          </w:p>
        </w:tc>
        <w:tc>
          <w:tcPr>
            <w:tcW w:w="2410" w:type="dxa"/>
            <w:noWrap/>
            <w:vAlign w:val="center"/>
          </w:tcPr>
          <w:p w14:paraId="61B12FB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不锈钢水箱（</w:t>
            </w:r>
            <w:r>
              <w:rPr>
                <w:rFonts w:hint="eastAsia" w:ascii="宋体" w:hAnsi="宋体" w:cs="宋体"/>
                <w:color w:val="auto"/>
                <w:kern w:val="0"/>
                <w:szCs w:val="21"/>
                <w:highlight w:val="none"/>
              </w:rPr>
              <w:t>304不锈钢</w:t>
            </w:r>
            <w:r>
              <w:rPr>
                <w:rFonts w:hint="eastAsia" w:ascii="宋体" w:hAnsi="宋体" w:cs="宋体"/>
                <w:color w:val="auto"/>
                <w:szCs w:val="21"/>
                <w:highlight w:val="none"/>
              </w:rPr>
              <w:t>）</w:t>
            </w:r>
          </w:p>
        </w:tc>
        <w:tc>
          <w:tcPr>
            <w:tcW w:w="1417" w:type="dxa"/>
            <w:noWrap/>
            <w:vAlign w:val="center"/>
          </w:tcPr>
          <w:p w14:paraId="1522FE3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68911E9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国标产品</w:t>
            </w:r>
          </w:p>
        </w:tc>
        <w:tc>
          <w:tcPr>
            <w:tcW w:w="1230" w:type="dxa"/>
            <w:noWrap w:val="0"/>
            <w:vAlign w:val="center"/>
          </w:tcPr>
          <w:p w14:paraId="4027419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6E23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43FC1E1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22</w:t>
            </w:r>
          </w:p>
        </w:tc>
        <w:tc>
          <w:tcPr>
            <w:tcW w:w="2410" w:type="dxa"/>
            <w:noWrap/>
            <w:vAlign w:val="center"/>
          </w:tcPr>
          <w:p w14:paraId="2C35293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不锈钢水箱消毒器</w:t>
            </w:r>
          </w:p>
        </w:tc>
        <w:tc>
          <w:tcPr>
            <w:tcW w:w="1417" w:type="dxa"/>
            <w:noWrap/>
            <w:vAlign w:val="center"/>
          </w:tcPr>
          <w:p w14:paraId="188AABF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0080A89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国标产品</w:t>
            </w:r>
          </w:p>
        </w:tc>
        <w:tc>
          <w:tcPr>
            <w:tcW w:w="1230" w:type="dxa"/>
            <w:noWrap w:val="0"/>
            <w:vAlign w:val="center"/>
          </w:tcPr>
          <w:p w14:paraId="2F65739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29C78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5E4351E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23</w:t>
            </w:r>
          </w:p>
        </w:tc>
        <w:tc>
          <w:tcPr>
            <w:tcW w:w="2410" w:type="dxa"/>
            <w:noWrap/>
            <w:vAlign w:val="center"/>
          </w:tcPr>
          <w:p w14:paraId="3713691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虹吸排水系统</w:t>
            </w:r>
          </w:p>
        </w:tc>
        <w:tc>
          <w:tcPr>
            <w:tcW w:w="1417" w:type="dxa"/>
            <w:noWrap/>
            <w:vAlign w:val="center"/>
          </w:tcPr>
          <w:p w14:paraId="3998032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2107F73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东方雨虹、南通沪望、河南华畅、成都美鑫等同档次品牌</w:t>
            </w:r>
          </w:p>
        </w:tc>
        <w:tc>
          <w:tcPr>
            <w:tcW w:w="1230" w:type="dxa"/>
            <w:noWrap w:val="0"/>
            <w:vAlign w:val="center"/>
          </w:tcPr>
          <w:p w14:paraId="1647F26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08B9E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44C5F00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c>
          <w:tcPr>
            <w:tcW w:w="2410" w:type="dxa"/>
            <w:noWrap/>
            <w:vAlign w:val="center"/>
          </w:tcPr>
          <w:p w14:paraId="519AA818">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color w:val="auto"/>
                <w:szCs w:val="21"/>
                <w:highlight w:val="none"/>
              </w:rPr>
            </w:pPr>
            <w:r>
              <w:rPr>
                <w:rFonts w:hint="eastAsia" w:ascii="宋体" w:hAnsi="宋体" w:cs="宋体"/>
                <w:b/>
                <w:color w:val="auto"/>
                <w:kern w:val="0"/>
                <w:szCs w:val="21"/>
                <w:highlight w:val="none"/>
              </w:rPr>
              <w:t>（四）通风专业</w:t>
            </w:r>
          </w:p>
        </w:tc>
        <w:tc>
          <w:tcPr>
            <w:tcW w:w="1417" w:type="dxa"/>
            <w:noWrap/>
            <w:vAlign w:val="center"/>
          </w:tcPr>
          <w:p w14:paraId="5C9301C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c>
          <w:tcPr>
            <w:tcW w:w="4383" w:type="dxa"/>
            <w:noWrap/>
            <w:vAlign w:val="center"/>
          </w:tcPr>
          <w:p w14:paraId="48283F6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c>
          <w:tcPr>
            <w:tcW w:w="1230" w:type="dxa"/>
            <w:noWrap w:val="0"/>
            <w:vAlign w:val="center"/>
          </w:tcPr>
          <w:p w14:paraId="3917FCF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7DA4C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153B8E1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w:t>
            </w:r>
          </w:p>
        </w:tc>
        <w:tc>
          <w:tcPr>
            <w:tcW w:w="2410" w:type="dxa"/>
            <w:noWrap/>
            <w:vAlign w:val="center"/>
          </w:tcPr>
          <w:p w14:paraId="68076A8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szCs w:val="21"/>
                <w:highlight w:val="none"/>
              </w:rPr>
              <w:t>人防设备（含过滤器、吸收器、人防风阀、换气堵头、排气活门、电动脚踏式两用风机等）</w:t>
            </w:r>
          </w:p>
        </w:tc>
        <w:tc>
          <w:tcPr>
            <w:tcW w:w="1417" w:type="dxa"/>
            <w:noWrap/>
            <w:vAlign w:val="center"/>
          </w:tcPr>
          <w:p w14:paraId="0E82259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71C383C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通过西安市人防办备案产品</w:t>
            </w:r>
          </w:p>
        </w:tc>
        <w:tc>
          <w:tcPr>
            <w:tcW w:w="1230" w:type="dxa"/>
            <w:noWrap w:val="0"/>
            <w:vAlign w:val="center"/>
          </w:tcPr>
          <w:p w14:paraId="20FD4B8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B40C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3CEB7E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2</w:t>
            </w:r>
          </w:p>
        </w:tc>
        <w:tc>
          <w:tcPr>
            <w:tcW w:w="2410" w:type="dxa"/>
            <w:noWrap/>
            <w:vAlign w:val="center"/>
          </w:tcPr>
          <w:p w14:paraId="6ABF49E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风机、风口风阀、消声器、静压箱</w:t>
            </w:r>
          </w:p>
        </w:tc>
        <w:tc>
          <w:tcPr>
            <w:tcW w:w="1417" w:type="dxa"/>
            <w:noWrap/>
            <w:vAlign w:val="center"/>
          </w:tcPr>
          <w:p w14:paraId="30C3981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2824FF8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kern w:val="0"/>
                <w:szCs w:val="21"/>
                <w:highlight w:val="none"/>
              </w:rPr>
              <w:t>上海科禄格</w:t>
            </w:r>
            <w:r>
              <w:rPr>
                <w:rFonts w:hint="eastAsia" w:ascii="宋体" w:hAnsi="宋体" w:cs="宋体"/>
                <w:color w:val="auto"/>
                <w:kern w:val="0"/>
                <w:szCs w:val="21"/>
                <w:highlight w:val="none"/>
                <w:lang w:eastAsia="zh-CN"/>
              </w:rPr>
              <w:t>、浙江亿利达、武汉科禄格、德州亚太、上海英飞、</w:t>
            </w:r>
            <w:r>
              <w:rPr>
                <w:rFonts w:hint="eastAsia" w:ascii="宋体" w:hAnsi="宋体" w:cs="宋体"/>
                <w:color w:val="auto"/>
                <w:kern w:val="0"/>
                <w:szCs w:val="21"/>
                <w:highlight w:val="none"/>
              </w:rPr>
              <w:t>浙江双阳、上虞育才、上虞方圆、浙江惠创、浙江海风、山东格瑞德等同档次国标产品</w:t>
            </w:r>
          </w:p>
        </w:tc>
        <w:tc>
          <w:tcPr>
            <w:tcW w:w="1230" w:type="dxa"/>
            <w:noWrap w:val="0"/>
            <w:vAlign w:val="center"/>
          </w:tcPr>
          <w:p w14:paraId="3CAF289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bCs/>
                <w:color w:val="auto"/>
                <w:kern w:val="0"/>
                <w:szCs w:val="21"/>
                <w:highlight w:val="none"/>
              </w:rPr>
            </w:pPr>
          </w:p>
        </w:tc>
      </w:tr>
      <w:tr w14:paraId="128C9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5AAA4B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3</w:t>
            </w:r>
          </w:p>
        </w:tc>
        <w:tc>
          <w:tcPr>
            <w:tcW w:w="2410" w:type="dxa"/>
            <w:noWrap/>
            <w:vAlign w:val="center"/>
          </w:tcPr>
          <w:p w14:paraId="3F36C89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柔性防火卷材</w:t>
            </w:r>
          </w:p>
        </w:tc>
        <w:tc>
          <w:tcPr>
            <w:tcW w:w="1417" w:type="dxa"/>
            <w:noWrap/>
            <w:vAlign w:val="center"/>
          </w:tcPr>
          <w:p w14:paraId="44F5BF4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4F30F01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渝洪</w:t>
            </w:r>
            <w:r>
              <w:rPr>
                <w:rFonts w:hint="eastAsia" w:ascii="宋体" w:hAnsi="宋体" w:cs="宋体"/>
                <w:color w:val="auto"/>
                <w:kern w:val="0"/>
                <w:szCs w:val="21"/>
                <w:highlight w:val="none"/>
                <w:lang w:eastAsia="zh-CN"/>
              </w:rPr>
              <w:t>、拉米尼特、赢胜、优博特、</w:t>
            </w:r>
            <w:r>
              <w:rPr>
                <w:rFonts w:hint="eastAsia" w:ascii="宋体" w:hAnsi="宋体" w:cs="宋体"/>
                <w:color w:val="auto"/>
                <w:kern w:val="0"/>
                <w:szCs w:val="21"/>
                <w:highlight w:val="none"/>
              </w:rPr>
              <w:t>上海必迪、深圳汉卓、广东洋铭威泰等同档次国标产品</w:t>
            </w:r>
          </w:p>
        </w:tc>
        <w:tc>
          <w:tcPr>
            <w:tcW w:w="1230" w:type="dxa"/>
            <w:noWrap w:val="0"/>
            <w:vAlign w:val="center"/>
          </w:tcPr>
          <w:p w14:paraId="1404852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24C64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F579B9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4</w:t>
            </w:r>
          </w:p>
        </w:tc>
        <w:tc>
          <w:tcPr>
            <w:tcW w:w="2410" w:type="dxa"/>
            <w:noWrap/>
            <w:vAlign w:val="center"/>
          </w:tcPr>
          <w:p w14:paraId="68B69F8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帆布、不锈钢丝网</w:t>
            </w:r>
          </w:p>
        </w:tc>
        <w:tc>
          <w:tcPr>
            <w:tcW w:w="1417" w:type="dxa"/>
            <w:noWrap/>
            <w:vAlign w:val="center"/>
          </w:tcPr>
          <w:p w14:paraId="44F17BE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7AD4E9E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w:t>
            </w:r>
          </w:p>
        </w:tc>
        <w:tc>
          <w:tcPr>
            <w:tcW w:w="1230" w:type="dxa"/>
            <w:noWrap w:val="0"/>
            <w:vAlign w:val="center"/>
          </w:tcPr>
          <w:p w14:paraId="63AC940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EDF1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7D9B5FE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c>
          <w:tcPr>
            <w:tcW w:w="2410" w:type="dxa"/>
            <w:noWrap/>
            <w:vAlign w:val="center"/>
          </w:tcPr>
          <w:p w14:paraId="5F0E38BE">
            <w:pPr>
              <w:keepNext w:val="0"/>
              <w:keepLines w:val="0"/>
              <w:suppressLineNumbers w:val="0"/>
              <w:adjustRightInd w:val="0"/>
              <w:snapToGrid w:val="0"/>
              <w:spacing w:before="0" w:beforeAutospacing="0" w:after="0" w:afterAutospacing="0" w:line="360" w:lineRule="auto"/>
              <w:ind w:left="0" w:right="0" w:firstLine="422"/>
              <w:jc w:val="center"/>
              <w:outlineLvl w:val="9"/>
              <w:rPr>
                <w:rFonts w:ascii="宋体" w:hAnsi="宋体" w:cs="宋体"/>
                <w:b/>
                <w:color w:val="auto"/>
                <w:kern w:val="0"/>
                <w:szCs w:val="21"/>
                <w:highlight w:val="none"/>
              </w:rPr>
            </w:pPr>
            <w:r>
              <w:rPr>
                <w:rFonts w:hint="eastAsia" w:ascii="宋体" w:hAnsi="宋体" w:cs="宋体"/>
                <w:b/>
                <w:color w:val="auto"/>
                <w:kern w:val="0"/>
                <w:szCs w:val="21"/>
                <w:highlight w:val="none"/>
              </w:rPr>
              <w:t>（五）消防水专业</w:t>
            </w:r>
          </w:p>
        </w:tc>
        <w:tc>
          <w:tcPr>
            <w:tcW w:w="1417" w:type="dxa"/>
            <w:noWrap/>
            <w:vAlign w:val="center"/>
          </w:tcPr>
          <w:p w14:paraId="1F285DC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c>
          <w:tcPr>
            <w:tcW w:w="4383" w:type="dxa"/>
            <w:noWrap/>
            <w:vAlign w:val="center"/>
          </w:tcPr>
          <w:p w14:paraId="26884CA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c>
          <w:tcPr>
            <w:tcW w:w="1230" w:type="dxa"/>
            <w:noWrap w:val="0"/>
            <w:vAlign w:val="center"/>
          </w:tcPr>
          <w:p w14:paraId="0264BCB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26C34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36F4DB0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w:t>
            </w:r>
          </w:p>
        </w:tc>
        <w:tc>
          <w:tcPr>
            <w:tcW w:w="2410" w:type="dxa"/>
            <w:noWrap/>
            <w:vAlign w:val="center"/>
          </w:tcPr>
          <w:p w14:paraId="1C8F531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组合式消防柜（成套厂）</w:t>
            </w:r>
          </w:p>
        </w:tc>
        <w:tc>
          <w:tcPr>
            <w:tcW w:w="1417" w:type="dxa"/>
            <w:noWrap/>
            <w:vAlign w:val="center"/>
          </w:tcPr>
          <w:p w14:paraId="0F2799D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5C0CE1D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陕西明盛、秦北消防、西安威斯特、陕西大华、西安永安等同档次国标产品</w:t>
            </w:r>
          </w:p>
        </w:tc>
        <w:tc>
          <w:tcPr>
            <w:tcW w:w="1230" w:type="dxa"/>
            <w:noWrap w:val="0"/>
            <w:vAlign w:val="center"/>
          </w:tcPr>
          <w:p w14:paraId="12E1403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6D951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3D5FAFA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2</w:t>
            </w:r>
          </w:p>
        </w:tc>
        <w:tc>
          <w:tcPr>
            <w:tcW w:w="2410" w:type="dxa"/>
            <w:noWrap/>
            <w:vAlign w:val="center"/>
          </w:tcPr>
          <w:p w14:paraId="49D54D7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消火栓</w:t>
            </w:r>
          </w:p>
        </w:tc>
        <w:tc>
          <w:tcPr>
            <w:tcW w:w="1417" w:type="dxa"/>
            <w:noWrap/>
            <w:vAlign w:val="center"/>
          </w:tcPr>
          <w:p w14:paraId="77CCA8B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3B4CAEF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白沙、恒广、西溪、江安等同档次国标产品</w:t>
            </w:r>
          </w:p>
        </w:tc>
        <w:tc>
          <w:tcPr>
            <w:tcW w:w="1230" w:type="dxa"/>
            <w:noWrap w:val="0"/>
            <w:vAlign w:val="center"/>
          </w:tcPr>
          <w:p w14:paraId="4748251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74C24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1910A3F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3</w:t>
            </w:r>
          </w:p>
        </w:tc>
        <w:tc>
          <w:tcPr>
            <w:tcW w:w="2410" w:type="dxa"/>
            <w:noWrap/>
            <w:vAlign w:val="center"/>
          </w:tcPr>
          <w:p w14:paraId="3375612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消防水带</w:t>
            </w:r>
          </w:p>
        </w:tc>
        <w:tc>
          <w:tcPr>
            <w:tcW w:w="1417" w:type="dxa"/>
            <w:noWrap/>
            <w:vAlign w:val="center"/>
          </w:tcPr>
          <w:p w14:paraId="6FC72A3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5BF8975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白沙、恒广、太平洋、恒龙等同档次国标产品</w:t>
            </w:r>
          </w:p>
        </w:tc>
        <w:tc>
          <w:tcPr>
            <w:tcW w:w="1230" w:type="dxa"/>
            <w:noWrap w:val="0"/>
            <w:vAlign w:val="center"/>
          </w:tcPr>
          <w:p w14:paraId="798E4A6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998B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B0E278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4</w:t>
            </w:r>
          </w:p>
        </w:tc>
        <w:tc>
          <w:tcPr>
            <w:tcW w:w="2410" w:type="dxa"/>
            <w:noWrap/>
            <w:vAlign w:val="center"/>
          </w:tcPr>
          <w:p w14:paraId="54BFDDF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手提式干粉灭火器</w:t>
            </w:r>
          </w:p>
        </w:tc>
        <w:tc>
          <w:tcPr>
            <w:tcW w:w="1417" w:type="dxa"/>
            <w:noWrap/>
            <w:vAlign w:val="center"/>
          </w:tcPr>
          <w:p w14:paraId="4586D62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3BE51E0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淮海、中岳、华宝、百安、金安等同档次国标产品</w:t>
            </w:r>
          </w:p>
        </w:tc>
        <w:tc>
          <w:tcPr>
            <w:tcW w:w="1230" w:type="dxa"/>
            <w:noWrap w:val="0"/>
            <w:vAlign w:val="center"/>
          </w:tcPr>
          <w:p w14:paraId="45787FD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66D28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1191B8F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5</w:t>
            </w:r>
          </w:p>
        </w:tc>
        <w:tc>
          <w:tcPr>
            <w:tcW w:w="2410" w:type="dxa"/>
            <w:noWrap/>
            <w:vAlign w:val="center"/>
          </w:tcPr>
          <w:p w14:paraId="749B727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火探管式感温自启动灭火装置</w:t>
            </w:r>
          </w:p>
        </w:tc>
        <w:tc>
          <w:tcPr>
            <w:tcW w:w="1417" w:type="dxa"/>
            <w:noWrap/>
            <w:vAlign w:val="center"/>
          </w:tcPr>
          <w:p w14:paraId="1C5F43B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4645411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盛邦赛福、海湾、北京利达、强舒、蓝天</w:t>
            </w:r>
            <w:r>
              <w:rPr>
                <w:rFonts w:hint="eastAsia" w:ascii="宋体" w:hAnsi="宋体" w:cs="宋体"/>
                <w:color w:val="auto"/>
                <w:kern w:val="0"/>
                <w:szCs w:val="21"/>
                <w:highlight w:val="none"/>
                <w:lang w:eastAsia="zh-CN"/>
              </w:rPr>
              <w:t>、</w:t>
            </w:r>
            <w:r>
              <w:rPr>
                <w:rFonts w:hint="eastAsia" w:ascii="宋体" w:hAnsi="宋体" w:cs="宋体"/>
                <w:color w:val="auto"/>
                <w:kern w:val="0"/>
                <w:szCs w:val="21"/>
                <w:highlight w:val="none"/>
                <w:lang w:val="en-US" w:eastAsia="zh-CN"/>
              </w:rPr>
              <w:t>正天齐</w:t>
            </w:r>
            <w:r>
              <w:rPr>
                <w:rFonts w:hint="eastAsia" w:ascii="宋体" w:hAnsi="宋体" w:cs="宋体"/>
                <w:color w:val="auto"/>
                <w:kern w:val="0"/>
                <w:szCs w:val="21"/>
                <w:highlight w:val="none"/>
              </w:rPr>
              <w:t>等同档次国标产品</w:t>
            </w:r>
          </w:p>
        </w:tc>
        <w:tc>
          <w:tcPr>
            <w:tcW w:w="1230" w:type="dxa"/>
            <w:noWrap w:val="0"/>
            <w:vAlign w:val="center"/>
          </w:tcPr>
          <w:p w14:paraId="39ABDD80">
            <w:pPr>
              <w:keepNext w:val="0"/>
              <w:keepLines w:val="0"/>
              <w:suppressLineNumbers w:val="0"/>
              <w:adjustRightInd w:val="0"/>
              <w:snapToGrid w:val="0"/>
              <w:spacing w:before="0" w:beforeAutospacing="0" w:after="0" w:afterAutospacing="0"/>
              <w:ind w:left="0" w:right="0"/>
              <w:jc w:val="center"/>
              <w:outlineLvl w:val="9"/>
              <w:rPr>
                <w:color w:val="auto"/>
                <w:szCs w:val="21"/>
                <w:highlight w:val="none"/>
              </w:rPr>
            </w:pPr>
          </w:p>
        </w:tc>
      </w:tr>
      <w:tr w14:paraId="71358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5A82A01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6</w:t>
            </w:r>
          </w:p>
        </w:tc>
        <w:tc>
          <w:tcPr>
            <w:tcW w:w="2410" w:type="dxa"/>
            <w:noWrap/>
            <w:vAlign w:val="center"/>
          </w:tcPr>
          <w:p w14:paraId="0CFD393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七氟丙烷气体灭火装置</w:t>
            </w:r>
          </w:p>
        </w:tc>
        <w:tc>
          <w:tcPr>
            <w:tcW w:w="1417" w:type="dxa"/>
            <w:noWrap/>
            <w:vAlign w:val="center"/>
          </w:tcPr>
          <w:p w14:paraId="30DFD1F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760E951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盛邦赛福、坚瑞、金安、强舒、蓝天等同档次国标产品</w:t>
            </w:r>
          </w:p>
        </w:tc>
        <w:tc>
          <w:tcPr>
            <w:tcW w:w="1230" w:type="dxa"/>
            <w:noWrap w:val="0"/>
            <w:vAlign w:val="center"/>
          </w:tcPr>
          <w:p w14:paraId="465893C3">
            <w:pPr>
              <w:keepNext w:val="0"/>
              <w:keepLines w:val="0"/>
              <w:suppressLineNumbers w:val="0"/>
              <w:adjustRightInd w:val="0"/>
              <w:snapToGrid w:val="0"/>
              <w:spacing w:before="0" w:beforeAutospacing="0" w:after="0" w:afterAutospacing="0"/>
              <w:ind w:left="0" w:right="0"/>
              <w:jc w:val="center"/>
              <w:outlineLvl w:val="9"/>
              <w:rPr>
                <w:color w:val="auto"/>
                <w:szCs w:val="21"/>
                <w:highlight w:val="none"/>
              </w:rPr>
            </w:pPr>
          </w:p>
        </w:tc>
      </w:tr>
      <w:tr w14:paraId="0C517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33516CA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7</w:t>
            </w:r>
          </w:p>
        </w:tc>
        <w:tc>
          <w:tcPr>
            <w:tcW w:w="2410" w:type="dxa"/>
            <w:noWrap/>
            <w:vAlign w:val="center"/>
          </w:tcPr>
          <w:p w14:paraId="7F7314D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喷头、集热盘</w:t>
            </w:r>
          </w:p>
        </w:tc>
        <w:tc>
          <w:tcPr>
            <w:tcW w:w="1417" w:type="dxa"/>
            <w:noWrap/>
            <w:vAlign w:val="center"/>
          </w:tcPr>
          <w:p w14:paraId="67C90C8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7DC8E5A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国标产品，满足设计及消防检验要求</w:t>
            </w:r>
          </w:p>
        </w:tc>
        <w:tc>
          <w:tcPr>
            <w:tcW w:w="1230" w:type="dxa"/>
            <w:noWrap w:val="0"/>
            <w:vAlign w:val="center"/>
          </w:tcPr>
          <w:p w14:paraId="79AC5AC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D8B8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394B64F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8</w:t>
            </w:r>
          </w:p>
        </w:tc>
        <w:tc>
          <w:tcPr>
            <w:tcW w:w="2410" w:type="dxa"/>
            <w:noWrap/>
            <w:vAlign w:val="center"/>
          </w:tcPr>
          <w:p w14:paraId="3480FD6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szCs w:val="21"/>
                <w:highlight w:val="none"/>
              </w:rPr>
              <w:t>末端试水装置</w:t>
            </w:r>
          </w:p>
        </w:tc>
        <w:tc>
          <w:tcPr>
            <w:tcW w:w="1417" w:type="dxa"/>
            <w:noWrap/>
            <w:vAlign w:val="center"/>
          </w:tcPr>
          <w:p w14:paraId="4DF73B3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0FAAFD6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国标产品，满足设计及消防检验要求</w:t>
            </w:r>
          </w:p>
        </w:tc>
        <w:tc>
          <w:tcPr>
            <w:tcW w:w="1230" w:type="dxa"/>
            <w:noWrap w:val="0"/>
            <w:vAlign w:val="center"/>
          </w:tcPr>
          <w:p w14:paraId="690F6CD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1F215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64B1C4A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9</w:t>
            </w:r>
          </w:p>
        </w:tc>
        <w:tc>
          <w:tcPr>
            <w:tcW w:w="2410" w:type="dxa"/>
            <w:noWrap/>
            <w:vAlign w:val="center"/>
          </w:tcPr>
          <w:p w14:paraId="10DB8A8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湿式报警装置</w:t>
            </w:r>
          </w:p>
        </w:tc>
        <w:tc>
          <w:tcPr>
            <w:tcW w:w="1417" w:type="dxa"/>
            <w:noWrap/>
            <w:vAlign w:val="center"/>
          </w:tcPr>
          <w:p w14:paraId="30EE980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566B829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国标产品，满足设计及消防检验要求</w:t>
            </w:r>
          </w:p>
        </w:tc>
        <w:tc>
          <w:tcPr>
            <w:tcW w:w="1230" w:type="dxa"/>
            <w:noWrap w:val="0"/>
            <w:vAlign w:val="center"/>
          </w:tcPr>
          <w:p w14:paraId="25B7271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2D033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2D0242E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10</w:t>
            </w:r>
          </w:p>
        </w:tc>
        <w:tc>
          <w:tcPr>
            <w:tcW w:w="2410" w:type="dxa"/>
            <w:noWrap/>
            <w:vAlign w:val="center"/>
          </w:tcPr>
          <w:p w14:paraId="153ED46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水流指示器、消防蝶阀</w:t>
            </w:r>
          </w:p>
        </w:tc>
        <w:tc>
          <w:tcPr>
            <w:tcW w:w="1417" w:type="dxa"/>
            <w:noWrap/>
            <w:vAlign w:val="center"/>
          </w:tcPr>
          <w:p w14:paraId="117A1E6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1D774B3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国标产品，满足设计及消防检验要求</w:t>
            </w:r>
          </w:p>
        </w:tc>
        <w:tc>
          <w:tcPr>
            <w:tcW w:w="1230" w:type="dxa"/>
            <w:noWrap w:val="0"/>
            <w:vAlign w:val="center"/>
          </w:tcPr>
          <w:p w14:paraId="0B978E8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B8DC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733946B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11</w:t>
            </w:r>
          </w:p>
        </w:tc>
        <w:tc>
          <w:tcPr>
            <w:tcW w:w="2410" w:type="dxa"/>
            <w:noWrap/>
            <w:vAlign w:val="center"/>
          </w:tcPr>
          <w:p w14:paraId="2A370F9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室外水泵接合器</w:t>
            </w:r>
          </w:p>
        </w:tc>
        <w:tc>
          <w:tcPr>
            <w:tcW w:w="1417" w:type="dxa"/>
            <w:noWrap/>
            <w:vAlign w:val="center"/>
          </w:tcPr>
          <w:p w14:paraId="4D58797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4383" w:type="dxa"/>
            <w:noWrap/>
            <w:vAlign w:val="center"/>
          </w:tcPr>
          <w:p w14:paraId="3A713A5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国标产品，满足设计及消防检验要求</w:t>
            </w:r>
          </w:p>
        </w:tc>
        <w:tc>
          <w:tcPr>
            <w:tcW w:w="1230" w:type="dxa"/>
            <w:noWrap w:val="0"/>
            <w:vAlign w:val="center"/>
          </w:tcPr>
          <w:p w14:paraId="520E5B0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0E9DA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4" w:type="dxa"/>
            <w:noWrap/>
            <w:vAlign w:val="center"/>
          </w:tcPr>
          <w:p w14:paraId="15EA8181">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0"/>
                <w:sz w:val="24"/>
                <w:szCs w:val="24"/>
                <w:highlight w:val="none"/>
                <w:lang w:val="en-US" w:eastAsia="zh-CN" w:bidi="ar-SA"/>
              </w:rPr>
            </w:pPr>
          </w:p>
        </w:tc>
        <w:tc>
          <w:tcPr>
            <w:tcW w:w="2410" w:type="dxa"/>
            <w:noWrap/>
            <w:vAlign w:val="center"/>
          </w:tcPr>
          <w:p w14:paraId="5D19FD1E">
            <w:pPr>
              <w:keepNext w:val="0"/>
              <w:keepLines w:val="0"/>
              <w:suppressLineNumbers w:val="0"/>
              <w:adjustRightInd w:val="0"/>
              <w:snapToGrid w:val="0"/>
              <w:spacing w:before="0" w:beforeAutospacing="0" w:after="0" w:afterAutospacing="0" w:line="360" w:lineRule="auto"/>
              <w:ind w:left="0" w:right="0" w:firstLine="211" w:firstLineChars="100"/>
              <w:jc w:val="both"/>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s="宋体"/>
                <w:b/>
                <w:color w:val="auto"/>
                <w:kern w:val="0"/>
                <w:szCs w:val="21"/>
                <w:highlight w:val="none"/>
                <w:lang w:val="en-US" w:eastAsia="zh-CN"/>
              </w:rPr>
              <w:t>（六）</w:t>
            </w:r>
            <w:r>
              <w:rPr>
                <w:rFonts w:hint="eastAsia" w:ascii="宋体" w:hAnsi="宋体" w:cs="宋体"/>
                <w:b/>
                <w:color w:val="auto"/>
                <w:kern w:val="0"/>
                <w:szCs w:val="21"/>
                <w:highlight w:val="none"/>
              </w:rPr>
              <w:t>弱电专业</w:t>
            </w:r>
          </w:p>
        </w:tc>
        <w:tc>
          <w:tcPr>
            <w:tcW w:w="1417" w:type="dxa"/>
            <w:noWrap/>
            <w:vAlign w:val="center"/>
          </w:tcPr>
          <w:p w14:paraId="1B3868E3">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p>
        </w:tc>
        <w:tc>
          <w:tcPr>
            <w:tcW w:w="4383" w:type="dxa"/>
            <w:noWrap/>
            <w:vAlign w:val="center"/>
          </w:tcPr>
          <w:p w14:paraId="23E85011">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p>
        </w:tc>
        <w:tc>
          <w:tcPr>
            <w:tcW w:w="1230" w:type="dxa"/>
            <w:noWrap w:val="0"/>
            <w:vAlign w:val="center"/>
          </w:tcPr>
          <w:p w14:paraId="09A97CF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9568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noWrap w:val="0"/>
            <w:vAlign w:val="center"/>
          </w:tcPr>
          <w:p w14:paraId="6E2B7D7B">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1</w:t>
            </w:r>
          </w:p>
        </w:tc>
        <w:tc>
          <w:tcPr>
            <w:tcW w:w="0" w:type="auto"/>
            <w:noWrap w:val="0"/>
            <w:vAlign w:val="center"/>
          </w:tcPr>
          <w:p w14:paraId="1D3806F9">
            <w:pPr>
              <w:keepNext w:val="0"/>
              <w:keepLines w:val="0"/>
              <w:suppressLineNumbers w:val="0"/>
              <w:spacing w:before="0" w:beforeAutospacing="0" w:after="0" w:afterAutospacing="0" w:line="280" w:lineRule="exact"/>
              <w:ind w:left="0" w:right="0"/>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楼宇对讲、门禁一卡通（安防</w:t>
            </w:r>
          </w:p>
        </w:tc>
        <w:tc>
          <w:tcPr>
            <w:tcW w:w="0" w:type="auto"/>
            <w:noWrap w:val="0"/>
            <w:vAlign w:val="center"/>
          </w:tcPr>
          <w:p w14:paraId="5B712749">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s="宋体"/>
                <w:color w:val="auto"/>
                <w:kern w:val="0"/>
                <w:szCs w:val="21"/>
                <w:highlight w:val="none"/>
              </w:rPr>
              <w:t>按设计要求</w:t>
            </w:r>
          </w:p>
        </w:tc>
        <w:tc>
          <w:tcPr>
            <w:tcW w:w="4383" w:type="dxa"/>
            <w:noWrap w:val="0"/>
            <w:vAlign w:val="center"/>
          </w:tcPr>
          <w:p w14:paraId="74DE39F4">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参考或相当于太川、慧锐通、立林、安居宝、绿米、星网锐捷等同档次国标产品</w:t>
            </w:r>
          </w:p>
        </w:tc>
        <w:tc>
          <w:tcPr>
            <w:tcW w:w="1230" w:type="dxa"/>
            <w:noWrap w:val="0"/>
            <w:vAlign w:val="center"/>
          </w:tcPr>
          <w:p w14:paraId="7D8DF8EE">
            <w:pPr>
              <w:keepNext w:val="0"/>
              <w:keepLines w:val="0"/>
              <w:suppressLineNumbers w:val="0"/>
              <w:spacing w:before="0" w:beforeAutospacing="0" w:after="0" w:afterAutospacing="0" w:line="280" w:lineRule="exact"/>
              <w:ind w:left="0" w:right="0"/>
              <w:jc w:val="center"/>
              <w:outlineLvl w:val="9"/>
              <w:rPr>
                <w:rFonts w:ascii="宋体" w:hAnsi="宋体" w:cs="宋体"/>
                <w:color w:val="auto"/>
                <w:kern w:val="0"/>
                <w:szCs w:val="21"/>
                <w:highlight w:val="none"/>
              </w:rPr>
            </w:pPr>
          </w:p>
        </w:tc>
      </w:tr>
      <w:tr w14:paraId="7ACEE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noWrap w:val="0"/>
            <w:vAlign w:val="center"/>
          </w:tcPr>
          <w:p w14:paraId="2FAAEB10">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2</w:t>
            </w:r>
          </w:p>
        </w:tc>
        <w:tc>
          <w:tcPr>
            <w:tcW w:w="0" w:type="auto"/>
            <w:noWrap w:val="0"/>
            <w:vAlign w:val="center"/>
          </w:tcPr>
          <w:p w14:paraId="5712AC6F">
            <w:pPr>
              <w:keepNext w:val="0"/>
              <w:keepLines w:val="0"/>
              <w:suppressLineNumbers w:val="0"/>
              <w:spacing w:before="0" w:beforeAutospacing="0" w:after="0" w:afterAutospacing="0" w:line="280" w:lineRule="exact"/>
              <w:ind w:left="0" w:right="0"/>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监控（安防）</w:t>
            </w:r>
          </w:p>
        </w:tc>
        <w:tc>
          <w:tcPr>
            <w:tcW w:w="0" w:type="auto"/>
            <w:noWrap w:val="0"/>
            <w:vAlign w:val="center"/>
          </w:tcPr>
          <w:p w14:paraId="52D3EA6F">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s="宋体"/>
                <w:color w:val="auto"/>
                <w:kern w:val="0"/>
                <w:szCs w:val="21"/>
                <w:highlight w:val="none"/>
              </w:rPr>
              <w:t>按设计要求</w:t>
            </w:r>
          </w:p>
        </w:tc>
        <w:tc>
          <w:tcPr>
            <w:tcW w:w="4383" w:type="dxa"/>
            <w:noWrap w:val="0"/>
            <w:vAlign w:val="center"/>
          </w:tcPr>
          <w:p w14:paraId="2539B894">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参考或相当于海康、宇视、英飞拓、大华、天地伟业等同档次国标产品</w:t>
            </w:r>
          </w:p>
        </w:tc>
        <w:tc>
          <w:tcPr>
            <w:tcW w:w="1230" w:type="dxa"/>
            <w:noWrap w:val="0"/>
            <w:vAlign w:val="center"/>
          </w:tcPr>
          <w:p w14:paraId="1ADFBFE5">
            <w:pPr>
              <w:keepNext w:val="0"/>
              <w:keepLines w:val="0"/>
              <w:suppressLineNumbers w:val="0"/>
              <w:spacing w:before="0" w:beforeAutospacing="0" w:after="0" w:afterAutospacing="0" w:line="280" w:lineRule="exact"/>
              <w:ind w:left="0" w:right="0"/>
              <w:jc w:val="center"/>
              <w:outlineLvl w:val="9"/>
              <w:rPr>
                <w:rFonts w:ascii="宋体" w:hAnsi="宋体" w:cs="宋体"/>
                <w:color w:val="auto"/>
                <w:kern w:val="0"/>
                <w:szCs w:val="21"/>
                <w:highlight w:val="none"/>
              </w:rPr>
            </w:pPr>
          </w:p>
        </w:tc>
      </w:tr>
      <w:tr w14:paraId="03398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noWrap w:val="0"/>
            <w:vAlign w:val="center"/>
          </w:tcPr>
          <w:p w14:paraId="31F26C63">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3</w:t>
            </w:r>
          </w:p>
        </w:tc>
        <w:tc>
          <w:tcPr>
            <w:tcW w:w="0" w:type="auto"/>
            <w:noWrap w:val="0"/>
            <w:vAlign w:val="center"/>
          </w:tcPr>
          <w:p w14:paraId="15F898FC">
            <w:pPr>
              <w:keepNext w:val="0"/>
              <w:keepLines w:val="0"/>
              <w:suppressLineNumbers w:val="0"/>
              <w:spacing w:before="0" w:beforeAutospacing="0" w:after="0" w:afterAutospacing="0" w:line="280" w:lineRule="exact"/>
              <w:ind w:left="0" w:right="0"/>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人行道闸（安防）</w:t>
            </w:r>
          </w:p>
        </w:tc>
        <w:tc>
          <w:tcPr>
            <w:tcW w:w="0" w:type="auto"/>
            <w:noWrap w:val="0"/>
            <w:vAlign w:val="center"/>
          </w:tcPr>
          <w:p w14:paraId="1A88BCFC">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s="宋体"/>
                <w:color w:val="auto"/>
                <w:kern w:val="0"/>
                <w:szCs w:val="21"/>
                <w:highlight w:val="none"/>
              </w:rPr>
              <w:t>按设计要求</w:t>
            </w:r>
          </w:p>
        </w:tc>
        <w:tc>
          <w:tcPr>
            <w:tcW w:w="4383" w:type="dxa"/>
            <w:noWrap w:val="0"/>
            <w:vAlign w:val="center"/>
          </w:tcPr>
          <w:p w14:paraId="27B87E70">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参考或相当于海康、杭州立方、富士、大华、捷顺、科拓、欧必翼、中控智慧等同档次国标产品</w:t>
            </w:r>
          </w:p>
        </w:tc>
        <w:tc>
          <w:tcPr>
            <w:tcW w:w="1230" w:type="dxa"/>
            <w:noWrap w:val="0"/>
            <w:vAlign w:val="center"/>
          </w:tcPr>
          <w:p w14:paraId="2FCE2E42">
            <w:pPr>
              <w:keepNext w:val="0"/>
              <w:keepLines w:val="0"/>
              <w:suppressLineNumbers w:val="0"/>
              <w:spacing w:before="0" w:beforeAutospacing="0" w:after="0" w:afterAutospacing="0" w:line="280" w:lineRule="exact"/>
              <w:ind w:left="0" w:right="0"/>
              <w:jc w:val="center"/>
              <w:outlineLvl w:val="9"/>
              <w:rPr>
                <w:rFonts w:ascii="宋体" w:hAnsi="宋体" w:cs="宋体"/>
                <w:color w:val="auto"/>
                <w:kern w:val="0"/>
                <w:szCs w:val="21"/>
                <w:highlight w:val="none"/>
              </w:rPr>
            </w:pPr>
          </w:p>
        </w:tc>
      </w:tr>
      <w:tr w14:paraId="44FCA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noWrap w:val="0"/>
            <w:vAlign w:val="center"/>
          </w:tcPr>
          <w:p w14:paraId="20B6ABD6">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4</w:t>
            </w:r>
          </w:p>
        </w:tc>
        <w:tc>
          <w:tcPr>
            <w:tcW w:w="0" w:type="auto"/>
            <w:noWrap w:val="0"/>
            <w:vAlign w:val="center"/>
          </w:tcPr>
          <w:p w14:paraId="3E158DE2">
            <w:pPr>
              <w:keepNext w:val="0"/>
              <w:keepLines w:val="0"/>
              <w:suppressLineNumbers w:val="0"/>
              <w:spacing w:before="0" w:beforeAutospacing="0" w:after="0" w:afterAutospacing="0" w:line="280" w:lineRule="exact"/>
              <w:ind w:left="0" w:right="0"/>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无线</w:t>
            </w:r>
            <w:r>
              <w:rPr>
                <w:rFonts w:hint="eastAsia" w:ascii="宋体" w:hAnsi="宋体"/>
                <w:color w:val="auto"/>
                <w:highlight w:val="none"/>
              </w:rPr>
              <w:t>wifi</w:t>
            </w:r>
            <w:r>
              <w:rPr>
                <w:rFonts w:hint="eastAsia"/>
                <w:color w:val="auto"/>
                <w:highlight w:val="none"/>
              </w:rPr>
              <w:t>覆盖</w:t>
            </w:r>
          </w:p>
        </w:tc>
        <w:tc>
          <w:tcPr>
            <w:tcW w:w="0" w:type="auto"/>
            <w:noWrap w:val="0"/>
            <w:vAlign w:val="center"/>
          </w:tcPr>
          <w:p w14:paraId="10FFC368">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s="宋体"/>
                <w:color w:val="auto"/>
                <w:kern w:val="0"/>
                <w:szCs w:val="21"/>
                <w:highlight w:val="none"/>
              </w:rPr>
              <w:t>按设计要求</w:t>
            </w:r>
          </w:p>
        </w:tc>
        <w:tc>
          <w:tcPr>
            <w:tcW w:w="4383" w:type="dxa"/>
            <w:noWrap w:val="0"/>
            <w:vAlign w:val="center"/>
          </w:tcPr>
          <w:p w14:paraId="5A900552">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参考或相当于华三、华为、中兴等同档次国标产品</w:t>
            </w:r>
          </w:p>
        </w:tc>
        <w:tc>
          <w:tcPr>
            <w:tcW w:w="1230" w:type="dxa"/>
            <w:noWrap w:val="0"/>
            <w:vAlign w:val="center"/>
          </w:tcPr>
          <w:p w14:paraId="2B073927">
            <w:pPr>
              <w:keepNext w:val="0"/>
              <w:keepLines w:val="0"/>
              <w:suppressLineNumbers w:val="0"/>
              <w:spacing w:before="0" w:beforeAutospacing="0" w:after="0" w:afterAutospacing="0" w:line="280" w:lineRule="exact"/>
              <w:ind w:left="0" w:right="0"/>
              <w:jc w:val="center"/>
              <w:outlineLvl w:val="9"/>
              <w:rPr>
                <w:rFonts w:ascii="宋体" w:hAnsi="宋体" w:cs="宋体"/>
                <w:color w:val="auto"/>
                <w:kern w:val="0"/>
                <w:szCs w:val="21"/>
                <w:highlight w:val="none"/>
              </w:rPr>
            </w:pPr>
          </w:p>
        </w:tc>
      </w:tr>
      <w:tr w14:paraId="176CB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noWrap w:val="0"/>
            <w:vAlign w:val="center"/>
          </w:tcPr>
          <w:p w14:paraId="5F4F9181">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5</w:t>
            </w:r>
          </w:p>
        </w:tc>
        <w:tc>
          <w:tcPr>
            <w:tcW w:w="0" w:type="auto"/>
            <w:noWrap w:val="0"/>
            <w:vAlign w:val="center"/>
          </w:tcPr>
          <w:p w14:paraId="027FDB45">
            <w:pPr>
              <w:keepNext w:val="0"/>
              <w:keepLines w:val="0"/>
              <w:suppressLineNumbers w:val="0"/>
              <w:spacing w:before="0" w:beforeAutospacing="0" w:after="0" w:afterAutospacing="0" w:line="280" w:lineRule="exact"/>
              <w:ind w:left="0" w:right="0"/>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交换机</w:t>
            </w:r>
          </w:p>
        </w:tc>
        <w:tc>
          <w:tcPr>
            <w:tcW w:w="0" w:type="auto"/>
            <w:noWrap w:val="0"/>
            <w:vAlign w:val="center"/>
          </w:tcPr>
          <w:p w14:paraId="62F79610">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b/>
                <w:bCs/>
                <w:color w:val="auto"/>
                <w:kern w:val="2"/>
                <w:sz w:val="21"/>
                <w:szCs w:val="24"/>
                <w:highlight w:val="none"/>
                <w:lang w:val="en-US" w:eastAsia="zh-CN" w:bidi="ar-SA"/>
              </w:rPr>
            </w:pPr>
            <w:r>
              <w:rPr>
                <w:rFonts w:hint="eastAsia" w:ascii="宋体" w:hAnsi="宋体" w:cs="宋体"/>
                <w:color w:val="auto"/>
                <w:kern w:val="0"/>
                <w:szCs w:val="21"/>
                <w:highlight w:val="none"/>
              </w:rPr>
              <w:t>按设计要求</w:t>
            </w:r>
          </w:p>
        </w:tc>
        <w:tc>
          <w:tcPr>
            <w:tcW w:w="4383" w:type="dxa"/>
            <w:noWrap w:val="0"/>
            <w:vAlign w:val="center"/>
          </w:tcPr>
          <w:p w14:paraId="77BCFA00">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参考或相当于华三、华为、中兴等同档次国标产品</w:t>
            </w:r>
          </w:p>
        </w:tc>
        <w:tc>
          <w:tcPr>
            <w:tcW w:w="1230" w:type="dxa"/>
            <w:noWrap w:val="0"/>
            <w:vAlign w:val="center"/>
          </w:tcPr>
          <w:p w14:paraId="2E89C4E8">
            <w:pPr>
              <w:keepNext w:val="0"/>
              <w:keepLines w:val="0"/>
              <w:suppressLineNumbers w:val="0"/>
              <w:spacing w:before="0" w:beforeAutospacing="0" w:after="0" w:afterAutospacing="0" w:line="280" w:lineRule="exact"/>
              <w:ind w:left="0" w:right="0"/>
              <w:jc w:val="center"/>
              <w:outlineLvl w:val="9"/>
              <w:rPr>
                <w:rFonts w:ascii="宋体" w:hAnsi="宋体" w:cs="宋体"/>
                <w:color w:val="auto"/>
                <w:kern w:val="0"/>
                <w:szCs w:val="21"/>
                <w:highlight w:val="none"/>
              </w:rPr>
            </w:pPr>
          </w:p>
        </w:tc>
      </w:tr>
      <w:tr w14:paraId="3E3BF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noWrap w:val="0"/>
            <w:vAlign w:val="center"/>
          </w:tcPr>
          <w:p w14:paraId="436E9B95">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6</w:t>
            </w:r>
          </w:p>
        </w:tc>
        <w:tc>
          <w:tcPr>
            <w:tcW w:w="0" w:type="auto"/>
            <w:noWrap w:val="0"/>
            <w:vAlign w:val="center"/>
          </w:tcPr>
          <w:p w14:paraId="09CB2BAA">
            <w:pPr>
              <w:keepNext w:val="0"/>
              <w:keepLines w:val="0"/>
              <w:suppressLineNumbers w:val="0"/>
              <w:spacing w:before="0" w:beforeAutospacing="0" w:after="0" w:afterAutospacing="0" w:line="280" w:lineRule="exact"/>
              <w:ind w:left="0" w:right="0"/>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光纤、网线</w:t>
            </w:r>
          </w:p>
        </w:tc>
        <w:tc>
          <w:tcPr>
            <w:tcW w:w="0" w:type="auto"/>
            <w:noWrap w:val="0"/>
            <w:vAlign w:val="center"/>
          </w:tcPr>
          <w:p w14:paraId="33816E15">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s="宋体"/>
                <w:color w:val="auto"/>
                <w:kern w:val="0"/>
                <w:szCs w:val="21"/>
                <w:highlight w:val="none"/>
              </w:rPr>
              <w:t>按设计要求</w:t>
            </w:r>
          </w:p>
        </w:tc>
        <w:tc>
          <w:tcPr>
            <w:tcW w:w="0" w:type="auto"/>
            <w:noWrap w:val="0"/>
            <w:vAlign w:val="center"/>
          </w:tcPr>
          <w:p w14:paraId="49DB8122">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参考或相当于普天、一舟、爱谱华顿、康普、大唐电信等同档次国标产品</w:t>
            </w:r>
          </w:p>
        </w:tc>
        <w:tc>
          <w:tcPr>
            <w:tcW w:w="0" w:type="auto"/>
            <w:noWrap w:val="0"/>
            <w:vAlign w:val="center"/>
          </w:tcPr>
          <w:p w14:paraId="22F37A46">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p>
        </w:tc>
      </w:tr>
      <w:tr w14:paraId="4F622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noWrap w:val="0"/>
            <w:vAlign w:val="center"/>
          </w:tcPr>
          <w:p w14:paraId="2D66F42F">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7</w:t>
            </w:r>
          </w:p>
        </w:tc>
        <w:tc>
          <w:tcPr>
            <w:tcW w:w="0" w:type="auto"/>
            <w:noWrap w:val="0"/>
            <w:vAlign w:val="center"/>
          </w:tcPr>
          <w:p w14:paraId="7B160C78">
            <w:pPr>
              <w:keepNext w:val="0"/>
              <w:keepLines w:val="0"/>
              <w:suppressLineNumbers w:val="0"/>
              <w:spacing w:before="0" w:beforeAutospacing="0" w:after="0" w:afterAutospacing="0" w:line="280" w:lineRule="exact"/>
              <w:ind w:left="0" w:right="0"/>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光端机、光纤收发器</w:t>
            </w:r>
          </w:p>
        </w:tc>
        <w:tc>
          <w:tcPr>
            <w:tcW w:w="0" w:type="auto"/>
            <w:noWrap w:val="0"/>
            <w:vAlign w:val="center"/>
          </w:tcPr>
          <w:p w14:paraId="445F5551">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s="宋体"/>
                <w:color w:val="auto"/>
                <w:kern w:val="0"/>
                <w:szCs w:val="21"/>
                <w:highlight w:val="none"/>
              </w:rPr>
              <w:t>按设计要求</w:t>
            </w:r>
          </w:p>
        </w:tc>
        <w:tc>
          <w:tcPr>
            <w:tcW w:w="0" w:type="auto"/>
            <w:noWrap w:val="0"/>
            <w:vAlign w:val="center"/>
          </w:tcPr>
          <w:p w14:paraId="625E4D69">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参考或相当于海康、中兴、瑞斯康达、烽火等同档次国标产品</w:t>
            </w:r>
          </w:p>
        </w:tc>
        <w:tc>
          <w:tcPr>
            <w:tcW w:w="0" w:type="auto"/>
            <w:noWrap w:val="0"/>
            <w:vAlign w:val="center"/>
          </w:tcPr>
          <w:p w14:paraId="2A0686D1">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p>
        </w:tc>
      </w:tr>
      <w:tr w14:paraId="710DB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noWrap w:val="0"/>
            <w:vAlign w:val="center"/>
          </w:tcPr>
          <w:p w14:paraId="39B2665E">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8</w:t>
            </w:r>
          </w:p>
        </w:tc>
        <w:tc>
          <w:tcPr>
            <w:tcW w:w="0" w:type="auto"/>
            <w:noWrap w:val="0"/>
            <w:vAlign w:val="center"/>
          </w:tcPr>
          <w:p w14:paraId="6194A80F">
            <w:pPr>
              <w:keepNext w:val="0"/>
              <w:keepLines w:val="0"/>
              <w:suppressLineNumbers w:val="0"/>
              <w:spacing w:before="0" w:beforeAutospacing="0" w:after="0" w:afterAutospacing="0" w:line="280" w:lineRule="exact"/>
              <w:ind w:left="0" w:right="0"/>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LED</w:t>
            </w:r>
            <w:r>
              <w:rPr>
                <w:rFonts w:hint="eastAsia"/>
                <w:color w:val="auto"/>
                <w:highlight w:val="none"/>
              </w:rPr>
              <w:t>显示屏</w:t>
            </w:r>
          </w:p>
        </w:tc>
        <w:tc>
          <w:tcPr>
            <w:tcW w:w="0" w:type="auto"/>
            <w:noWrap w:val="0"/>
            <w:vAlign w:val="center"/>
          </w:tcPr>
          <w:p w14:paraId="348DFBB1">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s="宋体"/>
                <w:color w:val="auto"/>
                <w:kern w:val="0"/>
                <w:szCs w:val="21"/>
                <w:highlight w:val="none"/>
              </w:rPr>
              <w:t>按设计要求</w:t>
            </w:r>
          </w:p>
        </w:tc>
        <w:tc>
          <w:tcPr>
            <w:tcW w:w="0" w:type="auto"/>
            <w:noWrap w:val="0"/>
            <w:vAlign w:val="center"/>
          </w:tcPr>
          <w:p w14:paraId="1AD24E0E">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参考或相当于利亚德、海康、洲明、艾比森等同档次国标产品</w:t>
            </w:r>
          </w:p>
        </w:tc>
        <w:tc>
          <w:tcPr>
            <w:tcW w:w="0" w:type="auto"/>
            <w:noWrap w:val="0"/>
            <w:vAlign w:val="center"/>
          </w:tcPr>
          <w:p w14:paraId="1A49F08A">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p>
        </w:tc>
      </w:tr>
      <w:tr w14:paraId="0EB73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noWrap w:val="0"/>
            <w:vAlign w:val="center"/>
          </w:tcPr>
          <w:p w14:paraId="032DC1F9">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9</w:t>
            </w:r>
          </w:p>
        </w:tc>
        <w:tc>
          <w:tcPr>
            <w:tcW w:w="0" w:type="auto"/>
            <w:noWrap w:val="0"/>
            <w:vAlign w:val="center"/>
          </w:tcPr>
          <w:p w14:paraId="0C7CD11D">
            <w:pPr>
              <w:keepNext w:val="0"/>
              <w:keepLines w:val="0"/>
              <w:suppressLineNumbers w:val="0"/>
              <w:spacing w:before="0" w:beforeAutospacing="0" w:after="0" w:afterAutospacing="0" w:line="280" w:lineRule="exact"/>
              <w:ind w:left="0" w:right="0"/>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UPS</w:t>
            </w:r>
            <w:r>
              <w:rPr>
                <w:rFonts w:hint="eastAsia"/>
                <w:color w:val="auto"/>
                <w:highlight w:val="none"/>
              </w:rPr>
              <w:t>不间断电源</w:t>
            </w:r>
          </w:p>
        </w:tc>
        <w:tc>
          <w:tcPr>
            <w:tcW w:w="0" w:type="auto"/>
            <w:noWrap w:val="0"/>
            <w:vAlign w:val="center"/>
          </w:tcPr>
          <w:p w14:paraId="7A365BE5">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s="宋体"/>
                <w:color w:val="auto"/>
                <w:kern w:val="0"/>
                <w:szCs w:val="21"/>
                <w:highlight w:val="none"/>
              </w:rPr>
              <w:t>按设计要求</w:t>
            </w:r>
          </w:p>
        </w:tc>
        <w:tc>
          <w:tcPr>
            <w:tcW w:w="0" w:type="auto"/>
            <w:noWrap w:val="0"/>
            <w:vAlign w:val="center"/>
          </w:tcPr>
          <w:p w14:paraId="337DF9D8">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参考或相当于华为、山特、科士达、易事特等同档次国标产品</w:t>
            </w:r>
          </w:p>
        </w:tc>
        <w:tc>
          <w:tcPr>
            <w:tcW w:w="0" w:type="auto"/>
            <w:noWrap w:val="0"/>
            <w:vAlign w:val="center"/>
          </w:tcPr>
          <w:p w14:paraId="24576379">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p>
        </w:tc>
      </w:tr>
      <w:tr w14:paraId="185DF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noWrap w:val="0"/>
            <w:vAlign w:val="center"/>
          </w:tcPr>
          <w:p w14:paraId="49C4A5EF">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1</w:t>
            </w:r>
            <w:r>
              <w:rPr>
                <w:rFonts w:ascii="宋体" w:hAnsi="宋体"/>
                <w:color w:val="auto"/>
                <w:highlight w:val="none"/>
              </w:rPr>
              <w:t>0</w:t>
            </w:r>
          </w:p>
        </w:tc>
        <w:tc>
          <w:tcPr>
            <w:tcW w:w="0" w:type="auto"/>
            <w:noWrap w:val="0"/>
            <w:vAlign w:val="center"/>
          </w:tcPr>
          <w:p w14:paraId="28D00781">
            <w:pPr>
              <w:keepNext w:val="0"/>
              <w:keepLines w:val="0"/>
              <w:suppressLineNumbers w:val="0"/>
              <w:spacing w:before="0" w:beforeAutospacing="0" w:after="0" w:afterAutospacing="0" w:line="280" w:lineRule="exact"/>
              <w:ind w:left="0" w:right="0"/>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智能照明控制系统</w:t>
            </w:r>
          </w:p>
        </w:tc>
        <w:tc>
          <w:tcPr>
            <w:tcW w:w="0" w:type="auto"/>
            <w:noWrap w:val="0"/>
            <w:vAlign w:val="center"/>
          </w:tcPr>
          <w:p w14:paraId="04FC9070">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s="宋体"/>
                <w:color w:val="auto"/>
                <w:kern w:val="0"/>
                <w:szCs w:val="21"/>
                <w:highlight w:val="none"/>
              </w:rPr>
              <w:t>按设计要求</w:t>
            </w:r>
          </w:p>
        </w:tc>
        <w:tc>
          <w:tcPr>
            <w:tcW w:w="0" w:type="auto"/>
            <w:noWrap w:val="0"/>
            <w:vAlign w:val="center"/>
          </w:tcPr>
          <w:p w14:paraId="0DCC79C4">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参考或相当于</w:t>
            </w:r>
            <w:r>
              <w:rPr>
                <w:rFonts w:hint="eastAsia" w:ascii="宋体" w:hAnsi="宋体"/>
                <w:color w:val="auto"/>
                <w:highlight w:val="none"/>
              </w:rPr>
              <w:t>ABB</w:t>
            </w:r>
            <w:r>
              <w:rPr>
                <w:rFonts w:hint="eastAsia"/>
                <w:color w:val="auto"/>
                <w:highlight w:val="none"/>
              </w:rPr>
              <w:t>、施耐德、西门子、爱瑟菲、阿尔尤特、上海源控、上海邦奇等同档次国标产品</w:t>
            </w:r>
          </w:p>
        </w:tc>
        <w:tc>
          <w:tcPr>
            <w:tcW w:w="0" w:type="auto"/>
            <w:noWrap w:val="0"/>
            <w:vAlign w:val="center"/>
          </w:tcPr>
          <w:p w14:paraId="3A4E1942">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p>
        </w:tc>
      </w:tr>
      <w:tr w14:paraId="55A21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noWrap w:val="0"/>
            <w:vAlign w:val="center"/>
          </w:tcPr>
          <w:p w14:paraId="3D9E179B">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1</w:t>
            </w:r>
            <w:r>
              <w:rPr>
                <w:rFonts w:ascii="宋体" w:hAnsi="宋体"/>
                <w:color w:val="auto"/>
                <w:highlight w:val="none"/>
              </w:rPr>
              <w:t>1</w:t>
            </w:r>
          </w:p>
        </w:tc>
        <w:tc>
          <w:tcPr>
            <w:tcW w:w="0" w:type="auto"/>
            <w:noWrap w:val="0"/>
            <w:vAlign w:val="center"/>
          </w:tcPr>
          <w:p w14:paraId="7C164448">
            <w:pPr>
              <w:keepNext w:val="0"/>
              <w:keepLines w:val="0"/>
              <w:suppressLineNumbers w:val="0"/>
              <w:spacing w:before="0" w:beforeAutospacing="0" w:after="0" w:afterAutospacing="0" w:line="280" w:lineRule="exact"/>
              <w:ind w:left="0" w:right="0"/>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火灾报警</w:t>
            </w:r>
          </w:p>
        </w:tc>
        <w:tc>
          <w:tcPr>
            <w:tcW w:w="0" w:type="auto"/>
            <w:noWrap w:val="0"/>
            <w:vAlign w:val="center"/>
          </w:tcPr>
          <w:p w14:paraId="49AD6218">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s="宋体"/>
                <w:color w:val="auto"/>
                <w:kern w:val="0"/>
                <w:szCs w:val="21"/>
                <w:highlight w:val="none"/>
              </w:rPr>
              <w:t>按设计要求</w:t>
            </w:r>
          </w:p>
        </w:tc>
        <w:tc>
          <w:tcPr>
            <w:tcW w:w="0" w:type="auto"/>
            <w:noWrap w:val="0"/>
            <w:vAlign w:val="center"/>
          </w:tcPr>
          <w:p w14:paraId="51535A98">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color w:val="auto"/>
                <w:highlight w:val="none"/>
              </w:rPr>
              <w:t>参考或相当于北大青鸟、深圳泰和安、海湾、北京利达英杰等同档次国标产品</w:t>
            </w:r>
          </w:p>
        </w:tc>
        <w:tc>
          <w:tcPr>
            <w:tcW w:w="0" w:type="auto"/>
            <w:noWrap w:val="0"/>
            <w:vAlign w:val="center"/>
          </w:tcPr>
          <w:p w14:paraId="79237961">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p>
        </w:tc>
      </w:tr>
      <w:tr w14:paraId="73364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noWrap w:val="0"/>
            <w:vAlign w:val="center"/>
          </w:tcPr>
          <w:p w14:paraId="0D3F75C3">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p>
        </w:tc>
        <w:tc>
          <w:tcPr>
            <w:tcW w:w="0" w:type="auto"/>
            <w:noWrap w:val="0"/>
            <w:vAlign w:val="center"/>
          </w:tcPr>
          <w:p w14:paraId="02C5AECC">
            <w:pPr>
              <w:keepNext w:val="0"/>
              <w:keepLines w:val="0"/>
              <w:suppressLineNumbers w:val="0"/>
              <w:spacing w:before="0" w:beforeAutospacing="0" w:after="0" w:afterAutospacing="0" w:line="280" w:lineRule="exact"/>
              <w:ind w:left="0" w:right="0"/>
              <w:outlineLvl w:val="9"/>
              <w:rPr>
                <w:rFonts w:hint="eastAsia" w:ascii="Times New Roman" w:hAnsi="Times New Roman" w:eastAsia="宋体" w:cs="Times New Roman"/>
                <w:color w:val="auto"/>
                <w:kern w:val="2"/>
                <w:sz w:val="21"/>
                <w:szCs w:val="24"/>
                <w:highlight w:val="none"/>
                <w:lang w:val="en-US" w:eastAsia="zh-CN" w:bidi="ar-SA"/>
              </w:rPr>
            </w:pPr>
            <w:r>
              <w:rPr>
                <w:rFonts w:hint="eastAsia"/>
                <w:color w:val="auto"/>
                <w:highlight w:val="none"/>
              </w:rPr>
              <w:t>空调专业</w:t>
            </w:r>
          </w:p>
        </w:tc>
        <w:tc>
          <w:tcPr>
            <w:tcW w:w="0" w:type="auto"/>
            <w:noWrap w:val="0"/>
            <w:vAlign w:val="center"/>
          </w:tcPr>
          <w:p w14:paraId="216B81AF">
            <w:pPr>
              <w:keepNext w:val="0"/>
              <w:keepLines w:val="0"/>
              <w:suppressLineNumbers w:val="0"/>
              <w:spacing w:before="0" w:beforeAutospacing="0" w:after="0" w:afterAutospacing="0" w:line="280" w:lineRule="exact"/>
              <w:ind w:left="0" w:right="0"/>
              <w:jc w:val="center"/>
              <w:outlineLvl w:val="9"/>
              <w:rPr>
                <w:rFonts w:hint="eastAsia" w:ascii="Times New Roman" w:hAnsi="Times New Roman" w:eastAsia="宋体" w:cs="Times New Roman"/>
                <w:color w:val="auto"/>
                <w:kern w:val="2"/>
                <w:sz w:val="21"/>
                <w:szCs w:val="24"/>
                <w:highlight w:val="none"/>
                <w:lang w:val="en-US" w:eastAsia="zh-CN" w:bidi="ar-SA"/>
              </w:rPr>
            </w:pPr>
          </w:p>
        </w:tc>
        <w:tc>
          <w:tcPr>
            <w:tcW w:w="0" w:type="auto"/>
            <w:noWrap w:val="0"/>
            <w:vAlign w:val="center"/>
          </w:tcPr>
          <w:p w14:paraId="39690F68">
            <w:pPr>
              <w:keepNext w:val="0"/>
              <w:keepLines w:val="0"/>
              <w:suppressLineNumbers w:val="0"/>
              <w:spacing w:before="0" w:beforeAutospacing="0" w:after="0" w:afterAutospacing="0" w:line="280" w:lineRule="exact"/>
              <w:ind w:left="0" w:right="0"/>
              <w:jc w:val="center"/>
              <w:outlineLvl w:val="9"/>
              <w:rPr>
                <w:rFonts w:hint="eastAsia" w:ascii="Times New Roman" w:hAnsi="Times New Roman" w:eastAsia="宋体" w:cs="Times New Roman"/>
                <w:color w:val="auto"/>
                <w:kern w:val="2"/>
                <w:sz w:val="21"/>
                <w:szCs w:val="24"/>
                <w:highlight w:val="none"/>
                <w:lang w:val="en-US" w:eastAsia="zh-CN" w:bidi="ar-SA"/>
              </w:rPr>
            </w:pPr>
          </w:p>
        </w:tc>
        <w:tc>
          <w:tcPr>
            <w:tcW w:w="0" w:type="auto"/>
            <w:noWrap w:val="0"/>
            <w:vAlign w:val="center"/>
          </w:tcPr>
          <w:p w14:paraId="1EB66502">
            <w:pPr>
              <w:keepNext w:val="0"/>
              <w:keepLines w:val="0"/>
              <w:suppressLineNumbers w:val="0"/>
              <w:spacing w:before="0" w:beforeAutospacing="0" w:after="0" w:afterAutospacing="0" w:line="280" w:lineRule="exact"/>
              <w:ind w:left="0" w:right="0"/>
              <w:jc w:val="center"/>
              <w:outlineLvl w:val="9"/>
              <w:rPr>
                <w:rFonts w:hint="eastAsia" w:ascii="Times New Roman" w:hAnsi="Times New Roman" w:eastAsia="宋体" w:cs="Times New Roman"/>
                <w:color w:val="auto"/>
                <w:kern w:val="2"/>
                <w:sz w:val="21"/>
                <w:szCs w:val="24"/>
                <w:highlight w:val="none"/>
                <w:lang w:val="en-US" w:eastAsia="zh-CN" w:bidi="ar-SA"/>
              </w:rPr>
            </w:pPr>
          </w:p>
        </w:tc>
      </w:tr>
      <w:tr w14:paraId="6B284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0" w:type="auto"/>
            <w:noWrap w:val="0"/>
            <w:vAlign w:val="center"/>
          </w:tcPr>
          <w:p w14:paraId="6EBE4583">
            <w:pPr>
              <w:keepNext w:val="0"/>
              <w:keepLines w:val="0"/>
              <w:suppressLineNumbers w:val="0"/>
              <w:spacing w:before="0" w:beforeAutospacing="0" w:after="0" w:afterAutospacing="0" w:line="280" w:lineRule="exact"/>
              <w:ind w:left="0" w:right="0"/>
              <w:jc w:val="center"/>
              <w:outlineLvl w:val="9"/>
              <w:rPr>
                <w:rFonts w:hint="eastAsia" w:ascii="宋体" w:hAnsi="宋体" w:eastAsia="宋体" w:cs="Times New Roman"/>
                <w:color w:val="auto"/>
                <w:kern w:val="2"/>
                <w:sz w:val="21"/>
                <w:szCs w:val="24"/>
                <w:highlight w:val="none"/>
                <w:lang w:val="en-US" w:eastAsia="zh-CN" w:bidi="ar-SA"/>
              </w:rPr>
            </w:pPr>
            <w:r>
              <w:rPr>
                <w:rFonts w:hint="eastAsia" w:ascii="宋体" w:hAnsi="宋体"/>
                <w:color w:val="auto"/>
                <w:highlight w:val="none"/>
              </w:rPr>
              <w:t>1</w:t>
            </w:r>
          </w:p>
        </w:tc>
        <w:tc>
          <w:tcPr>
            <w:tcW w:w="0" w:type="auto"/>
            <w:noWrap w:val="0"/>
            <w:vAlign w:val="center"/>
          </w:tcPr>
          <w:p w14:paraId="074CB75E">
            <w:pPr>
              <w:keepNext w:val="0"/>
              <w:keepLines w:val="0"/>
              <w:suppressLineNumbers w:val="0"/>
              <w:spacing w:before="0" w:beforeAutospacing="0" w:after="0" w:afterAutospacing="0" w:line="280" w:lineRule="exact"/>
              <w:ind w:left="0" w:right="0"/>
              <w:outlineLvl w:val="9"/>
              <w:rPr>
                <w:rFonts w:hint="eastAsia" w:ascii="Times New Roman" w:hAnsi="Times New Roman" w:eastAsia="宋体" w:cs="Times New Roman"/>
                <w:color w:val="auto"/>
                <w:kern w:val="2"/>
                <w:sz w:val="21"/>
                <w:szCs w:val="24"/>
                <w:highlight w:val="none"/>
                <w:lang w:val="en-US" w:eastAsia="zh-CN" w:bidi="ar-SA"/>
              </w:rPr>
            </w:pPr>
            <w:r>
              <w:rPr>
                <w:rFonts w:hint="eastAsia"/>
                <w:color w:val="auto"/>
                <w:highlight w:val="none"/>
              </w:rPr>
              <w:t>空调设备</w:t>
            </w:r>
          </w:p>
        </w:tc>
        <w:tc>
          <w:tcPr>
            <w:tcW w:w="0" w:type="auto"/>
            <w:noWrap w:val="0"/>
            <w:vAlign w:val="center"/>
          </w:tcPr>
          <w:p w14:paraId="57296198">
            <w:pPr>
              <w:keepNext w:val="0"/>
              <w:keepLines w:val="0"/>
              <w:suppressLineNumbers w:val="0"/>
              <w:spacing w:before="0" w:beforeAutospacing="0" w:after="0" w:afterAutospacing="0" w:line="280" w:lineRule="exact"/>
              <w:ind w:left="0" w:right="0"/>
              <w:jc w:val="center"/>
              <w:outlineLvl w:val="9"/>
              <w:rPr>
                <w:rFonts w:hint="eastAsia" w:ascii="Times New Roman" w:hAnsi="Times New Roman" w:eastAsia="宋体" w:cs="Times New Roman"/>
                <w:color w:val="auto"/>
                <w:kern w:val="2"/>
                <w:sz w:val="21"/>
                <w:szCs w:val="24"/>
                <w:highlight w:val="none"/>
                <w:lang w:val="en-US" w:eastAsia="zh-CN" w:bidi="ar-SA"/>
              </w:rPr>
            </w:pPr>
            <w:r>
              <w:rPr>
                <w:rFonts w:hint="eastAsia" w:ascii="宋体" w:hAnsi="宋体" w:cs="宋体"/>
                <w:color w:val="auto"/>
                <w:kern w:val="0"/>
                <w:szCs w:val="21"/>
                <w:highlight w:val="none"/>
              </w:rPr>
              <w:t>按设计要求</w:t>
            </w:r>
          </w:p>
        </w:tc>
        <w:tc>
          <w:tcPr>
            <w:tcW w:w="0" w:type="auto"/>
            <w:noWrap w:val="0"/>
            <w:vAlign w:val="center"/>
          </w:tcPr>
          <w:p w14:paraId="4B9DF5BB">
            <w:pPr>
              <w:keepNext w:val="0"/>
              <w:keepLines w:val="0"/>
              <w:suppressLineNumbers w:val="0"/>
              <w:spacing w:before="0" w:beforeAutospacing="0" w:after="0" w:afterAutospacing="0" w:line="280" w:lineRule="exact"/>
              <w:ind w:left="0" w:right="0"/>
              <w:jc w:val="center"/>
              <w:outlineLvl w:val="9"/>
              <w:rPr>
                <w:rFonts w:hint="eastAsia" w:ascii="Times New Roman" w:hAnsi="Times New Roman" w:eastAsia="宋体" w:cs="Times New Roman"/>
                <w:color w:val="auto"/>
                <w:kern w:val="2"/>
                <w:sz w:val="21"/>
                <w:szCs w:val="24"/>
                <w:highlight w:val="none"/>
                <w:lang w:val="en-US" w:eastAsia="zh-CN" w:bidi="ar-SA"/>
              </w:rPr>
            </w:pPr>
            <w:r>
              <w:rPr>
                <w:rFonts w:hint="eastAsia"/>
                <w:color w:val="auto"/>
                <w:highlight w:val="none"/>
              </w:rPr>
              <w:t>参考或相当于大金、日立</w:t>
            </w:r>
            <w:r>
              <w:rPr>
                <w:rFonts w:hint="eastAsia"/>
                <w:color w:val="auto"/>
                <w:highlight w:val="none"/>
                <w:lang w:eastAsia="zh-CN"/>
              </w:rPr>
              <w:t>、</w:t>
            </w:r>
            <w:r>
              <w:rPr>
                <w:rFonts w:hint="eastAsia"/>
                <w:color w:val="auto"/>
                <w:highlight w:val="none"/>
              </w:rPr>
              <w:t>三菱</w:t>
            </w:r>
            <w:r>
              <w:rPr>
                <w:rFonts w:hint="eastAsia"/>
                <w:color w:val="auto"/>
                <w:highlight w:val="none"/>
                <w:lang w:eastAsia="zh-CN"/>
              </w:rPr>
              <w:t>、</w:t>
            </w:r>
            <w:r>
              <w:rPr>
                <w:rFonts w:hint="eastAsia"/>
                <w:color w:val="auto"/>
                <w:highlight w:val="none"/>
                <w:lang w:val="en-US" w:eastAsia="zh-CN"/>
              </w:rPr>
              <w:t>东芝、格力、美的、海信、海尔</w:t>
            </w:r>
            <w:r>
              <w:rPr>
                <w:rFonts w:hint="eastAsia"/>
                <w:color w:val="auto"/>
                <w:highlight w:val="none"/>
              </w:rPr>
              <w:t>等同档次国标产品</w:t>
            </w:r>
          </w:p>
        </w:tc>
        <w:tc>
          <w:tcPr>
            <w:tcW w:w="0" w:type="auto"/>
            <w:noWrap w:val="0"/>
            <w:vAlign w:val="center"/>
          </w:tcPr>
          <w:p w14:paraId="6E612D6C">
            <w:pPr>
              <w:keepNext w:val="0"/>
              <w:keepLines w:val="0"/>
              <w:suppressLineNumbers w:val="0"/>
              <w:spacing w:before="0" w:beforeAutospacing="0" w:after="0" w:afterAutospacing="0" w:line="280" w:lineRule="exact"/>
              <w:ind w:left="0" w:right="0"/>
              <w:jc w:val="center"/>
              <w:outlineLvl w:val="9"/>
              <w:rPr>
                <w:rFonts w:hint="eastAsia" w:ascii="Times New Roman" w:hAnsi="Times New Roman" w:eastAsia="宋体" w:cs="Times New Roman"/>
                <w:color w:val="auto"/>
                <w:kern w:val="2"/>
                <w:sz w:val="21"/>
                <w:szCs w:val="24"/>
                <w:highlight w:val="none"/>
                <w:lang w:val="en-US" w:eastAsia="zh-CN" w:bidi="ar-SA"/>
              </w:rPr>
            </w:pPr>
          </w:p>
        </w:tc>
      </w:tr>
    </w:tbl>
    <w:p w14:paraId="1CCA3C2B">
      <w:pPr>
        <w:pStyle w:val="22"/>
        <w:adjustRightInd w:val="0"/>
        <w:snapToGrid w:val="0"/>
        <w:spacing w:line="360" w:lineRule="auto"/>
        <w:ind w:firstLine="422"/>
        <w:outlineLvl w:val="9"/>
        <w:rPr>
          <w:rFonts w:hint="eastAsia"/>
          <w:b/>
          <w:color w:val="auto"/>
          <w:kern w:val="0"/>
          <w:highlight w:val="none"/>
        </w:rPr>
      </w:pPr>
    </w:p>
    <w:p w14:paraId="695F9222">
      <w:pPr>
        <w:pStyle w:val="22"/>
        <w:adjustRightInd w:val="0"/>
        <w:snapToGrid w:val="0"/>
        <w:spacing w:line="360" w:lineRule="auto"/>
        <w:ind w:firstLine="422"/>
        <w:outlineLvl w:val="9"/>
        <w:rPr>
          <w:rFonts w:hint="eastAsia"/>
          <w:b/>
          <w:color w:val="auto"/>
          <w:kern w:val="0"/>
          <w:highlight w:val="none"/>
        </w:rPr>
      </w:pPr>
    </w:p>
    <w:p w14:paraId="2D80CDFE">
      <w:pPr>
        <w:pStyle w:val="22"/>
        <w:adjustRightInd w:val="0"/>
        <w:snapToGrid w:val="0"/>
        <w:spacing w:line="360" w:lineRule="auto"/>
        <w:ind w:firstLine="422"/>
        <w:outlineLvl w:val="9"/>
        <w:rPr>
          <w:b/>
          <w:color w:val="auto"/>
          <w:kern w:val="0"/>
          <w:highlight w:val="none"/>
        </w:rPr>
      </w:pPr>
      <w:r>
        <w:rPr>
          <w:rFonts w:hint="eastAsia"/>
          <w:b/>
          <w:color w:val="auto"/>
          <w:kern w:val="0"/>
          <w:highlight w:val="none"/>
        </w:rPr>
        <w:t>三、装修部分</w:t>
      </w:r>
    </w:p>
    <w:tbl>
      <w:tblPr>
        <w:tblStyle w:val="56"/>
        <w:tblW w:w="10348" w:type="dxa"/>
        <w:tblInd w:w="-552" w:type="dxa"/>
        <w:tblLayout w:type="autofit"/>
        <w:tblCellMar>
          <w:top w:w="0" w:type="dxa"/>
          <w:left w:w="0" w:type="dxa"/>
          <w:bottom w:w="0" w:type="dxa"/>
          <w:right w:w="0" w:type="dxa"/>
        </w:tblCellMar>
      </w:tblPr>
      <w:tblGrid>
        <w:gridCol w:w="851"/>
        <w:gridCol w:w="2410"/>
        <w:gridCol w:w="666"/>
        <w:gridCol w:w="4720"/>
        <w:gridCol w:w="1701"/>
      </w:tblGrid>
      <w:tr w14:paraId="5862EB67">
        <w:trPr>
          <w:trHeight w:val="500" w:hRule="atLeast"/>
        </w:trPr>
        <w:tc>
          <w:tcPr>
            <w:tcW w:w="85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B43D62B">
            <w:pPr>
              <w:keepNext w:val="0"/>
              <w:keepLines w:val="0"/>
              <w:suppressLineNumbers w:val="0"/>
              <w:adjustRightInd w:val="0"/>
              <w:snapToGrid w:val="0"/>
              <w:spacing w:before="0" w:beforeAutospacing="0" w:after="0" w:afterAutospacing="0" w:line="360" w:lineRule="auto"/>
              <w:ind w:left="0" w:right="0" w:firstLine="422"/>
              <w:jc w:val="center"/>
              <w:textAlignment w:val="center"/>
              <w:outlineLvl w:val="9"/>
              <w:rPr>
                <w:rFonts w:ascii="宋体" w:hAnsi="宋体" w:cs="宋体"/>
                <w:b/>
                <w:color w:val="auto"/>
                <w:szCs w:val="21"/>
                <w:highlight w:val="none"/>
              </w:rPr>
            </w:pPr>
            <w:r>
              <w:rPr>
                <w:rFonts w:hint="eastAsia" w:ascii="宋体" w:hAnsi="宋体" w:cs="宋体"/>
                <w:b/>
                <w:color w:val="auto"/>
                <w:kern w:val="0"/>
                <w:szCs w:val="21"/>
                <w:highlight w:val="none"/>
              </w:rPr>
              <w:t>序号</w:t>
            </w:r>
          </w:p>
        </w:tc>
        <w:tc>
          <w:tcPr>
            <w:tcW w:w="24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ECEBA9D">
            <w:pPr>
              <w:keepNext w:val="0"/>
              <w:keepLines w:val="0"/>
              <w:suppressLineNumbers w:val="0"/>
              <w:adjustRightInd w:val="0"/>
              <w:snapToGrid w:val="0"/>
              <w:spacing w:before="0" w:beforeAutospacing="0" w:after="0" w:afterAutospacing="0" w:line="360" w:lineRule="auto"/>
              <w:ind w:left="0" w:right="0" w:firstLine="422"/>
              <w:jc w:val="center"/>
              <w:textAlignment w:val="center"/>
              <w:outlineLvl w:val="9"/>
              <w:rPr>
                <w:rFonts w:ascii="宋体" w:hAnsi="宋体" w:cs="宋体"/>
                <w:b/>
                <w:color w:val="auto"/>
                <w:szCs w:val="21"/>
                <w:highlight w:val="none"/>
              </w:rPr>
            </w:pPr>
            <w:r>
              <w:rPr>
                <w:rFonts w:hint="eastAsia" w:ascii="宋体" w:hAnsi="宋体" w:cs="宋体"/>
                <w:b/>
                <w:color w:val="auto"/>
                <w:kern w:val="0"/>
                <w:szCs w:val="21"/>
                <w:highlight w:val="none"/>
              </w:rPr>
              <w:t>材料名称</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4EF0CF8">
            <w:pPr>
              <w:keepNext w:val="0"/>
              <w:keepLines w:val="0"/>
              <w:suppressLineNumbers w:val="0"/>
              <w:adjustRightInd w:val="0"/>
              <w:snapToGrid w:val="0"/>
              <w:spacing w:before="0" w:beforeAutospacing="0" w:after="0" w:afterAutospacing="0" w:line="360" w:lineRule="auto"/>
              <w:ind w:left="0" w:right="0"/>
              <w:jc w:val="both"/>
              <w:textAlignment w:val="center"/>
              <w:outlineLvl w:val="9"/>
              <w:rPr>
                <w:rFonts w:ascii="宋体" w:hAnsi="宋体" w:cs="宋体"/>
                <w:b/>
                <w:color w:val="auto"/>
                <w:kern w:val="0"/>
                <w:szCs w:val="21"/>
                <w:highlight w:val="none"/>
              </w:rPr>
            </w:pPr>
            <w:r>
              <w:rPr>
                <w:rFonts w:hint="eastAsia" w:ascii="宋体" w:hAnsi="宋体" w:cs="宋体"/>
                <w:b/>
                <w:color w:val="auto"/>
                <w:kern w:val="0"/>
                <w:szCs w:val="21"/>
                <w:highlight w:val="none"/>
              </w:rPr>
              <w:t>规格、型号</w:t>
            </w:r>
          </w:p>
        </w:tc>
        <w:tc>
          <w:tcPr>
            <w:tcW w:w="39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DCD70C5">
            <w:pPr>
              <w:keepNext w:val="0"/>
              <w:keepLines w:val="0"/>
              <w:suppressLineNumbers w:val="0"/>
              <w:adjustRightInd w:val="0"/>
              <w:snapToGrid w:val="0"/>
              <w:spacing w:before="0" w:beforeAutospacing="0" w:after="0" w:afterAutospacing="0" w:line="360" w:lineRule="auto"/>
              <w:ind w:left="0" w:right="0" w:firstLine="422"/>
              <w:jc w:val="center"/>
              <w:textAlignment w:val="center"/>
              <w:outlineLvl w:val="9"/>
              <w:rPr>
                <w:rFonts w:ascii="宋体" w:hAnsi="宋体" w:cs="宋体"/>
                <w:b/>
                <w:color w:val="auto"/>
                <w:szCs w:val="21"/>
                <w:highlight w:val="none"/>
              </w:rPr>
            </w:pPr>
            <w:r>
              <w:rPr>
                <w:rFonts w:hint="eastAsia" w:ascii="宋体" w:hAnsi="宋体" w:cs="宋体"/>
                <w:b/>
                <w:color w:val="auto"/>
                <w:kern w:val="0"/>
                <w:szCs w:val="21"/>
                <w:highlight w:val="none"/>
              </w:rPr>
              <w:t>品牌</w:t>
            </w:r>
          </w:p>
        </w:tc>
        <w:tc>
          <w:tcPr>
            <w:tcW w:w="170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5061330">
            <w:pPr>
              <w:keepNext w:val="0"/>
              <w:keepLines w:val="0"/>
              <w:suppressLineNumbers w:val="0"/>
              <w:adjustRightInd w:val="0"/>
              <w:snapToGrid w:val="0"/>
              <w:spacing w:before="0" w:beforeAutospacing="0" w:after="0" w:afterAutospacing="0" w:line="360" w:lineRule="auto"/>
              <w:ind w:left="0" w:right="0" w:firstLine="422"/>
              <w:jc w:val="center"/>
              <w:textAlignment w:val="center"/>
              <w:outlineLvl w:val="9"/>
              <w:rPr>
                <w:rFonts w:ascii="宋体" w:hAnsi="宋体" w:cs="宋体"/>
                <w:b/>
                <w:color w:val="auto"/>
                <w:szCs w:val="21"/>
                <w:highlight w:val="none"/>
              </w:rPr>
            </w:pPr>
            <w:r>
              <w:rPr>
                <w:rFonts w:hint="eastAsia" w:ascii="宋体" w:hAnsi="宋体" w:cs="宋体"/>
                <w:b/>
                <w:color w:val="auto"/>
                <w:kern w:val="0"/>
                <w:szCs w:val="21"/>
                <w:highlight w:val="none"/>
              </w:rPr>
              <w:t>备注</w:t>
            </w:r>
          </w:p>
        </w:tc>
      </w:tr>
      <w:tr w14:paraId="5E5BA3FC">
        <w:tblPrEx>
          <w:tblCellMar>
            <w:top w:w="0" w:type="dxa"/>
            <w:left w:w="0" w:type="dxa"/>
            <w:bottom w:w="0" w:type="dxa"/>
            <w:right w:w="0" w:type="dxa"/>
          </w:tblCellMar>
        </w:tblPrEx>
        <w:trPr>
          <w:trHeight w:val="4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4CEB3D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olor w:val="auto"/>
                <w:szCs w:val="21"/>
                <w:highlight w:val="none"/>
              </w:rPr>
              <w:t>1</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C3B709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olor w:val="auto"/>
                <w:szCs w:val="21"/>
                <w:highlight w:val="none"/>
              </w:rPr>
              <w:t>瓷砖</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669A20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AF5FE6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olor w:val="auto"/>
                <w:szCs w:val="21"/>
                <w:highlight w:val="none"/>
              </w:rPr>
              <w:t>蒙娜丽莎、马可波罗、欧神诺、东鹏、欧美、冠珠、兴辉等同档次国标产品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C4BAA4A">
            <w:pPr>
              <w:keepNext w:val="0"/>
              <w:keepLines w:val="0"/>
              <w:suppressLineNumbers w:val="0"/>
              <w:adjustRightInd w:val="0"/>
              <w:snapToGrid w:val="0"/>
              <w:spacing w:before="0" w:beforeAutospacing="0" w:after="0" w:afterAutospacing="0" w:line="360" w:lineRule="auto"/>
              <w:ind w:left="0" w:right="0"/>
              <w:jc w:val="center"/>
              <w:textAlignment w:val="center"/>
              <w:outlineLvl w:val="9"/>
              <w:rPr>
                <w:rFonts w:ascii="宋体" w:hAnsi="宋体" w:cs="宋体"/>
                <w:color w:val="auto"/>
                <w:kern w:val="0"/>
                <w:szCs w:val="21"/>
                <w:highlight w:val="none"/>
              </w:rPr>
            </w:pPr>
          </w:p>
        </w:tc>
      </w:tr>
      <w:tr w14:paraId="29330137">
        <w:tblPrEx>
          <w:tblCellMar>
            <w:top w:w="0" w:type="dxa"/>
            <w:left w:w="0" w:type="dxa"/>
            <w:bottom w:w="0" w:type="dxa"/>
            <w:right w:w="0" w:type="dxa"/>
          </w:tblCellMar>
        </w:tblPrEx>
        <w:trPr>
          <w:trHeight w:val="64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E42E9E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2</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819EF7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洁具</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1F1A2D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A5DCD3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九牧、箭牌、恒洁、惠达、安华、恩仕等同档次国标产品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F6F7397">
            <w:pPr>
              <w:keepNext w:val="0"/>
              <w:keepLines w:val="0"/>
              <w:suppressLineNumbers w:val="0"/>
              <w:adjustRightInd w:val="0"/>
              <w:snapToGrid w:val="0"/>
              <w:spacing w:before="0" w:beforeAutospacing="0" w:after="0" w:afterAutospacing="0" w:line="360" w:lineRule="auto"/>
              <w:ind w:left="0" w:right="0"/>
              <w:jc w:val="center"/>
              <w:textAlignment w:val="center"/>
              <w:outlineLvl w:val="9"/>
              <w:rPr>
                <w:rFonts w:ascii="宋体" w:hAnsi="宋体" w:cs="宋体"/>
                <w:color w:val="auto"/>
                <w:kern w:val="0"/>
                <w:szCs w:val="21"/>
                <w:highlight w:val="none"/>
              </w:rPr>
            </w:pPr>
          </w:p>
        </w:tc>
      </w:tr>
      <w:tr w14:paraId="2FA72273">
        <w:tblPrEx>
          <w:tblCellMar>
            <w:top w:w="0" w:type="dxa"/>
            <w:left w:w="0" w:type="dxa"/>
            <w:bottom w:w="0" w:type="dxa"/>
            <w:right w:w="0" w:type="dxa"/>
          </w:tblCellMar>
        </w:tblPrEx>
        <w:trPr>
          <w:trHeight w:val="64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464590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3</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0AEAA3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五金（含角阀、金属软管）</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9733D1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D51CB7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九牧、箭牌、恒洁、惠达、安华、恩仕、凡蒂诺等同档次国标产品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4EAF6BB">
            <w:pPr>
              <w:keepNext w:val="0"/>
              <w:keepLines w:val="0"/>
              <w:suppressLineNumbers w:val="0"/>
              <w:adjustRightInd w:val="0"/>
              <w:snapToGrid w:val="0"/>
              <w:spacing w:before="0" w:beforeAutospacing="0" w:after="0" w:afterAutospacing="0" w:line="360" w:lineRule="auto"/>
              <w:ind w:left="0" w:right="0"/>
              <w:jc w:val="center"/>
              <w:textAlignment w:val="center"/>
              <w:outlineLvl w:val="9"/>
              <w:rPr>
                <w:rFonts w:ascii="宋体" w:hAnsi="宋体" w:cs="宋体"/>
                <w:color w:val="auto"/>
                <w:kern w:val="0"/>
                <w:szCs w:val="21"/>
                <w:highlight w:val="none"/>
              </w:rPr>
            </w:pPr>
          </w:p>
        </w:tc>
      </w:tr>
      <w:tr w14:paraId="6866C4EC">
        <w:tblPrEx>
          <w:tblCellMar>
            <w:top w:w="0" w:type="dxa"/>
            <w:left w:w="0" w:type="dxa"/>
            <w:bottom w:w="0" w:type="dxa"/>
            <w:right w:w="0" w:type="dxa"/>
          </w:tblCellMar>
        </w:tblPrEx>
        <w:trPr>
          <w:trHeight w:val="64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F7CB47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4</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350D01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普通照明灯具</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045C11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0C618E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szCs w:val="21"/>
                <w:highlight w:val="none"/>
              </w:rPr>
            </w:pPr>
            <w:r>
              <w:rPr>
                <w:rFonts w:hint="eastAsia" w:ascii="宋体" w:hAnsi="宋体" w:cs="宋体"/>
                <w:color w:val="auto"/>
                <w:kern w:val="0"/>
                <w:szCs w:val="21"/>
                <w:highlight w:val="none"/>
              </w:rPr>
              <w:t>飞利浦、三雄极光、雷士、欧普、西顿等同档次国标产品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9FFDACF">
            <w:pPr>
              <w:keepNext w:val="0"/>
              <w:keepLines w:val="0"/>
              <w:suppressLineNumbers w:val="0"/>
              <w:adjustRightInd w:val="0"/>
              <w:snapToGrid w:val="0"/>
              <w:spacing w:before="0" w:beforeAutospacing="0" w:after="0" w:afterAutospacing="0" w:line="360" w:lineRule="auto"/>
              <w:ind w:left="0" w:right="0"/>
              <w:jc w:val="center"/>
              <w:textAlignment w:val="center"/>
              <w:outlineLvl w:val="9"/>
              <w:rPr>
                <w:rFonts w:ascii="宋体" w:hAnsi="宋体" w:cs="宋体"/>
                <w:color w:val="auto"/>
                <w:kern w:val="0"/>
                <w:szCs w:val="21"/>
                <w:highlight w:val="none"/>
              </w:rPr>
            </w:pPr>
          </w:p>
        </w:tc>
      </w:tr>
      <w:tr w14:paraId="093CA066">
        <w:tblPrEx>
          <w:tblCellMar>
            <w:top w:w="0" w:type="dxa"/>
            <w:left w:w="0" w:type="dxa"/>
            <w:bottom w:w="0" w:type="dxa"/>
            <w:right w:w="0" w:type="dxa"/>
          </w:tblCellMar>
        </w:tblPrEx>
        <w:trPr>
          <w:trHeight w:val="64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8028E0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5</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6E3944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开关面板（公共装修区域）</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8ABA5F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s="宋体"/>
                <w:color w:val="auto"/>
                <w:kern w:val="0"/>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01D165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施耐德、西门子、西蒙、罗格朗、</w:t>
            </w:r>
            <w:r>
              <w:rPr>
                <w:rFonts w:ascii="宋体" w:hAnsi="宋体"/>
                <w:color w:val="auto"/>
                <w:szCs w:val="21"/>
                <w:highlight w:val="none"/>
              </w:rPr>
              <w:t>ABB</w:t>
            </w:r>
            <w:r>
              <w:rPr>
                <w:rFonts w:hint="eastAsia" w:ascii="宋体" w:hAnsi="宋体" w:cs="宋体"/>
                <w:color w:val="auto"/>
                <w:kern w:val="0"/>
                <w:szCs w:val="21"/>
                <w:highlight w:val="none"/>
              </w:rPr>
              <w:t>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C943679">
            <w:pPr>
              <w:keepNext w:val="0"/>
              <w:keepLines w:val="0"/>
              <w:suppressLineNumbers w:val="0"/>
              <w:adjustRightInd w:val="0"/>
              <w:snapToGrid w:val="0"/>
              <w:spacing w:before="0" w:beforeAutospacing="0" w:after="0" w:afterAutospacing="0" w:line="360" w:lineRule="auto"/>
              <w:ind w:left="0" w:right="0"/>
              <w:jc w:val="center"/>
              <w:textAlignment w:val="center"/>
              <w:outlineLvl w:val="9"/>
              <w:rPr>
                <w:rFonts w:ascii="宋体" w:hAnsi="宋体" w:cs="宋体"/>
                <w:color w:val="auto"/>
                <w:kern w:val="0"/>
                <w:szCs w:val="21"/>
                <w:highlight w:val="none"/>
              </w:rPr>
            </w:pPr>
          </w:p>
        </w:tc>
      </w:tr>
      <w:tr w14:paraId="1559EE8E">
        <w:tblPrEx>
          <w:tblCellMar>
            <w:top w:w="0" w:type="dxa"/>
            <w:left w:w="0" w:type="dxa"/>
            <w:bottom w:w="0" w:type="dxa"/>
            <w:right w:w="0" w:type="dxa"/>
          </w:tblCellMar>
        </w:tblPrEx>
        <w:trPr>
          <w:trHeight w:val="64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252853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6</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62E0B9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多联机空调</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A663EF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s="宋体"/>
                <w:color w:val="auto"/>
                <w:kern w:val="0"/>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166D64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olor w:val="auto"/>
                <w:szCs w:val="21"/>
                <w:highlight w:val="none"/>
              </w:rPr>
            </w:pPr>
            <w:r>
              <w:rPr>
                <w:rFonts w:hint="eastAsia" w:ascii="宋体" w:hAnsi="宋体"/>
                <w:color w:val="auto"/>
                <w:szCs w:val="21"/>
                <w:highlight w:val="none"/>
              </w:rPr>
              <w:t>格力、美的、海信、海尔</w:t>
            </w:r>
            <w:r>
              <w:rPr>
                <w:rFonts w:hint="eastAsia" w:ascii="宋体" w:hAnsi="宋体" w:cs="宋体"/>
                <w:color w:val="auto"/>
                <w:kern w:val="0"/>
                <w:szCs w:val="21"/>
                <w:highlight w:val="none"/>
              </w:rPr>
              <w:t>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9B82CAF">
            <w:pPr>
              <w:keepNext w:val="0"/>
              <w:keepLines w:val="0"/>
              <w:suppressLineNumbers w:val="0"/>
              <w:adjustRightInd w:val="0"/>
              <w:snapToGrid w:val="0"/>
              <w:spacing w:before="0" w:beforeAutospacing="0" w:after="0" w:afterAutospacing="0" w:line="360" w:lineRule="auto"/>
              <w:ind w:left="0" w:right="0"/>
              <w:jc w:val="center"/>
              <w:textAlignment w:val="center"/>
              <w:outlineLvl w:val="9"/>
              <w:rPr>
                <w:rFonts w:ascii="宋体" w:hAnsi="宋体" w:cs="宋体"/>
                <w:color w:val="auto"/>
                <w:kern w:val="0"/>
                <w:szCs w:val="21"/>
                <w:highlight w:val="none"/>
              </w:rPr>
            </w:pPr>
          </w:p>
        </w:tc>
      </w:tr>
      <w:tr w14:paraId="25EFCE46">
        <w:tblPrEx>
          <w:tblCellMar>
            <w:top w:w="0" w:type="dxa"/>
            <w:left w:w="0" w:type="dxa"/>
            <w:bottom w:w="0" w:type="dxa"/>
            <w:right w:w="0" w:type="dxa"/>
          </w:tblCellMar>
        </w:tblPrEx>
        <w:trPr>
          <w:trHeight w:val="55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F92798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7</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11BC66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石膏板、轻钢龙骨</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08DA36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828F5B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龙牌、圣戈班杰科、可耐福、杰森</w:t>
            </w:r>
            <w:r>
              <w:rPr>
                <w:rFonts w:hint="eastAsia" w:ascii="宋体" w:hAnsi="宋体" w:cs="宋体"/>
                <w:color w:val="auto"/>
                <w:kern w:val="0"/>
                <w:szCs w:val="21"/>
                <w:highlight w:val="none"/>
                <w:lang w:eastAsia="zh-CN"/>
              </w:rPr>
              <w:t>、</w:t>
            </w:r>
            <w:r>
              <w:rPr>
                <w:rFonts w:hint="eastAsia" w:ascii="宋体" w:hAnsi="宋体" w:cs="宋体"/>
                <w:color w:val="auto"/>
                <w:kern w:val="0"/>
                <w:szCs w:val="21"/>
                <w:highlight w:val="none"/>
                <w:lang w:val="en-US" w:eastAsia="zh-CN"/>
              </w:rPr>
              <w:t>泰山、兔宝宝</w:t>
            </w:r>
            <w:r>
              <w:rPr>
                <w:rFonts w:hint="eastAsia" w:ascii="宋体" w:hAnsi="宋体" w:cs="宋体"/>
                <w:color w:val="auto"/>
                <w:kern w:val="0"/>
                <w:szCs w:val="21"/>
                <w:highlight w:val="none"/>
              </w:rPr>
              <w:t>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3D204F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49E1E81">
        <w:tblPrEx>
          <w:tblCellMar>
            <w:top w:w="0" w:type="dxa"/>
            <w:left w:w="0" w:type="dxa"/>
            <w:bottom w:w="0" w:type="dxa"/>
            <w:right w:w="0" w:type="dxa"/>
          </w:tblCellMar>
        </w:tblPrEx>
        <w:trPr>
          <w:trHeight w:val="55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39CEBB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8</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69E48B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内墙腻子</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8C844D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0471C6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德高、立邦、三棵树、生态家园、圣戈班伟伯、爱上蔷</w:t>
            </w:r>
            <w:r>
              <w:rPr>
                <w:rFonts w:hint="eastAsia" w:ascii="宋体" w:hAnsi="宋体" w:cs="宋体"/>
                <w:color w:val="auto"/>
                <w:kern w:val="0"/>
                <w:szCs w:val="21"/>
                <w:highlight w:val="none"/>
                <w:lang w:eastAsia="zh-CN"/>
              </w:rPr>
              <w:t>、龙牌</w:t>
            </w:r>
            <w:r>
              <w:rPr>
                <w:rFonts w:hint="eastAsia" w:ascii="宋体" w:hAnsi="宋体" w:cs="宋体"/>
                <w:color w:val="auto"/>
                <w:kern w:val="0"/>
                <w:szCs w:val="21"/>
                <w:highlight w:val="none"/>
              </w:rPr>
              <w:t>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9C1580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521CD81E">
        <w:tblPrEx>
          <w:tblCellMar>
            <w:top w:w="0" w:type="dxa"/>
            <w:left w:w="0" w:type="dxa"/>
            <w:bottom w:w="0" w:type="dxa"/>
            <w:right w:w="0" w:type="dxa"/>
          </w:tblCellMar>
        </w:tblPrEx>
        <w:trPr>
          <w:trHeight w:val="55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1D5310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9</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E98DD4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室内涂料</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2AA516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DB647E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多乐士、立邦等同档次国标产品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9B5CC7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4CCA018F">
        <w:tblPrEx>
          <w:tblCellMar>
            <w:top w:w="0" w:type="dxa"/>
            <w:left w:w="0" w:type="dxa"/>
            <w:bottom w:w="0" w:type="dxa"/>
            <w:right w:w="0" w:type="dxa"/>
          </w:tblCellMar>
        </w:tblPrEx>
        <w:trPr>
          <w:trHeight w:val="55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4EF7D0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10</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A3938F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瓷砖胶</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3C3281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5DAF38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德高、东方雨虹、湘彩、立邦、生态家园、圣戈班伟伯、西卡</w:t>
            </w:r>
            <w:r>
              <w:rPr>
                <w:rFonts w:hint="eastAsia" w:ascii="宋体" w:hAnsi="宋体" w:cs="宋体"/>
                <w:color w:val="auto"/>
                <w:kern w:val="0"/>
                <w:szCs w:val="21"/>
                <w:highlight w:val="none"/>
                <w:lang w:eastAsia="zh-CN"/>
              </w:rPr>
              <w:t>、龙牌</w:t>
            </w:r>
            <w:r>
              <w:rPr>
                <w:rFonts w:hint="eastAsia" w:ascii="宋体" w:hAnsi="宋体" w:cs="宋体"/>
                <w:color w:val="auto"/>
                <w:kern w:val="0"/>
                <w:szCs w:val="21"/>
                <w:highlight w:val="none"/>
              </w:rPr>
              <w:t>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09E966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57A72FC2">
        <w:tblPrEx>
          <w:tblCellMar>
            <w:top w:w="0" w:type="dxa"/>
            <w:left w:w="0" w:type="dxa"/>
            <w:bottom w:w="0" w:type="dxa"/>
            <w:right w:w="0" w:type="dxa"/>
          </w:tblCellMar>
        </w:tblPrEx>
        <w:trPr>
          <w:trHeight w:val="55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2B8A0C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11</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8B8A16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石材胶</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844F09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3E6F3C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德玛茜、德高、雷帝、白云、硅宝等同档次国标产品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34C34B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0387776E">
        <w:tblPrEx>
          <w:tblCellMar>
            <w:top w:w="0" w:type="dxa"/>
            <w:left w:w="0" w:type="dxa"/>
            <w:bottom w:w="0" w:type="dxa"/>
            <w:right w:w="0" w:type="dxa"/>
          </w:tblCellMar>
        </w:tblPrEx>
        <w:trPr>
          <w:trHeight w:val="55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5FF8DF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12</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EDCDF1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玻璃胶/密封胶</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BAF917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04F0C4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陶熙、白云、之江、硅宝、安泰等同档次国标产品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5E1DC0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213E2BB3">
        <w:tblPrEx>
          <w:tblCellMar>
            <w:top w:w="0" w:type="dxa"/>
            <w:left w:w="0" w:type="dxa"/>
            <w:bottom w:w="0" w:type="dxa"/>
            <w:right w:w="0" w:type="dxa"/>
          </w:tblCellMar>
        </w:tblPrEx>
        <w:trPr>
          <w:trHeight w:val="55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4FFF93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13</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1765151">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多层板/木工板/阻燃板</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1649E0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ECE753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兔宝宝、千年舟、莫干山、伟业、龙牌等同档次国标产品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735412D">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031808C0">
        <w:tblPrEx>
          <w:tblCellMar>
            <w:top w:w="0" w:type="dxa"/>
            <w:left w:w="0" w:type="dxa"/>
            <w:bottom w:w="0" w:type="dxa"/>
            <w:right w:w="0" w:type="dxa"/>
          </w:tblCellMar>
        </w:tblPrEx>
        <w:trPr>
          <w:trHeight w:val="555" w:hRule="atLeast"/>
        </w:trPr>
        <w:tc>
          <w:tcPr>
            <w:tcW w:w="85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F126B8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14</w:t>
            </w:r>
          </w:p>
        </w:tc>
        <w:tc>
          <w:tcPr>
            <w:tcW w:w="241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0E70FA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卫生间隔断</w:t>
            </w:r>
          </w:p>
        </w:tc>
        <w:tc>
          <w:tcPr>
            <w:tcW w:w="141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D25C20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39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AD1428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富美家、威盛亚、海德林纳等同档次国标产品</w:t>
            </w:r>
          </w:p>
        </w:tc>
        <w:tc>
          <w:tcPr>
            <w:tcW w:w="170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C8D659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3DC0E996">
        <w:tblPrEx>
          <w:tblCellMar>
            <w:top w:w="0" w:type="dxa"/>
            <w:left w:w="0" w:type="dxa"/>
            <w:bottom w:w="0" w:type="dxa"/>
            <w:right w:w="0" w:type="dxa"/>
          </w:tblCellMar>
        </w:tblPrEx>
        <w:trPr>
          <w:trHeight w:val="555" w:hRule="atLeast"/>
        </w:trPr>
        <w:tc>
          <w:tcPr>
            <w:tcW w:w="851" w:type="dxa"/>
            <w:tcBorders>
              <w:top w:val="single" w:color="000000" w:sz="4" w:space="0"/>
              <w:left w:val="single" w:color="000000" w:sz="4" w:space="0"/>
              <w:bottom w:val="single" w:color="auto" w:sz="4" w:space="0"/>
              <w:right w:val="single" w:color="000000" w:sz="4" w:space="0"/>
            </w:tcBorders>
            <w:noWrap w:val="0"/>
            <w:tcMar>
              <w:top w:w="15" w:type="dxa"/>
              <w:left w:w="15" w:type="dxa"/>
              <w:right w:w="15" w:type="dxa"/>
            </w:tcMar>
            <w:vAlign w:val="center"/>
          </w:tcPr>
          <w:p w14:paraId="03DD19F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15</w:t>
            </w:r>
          </w:p>
        </w:tc>
        <w:tc>
          <w:tcPr>
            <w:tcW w:w="2410" w:type="dxa"/>
            <w:tcBorders>
              <w:top w:val="single" w:color="000000" w:sz="4" w:space="0"/>
              <w:left w:val="single" w:color="000000" w:sz="4" w:space="0"/>
              <w:bottom w:val="single" w:color="auto" w:sz="4" w:space="0"/>
              <w:right w:val="single" w:color="000000" w:sz="4" w:space="0"/>
            </w:tcBorders>
            <w:noWrap w:val="0"/>
            <w:tcMar>
              <w:top w:w="15" w:type="dxa"/>
              <w:left w:w="15" w:type="dxa"/>
              <w:right w:w="15" w:type="dxa"/>
            </w:tcMar>
            <w:vAlign w:val="center"/>
          </w:tcPr>
          <w:p w14:paraId="5C2BADC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矿棉板</w:t>
            </w:r>
          </w:p>
        </w:tc>
        <w:tc>
          <w:tcPr>
            <w:tcW w:w="1417" w:type="dxa"/>
            <w:tcBorders>
              <w:top w:val="single" w:color="000000" w:sz="4" w:space="0"/>
              <w:left w:val="single" w:color="000000" w:sz="4" w:space="0"/>
              <w:bottom w:val="single" w:color="auto" w:sz="4" w:space="0"/>
              <w:right w:val="single" w:color="000000" w:sz="4" w:space="0"/>
            </w:tcBorders>
            <w:noWrap w:val="0"/>
            <w:tcMar>
              <w:top w:w="15" w:type="dxa"/>
              <w:left w:w="15" w:type="dxa"/>
              <w:right w:w="15" w:type="dxa"/>
            </w:tcMar>
            <w:vAlign w:val="center"/>
          </w:tcPr>
          <w:p w14:paraId="07FC0B2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按设计要求</w:t>
            </w:r>
          </w:p>
        </w:tc>
        <w:tc>
          <w:tcPr>
            <w:tcW w:w="3969" w:type="dxa"/>
            <w:tcBorders>
              <w:top w:val="single" w:color="000000" w:sz="4" w:space="0"/>
              <w:left w:val="single" w:color="000000" w:sz="4" w:space="0"/>
              <w:bottom w:val="single" w:color="auto" w:sz="4" w:space="0"/>
              <w:right w:val="single" w:color="000000" w:sz="4" w:space="0"/>
            </w:tcBorders>
            <w:noWrap w:val="0"/>
            <w:tcMar>
              <w:top w:w="15" w:type="dxa"/>
              <w:left w:w="15" w:type="dxa"/>
              <w:right w:w="15" w:type="dxa"/>
            </w:tcMar>
            <w:vAlign w:val="center"/>
          </w:tcPr>
          <w:p w14:paraId="504FDE7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国标产品</w:t>
            </w:r>
          </w:p>
        </w:tc>
        <w:tc>
          <w:tcPr>
            <w:tcW w:w="1701" w:type="dxa"/>
            <w:tcBorders>
              <w:top w:val="single" w:color="000000" w:sz="4" w:space="0"/>
              <w:left w:val="single" w:color="000000" w:sz="4" w:space="0"/>
              <w:bottom w:val="single" w:color="auto" w:sz="4" w:space="0"/>
              <w:right w:val="single" w:color="000000" w:sz="4" w:space="0"/>
            </w:tcBorders>
            <w:noWrap w:val="0"/>
            <w:tcMar>
              <w:top w:w="15" w:type="dxa"/>
              <w:left w:w="15" w:type="dxa"/>
              <w:right w:w="15" w:type="dxa"/>
            </w:tcMar>
            <w:vAlign w:val="center"/>
          </w:tcPr>
          <w:p w14:paraId="59E909E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p>
        </w:tc>
      </w:tr>
      <w:tr w14:paraId="06521A4D">
        <w:tblPrEx>
          <w:tblCellMar>
            <w:top w:w="0" w:type="dxa"/>
            <w:left w:w="0" w:type="dxa"/>
            <w:bottom w:w="0" w:type="dxa"/>
            <w:right w:w="0" w:type="dxa"/>
          </w:tblCellMar>
        </w:tblPrEx>
        <w:trPr>
          <w:trHeight w:val="555" w:hRule="atLeast"/>
        </w:trPr>
        <w:tc>
          <w:tcPr>
            <w:tcW w:w="85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14:paraId="6ABF5F51">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1</w:t>
            </w:r>
            <w:r>
              <w:rPr>
                <w:rFonts w:hint="eastAsia" w:ascii="宋体" w:hAnsi="宋体"/>
                <w:color w:val="auto"/>
                <w:kern w:val="0"/>
                <w:szCs w:val="21"/>
                <w:highlight w:val="none"/>
                <w:lang w:val="en-US" w:eastAsia="zh-CN"/>
              </w:rPr>
              <w:t>6</w:t>
            </w:r>
          </w:p>
        </w:tc>
        <w:tc>
          <w:tcPr>
            <w:tcW w:w="2410"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14:paraId="6E98F19A">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铝型材</w:t>
            </w:r>
          </w:p>
        </w:tc>
        <w:tc>
          <w:tcPr>
            <w:tcW w:w="1417"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14:paraId="47E8E0EA">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3969"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14:paraId="06417C88">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兴发、坚美、凤铝、伟业、亚铝、华建</w:t>
            </w:r>
            <w:r>
              <w:rPr>
                <w:rFonts w:hint="eastAsia" w:ascii="宋体" w:hAnsi="宋体"/>
                <w:color w:val="auto"/>
                <w:kern w:val="0"/>
                <w:szCs w:val="21"/>
                <w:highlight w:val="none"/>
                <w:lang w:eastAsia="zh-CN"/>
              </w:rPr>
              <w:t>、</w:t>
            </w:r>
            <w:r>
              <w:rPr>
                <w:rFonts w:hint="eastAsia" w:ascii="宋体" w:hAnsi="宋体"/>
                <w:color w:val="auto"/>
                <w:kern w:val="0"/>
                <w:szCs w:val="21"/>
                <w:highlight w:val="none"/>
                <w:lang w:val="en-US" w:eastAsia="zh-CN"/>
              </w:rPr>
              <w:t>南山、和平、三星、高科</w:t>
            </w:r>
            <w:r>
              <w:rPr>
                <w:rFonts w:hint="eastAsia" w:ascii="宋体" w:hAnsi="宋体"/>
                <w:color w:val="auto"/>
                <w:kern w:val="0"/>
                <w:szCs w:val="21"/>
                <w:highlight w:val="none"/>
              </w:rPr>
              <w:t>等同档次品牌</w:t>
            </w:r>
          </w:p>
        </w:tc>
        <w:tc>
          <w:tcPr>
            <w:tcW w:w="170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top"/>
          </w:tcPr>
          <w:p w14:paraId="6D17429F">
            <w:pPr>
              <w:keepNext w:val="0"/>
              <w:keepLines w:val="0"/>
              <w:suppressLineNumbers w:val="0"/>
              <w:spacing w:before="0" w:beforeAutospacing="0" w:after="0" w:afterAutospacing="0"/>
              <w:ind w:left="0" w:right="0"/>
              <w:jc w:val="center"/>
              <w:outlineLvl w:val="9"/>
              <w:rPr>
                <w:rFonts w:hint="eastAsia" w:ascii="宋体" w:hAnsi="宋体" w:eastAsia="宋体" w:cs="Times New Roman"/>
                <w:color w:val="auto"/>
                <w:kern w:val="0"/>
                <w:sz w:val="21"/>
                <w:szCs w:val="21"/>
                <w:highlight w:val="none"/>
                <w:lang w:val="en-US" w:eastAsia="zh-CN" w:bidi="ar-SA"/>
              </w:rPr>
            </w:pPr>
          </w:p>
        </w:tc>
      </w:tr>
      <w:tr w14:paraId="316128F9">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2F53D467">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1</w:t>
            </w:r>
            <w:r>
              <w:rPr>
                <w:rFonts w:hint="eastAsia" w:ascii="宋体" w:hAnsi="宋体"/>
                <w:color w:val="auto"/>
                <w:kern w:val="0"/>
                <w:szCs w:val="21"/>
                <w:highlight w:val="none"/>
                <w:lang w:val="en-US" w:eastAsia="zh-CN"/>
              </w:rPr>
              <w:t>7</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458F1B08">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五金件</w:t>
            </w:r>
          </w:p>
        </w:tc>
        <w:tc>
          <w:tcPr>
            <w:tcW w:w="0" w:type="auto"/>
            <w:tcBorders>
              <w:top w:val="single" w:color="auto" w:sz="4" w:space="0"/>
              <w:left w:val="single" w:color="auto" w:sz="4" w:space="0"/>
              <w:bottom w:val="single" w:color="auto" w:sz="4" w:space="0"/>
              <w:right w:val="single" w:color="auto" w:sz="4" w:space="0"/>
            </w:tcBorders>
            <w:noWrap w:val="0"/>
            <w:vAlign w:val="top"/>
          </w:tcPr>
          <w:p w14:paraId="1CD64E39">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3D87A15F">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诺托、</w:t>
            </w:r>
            <w:r>
              <w:rPr>
                <w:rFonts w:hint="eastAsia" w:ascii="宋体" w:hAnsi="宋体"/>
                <w:color w:val="auto"/>
                <w:szCs w:val="21"/>
                <w:highlight w:val="none"/>
              </w:rPr>
              <w:t>丝吉利娅、格屋</w:t>
            </w:r>
            <w:r>
              <w:rPr>
                <w:rFonts w:hint="eastAsia" w:ascii="宋体" w:hAnsi="宋体"/>
                <w:color w:val="auto"/>
                <w:kern w:val="0"/>
                <w:szCs w:val="21"/>
                <w:highlight w:val="none"/>
              </w:rPr>
              <w:t>等同档次品牌</w:t>
            </w:r>
          </w:p>
        </w:tc>
        <w:tc>
          <w:tcPr>
            <w:tcW w:w="0" w:type="auto"/>
            <w:tcBorders>
              <w:top w:val="single" w:color="auto" w:sz="4" w:space="0"/>
              <w:left w:val="single" w:color="auto" w:sz="4" w:space="0"/>
              <w:bottom w:val="single" w:color="auto" w:sz="4" w:space="0"/>
              <w:right w:val="single" w:color="auto" w:sz="4" w:space="0"/>
            </w:tcBorders>
            <w:noWrap w:val="0"/>
            <w:vAlign w:val="top"/>
          </w:tcPr>
          <w:p w14:paraId="4B8CD3D3">
            <w:pPr>
              <w:keepNext w:val="0"/>
              <w:keepLines w:val="0"/>
              <w:suppressLineNumbers w:val="0"/>
              <w:spacing w:before="0" w:beforeAutospacing="0" w:after="0" w:afterAutospacing="0"/>
              <w:ind w:left="0" w:right="0"/>
              <w:jc w:val="center"/>
              <w:outlineLvl w:val="9"/>
              <w:rPr>
                <w:rFonts w:hint="eastAsia" w:ascii="宋体" w:hAnsi="宋体" w:eastAsia="宋体" w:cs="Times New Roman"/>
                <w:color w:val="auto"/>
                <w:kern w:val="0"/>
                <w:sz w:val="21"/>
                <w:szCs w:val="21"/>
                <w:highlight w:val="none"/>
                <w:lang w:val="en-US" w:eastAsia="zh-CN" w:bidi="ar-SA"/>
              </w:rPr>
            </w:pPr>
          </w:p>
        </w:tc>
      </w:tr>
      <w:tr w14:paraId="3C2E521E">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3BA00AC5">
            <w:pPr>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lang w:val="en-US" w:eastAsia="zh-CN"/>
              </w:rPr>
              <w:t>18</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613D272C">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玻璃</w:t>
            </w:r>
          </w:p>
        </w:tc>
        <w:tc>
          <w:tcPr>
            <w:tcW w:w="0" w:type="auto"/>
            <w:tcBorders>
              <w:top w:val="single" w:color="auto" w:sz="4" w:space="0"/>
              <w:left w:val="single" w:color="auto" w:sz="4" w:space="0"/>
              <w:bottom w:val="single" w:color="auto" w:sz="4" w:space="0"/>
              <w:right w:val="single" w:color="auto" w:sz="4" w:space="0"/>
            </w:tcBorders>
            <w:noWrap w:val="0"/>
            <w:vAlign w:val="top"/>
          </w:tcPr>
          <w:p w14:paraId="75B0A4CE">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0944F70C">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南玻、信义、耀皮、台玻、洛玻、北玻、金晶、旗滨等同档次品牌</w:t>
            </w:r>
          </w:p>
        </w:tc>
        <w:tc>
          <w:tcPr>
            <w:tcW w:w="0" w:type="auto"/>
            <w:tcBorders>
              <w:top w:val="single" w:color="auto" w:sz="4" w:space="0"/>
              <w:left w:val="single" w:color="auto" w:sz="4" w:space="0"/>
              <w:bottom w:val="single" w:color="auto" w:sz="4" w:space="0"/>
              <w:right w:val="single" w:color="auto" w:sz="4" w:space="0"/>
            </w:tcBorders>
            <w:noWrap w:val="0"/>
            <w:vAlign w:val="top"/>
          </w:tcPr>
          <w:p w14:paraId="72D4ED64">
            <w:pPr>
              <w:keepNext w:val="0"/>
              <w:keepLines w:val="0"/>
              <w:suppressLineNumbers w:val="0"/>
              <w:spacing w:before="0" w:beforeAutospacing="0" w:after="0" w:afterAutospacing="0"/>
              <w:ind w:left="0" w:right="0"/>
              <w:jc w:val="center"/>
              <w:outlineLvl w:val="9"/>
              <w:rPr>
                <w:rFonts w:hint="eastAsia" w:ascii="宋体" w:hAnsi="宋体" w:eastAsia="宋体" w:cs="Times New Roman"/>
                <w:color w:val="auto"/>
                <w:kern w:val="0"/>
                <w:sz w:val="21"/>
                <w:szCs w:val="21"/>
                <w:highlight w:val="none"/>
                <w:lang w:val="en-US" w:eastAsia="zh-CN" w:bidi="ar-SA"/>
              </w:rPr>
            </w:pPr>
          </w:p>
        </w:tc>
      </w:tr>
      <w:tr w14:paraId="02DD2A65">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24590820">
            <w:pPr>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lang w:val="en-US" w:eastAsia="zh-CN"/>
              </w:rPr>
              <w:t>19</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6BD5A144">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密封胶、耐候胶、结构胶</w:t>
            </w:r>
          </w:p>
        </w:tc>
        <w:tc>
          <w:tcPr>
            <w:tcW w:w="0" w:type="auto"/>
            <w:tcBorders>
              <w:top w:val="single" w:color="auto" w:sz="4" w:space="0"/>
              <w:left w:val="single" w:color="auto" w:sz="4" w:space="0"/>
              <w:bottom w:val="single" w:color="auto" w:sz="4" w:space="0"/>
              <w:right w:val="single" w:color="auto" w:sz="4" w:space="0"/>
            </w:tcBorders>
            <w:noWrap w:val="0"/>
            <w:vAlign w:val="top"/>
          </w:tcPr>
          <w:p w14:paraId="6EEB1E2C">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1B2D5385">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陶熙</w:t>
            </w:r>
            <w:r>
              <w:rPr>
                <w:rFonts w:hint="eastAsia" w:ascii="宋体" w:hAnsi="宋体"/>
                <w:color w:val="auto"/>
                <w:kern w:val="0"/>
                <w:szCs w:val="21"/>
                <w:highlight w:val="none"/>
              </w:rPr>
              <w:t>、之江、白云、硅宝、安泰等同档次品牌</w:t>
            </w:r>
          </w:p>
        </w:tc>
        <w:tc>
          <w:tcPr>
            <w:tcW w:w="0" w:type="auto"/>
            <w:tcBorders>
              <w:top w:val="single" w:color="auto" w:sz="4" w:space="0"/>
              <w:left w:val="single" w:color="auto" w:sz="4" w:space="0"/>
              <w:bottom w:val="single" w:color="auto" w:sz="4" w:space="0"/>
              <w:right w:val="single" w:color="auto" w:sz="4" w:space="0"/>
            </w:tcBorders>
            <w:noWrap w:val="0"/>
            <w:vAlign w:val="top"/>
          </w:tcPr>
          <w:p w14:paraId="14058E0C">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p>
        </w:tc>
      </w:tr>
      <w:tr w14:paraId="44B1B656">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7DA8A1A7">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2</w:t>
            </w:r>
            <w:r>
              <w:rPr>
                <w:rFonts w:hint="eastAsia" w:ascii="宋体" w:hAnsi="宋体"/>
                <w:color w:val="auto"/>
                <w:kern w:val="0"/>
                <w:szCs w:val="21"/>
                <w:highlight w:val="none"/>
                <w:lang w:val="en-US" w:eastAsia="zh-CN"/>
              </w:rPr>
              <w:t>0</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77C69C7">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三元乙丙胶条</w:t>
            </w:r>
          </w:p>
        </w:tc>
        <w:tc>
          <w:tcPr>
            <w:tcW w:w="0" w:type="auto"/>
            <w:tcBorders>
              <w:top w:val="single" w:color="auto" w:sz="4" w:space="0"/>
              <w:left w:val="single" w:color="auto" w:sz="4" w:space="0"/>
              <w:bottom w:val="single" w:color="auto" w:sz="4" w:space="0"/>
              <w:right w:val="single" w:color="auto" w:sz="4" w:space="0"/>
            </w:tcBorders>
            <w:noWrap w:val="0"/>
            <w:vAlign w:val="top"/>
          </w:tcPr>
          <w:p w14:paraId="04C64192">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2A93BEAB">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海达、美德、新安东、瑞易得等同档次品牌</w:t>
            </w:r>
          </w:p>
        </w:tc>
        <w:tc>
          <w:tcPr>
            <w:tcW w:w="0" w:type="auto"/>
            <w:tcBorders>
              <w:top w:val="single" w:color="auto" w:sz="4" w:space="0"/>
              <w:left w:val="single" w:color="auto" w:sz="4" w:space="0"/>
              <w:bottom w:val="single" w:color="auto" w:sz="4" w:space="0"/>
              <w:right w:val="single" w:color="auto" w:sz="4" w:space="0"/>
            </w:tcBorders>
            <w:noWrap w:val="0"/>
            <w:vAlign w:val="top"/>
          </w:tcPr>
          <w:p w14:paraId="1A82AD01">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p>
        </w:tc>
      </w:tr>
      <w:tr w14:paraId="73C4BDE2">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6938F678">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2</w:t>
            </w:r>
            <w:r>
              <w:rPr>
                <w:rFonts w:hint="eastAsia" w:ascii="宋体" w:hAnsi="宋体"/>
                <w:color w:val="auto"/>
                <w:kern w:val="0"/>
                <w:szCs w:val="21"/>
                <w:highlight w:val="none"/>
                <w:lang w:val="en-US" w:eastAsia="zh-CN"/>
              </w:rPr>
              <w:t>1</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104C6A4E">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隔热条</w:t>
            </w:r>
          </w:p>
        </w:tc>
        <w:tc>
          <w:tcPr>
            <w:tcW w:w="0" w:type="auto"/>
            <w:tcBorders>
              <w:top w:val="single" w:color="auto" w:sz="4" w:space="0"/>
              <w:left w:val="single" w:color="auto" w:sz="4" w:space="0"/>
              <w:bottom w:val="single" w:color="auto" w:sz="4" w:space="0"/>
              <w:right w:val="single" w:color="auto" w:sz="4" w:space="0"/>
            </w:tcBorders>
            <w:noWrap w:val="0"/>
            <w:vAlign w:val="top"/>
          </w:tcPr>
          <w:p w14:paraId="4492610C">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065F52EF">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泰诺风、白云易乐、优泰</w:t>
            </w:r>
            <w:r>
              <w:rPr>
                <w:rFonts w:hint="eastAsia" w:ascii="宋体" w:hAnsi="宋体"/>
                <w:color w:val="auto"/>
                <w:spacing w:val="-4"/>
                <w:szCs w:val="21"/>
                <w:highlight w:val="none"/>
              </w:rPr>
              <w:t>、源发</w:t>
            </w:r>
            <w:r>
              <w:rPr>
                <w:rFonts w:hint="eastAsia" w:ascii="宋体" w:hAnsi="宋体"/>
                <w:color w:val="auto"/>
                <w:szCs w:val="21"/>
                <w:highlight w:val="none"/>
              </w:rPr>
              <w:t>等同档次品牌</w:t>
            </w:r>
          </w:p>
        </w:tc>
        <w:tc>
          <w:tcPr>
            <w:tcW w:w="0" w:type="auto"/>
            <w:tcBorders>
              <w:top w:val="single" w:color="auto" w:sz="4" w:space="0"/>
              <w:left w:val="single" w:color="auto" w:sz="4" w:space="0"/>
              <w:bottom w:val="single" w:color="auto" w:sz="4" w:space="0"/>
              <w:right w:val="single" w:color="auto" w:sz="4" w:space="0"/>
            </w:tcBorders>
            <w:noWrap w:val="0"/>
            <w:vAlign w:val="top"/>
          </w:tcPr>
          <w:p w14:paraId="25374DF6">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p>
        </w:tc>
      </w:tr>
      <w:tr w14:paraId="7CA84AAF">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1E8865A4">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2</w:t>
            </w:r>
            <w:r>
              <w:rPr>
                <w:rFonts w:hint="eastAsia" w:ascii="宋体" w:hAnsi="宋体"/>
                <w:color w:val="auto"/>
                <w:kern w:val="0"/>
                <w:szCs w:val="21"/>
                <w:highlight w:val="none"/>
                <w:lang w:val="en-US" w:eastAsia="zh-CN"/>
              </w:rPr>
              <w:t>2</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1CB7D7FB">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玻璃暖边间隔条</w:t>
            </w:r>
          </w:p>
        </w:tc>
        <w:tc>
          <w:tcPr>
            <w:tcW w:w="0" w:type="auto"/>
            <w:tcBorders>
              <w:top w:val="single" w:color="auto" w:sz="4" w:space="0"/>
              <w:left w:val="single" w:color="auto" w:sz="4" w:space="0"/>
              <w:bottom w:val="single" w:color="auto" w:sz="4" w:space="0"/>
              <w:right w:val="single" w:color="auto" w:sz="4" w:space="0"/>
            </w:tcBorders>
            <w:noWrap w:val="0"/>
            <w:vAlign w:val="top"/>
          </w:tcPr>
          <w:p w14:paraId="3B1E7EB2">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536AA3D2">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泰诺风、阿鲁普、李赛克等同档次品牌</w:t>
            </w:r>
          </w:p>
        </w:tc>
        <w:tc>
          <w:tcPr>
            <w:tcW w:w="0" w:type="auto"/>
            <w:tcBorders>
              <w:top w:val="single" w:color="auto" w:sz="4" w:space="0"/>
              <w:left w:val="single" w:color="auto" w:sz="4" w:space="0"/>
              <w:bottom w:val="single" w:color="auto" w:sz="4" w:space="0"/>
              <w:right w:val="single" w:color="auto" w:sz="4" w:space="0"/>
            </w:tcBorders>
            <w:noWrap w:val="0"/>
            <w:vAlign w:val="top"/>
          </w:tcPr>
          <w:p w14:paraId="700298E0">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p>
        </w:tc>
      </w:tr>
      <w:tr w14:paraId="3F73B842">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62A50E5A">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2</w:t>
            </w:r>
            <w:r>
              <w:rPr>
                <w:rFonts w:hint="eastAsia" w:ascii="宋体" w:hAnsi="宋体"/>
                <w:color w:val="auto"/>
                <w:kern w:val="0"/>
                <w:szCs w:val="21"/>
                <w:highlight w:val="none"/>
                <w:lang w:val="en-US" w:eastAsia="zh-CN"/>
              </w:rPr>
              <w:t>3</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05A36DB1">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聚氨酯</w:t>
            </w:r>
            <w:r>
              <w:rPr>
                <w:rFonts w:hint="eastAsia" w:ascii="宋体" w:hAnsi="宋体"/>
                <w:color w:val="auto"/>
                <w:kern w:val="0"/>
                <w:szCs w:val="21"/>
                <w:highlight w:val="none"/>
              </w:rPr>
              <w:t>发泡剂</w:t>
            </w:r>
          </w:p>
        </w:tc>
        <w:tc>
          <w:tcPr>
            <w:tcW w:w="0" w:type="auto"/>
            <w:tcBorders>
              <w:top w:val="single" w:color="auto" w:sz="4" w:space="0"/>
              <w:left w:val="single" w:color="auto" w:sz="4" w:space="0"/>
              <w:bottom w:val="single" w:color="auto" w:sz="4" w:space="0"/>
              <w:right w:val="single" w:color="auto" w:sz="4" w:space="0"/>
            </w:tcBorders>
            <w:noWrap w:val="0"/>
            <w:vAlign w:val="top"/>
          </w:tcPr>
          <w:p w14:paraId="387F898B">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7AAECCEB">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桑莱斯、三泰、固诺、威固等同档次品牌</w:t>
            </w:r>
          </w:p>
        </w:tc>
        <w:tc>
          <w:tcPr>
            <w:tcW w:w="0" w:type="auto"/>
            <w:tcBorders>
              <w:top w:val="single" w:color="auto" w:sz="4" w:space="0"/>
              <w:left w:val="single" w:color="auto" w:sz="4" w:space="0"/>
              <w:bottom w:val="single" w:color="auto" w:sz="4" w:space="0"/>
              <w:right w:val="single" w:color="auto" w:sz="4" w:space="0"/>
            </w:tcBorders>
            <w:noWrap w:val="0"/>
            <w:vAlign w:val="top"/>
          </w:tcPr>
          <w:p w14:paraId="6A37F564">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p>
        </w:tc>
      </w:tr>
      <w:tr w14:paraId="31A1E23A">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28CB765E">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2</w:t>
            </w:r>
            <w:r>
              <w:rPr>
                <w:rFonts w:hint="eastAsia" w:ascii="宋体" w:hAnsi="宋体"/>
                <w:color w:val="auto"/>
                <w:szCs w:val="21"/>
                <w:highlight w:val="none"/>
                <w:lang w:val="en-US" w:eastAsia="zh-CN"/>
              </w:rPr>
              <w:t>4</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79E254A3">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铝单板/铝塑板</w:t>
            </w:r>
          </w:p>
        </w:tc>
        <w:tc>
          <w:tcPr>
            <w:tcW w:w="0" w:type="auto"/>
            <w:tcBorders>
              <w:top w:val="single" w:color="auto" w:sz="4" w:space="0"/>
              <w:left w:val="single" w:color="auto" w:sz="4" w:space="0"/>
              <w:bottom w:val="single" w:color="auto" w:sz="4" w:space="0"/>
              <w:right w:val="single" w:color="auto" w:sz="4" w:space="0"/>
            </w:tcBorders>
            <w:noWrap w:val="0"/>
            <w:vAlign w:val="top"/>
          </w:tcPr>
          <w:p w14:paraId="7E471768">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0B682EBF">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蓝天七色、方大、海达、墙煌、银三岩、中港、金铝、铝幕、润星等同档次品牌</w:t>
            </w:r>
          </w:p>
        </w:tc>
        <w:tc>
          <w:tcPr>
            <w:tcW w:w="0" w:type="auto"/>
            <w:tcBorders>
              <w:top w:val="single" w:color="auto" w:sz="4" w:space="0"/>
              <w:left w:val="single" w:color="auto" w:sz="4" w:space="0"/>
              <w:bottom w:val="single" w:color="auto" w:sz="4" w:space="0"/>
              <w:right w:val="single" w:color="auto" w:sz="4" w:space="0"/>
            </w:tcBorders>
            <w:noWrap w:val="0"/>
            <w:vAlign w:val="top"/>
          </w:tcPr>
          <w:p w14:paraId="706F0D70">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p>
        </w:tc>
      </w:tr>
      <w:tr w14:paraId="0DEF869C">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0C2FD509">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2</w:t>
            </w:r>
            <w:r>
              <w:rPr>
                <w:rFonts w:hint="eastAsia" w:ascii="宋体" w:hAnsi="宋体"/>
                <w:color w:val="auto"/>
                <w:szCs w:val="21"/>
                <w:highlight w:val="none"/>
                <w:lang w:val="en-US" w:eastAsia="zh-CN"/>
              </w:rPr>
              <w:t>5</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6357A14A">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铝型材/铝单板表面处理</w:t>
            </w:r>
          </w:p>
        </w:tc>
        <w:tc>
          <w:tcPr>
            <w:tcW w:w="0" w:type="auto"/>
            <w:tcBorders>
              <w:top w:val="single" w:color="auto" w:sz="4" w:space="0"/>
              <w:left w:val="single" w:color="auto" w:sz="4" w:space="0"/>
              <w:bottom w:val="single" w:color="auto" w:sz="4" w:space="0"/>
              <w:right w:val="single" w:color="auto" w:sz="4" w:space="0"/>
            </w:tcBorders>
            <w:noWrap w:val="0"/>
            <w:vAlign w:val="top"/>
          </w:tcPr>
          <w:p w14:paraId="56758ABD">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19665D82">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阿克苏诺贝尔、PPG、老虎等同档次品牌</w:t>
            </w:r>
          </w:p>
        </w:tc>
        <w:tc>
          <w:tcPr>
            <w:tcW w:w="0" w:type="auto"/>
            <w:tcBorders>
              <w:top w:val="single" w:color="auto" w:sz="4" w:space="0"/>
              <w:left w:val="single" w:color="auto" w:sz="4" w:space="0"/>
              <w:bottom w:val="single" w:color="auto" w:sz="4" w:space="0"/>
              <w:right w:val="single" w:color="auto" w:sz="4" w:space="0"/>
            </w:tcBorders>
            <w:noWrap w:val="0"/>
            <w:vAlign w:val="top"/>
          </w:tcPr>
          <w:p w14:paraId="3AF75498">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p>
        </w:tc>
      </w:tr>
      <w:tr w14:paraId="07A225DC">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53EE0DD8">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2</w:t>
            </w:r>
            <w:r>
              <w:rPr>
                <w:rFonts w:hint="eastAsia" w:ascii="宋体" w:hAnsi="宋体"/>
                <w:color w:val="auto"/>
                <w:kern w:val="0"/>
                <w:szCs w:val="21"/>
                <w:highlight w:val="none"/>
                <w:lang w:val="en-US" w:eastAsia="zh-CN"/>
              </w:rPr>
              <w:t>6</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6220DF5B">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泡沫棒</w:t>
            </w:r>
          </w:p>
        </w:tc>
        <w:tc>
          <w:tcPr>
            <w:tcW w:w="0" w:type="auto"/>
            <w:tcBorders>
              <w:top w:val="single" w:color="auto" w:sz="4" w:space="0"/>
              <w:left w:val="single" w:color="auto" w:sz="4" w:space="0"/>
              <w:bottom w:val="single" w:color="auto" w:sz="4" w:space="0"/>
              <w:right w:val="single" w:color="auto" w:sz="4" w:space="0"/>
            </w:tcBorders>
            <w:noWrap w:val="0"/>
            <w:vAlign w:val="top"/>
          </w:tcPr>
          <w:p w14:paraId="2086BF4E">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47238FA3">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kern w:val="0"/>
                <w:szCs w:val="21"/>
                <w:highlight w:val="none"/>
              </w:rPr>
              <w:t>/</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4472270A">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p>
        </w:tc>
      </w:tr>
      <w:tr w14:paraId="328BE978">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53936490">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2</w:t>
            </w:r>
            <w:r>
              <w:rPr>
                <w:rFonts w:hint="eastAsia" w:ascii="宋体" w:hAnsi="宋体"/>
                <w:color w:val="auto"/>
                <w:szCs w:val="21"/>
                <w:highlight w:val="none"/>
                <w:lang w:val="en-US" w:eastAsia="zh-CN"/>
              </w:rPr>
              <w:t>7</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4E86D202">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砂浆、网格布、锚栓</w:t>
            </w:r>
          </w:p>
        </w:tc>
        <w:tc>
          <w:tcPr>
            <w:tcW w:w="0" w:type="auto"/>
            <w:tcBorders>
              <w:top w:val="single" w:color="auto" w:sz="4" w:space="0"/>
              <w:left w:val="single" w:color="auto" w:sz="4" w:space="0"/>
              <w:bottom w:val="single" w:color="auto" w:sz="4" w:space="0"/>
              <w:right w:val="single" w:color="auto" w:sz="4" w:space="0"/>
            </w:tcBorders>
            <w:noWrap w:val="0"/>
            <w:vAlign w:val="top"/>
          </w:tcPr>
          <w:p w14:paraId="507A922A">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65B9DE01">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STO、秦恒、亚士、蓝星等同档次品牌</w:t>
            </w:r>
          </w:p>
        </w:tc>
        <w:tc>
          <w:tcPr>
            <w:tcW w:w="0" w:type="auto"/>
            <w:tcBorders>
              <w:top w:val="single" w:color="auto" w:sz="4" w:space="0"/>
              <w:left w:val="single" w:color="auto" w:sz="4" w:space="0"/>
              <w:bottom w:val="single" w:color="auto" w:sz="4" w:space="0"/>
              <w:right w:val="single" w:color="auto" w:sz="4" w:space="0"/>
            </w:tcBorders>
            <w:noWrap w:val="0"/>
            <w:vAlign w:val="top"/>
          </w:tcPr>
          <w:p w14:paraId="532DE098">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p>
        </w:tc>
      </w:tr>
      <w:tr w14:paraId="4B9B0DCF">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771B886D">
            <w:pPr>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lang w:val="en-US" w:eastAsia="zh-CN"/>
              </w:rPr>
              <w:t>28</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2AED7E25">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外墙涂料</w:t>
            </w:r>
          </w:p>
        </w:tc>
        <w:tc>
          <w:tcPr>
            <w:tcW w:w="0" w:type="auto"/>
            <w:tcBorders>
              <w:top w:val="single" w:color="auto" w:sz="4" w:space="0"/>
              <w:left w:val="single" w:color="auto" w:sz="4" w:space="0"/>
              <w:bottom w:val="single" w:color="auto" w:sz="4" w:space="0"/>
              <w:right w:val="single" w:color="auto" w:sz="4" w:space="0"/>
            </w:tcBorders>
            <w:noWrap w:val="0"/>
            <w:vAlign w:val="top"/>
          </w:tcPr>
          <w:p w14:paraId="4D4F75B5">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04F682AE">
            <w:pPr>
              <w:keepNext w:val="0"/>
              <w:keepLines w:val="0"/>
              <w:suppressLineNumbers w:val="0"/>
              <w:spacing w:before="0" w:beforeAutospacing="0" w:after="0" w:afterAutospacing="0" w:line="360" w:lineRule="auto"/>
              <w:ind w:left="0" w:right="0"/>
              <w:contextualSpacing/>
              <w:jc w:val="center"/>
              <w:outlineLvl w:val="9"/>
              <w:rPr>
                <w:rFonts w:hint="eastAsia" w:ascii="宋体" w:hAnsi="宋体"/>
                <w:color w:val="auto"/>
                <w:szCs w:val="21"/>
                <w:highlight w:val="none"/>
              </w:rPr>
            </w:pPr>
            <w:r>
              <w:rPr>
                <w:rFonts w:hint="eastAsia" w:ascii="宋体" w:hAnsi="宋体"/>
                <w:color w:val="auto"/>
                <w:szCs w:val="21"/>
                <w:highlight w:val="none"/>
              </w:rPr>
              <w:t>SKK、STO、申纽丽、立邦、多乐士、铃鹿、</w:t>
            </w:r>
          </w:p>
          <w:p w14:paraId="3FE17EA7">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三棵树、久诺、亚士、固克、</w:t>
            </w:r>
            <w:r>
              <w:rPr>
                <w:rFonts w:hint="eastAsia" w:ascii="宋体" w:hAnsi="宋体"/>
                <w:color w:val="auto"/>
                <w:szCs w:val="21"/>
                <w:highlight w:val="none"/>
                <w:lang w:val="en-US" w:eastAsia="zh-CN"/>
              </w:rPr>
              <w:t>富思特、</w:t>
            </w:r>
            <w:r>
              <w:rPr>
                <w:rFonts w:hint="eastAsia" w:ascii="宋体" w:hAnsi="宋体"/>
                <w:color w:val="auto"/>
                <w:szCs w:val="21"/>
                <w:highlight w:val="none"/>
              </w:rPr>
              <w:t>嘉宝莉等同档次品牌</w:t>
            </w:r>
          </w:p>
        </w:tc>
        <w:tc>
          <w:tcPr>
            <w:tcW w:w="0" w:type="auto"/>
            <w:tcBorders>
              <w:top w:val="single" w:color="auto" w:sz="4" w:space="0"/>
              <w:left w:val="single" w:color="auto" w:sz="4" w:space="0"/>
              <w:bottom w:val="single" w:color="auto" w:sz="4" w:space="0"/>
              <w:right w:val="single" w:color="auto" w:sz="4" w:space="0"/>
            </w:tcBorders>
            <w:noWrap w:val="0"/>
            <w:vAlign w:val="top"/>
          </w:tcPr>
          <w:p w14:paraId="1EAF9741">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p>
        </w:tc>
      </w:tr>
      <w:tr w14:paraId="65437F6F">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4847C9DD">
            <w:pPr>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lang w:val="en-US" w:eastAsia="zh-CN"/>
              </w:rPr>
              <w:t>29</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2ABC5A69">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腻子</w:t>
            </w:r>
          </w:p>
        </w:tc>
        <w:tc>
          <w:tcPr>
            <w:tcW w:w="0" w:type="auto"/>
            <w:tcBorders>
              <w:top w:val="single" w:color="auto" w:sz="4" w:space="0"/>
              <w:left w:val="single" w:color="auto" w:sz="4" w:space="0"/>
              <w:bottom w:val="single" w:color="auto" w:sz="4" w:space="0"/>
              <w:right w:val="single" w:color="auto" w:sz="4" w:space="0"/>
            </w:tcBorders>
            <w:noWrap w:val="0"/>
            <w:vAlign w:val="top"/>
          </w:tcPr>
          <w:p w14:paraId="734BA2E0">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66B55361">
            <w:pPr>
              <w:keepNext w:val="0"/>
              <w:keepLines w:val="0"/>
              <w:suppressLineNumbers w:val="0"/>
              <w:spacing w:before="0" w:beforeAutospacing="0" w:after="0" w:afterAutospacing="0" w:line="360" w:lineRule="auto"/>
              <w:ind w:left="0" w:right="0"/>
              <w:contextualSpacing/>
              <w:jc w:val="center"/>
              <w:outlineLvl w:val="9"/>
              <w:rPr>
                <w:rFonts w:hint="eastAsia" w:ascii="宋体" w:hAnsi="宋体"/>
                <w:color w:val="auto"/>
                <w:szCs w:val="21"/>
                <w:highlight w:val="none"/>
              </w:rPr>
            </w:pPr>
            <w:r>
              <w:rPr>
                <w:rFonts w:hint="eastAsia" w:ascii="宋体" w:hAnsi="宋体"/>
                <w:color w:val="auto"/>
                <w:szCs w:val="21"/>
                <w:highlight w:val="none"/>
              </w:rPr>
              <w:t>SKK、STO、申纽丽、立邦、多乐士、铃鹿、</w:t>
            </w:r>
          </w:p>
          <w:p w14:paraId="3DE539E1">
            <w:pPr>
              <w:keepNext w:val="0"/>
              <w:keepLines w:val="0"/>
              <w:suppressLineNumbers w:val="0"/>
              <w:spacing w:before="0" w:beforeAutospacing="0" w:after="0" w:afterAutospacing="0"/>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olor w:val="auto"/>
                <w:szCs w:val="21"/>
                <w:highlight w:val="none"/>
              </w:rPr>
              <w:t>三棵树、久诺、亚士、固克、</w:t>
            </w:r>
            <w:r>
              <w:rPr>
                <w:rFonts w:hint="eastAsia" w:ascii="宋体" w:hAnsi="宋体"/>
                <w:color w:val="auto"/>
                <w:szCs w:val="21"/>
                <w:highlight w:val="none"/>
                <w:lang w:val="en-US" w:eastAsia="zh-CN"/>
              </w:rPr>
              <w:t>富思特、</w:t>
            </w:r>
            <w:r>
              <w:rPr>
                <w:rFonts w:hint="eastAsia" w:ascii="宋体" w:hAnsi="宋体"/>
                <w:color w:val="auto"/>
                <w:szCs w:val="21"/>
                <w:highlight w:val="none"/>
              </w:rPr>
              <w:t>嘉宝莉等同档次品牌</w:t>
            </w:r>
          </w:p>
        </w:tc>
        <w:tc>
          <w:tcPr>
            <w:tcW w:w="0" w:type="auto"/>
            <w:tcBorders>
              <w:top w:val="single" w:color="auto" w:sz="4" w:space="0"/>
              <w:left w:val="single" w:color="auto" w:sz="4" w:space="0"/>
              <w:bottom w:val="single" w:color="auto" w:sz="4" w:space="0"/>
              <w:right w:val="single" w:color="auto" w:sz="4" w:space="0"/>
            </w:tcBorders>
            <w:noWrap w:val="0"/>
            <w:vAlign w:val="top"/>
          </w:tcPr>
          <w:p w14:paraId="22E884E3">
            <w:pPr>
              <w:keepNext w:val="0"/>
              <w:keepLines w:val="0"/>
              <w:suppressLineNumbers w:val="0"/>
              <w:spacing w:before="0" w:beforeAutospacing="0" w:after="0" w:afterAutospacing="0" w:line="280" w:lineRule="exact"/>
              <w:ind w:left="0" w:right="0"/>
              <w:jc w:val="center"/>
              <w:outlineLvl w:val="9"/>
              <w:rPr>
                <w:rFonts w:hint="eastAsia" w:ascii="Times New Roman" w:hAnsi="Times New Roman" w:eastAsia="宋体" w:cs="Times New Roman"/>
                <w:color w:val="auto"/>
                <w:kern w:val="2"/>
                <w:sz w:val="21"/>
                <w:szCs w:val="21"/>
                <w:highlight w:val="none"/>
                <w:lang w:val="en-US" w:eastAsia="zh-CN" w:bidi="ar-SA"/>
              </w:rPr>
            </w:pPr>
          </w:p>
        </w:tc>
      </w:tr>
      <w:tr w14:paraId="0B1A9B0A">
        <w:tblPrEx>
          <w:tblCellMar>
            <w:top w:w="0" w:type="dxa"/>
            <w:left w:w="0" w:type="dxa"/>
            <w:bottom w:w="0" w:type="dxa"/>
            <w:right w:w="0" w:type="dxa"/>
          </w:tblCellMar>
        </w:tblPrEx>
        <w:trPr>
          <w:trHeight w:val="555" w:hRule="atLeast"/>
        </w:trPr>
        <w:tc>
          <w:tcPr>
            <w:tcW w:w="0" w:type="auto"/>
            <w:tcBorders>
              <w:top w:val="single" w:color="auto" w:sz="4" w:space="0"/>
              <w:left w:val="single" w:color="auto" w:sz="4" w:space="0"/>
              <w:bottom w:val="single" w:color="auto" w:sz="4" w:space="0"/>
              <w:right w:val="single" w:color="auto" w:sz="4" w:space="0"/>
            </w:tcBorders>
            <w:noWrap w:val="0"/>
            <w:vAlign w:val="center"/>
          </w:tcPr>
          <w:p w14:paraId="48ACA7B5">
            <w:pPr>
              <w:keepNext w:val="0"/>
              <w:keepLines w:val="0"/>
              <w:suppressLineNumbers w:val="0"/>
              <w:spacing w:before="0" w:beforeAutospacing="0" w:after="0" w:afterAutospacing="0"/>
              <w:ind w:left="0" w:right="0"/>
              <w:jc w:val="center"/>
              <w:outlineLvl w:val="9"/>
              <w:rPr>
                <w:rFonts w:hint="default" w:ascii="宋体" w:hAnsi="宋体" w:eastAsia="宋体" w:cs="Times New Roman"/>
                <w:color w:val="auto"/>
                <w:kern w:val="2"/>
                <w:sz w:val="21"/>
                <w:szCs w:val="21"/>
                <w:highlight w:val="none"/>
                <w:lang w:val="en-US" w:eastAsia="zh-CN" w:bidi="ar-SA"/>
              </w:rPr>
            </w:pPr>
            <w:r>
              <w:rPr>
                <w:rFonts w:hint="eastAsia" w:ascii="宋体" w:hAnsi="宋体"/>
                <w:color w:val="auto"/>
                <w:szCs w:val="21"/>
                <w:highlight w:val="none"/>
                <w:lang w:val="en-US" w:eastAsia="zh-CN"/>
              </w:rPr>
              <w:t>30</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3796D60">
            <w:pPr>
              <w:keepNext w:val="0"/>
              <w:keepLines w:val="0"/>
              <w:suppressLineNumbers w:val="0"/>
              <w:spacing w:before="0" w:beforeAutospacing="0" w:after="0" w:afterAutospacing="0"/>
              <w:ind w:left="0" w:right="0"/>
              <w:jc w:val="center"/>
              <w:outlineLvl w:val="9"/>
              <w:rPr>
                <w:rFonts w:hint="eastAsia" w:ascii="宋体" w:hAnsi="宋体" w:eastAsia="宋体" w:cs="Times New Roman"/>
                <w:color w:val="auto"/>
                <w:kern w:val="2"/>
                <w:sz w:val="21"/>
                <w:szCs w:val="21"/>
                <w:highlight w:val="none"/>
                <w:lang w:val="en-US" w:eastAsia="zh-CN" w:bidi="ar-SA"/>
              </w:rPr>
            </w:pPr>
            <w:r>
              <w:rPr>
                <w:rFonts w:hint="eastAsia" w:ascii="宋体" w:hAnsi="宋体"/>
                <w:color w:val="auto"/>
                <w:szCs w:val="21"/>
                <w:highlight w:val="none"/>
                <w:lang w:val="en-US" w:eastAsia="zh-CN"/>
              </w:rPr>
              <w:t>防火门</w:t>
            </w:r>
          </w:p>
        </w:tc>
        <w:tc>
          <w:tcPr>
            <w:tcW w:w="0" w:type="auto"/>
            <w:tcBorders>
              <w:top w:val="single" w:color="auto" w:sz="4" w:space="0"/>
              <w:left w:val="single" w:color="auto" w:sz="4" w:space="0"/>
              <w:bottom w:val="single" w:color="auto" w:sz="4" w:space="0"/>
              <w:right w:val="single" w:color="auto" w:sz="4" w:space="0"/>
            </w:tcBorders>
            <w:noWrap w:val="0"/>
            <w:vAlign w:val="top"/>
          </w:tcPr>
          <w:p w14:paraId="479DC062">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cs="宋体"/>
                <w:color w:val="auto"/>
                <w:kern w:val="0"/>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44466BDD">
            <w:pPr>
              <w:keepNext w:val="0"/>
              <w:keepLines w:val="0"/>
              <w:suppressLineNumbers w:val="0"/>
              <w:spacing w:before="0" w:beforeAutospacing="0" w:after="0" w:afterAutospacing="0"/>
              <w:ind w:left="0" w:right="0"/>
              <w:jc w:val="center"/>
              <w:outlineLvl w:val="9"/>
              <w:rPr>
                <w:rFonts w:hint="eastAsia" w:ascii="宋体" w:hAnsi="宋体" w:eastAsia="宋体" w:cs="Times New Roman"/>
                <w:color w:val="auto"/>
                <w:kern w:val="2"/>
                <w:sz w:val="21"/>
                <w:szCs w:val="21"/>
                <w:highlight w:val="none"/>
                <w:lang w:val="en-US" w:eastAsia="zh-CN" w:bidi="ar-SA"/>
              </w:rPr>
            </w:pPr>
            <w:r>
              <w:rPr>
                <w:rFonts w:hint="eastAsia" w:ascii="宋体" w:hAnsi="宋体"/>
                <w:color w:val="auto"/>
                <w:kern w:val="0"/>
                <w:szCs w:val="21"/>
                <w:highlight w:val="none"/>
                <w:lang w:val="en-US" w:eastAsia="zh-CN"/>
              </w:rPr>
              <w:t>美心</w:t>
            </w:r>
            <w:r>
              <w:rPr>
                <w:rFonts w:hint="eastAsia" w:ascii="宋体" w:hAnsi="宋体"/>
                <w:color w:val="auto"/>
                <w:kern w:val="0"/>
                <w:szCs w:val="21"/>
                <w:highlight w:val="none"/>
              </w:rPr>
              <w:t>、</w:t>
            </w:r>
            <w:r>
              <w:rPr>
                <w:rFonts w:hint="eastAsia" w:ascii="宋体" w:hAnsi="宋体"/>
                <w:color w:val="auto"/>
                <w:kern w:val="0"/>
                <w:szCs w:val="21"/>
                <w:highlight w:val="none"/>
                <w:lang w:val="en-US" w:eastAsia="zh-CN"/>
              </w:rPr>
              <w:t>黄河</w:t>
            </w:r>
            <w:r>
              <w:rPr>
                <w:rFonts w:hint="eastAsia" w:ascii="宋体" w:hAnsi="宋体"/>
                <w:color w:val="auto"/>
                <w:kern w:val="0"/>
                <w:szCs w:val="21"/>
                <w:highlight w:val="none"/>
              </w:rPr>
              <w:t>、</w:t>
            </w:r>
            <w:r>
              <w:rPr>
                <w:rFonts w:hint="eastAsia" w:ascii="宋体" w:hAnsi="宋体"/>
                <w:color w:val="auto"/>
                <w:kern w:val="0"/>
                <w:szCs w:val="21"/>
                <w:highlight w:val="none"/>
                <w:lang w:val="en-US" w:eastAsia="zh-CN"/>
              </w:rPr>
              <w:t>秦北、永安</w:t>
            </w:r>
            <w:r>
              <w:rPr>
                <w:rFonts w:hint="eastAsia" w:ascii="宋体" w:hAnsi="宋体"/>
                <w:color w:val="auto"/>
                <w:kern w:val="0"/>
                <w:szCs w:val="21"/>
                <w:highlight w:val="none"/>
              </w:rPr>
              <w:t>、</w:t>
            </w:r>
            <w:r>
              <w:rPr>
                <w:rFonts w:hint="eastAsia" w:ascii="宋体" w:hAnsi="宋体"/>
                <w:color w:val="auto"/>
                <w:kern w:val="0"/>
                <w:szCs w:val="21"/>
                <w:highlight w:val="none"/>
                <w:lang w:val="en-US" w:eastAsia="zh-CN"/>
              </w:rPr>
              <w:t>华中</w:t>
            </w:r>
            <w:r>
              <w:rPr>
                <w:rFonts w:hint="eastAsia" w:ascii="宋体" w:hAnsi="宋体"/>
                <w:color w:val="auto"/>
                <w:kern w:val="0"/>
                <w:szCs w:val="21"/>
                <w:highlight w:val="none"/>
              </w:rPr>
              <w:t>、</w:t>
            </w:r>
            <w:r>
              <w:rPr>
                <w:rFonts w:hint="eastAsia" w:ascii="宋体" w:hAnsi="宋体"/>
                <w:color w:val="auto"/>
                <w:kern w:val="0"/>
                <w:szCs w:val="21"/>
                <w:highlight w:val="none"/>
                <w:lang w:val="en-US" w:eastAsia="zh-CN"/>
              </w:rPr>
              <w:t>和乐</w:t>
            </w:r>
            <w:r>
              <w:rPr>
                <w:rFonts w:hint="eastAsia" w:ascii="宋体" w:hAnsi="宋体"/>
                <w:color w:val="auto"/>
                <w:kern w:val="0"/>
                <w:szCs w:val="21"/>
                <w:highlight w:val="none"/>
              </w:rPr>
              <w:t>、等同档次品牌</w:t>
            </w:r>
          </w:p>
        </w:tc>
        <w:tc>
          <w:tcPr>
            <w:tcW w:w="0" w:type="auto"/>
            <w:tcBorders>
              <w:top w:val="single" w:color="auto" w:sz="4" w:space="0"/>
              <w:left w:val="single" w:color="auto" w:sz="4" w:space="0"/>
              <w:bottom w:val="single" w:color="auto" w:sz="4" w:space="0"/>
              <w:right w:val="single" w:color="auto" w:sz="4" w:space="0"/>
            </w:tcBorders>
            <w:noWrap w:val="0"/>
            <w:vAlign w:val="top"/>
          </w:tcPr>
          <w:p w14:paraId="4569563D">
            <w:pPr>
              <w:keepNext w:val="0"/>
              <w:keepLines w:val="0"/>
              <w:suppressLineNumbers w:val="0"/>
              <w:spacing w:before="0" w:beforeAutospacing="0" w:after="0" w:afterAutospacing="0" w:line="280" w:lineRule="exact"/>
              <w:ind w:left="0" w:right="0"/>
              <w:jc w:val="center"/>
              <w:outlineLvl w:val="9"/>
              <w:rPr>
                <w:rFonts w:hint="eastAsia" w:ascii="Times New Roman" w:hAnsi="Times New Roman" w:eastAsia="宋体" w:cs="Times New Roman"/>
                <w:color w:val="auto"/>
                <w:kern w:val="2"/>
                <w:sz w:val="21"/>
                <w:szCs w:val="24"/>
                <w:highlight w:val="none"/>
                <w:lang w:val="en-US" w:eastAsia="zh-CN" w:bidi="ar-SA"/>
              </w:rPr>
            </w:pPr>
          </w:p>
        </w:tc>
      </w:tr>
    </w:tbl>
    <w:p w14:paraId="7CECE398">
      <w:pPr>
        <w:ind w:firstLine="482"/>
        <w:jc w:val="center"/>
        <w:outlineLvl w:val="9"/>
        <w:rPr>
          <w:rFonts w:ascii="宋体" w:hAnsi="宋体" w:eastAsia="宋体" w:cs="宋体"/>
          <w:b/>
          <w:color w:val="auto"/>
          <w:szCs w:val="21"/>
          <w:highlight w:val="none"/>
        </w:rPr>
      </w:pPr>
    </w:p>
    <w:p w14:paraId="24A0786A">
      <w:pPr>
        <w:pStyle w:val="22"/>
        <w:adjustRightInd w:val="0"/>
        <w:snapToGrid w:val="0"/>
        <w:spacing w:line="360" w:lineRule="auto"/>
        <w:ind w:firstLine="210" w:firstLineChars="100"/>
        <w:outlineLvl w:val="9"/>
        <w:rPr>
          <w:rFonts w:ascii="宋体" w:hAnsi="宋体" w:eastAsia="宋体"/>
          <w:color w:val="auto"/>
          <w:highlight w:val="none"/>
        </w:rPr>
      </w:pPr>
      <w:bookmarkStart w:id="732" w:name="OLE_LINK18"/>
      <w:r>
        <w:rPr>
          <w:rFonts w:hint="eastAsia" w:ascii="宋体" w:hAnsi="宋体" w:eastAsia="宋体"/>
          <w:color w:val="auto"/>
          <w:highlight w:val="none"/>
        </w:rPr>
        <w:t>备注：</w:t>
      </w:r>
    </w:p>
    <w:p w14:paraId="3C03C55D">
      <w:pPr>
        <w:pStyle w:val="22"/>
        <w:adjustRightInd w:val="0"/>
        <w:snapToGrid w:val="0"/>
        <w:spacing w:line="360" w:lineRule="auto"/>
        <w:ind w:firstLine="210" w:firstLineChars="100"/>
        <w:outlineLvl w:val="9"/>
        <w:rPr>
          <w:rFonts w:ascii="宋体" w:hAnsi="宋体" w:eastAsia="宋体"/>
          <w:color w:val="auto"/>
          <w:highlight w:val="none"/>
        </w:rPr>
      </w:pPr>
      <w:r>
        <w:rPr>
          <w:rFonts w:hint="eastAsia" w:ascii="宋体" w:hAnsi="宋体" w:eastAsia="宋体"/>
          <w:color w:val="auto"/>
          <w:highlight w:val="none"/>
        </w:rPr>
        <w:t>1、根据《中华人民共和国招标投标法实施条例》第三十二条及本项目实际情况，承包人所报材料档次应参照或相当于上表中所列任意一种品牌档次，上表未列的应由承包人采购的材料应满足国家相关标准及图纸设计要求。</w:t>
      </w:r>
    </w:p>
    <w:p w14:paraId="0729EFFC">
      <w:pPr>
        <w:pStyle w:val="22"/>
        <w:adjustRightInd w:val="0"/>
        <w:snapToGrid w:val="0"/>
        <w:spacing w:line="360" w:lineRule="auto"/>
        <w:ind w:firstLine="210" w:firstLineChars="100"/>
        <w:outlineLvl w:val="9"/>
        <w:rPr>
          <w:rFonts w:ascii="宋体" w:hAnsi="宋体" w:eastAsia="宋体"/>
          <w:color w:val="auto"/>
          <w:highlight w:val="none"/>
        </w:rPr>
      </w:pPr>
      <w:r>
        <w:rPr>
          <w:rFonts w:hint="eastAsia" w:ascii="宋体" w:hAnsi="宋体" w:eastAsia="宋体"/>
          <w:color w:val="auto"/>
          <w:highlight w:val="none"/>
        </w:rPr>
        <w:t>2、承包人必须将上述材料所选择品牌送样，经发包人认质并封样后方可采购。上表未列的应由承包人采购的材料，发包人认为需要认质的，经发包人认质并封样后方可采购。</w:t>
      </w:r>
    </w:p>
    <w:p w14:paraId="51B8543D">
      <w:pPr>
        <w:pStyle w:val="22"/>
        <w:snapToGrid w:val="0"/>
        <w:spacing w:line="480" w:lineRule="exact"/>
        <w:ind w:right="658" w:firstLine="210" w:firstLineChars="100"/>
        <w:outlineLvl w:val="9"/>
        <w:rPr>
          <w:rFonts w:ascii="宋体" w:hAnsi="宋体" w:eastAsia="宋体"/>
          <w:color w:val="auto"/>
          <w:highlight w:val="none"/>
        </w:rPr>
      </w:pPr>
      <w:r>
        <w:rPr>
          <w:rFonts w:hint="eastAsia" w:ascii="宋体" w:hAnsi="宋体" w:eastAsia="宋体"/>
          <w:color w:val="auto"/>
          <w:highlight w:val="none"/>
        </w:rPr>
        <w:t>3、本工程所有材料均应有相应的合格证书（材质报告、质量保证书）。</w:t>
      </w:r>
    </w:p>
    <w:bookmarkEnd w:id="732"/>
    <w:p w14:paraId="3688F871">
      <w:pPr>
        <w:adjustRightInd w:val="0"/>
        <w:snapToGrid w:val="0"/>
        <w:spacing w:line="360" w:lineRule="auto"/>
        <w:ind w:firstLine="420"/>
        <w:outlineLvl w:val="9"/>
        <w:rPr>
          <w:rFonts w:ascii="宋体" w:hAnsi="宋体" w:eastAsia="宋体" w:cs="宋体"/>
          <w:color w:val="auto"/>
          <w:kern w:val="0"/>
          <w:szCs w:val="21"/>
          <w:highlight w:val="none"/>
        </w:rPr>
      </w:pPr>
      <w:r>
        <w:rPr>
          <w:rFonts w:hint="eastAsia" w:ascii="宋体" w:hAnsi="宋体" w:eastAsia="宋体" w:cs="宋体"/>
          <w:color w:val="auto"/>
          <w:kern w:val="0"/>
          <w:szCs w:val="21"/>
          <w:highlight w:val="none"/>
        </w:rPr>
        <w:t>其它未列品牌的统一要求：</w:t>
      </w:r>
    </w:p>
    <w:p w14:paraId="575931D6">
      <w:pPr>
        <w:adjustRightInd w:val="0"/>
        <w:snapToGrid w:val="0"/>
        <w:spacing w:line="360" w:lineRule="auto"/>
        <w:ind w:firstLine="420"/>
        <w:outlineLvl w:val="9"/>
        <w:rPr>
          <w:rFonts w:ascii="宋体" w:hAnsi="宋体" w:eastAsia="宋体" w:cs="宋体"/>
          <w:color w:val="auto"/>
          <w:kern w:val="0"/>
          <w:szCs w:val="21"/>
          <w:highlight w:val="none"/>
        </w:rPr>
      </w:pPr>
      <w:r>
        <w:rPr>
          <w:rFonts w:hint="eastAsia" w:ascii="宋体" w:hAnsi="宋体" w:eastAsia="宋体" w:cs="宋体"/>
          <w:color w:val="auto"/>
          <w:kern w:val="0"/>
          <w:szCs w:val="21"/>
          <w:highlight w:val="none"/>
        </w:rPr>
        <w:t>（</w:t>
      </w:r>
      <w:r>
        <w:rPr>
          <w:rFonts w:ascii="宋体" w:hAnsi="宋体" w:eastAsia="宋体" w:cs="宋体"/>
          <w:color w:val="auto"/>
          <w:kern w:val="0"/>
          <w:szCs w:val="21"/>
          <w:highlight w:val="none"/>
        </w:rPr>
        <w:t>1）普通材料的要求：普通材料不作品牌要求，但应为国标产品，满足国家规范、标准及设计要求。</w:t>
      </w:r>
    </w:p>
    <w:p w14:paraId="61105D10">
      <w:pPr>
        <w:adjustRightInd w:val="0"/>
        <w:snapToGrid w:val="0"/>
        <w:spacing w:line="360" w:lineRule="auto"/>
        <w:ind w:firstLine="420"/>
        <w:outlineLvl w:val="9"/>
        <w:rPr>
          <w:rFonts w:ascii="宋体" w:hAnsi="宋体" w:eastAsia="宋体" w:cs="宋体"/>
          <w:color w:val="auto"/>
          <w:kern w:val="0"/>
          <w:szCs w:val="21"/>
          <w:highlight w:val="none"/>
        </w:rPr>
      </w:pPr>
      <w:r>
        <w:rPr>
          <w:rFonts w:hint="eastAsia" w:ascii="宋体" w:hAnsi="宋体" w:eastAsia="宋体" w:cs="宋体"/>
          <w:color w:val="auto"/>
          <w:kern w:val="0"/>
          <w:szCs w:val="21"/>
          <w:highlight w:val="none"/>
        </w:rPr>
        <w:t>（</w:t>
      </w:r>
      <w:r>
        <w:rPr>
          <w:rFonts w:ascii="宋体" w:hAnsi="宋体" w:eastAsia="宋体" w:cs="宋体"/>
          <w:color w:val="auto"/>
          <w:kern w:val="0"/>
          <w:szCs w:val="21"/>
          <w:highlight w:val="none"/>
        </w:rPr>
        <w:t>2）大宗材料、采购前确认:中标方须严格按照施工合同及设计要求，向招标组织方派驻的工程项目部提交施工所需大宗材料、采购的申请，工程项目部批准后,执行采购程序。中标方提交的材料采购申请包含：送审表，样品（如需）、使用部位、产品介绍、质量检验报告、合格证、生产厂家资质及业绩等。对不符合要求的材料，工程项目部有权拒绝使用。</w:t>
      </w:r>
    </w:p>
    <w:p w14:paraId="711B639A">
      <w:pPr>
        <w:adjustRightInd w:val="0"/>
        <w:snapToGrid w:val="0"/>
        <w:spacing w:line="360" w:lineRule="auto"/>
        <w:ind w:firstLine="420"/>
        <w:outlineLvl w:val="9"/>
        <w:rPr>
          <w:rFonts w:ascii="宋体" w:hAnsi="宋体" w:eastAsia="宋体" w:cs="宋体"/>
          <w:color w:val="auto"/>
          <w:kern w:val="0"/>
          <w:szCs w:val="21"/>
          <w:highlight w:val="none"/>
        </w:rPr>
      </w:pPr>
      <w:r>
        <w:rPr>
          <w:rFonts w:hint="eastAsia" w:ascii="宋体" w:hAnsi="宋体" w:eastAsia="宋体" w:cs="宋体"/>
          <w:color w:val="auto"/>
          <w:kern w:val="0"/>
          <w:szCs w:val="21"/>
          <w:highlight w:val="none"/>
        </w:rPr>
        <w:t>（</w:t>
      </w:r>
      <w:r>
        <w:rPr>
          <w:rFonts w:ascii="宋体" w:hAnsi="宋体" w:eastAsia="宋体" w:cs="宋体"/>
          <w:color w:val="auto"/>
          <w:kern w:val="0"/>
          <w:szCs w:val="21"/>
          <w:highlight w:val="none"/>
        </w:rPr>
        <w:t>3）材料到货确认：中标方应根据合同条款及现行的《建筑工程检测试验技术管理规范》，执行材料封样、采购、进场检验、抽样送检（如需），质保质料提交的相关规定，并组织材料到货四方验收（招标组织方派驻的工程项目、监理单位、施工单位、厂家（如需）），验收合格后，方可入场。</w:t>
      </w:r>
    </w:p>
    <w:p w14:paraId="6E165DDB">
      <w:pPr>
        <w:ind w:firstLine="480"/>
        <w:outlineLvl w:val="9"/>
        <w:rPr>
          <w:rFonts w:ascii="宋体" w:hAnsi="宋体" w:eastAsia="宋体" w:cs="宋体"/>
          <w:color w:val="auto"/>
          <w:szCs w:val="21"/>
          <w:highlight w:val="none"/>
        </w:rPr>
      </w:pPr>
      <w:r>
        <w:rPr>
          <w:rFonts w:ascii="宋体" w:hAnsi="宋体" w:eastAsia="宋体" w:cs="宋体"/>
          <w:color w:val="auto"/>
          <w:szCs w:val="21"/>
          <w:highlight w:val="none"/>
        </w:rPr>
        <w:br w:type="page"/>
      </w:r>
    </w:p>
    <w:p w14:paraId="3146CA73">
      <w:pPr>
        <w:spacing w:line="580" w:lineRule="exact"/>
        <w:ind w:left="480"/>
        <w:jc w:val="center"/>
        <w:rPr>
          <w:rFonts w:hint="eastAsia" w:ascii="宋体" w:hAnsi="宋体"/>
          <w:b/>
          <w:color w:val="auto"/>
          <w:sz w:val="28"/>
          <w:szCs w:val="28"/>
          <w:highlight w:val="none"/>
        </w:rPr>
      </w:pPr>
      <w:r>
        <w:rPr>
          <w:rFonts w:hint="eastAsia" w:ascii="宋体" w:hAnsi="宋体" w:cs="宋体"/>
          <w:b/>
          <w:color w:val="auto"/>
          <w:kern w:val="0"/>
          <w:sz w:val="28"/>
          <w:szCs w:val="28"/>
          <w:highlight w:val="none"/>
        </w:rPr>
        <w:t>配电箱技术要求及品牌要求</w:t>
      </w:r>
    </w:p>
    <w:p w14:paraId="01558D4B">
      <w:pPr>
        <w:ind w:firstLine="420" w:firstLineChars="200"/>
        <w:jc w:val="left"/>
        <w:rPr>
          <w:color w:val="auto"/>
          <w:szCs w:val="21"/>
          <w:highlight w:val="none"/>
        </w:rPr>
      </w:pPr>
      <w:r>
        <w:rPr>
          <w:rFonts w:hint="eastAsia"/>
          <w:color w:val="auto"/>
          <w:szCs w:val="21"/>
          <w:highlight w:val="none"/>
        </w:rPr>
        <w:t>1、配电箱配置及接线参见设计院配电系统图（供货范围不含住宅电表计量箱）。</w:t>
      </w:r>
    </w:p>
    <w:p w14:paraId="450D5C81">
      <w:pPr>
        <w:ind w:firstLine="420" w:firstLineChars="200"/>
        <w:jc w:val="left"/>
        <w:rPr>
          <w:color w:val="auto"/>
          <w:szCs w:val="21"/>
          <w:highlight w:val="none"/>
        </w:rPr>
      </w:pPr>
      <w:r>
        <w:rPr>
          <w:rFonts w:hint="eastAsia"/>
          <w:color w:val="auto"/>
          <w:szCs w:val="21"/>
          <w:highlight w:val="none"/>
        </w:rPr>
        <w:t>2、配电箱体要求采用冷轧钢板，钢板厚度要求如下：</w:t>
      </w:r>
    </w:p>
    <w:p w14:paraId="444D3D04">
      <w:pPr>
        <w:ind w:firstLine="420" w:firstLineChars="200"/>
        <w:jc w:val="left"/>
        <w:rPr>
          <w:color w:val="auto"/>
          <w:szCs w:val="21"/>
          <w:highlight w:val="none"/>
        </w:rPr>
      </w:pPr>
      <w:r>
        <w:rPr>
          <w:rFonts w:hint="eastAsia"/>
          <w:color w:val="auto"/>
          <w:szCs w:val="21"/>
          <w:highlight w:val="none"/>
        </w:rPr>
        <w:t>（1）小型照明箱24位以下箱体钢板厚度≥0.8mm，24位及以上箱体钢板厚度≥1.0mm。</w:t>
      </w:r>
    </w:p>
    <w:p w14:paraId="5E7C4053">
      <w:pPr>
        <w:ind w:firstLine="420" w:firstLineChars="200"/>
        <w:jc w:val="left"/>
        <w:rPr>
          <w:color w:val="auto"/>
          <w:szCs w:val="21"/>
          <w:highlight w:val="none"/>
        </w:rPr>
      </w:pPr>
      <w:r>
        <w:rPr>
          <w:rFonts w:hint="eastAsia"/>
          <w:color w:val="auto"/>
          <w:szCs w:val="21"/>
          <w:highlight w:val="none"/>
        </w:rPr>
        <w:t>（2）非标类配电箱长或宽度小于500mm时，箱体钢板厚度≥1.0mm；箱体长或宽度≥500mm时，钢板厚度≥1.2mm。</w:t>
      </w:r>
    </w:p>
    <w:p w14:paraId="32D364D1">
      <w:pPr>
        <w:ind w:firstLine="420" w:firstLineChars="200"/>
        <w:jc w:val="left"/>
        <w:rPr>
          <w:color w:val="auto"/>
          <w:szCs w:val="21"/>
          <w:highlight w:val="none"/>
        </w:rPr>
      </w:pPr>
      <w:r>
        <w:rPr>
          <w:rFonts w:hint="eastAsia"/>
          <w:color w:val="auto"/>
          <w:szCs w:val="21"/>
          <w:highlight w:val="none"/>
        </w:rPr>
        <w:t>（3）落地安装的柜体钢板厚度≥1.5mm。</w:t>
      </w:r>
    </w:p>
    <w:p w14:paraId="68FDA17F">
      <w:pPr>
        <w:ind w:firstLine="420" w:firstLineChars="200"/>
        <w:jc w:val="left"/>
        <w:rPr>
          <w:color w:val="auto"/>
          <w:szCs w:val="21"/>
          <w:highlight w:val="none"/>
        </w:rPr>
      </w:pPr>
      <w:r>
        <w:rPr>
          <w:rFonts w:hint="eastAsia"/>
          <w:color w:val="auto"/>
          <w:szCs w:val="21"/>
          <w:highlight w:val="none"/>
        </w:rPr>
        <w:t>3、箱体表面处理采用喷塑，表面漆层均匀、平整、完好，箱体颜色采用计算机灰（小型照明配电箱和弱电箱除外）。</w:t>
      </w:r>
    </w:p>
    <w:p w14:paraId="3B81D266">
      <w:pPr>
        <w:ind w:firstLine="420" w:firstLineChars="200"/>
        <w:jc w:val="left"/>
        <w:rPr>
          <w:color w:val="auto"/>
          <w:szCs w:val="21"/>
          <w:highlight w:val="none"/>
        </w:rPr>
      </w:pPr>
      <w:r>
        <w:rPr>
          <w:rFonts w:hint="eastAsia"/>
          <w:color w:val="auto"/>
          <w:szCs w:val="21"/>
          <w:highlight w:val="none"/>
        </w:rPr>
        <w:t>4、设计图中的户内照明配电箱和弱电多媒体箱参考</w:t>
      </w:r>
      <w:r>
        <w:rPr>
          <w:rFonts w:hint="eastAsia" w:ascii="宋体" w:hAnsi="宋体" w:cs="宋体"/>
          <w:color w:val="auto"/>
          <w:kern w:val="0"/>
          <w:szCs w:val="21"/>
          <w:highlight w:val="none"/>
        </w:rPr>
        <w:t>成都尤立科、成都科美家、西安瑞鼎特等</w:t>
      </w:r>
      <w:r>
        <w:rPr>
          <w:rFonts w:hint="eastAsia"/>
          <w:color w:val="auto"/>
          <w:szCs w:val="21"/>
          <w:highlight w:val="none"/>
        </w:rPr>
        <w:t>标准型成品箱，中标后采用的户内照明配电箱和弱电多媒体箱需要封样确认后再批量采购。</w:t>
      </w:r>
    </w:p>
    <w:p w14:paraId="7AE800C0">
      <w:pPr>
        <w:ind w:firstLine="420" w:firstLineChars="200"/>
        <w:jc w:val="left"/>
        <w:rPr>
          <w:color w:val="auto"/>
          <w:szCs w:val="21"/>
          <w:highlight w:val="none"/>
        </w:rPr>
      </w:pPr>
      <w:r>
        <w:rPr>
          <w:rFonts w:hint="eastAsia"/>
          <w:color w:val="auto"/>
          <w:szCs w:val="21"/>
          <w:highlight w:val="none"/>
        </w:rPr>
        <w:t>5、供货方根据甲方提供图纸中的进、出线电缆（电线）的规格型号，充分考虑进、出线缆接线的需要留足接线间隙（有必要时预留接线母排）；箱体内要有专用的接地和接零铜端子母排，满足二次接线的要求；设置的安装道轨便于器件的安装和维修，并留有适当余量。</w:t>
      </w:r>
    </w:p>
    <w:p w14:paraId="28046659">
      <w:pPr>
        <w:ind w:firstLine="420" w:firstLineChars="200"/>
        <w:jc w:val="left"/>
        <w:rPr>
          <w:color w:val="auto"/>
          <w:szCs w:val="21"/>
          <w:highlight w:val="none"/>
        </w:rPr>
      </w:pPr>
      <w:r>
        <w:rPr>
          <w:rFonts w:hint="eastAsia"/>
          <w:color w:val="auto"/>
          <w:szCs w:val="21"/>
          <w:highlight w:val="none"/>
        </w:rPr>
        <w:t>6、装有电气元件的仪表门用多股软铜线与构架相连，柜内的安装件与构架间全部采用镀锌件，构成完整的接地保护回路。</w:t>
      </w:r>
    </w:p>
    <w:p w14:paraId="4D35D6B2">
      <w:pPr>
        <w:ind w:firstLine="420" w:firstLineChars="200"/>
        <w:jc w:val="left"/>
        <w:rPr>
          <w:color w:val="auto"/>
          <w:szCs w:val="21"/>
          <w:highlight w:val="none"/>
        </w:rPr>
      </w:pPr>
      <w:r>
        <w:rPr>
          <w:rFonts w:hint="eastAsia"/>
          <w:color w:val="auto"/>
          <w:szCs w:val="21"/>
          <w:highlight w:val="none"/>
        </w:rPr>
        <w:t>7、箱内回路标识清楚、美观；控制及配电柜、箱壳表面元件使用功能标识明确。除末端住宅和商户户箱外的非标配电箱在箱门均考虑设置电源侧带电指示灯（指示回路设短路保护）。</w:t>
      </w:r>
    </w:p>
    <w:p w14:paraId="0778F4C9">
      <w:pPr>
        <w:ind w:firstLine="420" w:firstLineChars="200"/>
        <w:jc w:val="left"/>
        <w:rPr>
          <w:color w:val="auto"/>
          <w:szCs w:val="21"/>
          <w:highlight w:val="none"/>
        </w:rPr>
      </w:pPr>
      <w:r>
        <w:rPr>
          <w:rFonts w:hint="eastAsia"/>
          <w:color w:val="auto"/>
          <w:szCs w:val="21"/>
          <w:highlight w:val="none"/>
        </w:rPr>
        <w:t>8、按图纸编号制作箱体编号标示铭牌，并提供后期表面修复材料。提供控制箱内二次回路端子编号接线图，二次接线端子数量需适当留有余量（≥实际用量20%）。</w:t>
      </w:r>
    </w:p>
    <w:p w14:paraId="5B2C6AA9">
      <w:pPr>
        <w:ind w:firstLine="420" w:firstLineChars="200"/>
        <w:jc w:val="left"/>
        <w:rPr>
          <w:color w:val="auto"/>
          <w:szCs w:val="21"/>
          <w:highlight w:val="none"/>
        </w:rPr>
      </w:pPr>
      <w:r>
        <w:rPr>
          <w:rFonts w:hint="eastAsia"/>
          <w:color w:val="auto"/>
          <w:szCs w:val="21"/>
          <w:highlight w:val="none"/>
        </w:rPr>
        <w:t>9、供货单位应保证积极配合安装单位进行设备安装和接线调试等（包含电气火灾监控系统、消防电源监控系统、消防泵组巡检系统等的后期软件安装、联网接线、系统调试等）。报价不含楼宇自控系统，在配电箱、柜内预留此部分系统设备安装空间和接线端子，并配合安装单位进行设备安装和接线调试等。</w:t>
      </w:r>
    </w:p>
    <w:p w14:paraId="54CA1288">
      <w:pPr>
        <w:ind w:firstLine="420" w:firstLineChars="200"/>
        <w:jc w:val="left"/>
        <w:rPr>
          <w:color w:val="auto"/>
          <w:szCs w:val="21"/>
          <w:highlight w:val="none"/>
        </w:rPr>
      </w:pPr>
      <w:r>
        <w:rPr>
          <w:rFonts w:hint="eastAsia"/>
          <w:color w:val="auto"/>
          <w:szCs w:val="21"/>
          <w:highlight w:val="none"/>
        </w:rPr>
        <w:t>10、交货时提供设备检验报告，主要元器件的合格证及使用维护说明书，每个箱、柜资料齐全、完备。</w:t>
      </w:r>
    </w:p>
    <w:p w14:paraId="0A114CAA">
      <w:pPr>
        <w:ind w:firstLine="420" w:firstLineChars="200"/>
        <w:jc w:val="left"/>
        <w:rPr>
          <w:color w:val="auto"/>
          <w:szCs w:val="21"/>
          <w:highlight w:val="none"/>
        </w:rPr>
      </w:pPr>
      <w:r>
        <w:rPr>
          <w:rFonts w:hint="eastAsia"/>
          <w:color w:val="auto"/>
          <w:szCs w:val="21"/>
          <w:highlight w:val="none"/>
        </w:rPr>
        <w:t>11、配电箱箱（柜）应列明选配主要元器件的型号规格、生产厂家、数量及单价等。</w:t>
      </w:r>
    </w:p>
    <w:p w14:paraId="20388867">
      <w:pPr>
        <w:ind w:firstLine="420" w:firstLineChars="200"/>
        <w:jc w:val="left"/>
        <w:rPr>
          <w:color w:val="auto"/>
          <w:szCs w:val="21"/>
          <w:highlight w:val="none"/>
        </w:rPr>
      </w:pPr>
      <w:r>
        <w:rPr>
          <w:rFonts w:hint="eastAsia"/>
          <w:color w:val="auto"/>
          <w:szCs w:val="21"/>
          <w:highlight w:val="none"/>
        </w:rPr>
        <w:t>12、非标箱（柜）的尺寸采购制作前与甲方技术部门进行书面核对交底，对箱、柜的实际制造尺寸、出线回路、二次控制原理等内容做最终确认。</w:t>
      </w:r>
    </w:p>
    <w:p w14:paraId="79AF67D9">
      <w:pPr>
        <w:ind w:firstLine="420" w:firstLineChars="200"/>
        <w:jc w:val="left"/>
        <w:rPr>
          <w:color w:val="auto"/>
          <w:szCs w:val="21"/>
          <w:highlight w:val="none"/>
        </w:rPr>
      </w:pPr>
      <w:r>
        <w:rPr>
          <w:rFonts w:hint="eastAsia"/>
          <w:color w:val="auto"/>
          <w:szCs w:val="21"/>
          <w:highlight w:val="none"/>
        </w:rPr>
        <w:t>13、配电箱（柜）及选用电气元器件品牌按下述范围报价（未列部分请提前与发包方沟通确认，若有调整更正需提前与发包方沟通明确，经认可后在投标文件中按差异予以注明）：</w:t>
      </w:r>
    </w:p>
    <w:p w14:paraId="5EC83423">
      <w:pPr>
        <w:rPr>
          <w:color w:val="auto"/>
          <w:highlight w:val="none"/>
        </w:rPr>
      </w:pPr>
      <w:r>
        <w:rPr>
          <w:rFonts w:hint="eastAsia"/>
          <w:color w:val="auto"/>
          <w:highlight w:val="none"/>
        </w:rPr>
        <w:t>（1）微型断路器：</w:t>
      </w:r>
    </w:p>
    <w:p w14:paraId="23F24AAF">
      <w:pPr>
        <w:rPr>
          <w:color w:val="auto"/>
          <w:highlight w:val="none"/>
        </w:rPr>
      </w:pPr>
      <w:r>
        <w:rPr>
          <w:rFonts w:hint="eastAsia"/>
          <w:color w:val="auto"/>
          <w:highlight w:val="none"/>
        </w:rPr>
        <w:t xml:space="preserve">   常熟开关CH3系列    上海良信NDB1系列    上海人民（上联）RMC3系列</w:t>
      </w:r>
    </w:p>
    <w:p w14:paraId="59E246F4">
      <w:pPr>
        <w:rPr>
          <w:color w:val="auto"/>
          <w:highlight w:val="none"/>
        </w:rPr>
      </w:pPr>
      <w:r>
        <w:rPr>
          <w:rFonts w:hint="eastAsia"/>
          <w:color w:val="auto"/>
          <w:highlight w:val="none"/>
        </w:rPr>
        <w:t>（2）塑壳断路器（≥35</w:t>
      </w:r>
      <w:r>
        <w:rPr>
          <w:color w:val="auto"/>
          <w:highlight w:val="none"/>
        </w:rPr>
        <w:t>KA</w:t>
      </w:r>
      <w:r>
        <w:rPr>
          <w:rFonts w:hint="eastAsia"/>
          <w:color w:val="auto"/>
          <w:highlight w:val="none"/>
        </w:rPr>
        <w:t>）：</w:t>
      </w:r>
    </w:p>
    <w:p w14:paraId="12DCF343">
      <w:pPr>
        <w:rPr>
          <w:color w:val="auto"/>
          <w:highlight w:val="none"/>
        </w:rPr>
      </w:pPr>
      <w:r>
        <w:rPr>
          <w:rFonts w:hint="eastAsia"/>
          <w:color w:val="auto"/>
          <w:highlight w:val="none"/>
        </w:rPr>
        <w:t xml:space="preserve">   常熟开关CM3系列    上海良信NDM3系列    上海人民（上联）RMM3系列</w:t>
      </w:r>
    </w:p>
    <w:p w14:paraId="66B1B6CB">
      <w:pPr>
        <w:rPr>
          <w:color w:val="auto"/>
          <w:highlight w:val="none"/>
        </w:rPr>
      </w:pPr>
      <w:r>
        <w:rPr>
          <w:rFonts w:hint="eastAsia"/>
          <w:color w:val="auto"/>
          <w:highlight w:val="none"/>
        </w:rPr>
        <w:t>（3）自复式过欠压保护器：</w:t>
      </w:r>
    </w:p>
    <w:p w14:paraId="11858843">
      <w:pPr>
        <w:rPr>
          <w:color w:val="auto"/>
          <w:highlight w:val="none"/>
        </w:rPr>
      </w:pPr>
      <w:r>
        <w:rPr>
          <w:rFonts w:hint="eastAsia"/>
          <w:color w:val="auto"/>
          <w:highlight w:val="none"/>
        </w:rPr>
        <w:t xml:space="preserve">   常熟GQ3Z系列    上海良信NDGQ1Z系列    上海人民（上联）RMGQ3-63系列</w:t>
      </w:r>
    </w:p>
    <w:p w14:paraId="2984BC04">
      <w:pPr>
        <w:rPr>
          <w:color w:val="auto"/>
          <w:highlight w:val="none"/>
        </w:rPr>
      </w:pPr>
      <w:r>
        <w:rPr>
          <w:rFonts w:hint="eastAsia"/>
          <w:color w:val="auto"/>
          <w:highlight w:val="none"/>
        </w:rPr>
        <w:t>（4）双电源切换开关（PC级、三段式）</w:t>
      </w:r>
    </w:p>
    <w:p w14:paraId="53D652A6">
      <w:pPr>
        <w:rPr>
          <w:color w:val="auto"/>
          <w:highlight w:val="none"/>
        </w:rPr>
      </w:pPr>
      <w:r>
        <w:rPr>
          <w:rFonts w:hint="eastAsia"/>
          <w:color w:val="auto"/>
          <w:highlight w:val="none"/>
        </w:rPr>
        <w:t xml:space="preserve">   常熟开关CAP</w:t>
      </w:r>
      <w:r>
        <w:rPr>
          <w:color w:val="auto"/>
          <w:highlight w:val="none"/>
        </w:rPr>
        <w:t>2</w:t>
      </w:r>
      <w:r>
        <w:rPr>
          <w:rFonts w:hint="eastAsia"/>
          <w:color w:val="auto"/>
          <w:highlight w:val="none"/>
        </w:rPr>
        <w:t>系列    施耐德万高</w:t>
      </w:r>
      <w:r>
        <w:rPr>
          <w:color w:val="auto"/>
          <w:highlight w:val="none"/>
        </w:rPr>
        <w:t>WTS</w:t>
      </w:r>
      <w:r>
        <w:rPr>
          <w:rFonts w:hint="eastAsia"/>
          <w:color w:val="auto"/>
          <w:highlight w:val="none"/>
        </w:rPr>
        <w:t>系列    泰永长征T</w:t>
      </w:r>
      <w:r>
        <w:rPr>
          <w:color w:val="auto"/>
          <w:highlight w:val="none"/>
        </w:rPr>
        <w:t>B</w:t>
      </w:r>
      <w:r>
        <w:rPr>
          <w:rFonts w:hint="eastAsia"/>
          <w:color w:val="auto"/>
          <w:highlight w:val="none"/>
        </w:rPr>
        <w:t>BQ</w:t>
      </w:r>
      <w:r>
        <w:rPr>
          <w:color w:val="auto"/>
          <w:highlight w:val="none"/>
        </w:rPr>
        <w:t>3</w:t>
      </w:r>
      <w:r>
        <w:rPr>
          <w:rFonts w:hint="eastAsia"/>
          <w:color w:val="auto"/>
          <w:highlight w:val="none"/>
        </w:rPr>
        <w:t>系列</w:t>
      </w:r>
    </w:p>
    <w:p w14:paraId="1DA41E48">
      <w:pPr>
        <w:rPr>
          <w:color w:val="auto"/>
          <w:highlight w:val="none"/>
        </w:rPr>
      </w:pPr>
      <w:r>
        <w:rPr>
          <w:rFonts w:hint="eastAsia"/>
          <w:color w:val="auto"/>
          <w:highlight w:val="none"/>
        </w:rPr>
        <w:t>（5）负荷隔离开关：</w:t>
      </w:r>
    </w:p>
    <w:p w14:paraId="1514392D">
      <w:pPr>
        <w:rPr>
          <w:color w:val="auto"/>
          <w:highlight w:val="none"/>
        </w:rPr>
      </w:pPr>
      <w:r>
        <w:rPr>
          <w:rFonts w:hint="eastAsia"/>
          <w:color w:val="auto"/>
          <w:highlight w:val="none"/>
        </w:rPr>
        <w:t xml:space="preserve">   上海良信NDG2系列    上海人民（上联）RMMG1系列    扬州新菱</w:t>
      </w:r>
      <w:r>
        <w:rPr>
          <w:color w:val="auto"/>
          <w:highlight w:val="none"/>
        </w:rPr>
        <w:t>XLF8</w:t>
      </w:r>
      <w:r>
        <w:rPr>
          <w:rFonts w:hint="eastAsia"/>
          <w:color w:val="auto"/>
          <w:highlight w:val="none"/>
        </w:rPr>
        <w:t>系列</w:t>
      </w:r>
    </w:p>
    <w:p w14:paraId="201198C2">
      <w:pPr>
        <w:rPr>
          <w:color w:val="auto"/>
          <w:highlight w:val="none"/>
        </w:rPr>
      </w:pPr>
      <w:r>
        <w:rPr>
          <w:rFonts w:hint="eastAsia"/>
          <w:color w:val="auto"/>
          <w:highlight w:val="none"/>
        </w:rPr>
        <w:t xml:space="preserve">   沈阳斯沃SIWOG1（GL）系列    泰永长征MG1系列</w:t>
      </w:r>
    </w:p>
    <w:p w14:paraId="7A756B50">
      <w:pPr>
        <w:rPr>
          <w:color w:val="auto"/>
          <w:highlight w:val="none"/>
        </w:rPr>
      </w:pPr>
      <w:r>
        <w:rPr>
          <w:rFonts w:hint="eastAsia"/>
          <w:color w:val="auto"/>
          <w:highlight w:val="none"/>
        </w:rPr>
        <w:t>（6）控制与保护开关（C</w:t>
      </w:r>
      <w:r>
        <w:rPr>
          <w:color w:val="auto"/>
          <w:highlight w:val="none"/>
        </w:rPr>
        <w:t>PS）</w:t>
      </w:r>
      <w:r>
        <w:rPr>
          <w:rFonts w:hint="eastAsia"/>
          <w:color w:val="auto"/>
          <w:highlight w:val="none"/>
        </w:rPr>
        <w:t>：</w:t>
      </w:r>
    </w:p>
    <w:p w14:paraId="5499700E">
      <w:pPr>
        <w:rPr>
          <w:color w:val="auto"/>
          <w:highlight w:val="none"/>
        </w:rPr>
      </w:pPr>
      <w:r>
        <w:rPr>
          <w:rFonts w:hint="eastAsia"/>
          <w:color w:val="auto"/>
          <w:highlight w:val="none"/>
        </w:rPr>
        <w:t xml:space="preserve">   常熟开关CB1系列    浙江中凯K</w:t>
      </w:r>
      <w:r>
        <w:rPr>
          <w:color w:val="auto"/>
          <w:highlight w:val="none"/>
        </w:rPr>
        <w:t>BO</w:t>
      </w:r>
      <w:r>
        <w:rPr>
          <w:rFonts w:hint="eastAsia"/>
          <w:color w:val="auto"/>
          <w:highlight w:val="none"/>
        </w:rPr>
        <w:t>系列    泰永长征M</w:t>
      </w:r>
      <w:r>
        <w:rPr>
          <w:color w:val="auto"/>
          <w:highlight w:val="none"/>
        </w:rPr>
        <w:t>K1</w:t>
      </w:r>
      <w:r>
        <w:rPr>
          <w:rFonts w:hint="eastAsia"/>
          <w:color w:val="auto"/>
          <w:highlight w:val="none"/>
        </w:rPr>
        <w:t>系列</w:t>
      </w:r>
    </w:p>
    <w:p w14:paraId="7AEB7600">
      <w:pPr>
        <w:rPr>
          <w:color w:val="auto"/>
          <w:highlight w:val="none"/>
        </w:rPr>
      </w:pPr>
      <w:r>
        <w:rPr>
          <w:rFonts w:hint="eastAsia"/>
          <w:color w:val="auto"/>
          <w:highlight w:val="none"/>
        </w:rPr>
        <w:t>（7）电涌保护电器/后备保护器：</w:t>
      </w:r>
    </w:p>
    <w:p w14:paraId="7293F424">
      <w:pPr>
        <w:rPr>
          <w:color w:val="auto"/>
          <w:highlight w:val="none"/>
        </w:rPr>
      </w:pPr>
      <w:r>
        <w:rPr>
          <w:rFonts w:hint="eastAsia"/>
          <w:color w:val="auto"/>
          <w:highlight w:val="none"/>
        </w:rPr>
        <w:t xml:space="preserve">   常熟开关CU3系列    上海良信NDU1系列    上海人民（上联）RMU3系列</w:t>
      </w:r>
    </w:p>
    <w:p w14:paraId="32C6B34D">
      <w:pPr>
        <w:rPr>
          <w:color w:val="auto"/>
          <w:highlight w:val="none"/>
        </w:rPr>
      </w:pPr>
      <w:r>
        <w:rPr>
          <w:rFonts w:hint="eastAsia"/>
          <w:color w:val="auto"/>
          <w:highlight w:val="none"/>
        </w:rPr>
        <w:tab/>
      </w:r>
      <w:r>
        <w:rPr>
          <w:rFonts w:hint="eastAsia"/>
          <w:color w:val="auto"/>
          <w:highlight w:val="none"/>
        </w:rPr>
        <w:t xml:space="preserve">   （注：浪涌保护非一体化设计产品时需加配断路器或熔断器保护）</w:t>
      </w:r>
    </w:p>
    <w:p w14:paraId="620C87D8">
      <w:pPr>
        <w:rPr>
          <w:color w:val="auto"/>
          <w:highlight w:val="none"/>
        </w:rPr>
      </w:pPr>
      <w:r>
        <w:rPr>
          <w:rFonts w:hint="eastAsia"/>
          <w:color w:val="auto"/>
          <w:highlight w:val="none"/>
        </w:rPr>
        <w:t>（8）电气火灾及消防电源监控系统（含设备及配套运行软件）：</w:t>
      </w:r>
    </w:p>
    <w:p w14:paraId="33B7FE7B">
      <w:pPr>
        <w:adjustRightInd w:val="0"/>
        <w:snapToGrid w:val="0"/>
        <w:spacing w:line="360" w:lineRule="auto"/>
        <w:rPr>
          <w:rFonts w:hint="eastAsia" w:ascii="宋体" w:hAnsi="宋体" w:eastAsia="宋体" w:cs="宋体"/>
          <w:color w:val="auto"/>
          <w:szCs w:val="21"/>
          <w:highlight w:val="none"/>
        </w:rPr>
      </w:pPr>
    </w:p>
    <w:p w14:paraId="664A6AC7">
      <w:pPr>
        <w:ind w:firstLine="480"/>
        <w:outlineLvl w:val="9"/>
        <w:rPr>
          <w:rFonts w:cs="宋体" w:asciiTheme="minorEastAsia" w:hAnsiTheme="minorEastAsia" w:eastAsiaTheme="minorEastAsia"/>
          <w:color w:val="auto"/>
          <w:szCs w:val="21"/>
          <w:highlight w:val="none"/>
        </w:rPr>
      </w:pPr>
    </w:p>
    <w:p w14:paraId="6D220D41">
      <w:pP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附件五：</w:t>
      </w:r>
    </w:p>
    <w:p w14:paraId="7FD448AF">
      <w:pPr>
        <w:adjustRightInd/>
        <w:snapToGrid/>
        <w:spacing w:line="240" w:lineRule="auto"/>
        <w:ind w:firstLine="0"/>
        <w:jc w:val="center"/>
        <w:outlineLvl w:val="9"/>
        <w:rPr>
          <w:rFonts w:cs="宋体" w:asciiTheme="minorEastAsia" w:hAnsiTheme="minorEastAsia" w:eastAsiaTheme="minorEastAsia"/>
          <w:b/>
          <w:color w:val="auto"/>
          <w:sz w:val="32"/>
          <w:szCs w:val="32"/>
          <w:highlight w:val="none"/>
        </w:rPr>
      </w:pPr>
      <w:r>
        <w:rPr>
          <w:rFonts w:hint="eastAsia" w:cs="宋体" w:asciiTheme="minorEastAsia" w:hAnsiTheme="minorEastAsia" w:eastAsiaTheme="minorEastAsia"/>
          <w:b/>
          <w:color w:val="auto"/>
          <w:szCs w:val="21"/>
          <w:highlight w:val="none"/>
        </w:rPr>
        <w:t>招标范围外可能发生的项目单价明细表</w:t>
      </w:r>
    </w:p>
    <w:tbl>
      <w:tblPr>
        <w:tblStyle w:val="56"/>
        <w:tblW w:w="10207"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3954"/>
        <w:gridCol w:w="675"/>
        <w:gridCol w:w="1324"/>
        <w:gridCol w:w="3544"/>
      </w:tblGrid>
      <w:tr w14:paraId="15B17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710" w:type="dxa"/>
            <w:shd w:val="clear" w:color="auto" w:fill="FFFFFF"/>
            <w:noWrap/>
            <w:vAlign w:val="center"/>
          </w:tcPr>
          <w:p w14:paraId="58AFA79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kern w:val="0"/>
                <w:szCs w:val="21"/>
                <w:highlight w:val="none"/>
              </w:rPr>
            </w:pPr>
            <w:r>
              <w:rPr>
                <w:rFonts w:hint="eastAsia" w:cs="宋体" w:asciiTheme="minorEastAsia" w:hAnsiTheme="minorEastAsia" w:eastAsiaTheme="minorEastAsia"/>
                <w:b/>
                <w:color w:val="auto"/>
                <w:kern w:val="0"/>
                <w:szCs w:val="21"/>
                <w:highlight w:val="none"/>
              </w:rPr>
              <w:t>序号</w:t>
            </w:r>
          </w:p>
        </w:tc>
        <w:tc>
          <w:tcPr>
            <w:tcW w:w="3954" w:type="dxa"/>
            <w:shd w:val="clear" w:color="auto" w:fill="FFFFFF"/>
            <w:noWrap/>
            <w:vAlign w:val="center"/>
          </w:tcPr>
          <w:p w14:paraId="07174EB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kern w:val="0"/>
                <w:szCs w:val="21"/>
                <w:highlight w:val="none"/>
              </w:rPr>
            </w:pPr>
            <w:r>
              <w:rPr>
                <w:rFonts w:hint="eastAsia" w:cs="宋体" w:asciiTheme="minorEastAsia" w:hAnsiTheme="minorEastAsia" w:eastAsiaTheme="minorEastAsia"/>
                <w:b/>
                <w:color w:val="auto"/>
                <w:kern w:val="0"/>
                <w:szCs w:val="21"/>
                <w:highlight w:val="none"/>
              </w:rPr>
              <w:t>项目名称及特征</w:t>
            </w:r>
          </w:p>
        </w:tc>
        <w:tc>
          <w:tcPr>
            <w:tcW w:w="675" w:type="dxa"/>
            <w:shd w:val="clear" w:color="auto" w:fill="FFFFFF"/>
            <w:noWrap/>
            <w:vAlign w:val="center"/>
          </w:tcPr>
          <w:p w14:paraId="4C27E24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kern w:val="0"/>
                <w:szCs w:val="21"/>
                <w:highlight w:val="none"/>
              </w:rPr>
            </w:pPr>
            <w:r>
              <w:rPr>
                <w:rFonts w:hint="eastAsia" w:cs="宋体" w:asciiTheme="minorEastAsia" w:hAnsiTheme="minorEastAsia" w:eastAsiaTheme="minorEastAsia"/>
                <w:b/>
                <w:color w:val="auto"/>
                <w:kern w:val="0"/>
                <w:szCs w:val="21"/>
                <w:highlight w:val="none"/>
              </w:rPr>
              <w:t>单位</w:t>
            </w:r>
          </w:p>
        </w:tc>
        <w:tc>
          <w:tcPr>
            <w:tcW w:w="1324" w:type="dxa"/>
            <w:shd w:val="clear" w:color="auto" w:fill="FFFFFF"/>
            <w:noWrap/>
            <w:vAlign w:val="center"/>
          </w:tcPr>
          <w:p w14:paraId="6DA3FBE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kern w:val="0"/>
                <w:szCs w:val="21"/>
                <w:highlight w:val="none"/>
              </w:rPr>
            </w:pPr>
            <w:r>
              <w:rPr>
                <w:rFonts w:hint="eastAsia" w:cs="宋体" w:asciiTheme="minorEastAsia" w:hAnsiTheme="minorEastAsia" w:eastAsiaTheme="minorEastAsia"/>
                <w:b/>
                <w:color w:val="auto"/>
                <w:kern w:val="0"/>
                <w:szCs w:val="21"/>
                <w:highlight w:val="none"/>
              </w:rPr>
              <w:t>暂定价（元）</w:t>
            </w:r>
          </w:p>
        </w:tc>
        <w:tc>
          <w:tcPr>
            <w:tcW w:w="3544" w:type="dxa"/>
            <w:shd w:val="clear" w:color="auto" w:fill="FFFFFF"/>
            <w:noWrap/>
            <w:vAlign w:val="center"/>
          </w:tcPr>
          <w:p w14:paraId="5C9D6EE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kern w:val="0"/>
                <w:szCs w:val="21"/>
                <w:highlight w:val="none"/>
              </w:rPr>
            </w:pPr>
            <w:r>
              <w:rPr>
                <w:rFonts w:hint="eastAsia" w:cs="宋体" w:asciiTheme="minorEastAsia" w:hAnsiTheme="minorEastAsia" w:eastAsiaTheme="minorEastAsia"/>
                <w:b/>
                <w:color w:val="auto"/>
                <w:kern w:val="0"/>
                <w:szCs w:val="21"/>
                <w:highlight w:val="none"/>
              </w:rPr>
              <w:t>备注</w:t>
            </w:r>
          </w:p>
        </w:tc>
      </w:tr>
      <w:tr w14:paraId="6D783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shd w:val="clear" w:color="auto" w:fill="FFFFFF"/>
            <w:noWrap/>
            <w:vAlign w:val="center"/>
          </w:tcPr>
          <w:p w14:paraId="7328743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一　</w:t>
            </w:r>
          </w:p>
        </w:tc>
        <w:tc>
          <w:tcPr>
            <w:tcW w:w="3954" w:type="dxa"/>
            <w:shd w:val="clear" w:color="auto" w:fill="FFFFFF"/>
            <w:noWrap/>
            <w:vAlign w:val="center"/>
          </w:tcPr>
          <w:p w14:paraId="7354C90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Cs/>
                <w:color w:val="auto"/>
                <w:kern w:val="0"/>
                <w:szCs w:val="21"/>
                <w:highlight w:val="none"/>
              </w:rPr>
            </w:pPr>
            <w:r>
              <w:rPr>
                <w:rFonts w:hint="eastAsia" w:cs="宋体" w:asciiTheme="minorEastAsia" w:hAnsiTheme="minorEastAsia" w:eastAsiaTheme="minorEastAsia"/>
                <w:bCs/>
                <w:color w:val="auto"/>
                <w:kern w:val="0"/>
                <w:szCs w:val="21"/>
                <w:highlight w:val="none"/>
              </w:rPr>
              <w:t>土建部分</w:t>
            </w:r>
          </w:p>
        </w:tc>
        <w:tc>
          <w:tcPr>
            <w:tcW w:w="675" w:type="dxa"/>
            <w:shd w:val="clear" w:color="auto" w:fill="FFFFFF"/>
            <w:noWrap/>
            <w:vAlign w:val="center"/>
          </w:tcPr>
          <w:p w14:paraId="38A13A1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324" w:type="dxa"/>
            <w:shd w:val="clear" w:color="auto" w:fill="FFFFFF"/>
            <w:noWrap/>
            <w:vAlign w:val="center"/>
          </w:tcPr>
          <w:p w14:paraId="14BCE6A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p>
        </w:tc>
        <w:tc>
          <w:tcPr>
            <w:tcW w:w="3544" w:type="dxa"/>
            <w:shd w:val="clear" w:color="auto" w:fill="FFFFFF"/>
            <w:noWrap/>
            <w:vAlign w:val="center"/>
          </w:tcPr>
          <w:p w14:paraId="778F120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71218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1A3F352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w:t>
            </w:r>
          </w:p>
        </w:tc>
        <w:tc>
          <w:tcPr>
            <w:tcW w:w="3954" w:type="dxa"/>
            <w:vAlign w:val="center"/>
          </w:tcPr>
          <w:p w14:paraId="06B493E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零星用工（人工工日）土建</w:t>
            </w:r>
          </w:p>
        </w:tc>
        <w:tc>
          <w:tcPr>
            <w:tcW w:w="675" w:type="dxa"/>
            <w:vAlign w:val="center"/>
          </w:tcPr>
          <w:p w14:paraId="75711EF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工日</w:t>
            </w:r>
          </w:p>
        </w:tc>
        <w:tc>
          <w:tcPr>
            <w:tcW w:w="1324" w:type="dxa"/>
            <w:vAlign w:val="center"/>
          </w:tcPr>
          <w:p w14:paraId="5E01A55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260</w:t>
            </w:r>
          </w:p>
        </w:tc>
        <w:tc>
          <w:tcPr>
            <w:tcW w:w="3544" w:type="dxa"/>
            <w:vAlign w:val="center"/>
          </w:tcPr>
          <w:p w14:paraId="5C4957E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综合用工</w:t>
            </w:r>
          </w:p>
        </w:tc>
      </w:tr>
      <w:tr w14:paraId="2F2D9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1ED037A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w:t>
            </w:r>
          </w:p>
        </w:tc>
        <w:tc>
          <w:tcPr>
            <w:tcW w:w="3954" w:type="dxa"/>
            <w:vAlign w:val="center"/>
          </w:tcPr>
          <w:p w14:paraId="7BE74C6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拆除钢筋混凝土</w:t>
            </w:r>
          </w:p>
        </w:tc>
        <w:tc>
          <w:tcPr>
            <w:tcW w:w="675" w:type="dxa"/>
            <w:vAlign w:val="center"/>
          </w:tcPr>
          <w:p w14:paraId="7276461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m3</w:t>
            </w:r>
          </w:p>
        </w:tc>
        <w:tc>
          <w:tcPr>
            <w:tcW w:w="1324" w:type="dxa"/>
            <w:vAlign w:val="center"/>
          </w:tcPr>
          <w:p w14:paraId="5A2BB80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465</w:t>
            </w:r>
          </w:p>
        </w:tc>
        <w:tc>
          <w:tcPr>
            <w:tcW w:w="3544" w:type="dxa"/>
            <w:vAlign w:val="center"/>
          </w:tcPr>
          <w:p w14:paraId="100FCBE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各部位（含垃圾外运）</w:t>
            </w:r>
          </w:p>
        </w:tc>
      </w:tr>
      <w:tr w14:paraId="52762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C9AF54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w:t>
            </w:r>
          </w:p>
        </w:tc>
        <w:tc>
          <w:tcPr>
            <w:tcW w:w="3954" w:type="dxa"/>
            <w:vAlign w:val="center"/>
          </w:tcPr>
          <w:p w14:paraId="4C9FAC6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凿毛钢筋混凝土面</w:t>
            </w:r>
          </w:p>
        </w:tc>
        <w:tc>
          <w:tcPr>
            <w:tcW w:w="675" w:type="dxa"/>
            <w:vAlign w:val="center"/>
          </w:tcPr>
          <w:p w14:paraId="0F5E566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m2</w:t>
            </w:r>
          </w:p>
        </w:tc>
        <w:tc>
          <w:tcPr>
            <w:tcW w:w="1324" w:type="dxa"/>
            <w:vAlign w:val="center"/>
          </w:tcPr>
          <w:p w14:paraId="447B0CC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10</w:t>
            </w:r>
          </w:p>
        </w:tc>
        <w:tc>
          <w:tcPr>
            <w:tcW w:w="3544" w:type="dxa"/>
            <w:vAlign w:val="center"/>
          </w:tcPr>
          <w:p w14:paraId="7460571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各部位（含垃圾外运）</w:t>
            </w:r>
          </w:p>
        </w:tc>
      </w:tr>
      <w:tr w14:paraId="37802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276130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w:t>
            </w:r>
          </w:p>
        </w:tc>
        <w:tc>
          <w:tcPr>
            <w:tcW w:w="3954" w:type="dxa"/>
            <w:vAlign w:val="center"/>
          </w:tcPr>
          <w:p w14:paraId="0399C34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拆除砌体墙</w:t>
            </w:r>
          </w:p>
        </w:tc>
        <w:tc>
          <w:tcPr>
            <w:tcW w:w="675" w:type="dxa"/>
            <w:vAlign w:val="center"/>
          </w:tcPr>
          <w:p w14:paraId="7020E5B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m3</w:t>
            </w:r>
          </w:p>
        </w:tc>
        <w:tc>
          <w:tcPr>
            <w:tcW w:w="1324" w:type="dxa"/>
            <w:vAlign w:val="center"/>
          </w:tcPr>
          <w:p w14:paraId="76E1FE2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360</w:t>
            </w:r>
          </w:p>
        </w:tc>
        <w:tc>
          <w:tcPr>
            <w:tcW w:w="3544" w:type="dxa"/>
            <w:vAlign w:val="center"/>
          </w:tcPr>
          <w:p w14:paraId="18EC1DE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各部位（含垃圾外运）</w:t>
            </w:r>
          </w:p>
        </w:tc>
      </w:tr>
      <w:tr w14:paraId="4D1BA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198597B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w:t>
            </w:r>
          </w:p>
        </w:tc>
        <w:tc>
          <w:tcPr>
            <w:tcW w:w="3954" w:type="dxa"/>
            <w:vAlign w:val="center"/>
          </w:tcPr>
          <w:p w14:paraId="4F2A6C5D">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拆除地面砖</w:t>
            </w:r>
          </w:p>
        </w:tc>
        <w:tc>
          <w:tcPr>
            <w:tcW w:w="675" w:type="dxa"/>
            <w:vAlign w:val="center"/>
          </w:tcPr>
          <w:p w14:paraId="3EED190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m2</w:t>
            </w:r>
          </w:p>
        </w:tc>
        <w:tc>
          <w:tcPr>
            <w:tcW w:w="1324" w:type="dxa"/>
            <w:vAlign w:val="center"/>
          </w:tcPr>
          <w:p w14:paraId="583D677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25</w:t>
            </w:r>
          </w:p>
        </w:tc>
        <w:tc>
          <w:tcPr>
            <w:tcW w:w="3544" w:type="dxa"/>
            <w:vAlign w:val="center"/>
          </w:tcPr>
          <w:p w14:paraId="3024FB1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各部位（含垃圾外运）</w:t>
            </w:r>
          </w:p>
        </w:tc>
      </w:tr>
      <w:tr w14:paraId="067F5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2B5D330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w:t>
            </w:r>
          </w:p>
        </w:tc>
        <w:tc>
          <w:tcPr>
            <w:tcW w:w="3954" w:type="dxa"/>
            <w:vAlign w:val="center"/>
          </w:tcPr>
          <w:p w14:paraId="4EFA43F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拆除墙面瓷砖</w:t>
            </w:r>
          </w:p>
        </w:tc>
        <w:tc>
          <w:tcPr>
            <w:tcW w:w="675" w:type="dxa"/>
            <w:vAlign w:val="center"/>
          </w:tcPr>
          <w:p w14:paraId="3DCCD3E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m2</w:t>
            </w:r>
          </w:p>
        </w:tc>
        <w:tc>
          <w:tcPr>
            <w:tcW w:w="1324" w:type="dxa"/>
            <w:vAlign w:val="center"/>
          </w:tcPr>
          <w:p w14:paraId="0182742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25</w:t>
            </w:r>
          </w:p>
        </w:tc>
        <w:tc>
          <w:tcPr>
            <w:tcW w:w="3544" w:type="dxa"/>
            <w:vAlign w:val="center"/>
          </w:tcPr>
          <w:p w14:paraId="24AA535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各部位，（含垃圾外运）</w:t>
            </w:r>
          </w:p>
        </w:tc>
      </w:tr>
      <w:tr w14:paraId="27E24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162CB4E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7</w:t>
            </w:r>
          </w:p>
        </w:tc>
        <w:tc>
          <w:tcPr>
            <w:tcW w:w="3954" w:type="dxa"/>
            <w:vAlign w:val="center"/>
          </w:tcPr>
          <w:p w14:paraId="3FBB58B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拆除混凝土路面、混凝土地坪</w:t>
            </w:r>
          </w:p>
        </w:tc>
        <w:tc>
          <w:tcPr>
            <w:tcW w:w="675" w:type="dxa"/>
            <w:vAlign w:val="center"/>
          </w:tcPr>
          <w:p w14:paraId="6475F74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m3</w:t>
            </w:r>
          </w:p>
        </w:tc>
        <w:tc>
          <w:tcPr>
            <w:tcW w:w="1324" w:type="dxa"/>
            <w:vAlign w:val="center"/>
          </w:tcPr>
          <w:p w14:paraId="2A48D2B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300</w:t>
            </w:r>
          </w:p>
        </w:tc>
        <w:tc>
          <w:tcPr>
            <w:tcW w:w="3544" w:type="dxa"/>
            <w:vAlign w:val="center"/>
          </w:tcPr>
          <w:p w14:paraId="774F609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含人工、材料及垃圾外运</w:t>
            </w:r>
          </w:p>
        </w:tc>
      </w:tr>
      <w:tr w14:paraId="2E15F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16A185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8</w:t>
            </w:r>
          </w:p>
        </w:tc>
        <w:tc>
          <w:tcPr>
            <w:tcW w:w="3954" w:type="dxa"/>
            <w:vAlign w:val="center"/>
          </w:tcPr>
          <w:p w14:paraId="0BB1042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人工挖土方、场内转运200m以内</w:t>
            </w:r>
          </w:p>
        </w:tc>
        <w:tc>
          <w:tcPr>
            <w:tcW w:w="675" w:type="dxa"/>
            <w:vAlign w:val="center"/>
          </w:tcPr>
          <w:p w14:paraId="1994FD8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m3</w:t>
            </w:r>
          </w:p>
        </w:tc>
        <w:tc>
          <w:tcPr>
            <w:tcW w:w="1324" w:type="dxa"/>
            <w:vAlign w:val="center"/>
          </w:tcPr>
          <w:p w14:paraId="6366064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45</w:t>
            </w:r>
          </w:p>
        </w:tc>
        <w:tc>
          <w:tcPr>
            <w:tcW w:w="3544" w:type="dxa"/>
            <w:vAlign w:val="center"/>
          </w:tcPr>
          <w:p w14:paraId="3072B0A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全部费用</w:t>
            </w:r>
          </w:p>
        </w:tc>
      </w:tr>
      <w:tr w14:paraId="2D3C4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813D5D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9</w:t>
            </w:r>
          </w:p>
        </w:tc>
        <w:tc>
          <w:tcPr>
            <w:tcW w:w="3954" w:type="dxa"/>
            <w:vAlign w:val="center"/>
          </w:tcPr>
          <w:p w14:paraId="7FBE1E0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机械挖土方、场内倒运500m以内</w:t>
            </w:r>
          </w:p>
        </w:tc>
        <w:tc>
          <w:tcPr>
            <w:tcW w:w="675" w:type="dxa"/>
            <w:vAlign w:val="center"/>
          </w:tcPr>
          <w:p w14:paraId="159F275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m3</w:t>
            </w:r>
          </w:p>
        </w:tc>
        <w:tc>
          <w:tcPr>
            <w:tcW w:w="1324" w:type="dxa"/>
            <w:vAlign w:val="center"/>
          </w:tcPr>
          <w:p w14:paraId="2FE275D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35</w:t>
            </w:r>
          </w:p>
        </w:tc>
        <w:tc>
          <w:tcPr>
            <w:tcW w:w="3544" w:type="dxa"/>
            <w:vAlign w:val="center"/>
          </w:tcPr>
          <w:p w14:paraId="3908E21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全部费用</w:t>
            </w:r>
          </w:p>
        </w:tc>
      </w:tr>
      <w:tr w14:paraId="614C1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615CD2D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10</w:t>
            </w:r>
          </w:p>
        </w:tc>
        <w:tc>
          <w:tcPr>
            <w:tcW w:w="3954" w:type="dxa"/>
            <w:vAlign w:val="center"/>
          </w:tcPr>
          <w:p w14:paraId="2DC5BF5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垃圾外运</w:t>
            </w:r>
          </w:p>
        </w:tc>
        <w:tc>
          <w:tcPr>
            <w:tcW w:w="675" w:type="dxa"/>
            <w:vAlign w:val="center"/>
          </w:tcPr>
          <w:p w14:paraId="7A3E8F5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m3</w:t>
            </w:r>
          </w:p>
        </w:tc>
        <w:tc>
          <w:tcPr>
            <w:tcW w:w="1324" w:type="dxa"/>
            <w:vAlign w:val="center"/>
          </w:tcPr>
          <w:p w14:paraId="3E5EE06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115</w:t>
            </w:r>
          </w:p>
        </w:tc>
        <w:tc>
          <w:tcPr>
            <w:tcW w:w="3544" w:type="dxa"/>
            <w:vAlign w:val="center"/>
          </w:tcPr>
          <w:p w14:paraId="0C7EF02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全部费用</w:t>
            </w:r>
          </w:p>
        </w:tc>
      </w:tr>
      <w:tr w14:paraId="0D6EC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32D5A5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11</w:t>
            </w:r>
          </w:p>
        </w:tc>
        <w:tc>
          <w:tcPr>
            <w:tcW w:w="3954" w:type="dxa"/>
            <w:vAlign w:val="center"/>
          </w:tcPr>
          <w:p w14:paraId="78293E5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零星砌体</w:t>
            </w:r>
          </w:p>
        </w:tc>
        <w:tc>
          <w:tcPr>
            <w:tcW w:w="675" w:type="dxa"/>
            <w:vAlign w:val="center"/>
          </w:tcPr>
          <w:p w14:paraId="0F259F0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m3</w:t>
            </w:r>
          </w:p>
        </w:tc>
        <w:tc>
          <w:tcPr>
            <w:tcW w:w="1324" w:type="dxa"/>
            <w:vAlign w:val="center"/>
          </w:tcPr>
          <w:p w14:paraId="7B72CAD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580</w:t>
            </w:r>
          </w:p>
        </w:tc>
        <w:tc>
          <w:tcPr>
            <w:tcW w:w="3544" w:type="dxa"/>
            <w:vAlign w:val="center"/>
          </w:tcPr>
          <w:p w14:paraId="5619C53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全部费用</w:t>
            </w:r>
          </w:p>
        </w:tc>
      </w:tr>
      <w:tr w14:paraId="2F0F9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39220A9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12</w:t>
            </w:r>
          </w:p>
        </w:tc>
        <w:tc>
          <w:tcPr>
            <w:tcW w:w="3954" w:type="dxa"/>
            <w:vAlign w:val="center"/>
          </w:tcPr>
          <w:p w14:paraId="2CC696B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零星抹灰</w:t>
            </w:r>
          </w:p>
        </w:tc>
        <w:tc>
          <w:tcPr>
            <w:tcW w:w="675" w:type="dxa"/>
            <w:vAlign w:val="center"/>
          </w:tcPr>
          <w:p w14:paraId="1E336B5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m2</w:t>
            </w:r>
          </w:p>
        </w:tc>
        <w:tc>
          <w:tcPr>
            <w:tcW w:w="1324" w:type="dxa"/>
            <w:vAlign w:val="center"/>
          </w:tcPr>
          <w:p w14:paraId="75A70EE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40</w:t>
            </w:r>
          </w:p>
        </w:tc>
        <w:tc>
          <w:tcPr>
            <w:tcW w:w="3544" w:type="dxa"/>
            <w:vAlign w:val="center"/>
          </w:tcPr>
          <w:p w14:paraId="3B32927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全部费用</w:t>
            </w:r>
          </w:p>
        </w:tc>
      </w:tr>
      <w:tr w14:paraId="1ED48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63B917D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13</w:t>
            </w:r>
          </w:p>
        </w:tc>
        <w:tc>
          <w:tcPr>
            <w:tcW w:w="3954" w:type="dxa"/>
            <w:vAlign w:val="center"/>
          </w:tcPr>
          <w:p w14:paraId="3523583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零星刮腻子</w:t>
            </w:r>
          </w:p>
        </w:tc>
        <w:tc>
          <w:tcPr>
            <w:tcW w:w="675" w:type="dxa"/>
            <w:vAlign w:val="center"/>
          </w:tcPr>
          <w:p w14:paraId="7CF5A6E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m2</w:t>
            </w:r>
          </w:p>
        </w:tc>
        <w:tc>
          <w:tcPr>
            <w:tcW w:w="1324" w:type="dxa"/>
            <w:vAlign w:val="center"/>
          </w:tcPr>
          <w:p w14:paraId="652F0D4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10</w:t>
            </w:r>
          </w:p>
        </w:tc>
        <w:tc>
          <w:tcPr>
            <w:tcW w:w="3544" w:type="dxa"/>
            <w:vAlign w:val="center"/>
          </w:tcPr>
          <w:p w14:paraId="722C12F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全部费用</w:t>
            </w:r>
          </w:p>
        </w:tc>
      </w:tr>
      <w:tr w14:paraId="25788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5405809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14</w:t>
            </w:r>
          </w:p>
        </w:tc>
        <w:tc>
          <w:tcPr>
            <w:tcW w:w="3954" w:type="dxa"/>
            <w:vAlign w:val="center"/>
          </w:tcPr>
          <w:p w14:paraId="7C986E2D">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零星抹灰面刮糙</w:t>
            </w:r>
          </w:p>
        </w:tc>
        <w:tc>
          <w:tcPr>
            <w:tcW w:w="675" w:type="dxa"/>
            <w:vAlign w:val="center"/>
          </w:tcPr>
          <w:p w14:paraId="7737639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m2</w:t>
            </w:r>
          </w:p>
        </w:tc>
        <w:tc>
          <w:tcPr>
            <w:tcW w:w="1324" w:type="dxa"/>
            <w:vAlign w:val="center"/>
          </w:tcPr>
          <w:p w14:paraId="640815F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18</w:t>
            </w:r>
          </w:p>
        </w:tc>
        <w:tc>
          <w:tcPr>
            <w:tcW w:w="3544" w:type="dxa"/>
            <w:vAlign w:val="center"/>
          </w:tcPr>
          <w:p w14:paraId="065A8D9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全部费用</w:t>
            </w:r>
          </w:p>
        </w:tc>
      </w:tr>
      <w:tr w14:paraId="5BC23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FC46FD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15</w:t>
            </w:r>
          </w:p>
        </w:tc>
        <w:tc>
          <w:tcPr>
            <w:tcW w:w="3954" w:type="dxa"/>
            <w:vAlign w:val="center"/>
          </w:tcPr>
          <w:p w14:paraId="04B5D6E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50装载机</w:t>
            </w:r>
          </w:p>
        </w:tc>
        <w:tc>
          <w:tcPr>
            <w:tcW w:w="675" w:type="dxa"/>
            <w:vAlign w:val="center"/>
          </w:tcPr>
          <w:p w14:paraId="34C1120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台班</w:t>
            </w:r>
          </w:p>
        </w:tc>
        <w:tc>
          <w:tcPr>
            <w:tcW w:w="1324" w:type="dxa"/>
            <w:vAlign w:val="center"/>
          </w:tcPr>
          <w:p w14:paraId="4F00642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2000</w:t>
            </w:r>
          </w:p>
        </w:tc>
        <w:tc>
          <w:tcPr>
            <w:tcW w:w="3544" w:type="dxa"/>
          </w:tcPr>
          <w:p w14:paraId="2FB50B4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全部费用</w:t>
            </w:r>
          </w:p>
        </w:tc>
      </w:tr>
      <w:tr w14:paraId="78CF2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4353013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16</w:t>
            </w:r>
          </w:p>
        </w:tc>
        <w:tc>
          <w:tcPr>
            <w:tcW w:w="3954" w:type="dxa"/>
            <w:vAlign w:val="center"/>
          </w:tcPr>
          <w:p w14:paraId="2B6D0F0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50型装载机以下</w:t>
            </w:r>
          </w:p>
        </w:tc>
        <w:tc>
          <w:tcPr>
            <w:tcW w:w="675" w:type="dxa"/>
            <w:vAlign w:val="center"/>
          </w:tcPr>
          <w:p w14:paraId="139E9BE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台班</w:t>
            </w:r>
          </w:p>
        </w:tc>
        <w:tc>
          <w:tcPr>
            <w:tcW w:w="1324" w:type="dxa"/>
            <w:vAlign w:val="center"/>
          </w:tcPr>
          <w:p w14:paraId="08AEECF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1800</w:t>
            </w:r>
          </w:p>
        </w:tc>
        <w:tc>
          <w:tcPr>
            <w:tcW w:w="3544" w:type="dxa"/>
          </w:tcPr>
          <w:p w14:paraId="346E1A2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全部费用</w:t>
            </w:r>
          </w:p>
        </w:tc>
      </w:tr>
      <w:tr w14:paraId="425D2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307FB66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17</w:t>
            </w:r>
          </w:p>
        </w:tc>
        <w:tc>
          <w:tcPr>
            <w:tcW w:w="3954" w:type="dxa"/>
            <w:vAlign w:val="center"/>
          </w:tcPr>
          <w:p w14:paraId="6E142D9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220型挖掘机</w:t>
            </w:r>
          </w:p>
        </w:tc>
        <w:tc>
          <w:tcPr>
            <w:tcW w:w="675" w:type="dxa"/>
            <w:vAlign w:val="center"/>
          </w:tcPr>
          <w:p w14:paraId="02D94BD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台班</w:t>
            </w:r>
          </w:p>
        </w:tc>
        <w:tc>
          <w:tcPr>
            <w:tcW w:w="1324" w:type="dxa"/>
            <w:vAlign w:val="center"/>
          </w:tcPr>
          <w:p w14:paraId="34909F6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2400</w:t>
            </w:r>
          </w:p>
        </w:tc>
        <w:tc>
          <w:tcPr>
            <w:tcW w:w="3544" w:type="dxa"/>
          </w:tcPr>
          <w:p w14:paraId="2BCB1B7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全部费用</w:t>
            </w:r>
          </w:p>
        </w:tc>
      </w:tr>
      <w:tr w14:paraId="33A5B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4D915E4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18</w:t>
            </w:r>
          </w:p>
        </w:tc>
        <w:tc>
          <w:tcPr>
            <w:tcW w:w="3954" w:type="dxa"/>
            <w:vAlign w:val="center"/>
          </w:tcPr>
          <w:p w14:paraId="2FE17BC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260型挖掘机</w:t>
            </w:r>
          </w:p>
        </w:tc>
        <w:tc>
          <w:tcPr>
            <w:tcW w:w="675" w:type="dxa"/>
            <w:vAlign w:val="center"/>
          </w:tcPr>
          <w:p w14:paraId="6CD64C9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台班</w:t>
            </w:r>
          </w:p>
        </w:tc>
        <w:tc>
          <w:tcPr>
            <w:tcW w:w="1324" w:type="dxa"/>
            <w:vAlign w:val="center"/>
          </w:tcPr>
          <w:p w14:paraId="12CCF35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5000</w:t>
            </w:r>
          </w:p>
        </w:tc>
        <w:tc>
          <w:tcPr>
            <w:tcW w:w="3544" w:type="dxa"/>
          </w:tcPr>
          <w:p w14:paraId="3E6500C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全部费用</w:t>
            </w:r>
          </w:p>
        </w:tc>
      </w:tr>
      <w:tr w14:paraId="0CD65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4352A47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19</w:t>
            </w:r>
          </w:p>
        </w:tc>
        <w:tc>
          <w:tcPr>
            <w:tcW w:w="3954" w:type="dxa"/>
            <w:vAlign w:val="center"/>
          </w:tcPr>
          <w:p w14:paraId="69F603B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spacing w:val="20"/>
                <w:szCs w:val="21"/>
                <w:highlight w:val="none"/>
              </w:rPr>
              <w:t>856型装载机</w:t>
            </w:r>
          </w:p>
        </w:tc>
        <w:tc>
          <w:tcPr>
            <w:tcW w:w="675" w:type="dxa"/>
            <w:vAlign w:val="center"/>
          </w:tcPr>
          <w:p w14:paraId="1DB5A1C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台班</w:t>
            </w:r>
          </w:p>
        </w:tc>
        <w:tc>
          <w:tcPr>
            <w:tcW w:w="1324" w:type="dxa"/>
            <w:vAlign w:val="center"/>
          </w:tcPr>
          <w:p w14:paraId="7924181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3500</w:t>
            </w:r>
          </w:p>
        </w:tc>
        <w:tc>
          <w:tcPr>
            <w:tcW w:w="3544" w:type="dxa"/>
          </w:tcPr>
          <w:p w14:paraId="494A2CF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全部费用</w:t>
            </w:r>
          </w:p>
        </w:tc>
      </w:tr>
      <w:tr w14:paraId="54F30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1A760A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20</w:t>
            </w:r>
          </w:p>
        </w:tc>
        <w:tc>
          <w:tcPr>
            <w:tcW w:w="3954" w:type="dxa"/>
            <w:vAlign w:val="center"/>
          </w:tcPr>
          <w:p w14:paraId="766B255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220以下挖掘机</w:t>
            </w:r>
          </w:p>
        </w:tc>
        <w:tc>
          <w:tcPr>
            <w:tcW w:w="675" w:type="dxa"/>
            <w:vAlign w:val="center"/>
          </w:tcPr>
          <w:p w14:paraId="7C25F8B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台班</w:t>
            </w:r>
          </w:p>
        </w:tc>
        <w:tc>
          <w:tcPr>
            <w:tcW w:w="1324" w:type="dxa"/>
            <w:vAlign w:val="center"/>
          </w:tcPr>
          <w:p w14:paraId="31433F3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2000</w:t>
            </w:r>
          </w:p>
        </w:tc>
        <w:tc>
          <w:tcPr>
            <w:tcW w:w="3544" w:type="dxa"/>
          </w:tcPr>
          <w:p w14:paraId="5F46158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全部费用</w:t>
            </w:r>
          </w:p>
        </w:tc>
      </w:tr>
      <w:tr w14:paraId="2096E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EF33CE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21</w:t>
            </w:r>
          </w:p>
        </w:tc>
        <w:tc>
          <w:tcPr>
            <w:tcW w:w="3954" w:type="dxa"/>
            <w:vAlign w:val="center"/>
          </w:tcPr>
          <w:p w14:paraId="4D94259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电梯吊箱木工板保护</w:t>
            </w:r>
          </w:p>
        </w:tc>
        <w:tc>
          <w:tcPr>
            <w:tcW w:w="675" w:type="dxa"/>
            <w:vAlign w:val="center"/>
          </w:tcPr>
          <w:p w14:paraId="160C494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3B6F031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1500</w:t>
            </w:r>
          </w:p>
        </w:tc>
        <w:tc>
          <w:tcPr>
            <w:tcW w:w="3544" w:type="dxa"/>
            <w:vAlign w:val="center"/>
          </w:tcPr>
          <w:p w14:paraId="1902C20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木工板六面保护，控制按钮部位开孔。含人工、材料、工完场清全部费用</w:t>
            </w:r>
          </w:p>
        </w:tc>
      </w:tr>
      <w:tr w14:paraId="68404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9C3EE4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22</w:t>
            </w:r>
          </w:p>
        </w:tc>
        <w:tc>
          <w:tcPr>
            <w:tcW w:w="3954" w:type="dxa"/>
            <w:vAlign w:val="center"/>
          </w:tcPr>
          <w:p w14:paraId="4333418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现场铺砖渣</w:t>
            </w:r>
          </w:p>
        </w:tc>
        <w:tc>
          <w:tcPr>
            <w:tcW w:w="675" w:type="dxa"/>
            <w:vAlign w:val="center"/>
          </w:tcPr>
          <w:p w14:paraId="4580D37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M3</w:t>
            </w:r>
          </w:p>
        </w:tc>
        <w:tc>
          <w:tcPr>
            <w:tcW w:w="1324" w:type="dxa"/>
            <w:vAlign w:val="center"/>
          </w:tcPr>
          <w:p w14:paraId="7A32D808">
            <w:pPr>
              <w:keepNext w:val="0"/>
              <w:keepLines w:val="0"/>
              <w:suppressLineNumbers w:val="0"/>
              <w:adjustRightInd w:val="0"/>
              <w:snapToGrid w:val="0"/>
              <w:spacing w:before="0" w:beforeAutospacing="0" w:after="0" w:afterAutospacing="0" w:line="360" w:lineRule="auto"/>
              <w:ind w:left="0" w:right="0"/>
              <w:jc w:val="center"/>
              <w:outlineLvl w:val="9"/>
              <w:rPr>
                <w:rFonts w:hint="default" w:cs="宋体" w:asciiTheme="minorEastAsia" w:hAnsiTheme="minorEastAsia" w:eastAsiaTheme="minorEastAsia"/>
                <w:color w:val="auto"/>
                <w:kern w:val="0"/>
                <w:szCs w:val="21"/>
                <w:highlight w:val="none"/>
                <w:lang w:val="en-US"/>
              </w:rPr>
            </w:pPr>
            <w:r>
              <w:rPr>
                <w:rFonts w:hint="eastAsia" w:cs="宋体" w:asciiTheme="minorEastAsia" w:hAnsiTheme="minorEastAsia" w:eastAsiaTheme="minorEastAsia"/>
                <w:color w:val="auto"/>
                <w:kern w:val="0"/>
                <w:szCs w:val="21"/>
                <w:highlight w:val="none"/>
                <w:lang w:val="en-US" w:eastAsia="zh-CN"/>
              </w:rPr>
              <w:t>60</w:t>
            </w:r>
          </w:p>
        </w:tc>
        <w:tc>
          <w:tcPr>
            <w:tcW w:w="3544" w:type="dxa"/>
            <w:vAlign w:val="center"/>
          </w:tcPr>
          <w:p w14:paraId="655DCC7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szCs w:val="21"/>
                <w:highlight w:val="none"/>
              </w:rPr>
              <w:t>含外购砖渣、运输、铺设等全部内容</w:t>
            </w:r>
          </w:p>
        </w:tc>
      </w:tr>
      <w:tr w14:paraId="7DC1F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shd w:val="clear" w:color="auto" w:fill="auto"/>
            <w:vAlign w:val="center"/>
          </w:tcPr>
          <w:p w14:paraId="2B143D9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bCs/>
                <w:color w:val="auto"/>
                <w:kern w:val="0"/>
                <w:szCs w:val="21"/>
                <w:highlight w:val="none"/>
              </w:rPr>
              <w:t>二</w:t>
            </w:r>
            <w:r>
              <w:rPr>
                <w:rFonts w:hint="eastAsia" w:cs="宋体" w:asciiTheme="minorEastAsia" w:hAnsiTheme="minorEastAsia" w:eastAsiaTheme="minorEastAsia"/>
                <w:color w:val="auto"/>
                <w:kern w:val="0"/>
                <w:szCs w:val="21"/>
                <w:highlight w:val="none"/>
              </w:rPr>
              <w:t>　</w:t>
            </w:r>
          </w:p>
        </w:tc>
        <w:tc>
          <w:tcPr>
            <w:tcW w:w="3954" w:type="dxa"/>
            <w:shd w:val="clear" w:color="auto" w:fill="FFFFFF"/>
            <w:noWrap/>
            <w:vAlign w:val="center"/>
          </w:tcPr>
          <w:p w14:paraId="5DF7481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Cs/>
                <w:color w:val="auto"/>
                <w:kern w:val="0"/>
                <w:szCs w:val="21"/>
                <w:highlight w:val="none"/>
              </w:rPr>
            </w:pPr>
            <w:r>
              <w:rPr>
                <w:rFonts w:hint="eastAsia" w:cs="宋体" w:asciiTheme="minorEastAsia" w:hAnsiTheme="minorEastAsia" w:eastAsiaTheme="minorEastAsia"/>
                <w:bCs/>
                <w:color w:val="auto"/>
                <w:kern w:val="0"/>
                <w:szCs w:val="21"/>
                <w:highlight w:val="none"/>
              </w:rPr>
              <w:t>安装部分</w:t>
            </w:r>
          </w:p>
        </w:tc>
        <w:tc>
          <w:tcPr>
            <w:tcW w:w="675" w:type="dxa"/>
            <w:vAlign w:val="bottom"/>
          </w:tcPr>
          <w:p w14:paraId="0434455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324" w:type="dxa"/>
            <w:vAlign w:val="center"/>
          </w:tcPr>
          <w:p w14:paraId="2D543B1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p>
        </w:tc>
        <w:tc>
          <w:tcPr>
            <w:tcW w:w="3544" w:type="dxa"/>
            <w:vAlign w:val="bottom"/>
          </w:tcPr>
          <w:p w14:paraId="392D11D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p>
        </w:tc>
      </w:tr>
      <w:tr w14:paraId="55100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shd w:val="clear" w:color="auto" w:fill="auto"/>
            <w:vAlign w:val="center"/>
          </w:tcPr>
          <w:p w14:paraId="5F83D78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w:t>
            </w:r>
          </w:p>
        </w:tc>
        <w:tc>
          <w:tcPr>
            <w:tcW w:w="3954" w:type="dxa"/>
            <w:shd w:val="clear" w:color="auto" w:fill="FFFFFF"/>
            <w:noWrap/>
            <w:vAlign w:val="center"/>
          </w:tcPr>
          <w:p w14:paraId="071FD69D">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零星用工（人工工日）安装</w:t>
            </w:r>
          </w:p>
        </w:tc>
        <w:tc>
          <w:tcPr>
            <w:tcW w:w="675" w:type="dxa"/>
            <w:vAlign w:val="center"/>
          </w:tcPr>
          <w:p w14:paraId="09E7B3B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工日</w:t>
            </w:r>
          </w:p>
        </w:tc>
        <w:tc>
          <w:tcPr>
            <w:tcW w:w="1324" w:type="dxa"/>
            <w:vAlign w:val="center"/>
          </w:tcPr>
          <w:p w14:paraId="1C7B0F0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280</w:t>
            </w:r>
          </w:p>
        </w:tc>
        <w:tc>
          <w:tcPr>
            <w:tcW w:w="3544" w:type="dxa"/>
            <w:vAlign w:val="center"/>
          </w:tcPr>
          <w:p w14:paraId="7455EBA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综合用工</w:t>
            </w:r>
          </w:p>
        </w:tc>
      </w:tr>
      <w:tr w14:paraId="2EF9F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2A7CEE1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w:t>
            </w:r>
          </w:p>
        </w:tc>
        <w:tc>
          <w:tcPr>
            <w:tcW w:w="3954" w:type="dxa"/>
            <w:vAlign w:val="center"/>
          </w:tcPr>
          <w:p w14:paraId="3008446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砌体普通机械或人工开洞DN50（含修复）</w:t>
            </w:r>
          </w:p>
        </w:tc>
        <w:tc>
          <w:tcPr>
            <w:tcW w:w="675" w:type="dxa"/>
            <w:vAlign w:val="center"/>
          </w:tcPr>
          <w:p w14:paraId="3AF67A0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371D2DD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30</w:t>
            </w:r>
          </w:p>
        </w:tc>
        <w:tc>
          <w:tcPr>
            <w:tcW w:w="3544" w:type="dxa"/>
            <w:vAlign w:val="center"/>
          </w:tcPr>
          <w:p w14:paraId="3304F32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5FAC7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1BB655F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w:t>
            </w:r>
          </w:p>
        </w:tc>
        <w:tc>
          <w:tcPr>
            <w:tcW w:w="3954" w:type="dxa"/>
            <w:vAlign w:val="center"/>
          </w:tcPr>
          <w:p w14:paraId="4CB1B49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砌体普通机械或人工开洞DN75（含修复）</w:t>
            </w:r>
          </w:p>
        </w:tc>
        <w:tc>
          <w:tcPr>
            <w:tcW w:w="675" w:type="dxa"/>
            <w:vAlign w:val="center"/>
          </w:tcPr>
          <w:p w14:paraId="1C58852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26944DD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35</w:t>
            </w:r>
          </w:p>
        </w:tc>
        <w:tc>
          <w:tcPr>
            <w:tcW w:w="3544" w:type="dxa"/>
            <w:vAlign w:val="center"/>
          </w:tcPr>
          <w:p w14:paraId="30F1E28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7874B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35F5B0A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w:t>
            </w:r>
          </w:p>
        </w:tc>
        <w:tc>
          <w:tcPr>
            <w:tcW w:w="3954" w:type="dxa"/>
            <w:vAlign w:val="center"/>
          </w:tcPr>
          <w:p w14:paraId="330A9D8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砌体普通机械或人工开洞DN100（含修复）</w:t>
            </w:r>
          </w:p>
        </w:tc>
        <w:tc>
          <w:tcPr>
            <w:tcW w:w="675" w:type="dxa"/>
            <w:vAlign w:val="center"/>
          </w:tcPr>
          <w:p w14:paraId="400D542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063738D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35</w:t>
            </w:r>
          </w:p>
        </w:tc>
        <w:tc>
          <w:tcPr>
            <w:tcW w:w="3544" w:type="dxa"/>
            <w:vAlign w:val="center"/>
          </w:tcPr>
          <w:p w14:paraId="54CC222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610F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1E46A9B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w:t>
            </w:r>
          </w:p>
        </w:tc>
        <w:tc>
          <w:tcPr>
            <w:tcW w:w="3954" w:type="dxa"/>
            <w:vAlign w:val="center"/>
          </w:tcPr>
          <w:p w14:paraId="10D3A29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砌体普通机械或人工开洞DN125（含修复）</w:t>
            </w:r>
          </w:p>
        </w:tc>
        <w:tc>
          <w:tcPr>
            <w:tcW w:w="675" w:type="dxa"/>
            <w:vAlign w:val="center"/>
          </w:tcPr>
          <w:p w14:paraId="60D921A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78F0BD2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50</w:t>
            </w:r>
          </w:p>
        </w:tc>
        <w:tc>
          <w:tcPr>
            <w:tcW w:w="3544" w:type="dxa"/>
            <w:vAlign w:val="center"/>
          </w:tcPr>
          <w:p w14:paraId="3F92CFF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096D7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810649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w:t>
            </w:r>
          </w:p>
        </w:tc>
        <w:tc>
          <w:tcPr>
            <w:tcW w:w="3954" w:type="dxa"/>
            <w:vAlign w:val="center"/>
          </w:tcPr>
          <w:p w14:paraId="529A9DB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砌体普通机械或人工开洞DN150（含修复）</w:t>
            </w:r>
          </w:p>
        </w:tc>
        <w:tc>
          <w:tcPr>
            <w:tcW w:w="675" w:type="dxa"/>
            <w:vAlign w:val="center"/>
          </w:tcPr>
          <w:p w14:paraId="7FB1BC1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69EFA10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50</w:t>
            </w:r>
          </w:p>
        </w:tc>
        <w:tc>
          <w:tcPr>
            <w:tcW w:w="3544" w:type="dxa"/>
            <w:vAlign w:val="center"/>
          </w:tcPr>
          <w:p w14:paraId="6510A55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25A00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ACB2E3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7</w:t>
            </w:r>
          </w:p>
        </w:tc>
        <w:tc>
          <w:tcPr>
            <w:tcW w:w="3954" w:type="dxa"/>
            <w:vAlign w:val="center"/>
          </w:tcPr>
          <w:p w14:paraId="128B7FB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砌体普通机械或人工开洞DN200（含修复）</w:t>
            </w:r>
          </w:p>
        </w:tc>
        <w:tc>
          <w:tcPr>
            <w:tcW w:w="675" w:type="dxa"/>
            <w:vAlign w:val="center"/>
          </w:tcPr>
          <w:p w14:paraId="62461FD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4491D56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60</w:t>
            </w:r>
          </w:p>
        </w:tc>
        <w:tc>
          <w:tcPr>
            <w:tcW w:w="3544" w:type="dxa"/>
            <w:vAlign w:val="center"/>
          </w:tcPr>
          <w:p w14:paraId="06E31BF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4CFCD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6B3CE8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8</w:t>
            </w:r>
          </w:p>
        </w:tc>
        <w:tc>
          <w:tcPr>
            <w:tcW w:w="3954" w:type="dxa"/>
            <w:vAlign w:val="center"/>
          </w:tcPr>
          <w:p w14:paraId="1D90211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砌体普通机械或人工开洞DN250（含修复）</w:t>
            </w:r>
          </w:p>
        </w:tc>
        <w:tc>
          <w:tcPr>
            <w:tcW w:w="675" w:type="dxa"/>
            <w:vAlign w:val="center"/>
          </w:tcPr>
          <w:p w14:paraId="171DD35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2D46037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80</w:t>
            </w:r>
          </w:p>
        </w:tc>
        <w:tc>
          <w:tcPr>
            <w:tcW w:w="3544" w:type="dxa"/>
            <w:vAlign w:val="center"/>
          </w:tcPr>
          <w:p w14:paraId="0DBECFD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04182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80C5E5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9</w:t>
            </w:r>
          </w:p>
        </w:tc>
        <w:tc>
          <w:tcPr>
            <w:tcW w:w="3954" w:type="dxa"/>
            <w:vAlign w:val="center"/>
          </w:tcPr>
          <w:p w14:paraId="519A8A6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砌体普通机械或人工开洞DN300（含修复）</w:t>
            </w:r>
          </w:p>
        </w:tc>
        <w:tc>
          <w:tcPr>
            <w:tcW w:w="675" w:type="dxa"/>
            <w:vAlign w:val="center"/>
          </w:tcPr>
          <w:p w14:paraId="7C3B134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32D9058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90</w:t>
            </w:r>
          </w:p>
        </w:tc>
        <w:tc>
          <w:tcPr>
            <w:tcW w:w="3544" w:type="dxa"/>
            <w:vAlign w:val="center"/>
          </w:tcPr>
          <w:p w14:paraId="63D7F0A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594FB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2E269FD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10</w:t>
            </w:r>
          </w:p>
        </w:tc>
        <w:tc>
          <w:tcPr>
            <w:tcW w:w="3954" w:type="dxa"/>
            <w:vAlign w:val="center"/>
          </w:tcPr>
          <w:p w14:paraId="56D1AFB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砌体水钻开洞DN50（含修复）</w:t>
            </w:r>
          </w:p>
        </w:tc>
        <w:tc>
          <w:tcPr>
            <w:tcW w:w="675" w:type="dxa"/>
            <w:vAlign w:val="center"/>
          </w:tcPr>
          <w:p w14:paraId="562CEEF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23DEE9C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50</w:t>
            </w:r>
          </w:p>
        </w:tc>
        <w:tc>
          <w:tcPr>
            <w:tcW w:w="3544" w:type="dxa"/>
            <w:vAlign w:val="center"/>
          </w:tcPr>
          <w:p w14:paraId="508B627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75864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49B4A42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11</w:t>
            </w:r>
          </w:p>
        </w:tc>
        <w:tc>
          <w:tcPr>
            <w:tcW w:w="3954" w:type="dxa"/>
            <w:vAlign w:val="center"/>
          </w:tcPr>
          <w:p w14:paraId="3AB5624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砌体水钻开洞DN75（含修复）</w:t>
            </w:r>
          </w:p>
        </w:tc>
        <w:tc>
          <w:tcPr>
            <w:tcW w:w="675" w:type="dxa"/>
            <w:vAlign w:val="center"/>
          </w:tcPr>
          <w:p w14:paraId="4204183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242BEB3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60</w:t>
            </w:r>
          </w:p>
        </w:tc>
        <w:tc>
          <w:tcPr>
            <w:tcW w:w="3544" w:type="dxa"/>
            <w:vAlign w:val="center"/>
          </w:tcPr>
          <w:p w14:paraId="6CA769B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1FE2F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6F341FD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12</w:t>
            </w:r>
          </w:p>
        </w:tc>
        <w:tc>
          <w:tcPr>
            <w:tcW w:w="3954" w:type="dxa"/>
            <w:vAlign w:val="center"/>
          </w:tcPr>
          <w:p w14:paraId="4491D37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砌体水钻开洞DN100（含修复）</w:t>
            </w:r>
          </w:p>
        </w:tc>
        <w:tc>
          <w:tcPr>
            <w:tcW w:w="675" w:type="dxa"/>
            <w:vAlign w:val="center"/>
          </w:tcPr>
          <w:p w14:paraId="4931CFA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59C460B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60</w:t>
            </w:r>
          </w:p>
        </w:tc>
        <w:tc>
          <w:tcPr>
            <w:tcW w:w="3544" w:type="dxa"/>
            <w:vAlign w:val="center"/>
          </w:tcPr>
          <w:p w14:paraId="65EA860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0FB80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326C495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13</w:t>
            </w:r>
          </w:p>
        </w:tc>
        <w:tc>
          <w:tcPr>
            <w:tcW w:w="3954" w:type="dxa"/>
            <w:vAlign w:val="center"/>
          </w:tcPr>
          <w:p w14:paraId="0C211C7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砌体水钻开洞DN125（含修复）</w:t>
            </w:r>
          </w:p>
        </w:tc>
        <w:tc>
          <w:tcPr>
            <w:tcW w:w="675" w:type="dxa"/>
            <w:vAlign w:val="center"/>
          </w:tcPr>
          <w:p w14:paraId="755BD47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47C33DE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75</w:t>
            </w:r>
          </w:p>
        </w:tc>
        <w:tc>
          <w:tcPr>
            <w:tcW w:w="3544" w:type="dxa"/>
            <w:vAlign w:val="center"/>
          </w:tcPr>
          <w:p w14:paraId="3A356CF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9222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14027B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14</w:t>
            </w:r>
          </w:p>
        </w:tc>
        <w:tc>
          <w:tcPr>
            <w:tcW w:w="3954" w:type="dxa"/>
            <w:vAlign w:val="center"/>
          </w:tcPr>
          <w:p w14:paraId="04A4292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砌体水钻开洞DN150（含修复）</w:t>
            </w:r>
          </w:p>
        </w:tc>
        <w:tc>
          <w:tcPr>
            <w:tcW w:w="675" w:type="dxa"/>
            <w:vAlign w:val="center"/>
          </w:tcPr>
          <w:p w14:paraId="524C535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722E2A5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75</w:t>
            </w:r>
          </w:p>
        </w:tc>
        <w:tc>
          <w:tcPr>
            <w:tcW w:w="3544" w:type="dxa"/>
            <w:vAlign w:val="center"/>
          </w:tcPr>
          <w:p w14:paraId="0DD1582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C52B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B3AA0B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15</w:t>
            </w:r>
          </w:p>
        </w:tc>
        <w:tc>
          <w:tcPr>
            <w:tcW w:w="3954" w:type="dxa"/>
            <w:vAlign w:val="center"/>
          </w:tcPr>
          <w:p w14:paraId="017F56D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砌体水钻开洞DN200（含修复）</w:t>
            </w:r>
          </w:p>
        </w:tc>
        <w:tc>
          <w:tcPr>
            <w:tcW w:w="675" w:type="dxa"/>
            <w:vAlign w:val="center"/>
          </w:tcPr>
          <w:p w14:paraId="701DB16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343747F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90</w:t>
            </w:r>
          </w:p>
        </w:tc>
        <w:tc>
          <w:tcPr>
            <w:tcW w:w="3544" w:type="dxa"/>
            <w:vAlign w:val="center"/>
          </w:tcPr>
          <w:p w14:paraId="6AE40AF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1473D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40A89E3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16</w:t>
            </w:r>
          </w:p>
        </w:tc>
        <w:tc>
          <w:tcPr>
            <w:tcW w:w="3954" w:type="dxa"/>
            <w:vAlign w:val="center"/>
          </w:tcPr>
          <w:p w14:paraId="70A84FB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砌体水钻开洞DN250（含修复）</w:t>
            </w:r>
          </w:p>
        </w:tc>
        <w:tc>
          <w:tcPr>
            <w:tcW w:w="675" w:type="dxa"/>
            <w:vAlign w:val="center"/>
          </w:tcPr>
          <w:p w14:paraId="148B94E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371481C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100</w:t>
            </w:r>
          </w:p>
        </w:tc>
        <w:tc>
          <w:tcPr>
            <w:tcW w:w="3544" w:type="dxa"/>
            <w:vAlign w:val="center"/>
          </w:tcPr>
          <w:p w14:paraId="21F5919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50DB4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6767898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17</w:t>
            </w:r>
          </w:p>
        </w:tc>
        <w:tc>
          <w:tcPr>
            <w:tcW w:w="3954" w:type="dxa"/>
            <w:vAlign w:val="center"/>
          </w:tcPr>
          <w:p w14:paraId="77F5FF9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砌体水钻开洞DN300（含修复）</w:t>
            </w:r>
          </w:p>
        </w:tc>
        <w:tc>
          <w:tcPr>
            <w:tcW w:w="675" w:type="dxa"/>
            <w:vAlign w:val="center"/>
          </w:tcPr>
          <w:p w14:paraId="51580AF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5AD6421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110</w:t>
            </w:r>
          </w:p>
        </w:tc>
        <w:tc>
          <w:tcPr>
            <w:tcW w:w="3544" w:type="dxa"/>
            <w:vAlign w:val="center"/>
          </w:tcPr>
          <w:p w14:paraId="532D2B8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411DE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42C2506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18</w:t>
            </w:r>
          </w:p>
        </w:tc>
        <w:tc>
          <w:tcPr>
            <w:tcW w:w="3954" w:type="dxa"/>
            <w:vAlign w:val="center"/>
          </w:tcPr>
          <w:p w14:paraId="16C8A52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砼墙、板普通机械或人工开洞DN50（含修复）</w:t>
            </w:r>
          </w:p>
        </w:tc>
        <w:tc>
          <w:tcPr>
            <w:tcW w:w="675" w:type="dxa"/>
            <w:vAlign w:val="center"/>
          </w:tcPr>
          <w:p w14:paraId="675E6BA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2435916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43</w:t>
            </w:r>
          </w:p>
        </w:tc>
        <w:tc>
          <w:tcPr>
            <w:tcW w:w="3544" w:type="dxa"/>
            <w:vAlign w:val="center"/>
          </w:tcPr>
          <w:p w14:paraId="0EFC1C8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D070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19A119E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19</w:t>
            </w:r>
          </w:p>
        </w:tc>
        <w:tc>
          <w:tcPr>
            <w:tcW w:w="3954" w:type="dxa"/>
            <w:vAlign w:val="center"/>
          </w:tcPr>
          <w:p w14:paraId="6BB0ABC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砼墙、板普通机械或人工开洞DN75（含修复）</w:t>
            </w:r>
          </w:p>
        </w:tc>
        <w:tc>
          <w:tcPr>
            <w:tcW w:w="675" w:type="dxa"/>
            <w:vAlign w:val="center"/>
          </w:tcPr>
          <w:p w14:paraId="45BC5BA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00F332C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52</w:t>
            </w:r>
          </w:p>
        </w:tc>
        <w:tc>
          <w:tcPr>
            <w:tcW w:w="3544" w:type="dxa"/>
            <w:vAlign w:val="center"/>
          </w:tcPr>
          <w:p w14:paraId="4DF0D21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5ACFB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4838AC9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20</w:t>
            </w:r>
          </w:p>
        </w:tc>
        <w:tc>
          <w:tcPr>
            <w:tcW w:w="3954" w:type="dxa"/>
            <w:vAlign w:val="center"/>
          </w:tcPr>
          <w:p w14:paraId="5046E83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砼墙、板普通机械或人工开洞DN100（含修复）</w:t>
            </w:r>
          </w:p>
        </w:tc>
        <w:tc>
          <w:tcPr>
            <w:tcW w:w="675" w:type="dxa"/>
            <w:vAlign w:val="center"/>
          </w:tcPr>
          <w:p w14:paraId="35903E6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4135B00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52</w:t>
            </w:r>
          </w:p>
        </w:tc>
        <w:tc>
          <w:tcPr>
            <w:tcW w:w="3544" w:type="dxa"/>
            <w:vAlign w:val="center"/>
          </w:tcPr>
          <w:p w14:paraId="767FD7B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046B3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5D4BC7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21</w:t>
            </w:r>
          </w:p>
        </w:tc>
        <w:tc>
          <w:tcPr>
            <w:tcW w:w="3954" w:type="dxa"/>
            <w:vAlign w:val="center"/>
          </w:tcPr>
          <w:p w14:paraId="7948ACD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砼墙、板普通机械或人工开洞DN125（含修复）</w:t>
            </w:r>
          </w:p>
        </w:tc>
        <w:tc>
          <w:tcPr>
            <w:tcW w:w="675" w:type="dxa"/>
            <w:vAlign w:val="center"/>
          </w:tcPr>
          <w:p w14:paraId="40BA7A9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5595D46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65</w:t>
            </w:r>
          </w:p>
        </w:tc>
        <w:tc>
          <w:tcPr>
            <w:tcW w:w="3544" w:type="dxa"/>
            <w:vAlign w:val="center"/>
          </w:tcPr>
          <w:p w14:paraId="2DD664D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502DA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5E1785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22</w:t>
            </w:r>
          </w:p>
        </w:tc>
        <w:tc>
          <w:tcPr>
            <w:tcW w:w="3954" w:type="dxa"/>
            <w:vAlign w:val="center"/>
          </w:tcPr>
          <w:p w14:paraId="0C543A1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砼墙、板普通机械或人工开洞DN150（含修复）</w:t>
            </w:r>
          </w:p>
        </w:tc>
        <w:tc>
          <w:tcPr>
            <w:tcW w:w="675" w:type="dxa"/>
            <w:vAlign w:val="center"/>
          </w:tcPr>
          <w:p w14:paraId="07B5833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0CE2881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65</w:t>
            </w:r>
          </w:p>
        </w:tc>
        <w:tc>
          <w:tcPr>
            <w:tcW w:w="3544" w:type="dxa"/>
            <w:vAlign w:val="center"/>
          </w:tcPr>
          <w:p w14:paraId="096724D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57DA5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60393F5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23</w:t>
            </w:r>
          </w:p>
        </w:tc>
        <w:tc>
          <w:tcPr>
            <w:tcW w:w="3954" w:type="dxa"/>
            <w:vAlign w:val="center"/>
          </w:tcPr>
          <w:p w14:paraId="1B630CE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砼墙、板普通机械或人工开洞DN200（含修复）</w:t>
            </w:r>
          </w:p>
        </w:tc>
        <w:tc>
          <w:tcPr>
            <w:tcW w:w="675" w:type="dxa"/>
            <w:vAlign w:val="center"/>
          </w:tcPr>
          <w:p w14:paraId="5E21FBF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7B3BA28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76</w:t>
            </w:r>
          </w:p>
        </w:tc>
        <w:tc>
          <w:tcPr>
            <w:tcW w:w="3544" w:type="dxa"/>
            <w:vAlign w:val="center"/>
          </w:tcPr>
          <w:p w14:paraId="44C44B6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E921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5536F86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24</w:t>
            </w:r>
          </w:p>
        </w:tc>
        <w:tc>
          <w:tcPr>
            <w:tcW w:w="3954" w:type="dxa"/>
            <w:vAlign w:val="center"/>
          </w:tcPr>
          <w:p w14:paraId="0741CB9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砼墙、板普通机械或人工开洞DN250（含修复）</w:t>
            </w:r>
          </w:p>
        </w:tc>
        <w:tc>
          <w:tcPr>
            <w:tcW w:w="675" w:type="dxa"/>
            <w:vAlign w:val="center"/>
          </w:tcPr>
          <w:p w14:paraId="261ED3A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3586E21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90</w:t>
            </w:r>
          </w:p>
        </w:tc>
        <w:tc>
          <w:tcPr>
            <w:tcW w:w="3544" w:type="dxa"/>
            <w:vAlign w:val="center"/>
          </w:tcPr>
          <w:p w14:paraId="4B88E69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393A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AAB451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25</w:t>
            </w:r>
          </w:p>
        </w:tc>
        <w:tc>
          <w:tcPr>
            <w:tcW w:w="3954" w:type="dxa"/>
            <w:vAlign w:val="center"/>
          </w:tcPr>
          <w:p w14:paraId="7EEA73F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砼墙、板普通机械或人工开洞DN300（含修复）</w:t>
            </w:r>
          </w:p>
        </w:tc>
        <w:tc>
          <w:tcPr>
            <w:tcW w:w="675" w:type="dxa"/>
            <w:vAlign w:val="center"/>
          </w:tcPr>
          <w:p w14:paraId="05FE4C8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2E48510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105</w:t>
            </w:r>
          </w:p>
        </w:tc>
        <w:tc>
          <w:tcPr>
            <w:tcW w:w="3544" w:type="dxa"/>
            <w:vAlign w:val="center"/>
          </w:tcPr>
          <w:p w14:paraId="3E3EDF2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46D33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1FDB0A0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26</w:t>
            </w:r>
          </w:p>
        </w:tc>
        <w:tc>
          <w:tcPr>
            <w:tcW w:w="3954" w:type="dxa"/>
            <w:vAlign w:val="center"/>
          </w:tcPr>
          <w:p w14:paraId="6303F00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砼墙、板水钻开洞DN50（含修复）</w:t>
            </w:r>
          </w:p>
        </w:tc>
        <w:tc>
          <w:tcPr>
            <w:tcW w:w="675" w:type="dxa"/>
            <w:vAlign w:val="center"/>
          </w:tcPr>
          <w:p w14:paraId="24894DC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635F6B7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50</w:t>
            </w:r>
          </w:p>
        </w:tc>
        <w:tc>
          <w:tcPr>
            <w:tcW w:w="3544" w:type="dxa"/>
            <w:vAlign w:val="center"/>
          </w:tcPr>
          <w:p w14:paraId="1F313D6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5BE72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3183BE2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27</w:t>
            </w:r>
          </w:p>
        </w:tc>
        <w:tc>
          <w:tcPr>
            <w:tcW w:w="3954" w:type="dxa"/>
            <w:vAlign w:val="center"/>
          </w:tcPr>
          <w:p w14:paraId="2F8A23B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砼墙、板水钻开洞DN75（含修复）</w:t>
            </w:r>
          </w:p>
        </w:tc>
        <w:tc>
          <w:tcPr>
            <w:tcW w:w="675" w:type="dxa"/>
            <w:vAlign w:val="center"/>
          </w:tcPr>
          <w:p w14:paraId="704038B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5450449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65</w:t>
            </w:r>
          </w:p>
        </w:tc>
        <w:tc>
          <w:tcPr>
            <w:tcW w:w="3544" w:type="dxa"/>
            <w:vAlign w:val="center"/>
          </w:tcPr>
          <w:p w14:paraId="080677C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29EF3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65A475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28</w:t>
            </w:r>
          </w:p>
        </w:tc>
        <w:tc>
          <w:tcPr>
            <w:tcW w:w="3954" w:type="dxa"/>
            <w:vAlign w:val="center"/>
          </w:tcPr>
          <w:p w14:paraId="3E69AAD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砼墙、板水钻开洞DN100（含修复）</w:t>
            </w:r>
          </w:p>
        </w:tc>
        <w:tc>
          <w:tcPr>
            <w:tcW w:w="675" w:type="dxa"/>
            <w:vAlign w:val="center"/>
          </w:tcPr>
          <w:p w14:paraId="5BA3BD3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1936486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65</w:t>
            </w:r>
          </w:p>
        </w:tc>
        <w:tc>
          <w:tcPr>
            <w:tcW w:w="3544" w:type="dxa"/>
            <w:vAlign w:val="center"/>
          </w:tcPr>
          <w:p w14:paraId="0B5617A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4E794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2AFC1B7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29</w:t>
            </w:r>
          </w:p>
        </w:tc>
        <w:tc>
          <w:tcPr>
            <w:tcW w:w="3954" w:type="dxa"/>
            <w:vAlign w:val="center"/>
          </w:tcPr>
          <w:p w14:paraId="0DB18AE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砼墙、板水钻开洞DN125（含修复）</w:t>
            </w:r>
          </w:p>
        </w:tc>
        <w:tc>
          <w:tcPr>
            <w:tcW w:w="675" w:type="dxa"/>
            <w:vAlign w:val="center"/>
          </w:tcPr>
          <w:p w14:paraId="20D0D85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4E5ACE3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80</w:t>
            </w:r>
          </w:p>
        </w:tc>
        <w:tc>
          <w:tcPr>
            <w:tcW w:w="3544" w:type="dxa"/>
            <w:vAlign w:val="center"/>
          </w:tcPr>
          <w:p w14:paraId="543F80A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6AB3B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50DE7D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30</w:t>
            </w:r>
          </w:p>
        </w:tc>
        <w:tc>
          <w:tcPr>
            <w:tcW w:w="3954" w:type="dxa"/>
            <w:vAlign w:val="center"/>
          </w:tcPr>
          <w:p w14:paraId="7FB61DD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砼墙、板水钻开洞DN150（含修复）</w:t>
            </w:r>
          </w:p>
        </w:tc>
        <w:tc>
          <w:tcPr>
            <w:tcW w:w="675" w:type="dxa"/>
            <w:vAlign w:val="center"/>
          </w:tcPr>
          <w:p w14:paraId="30722C4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230F248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80</w:t>
            </w:r>
          </w:p>
        </w:tc>
        <w:tc>
          <w:tcPr>
            <w:tcW w:w="3544" w:type="dxa"/>
            <w:vAlign w:val="center"/>
          </w:tcPr>
          <w:p w14:paraId="0B32FC6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F66D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25AD7BD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31</w:t>
            </w:r>
          </w:p>
        </w:tc>
        <w:tc>
          <w:tcPr>
            <w:tcW w:w="3954" w:type="dxa"/>
            <w:vAlign w:val="center"/>
          </w:tcPr>
          <w:p w14:paraId="1AF5BFB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砼墙、板水钻开洞DN200（含修复）</w:t>
            </w:r>
          </w:p>
        </w:tc>
        <w:tc>
          <w:tcPr>
            <w:tcW w:w="675" w:type="dxa"/>
            <w:vAlign w:val="center"/>
          </w:tcPr>
          <w:p w14:paraId="62303C3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74922B9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100</w:t>
            </w:r>
          </w:p>
        </w:tc>
        <w:tc>
          <w:tcPr>
            <w:tcW w:w="3544" w:type="dxa"/>
            <w:vAlign w:val="center"/>
          </w:tcPr>
          <w:p w14:paraId="01BC654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E6A8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24872EE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32</w:t>
            </w:r>
          </w:p>
        </w:tc>
        <w:tc>
          <w:tcPr>
            <w:tcW w:w="3954" w:type="dxa"/>
            <w:vAlign w:val="center"/>
          </w:tcPr>
          <w:p w14:paraId="42339AB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砼墙、板水钻开洞DN250（含修复）</w:t>
            </w:r>
          </w:p>
        </w:tc>
        <w:tc>
          <w:tcPr>
            <w:tcW w:w="675" w:type="dxa"/>
            <w:vAlign w:val="center"/>
          </w:tcPr>
          <w:p w14:paraId="4812029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25B59EC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120</w:t>
            </w:r>
          </w:p>
        </w:tc>
        <w:tc>
          <w:tcPr>
            <w:tcW w:w="3544" w:type="dxa"/>
            <w:vAlign w:val="center"/>
          </w:tcPr>
          <w:p w14:paraId="33E2771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3451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2229C1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33</w:t>
            </w:r>
          </w:p>
        </w:tc>
        <w:tc>
          <w:tcPr>
            <w:tcW w:w="3954" w:type="dxa"/>
            <w:vAlign w:val="center"/>
          </w:tcPr>
          <w:p w14:paraId="60D3276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砼墙、板水钻开洞DN300（含修复）</w:t>
            </w:r>
          </w:p>
        </w:tc>
        <w:tc>
          <w:tcPr>
            <w:tcW w:w="675" w:type="dxa"/>
            <w:vAlign w:val="center"/>
          </w:tcPr>
          <w:p w14:paraId="0392CFE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62A1042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150</w:t>
            </w:r>
          </w:p>
        </w:tc>
        <w:tc>
          <w:tcPr>
            <w:tcW w:w="3544" w:type="dxa"/>
            <w:vAlign w:val="center"/>
          </w:tcPr>
          <w:p w14:paraId="271C18A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58DCD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1103CDD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34</w:t>
            </w:r>
          </w:p>
        </w:tc>
        <w:tc>
          <w:tcPr>
            <w:tcW w:w="3954" w:type="dxa"/>
            <w:vAlign w:val="center"/>
          </w:tcPr>
          <w:p w14:paraId="1108A76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砖墙面人工开线槽宽*深（mm以内） 70*70（含补填砂浆修复）</w:t>
            </w:r>
          </w:p>
        </w:tc>
        <w:tc>
          <w:tcPr>
            <w:tcW w:w="675" w:type="dxa"/>
            <w:vAlign w:val="center"/>
          </w:tcPr>
          <w:p w14:paraId="1C5A06B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46203AA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10</w:t>
            </w:r>
          </w:p>
        </w:tc>
        <w:tc>
          <w:tcPr>
            <w:tcW w:w="3544" w:type="dxa"/>
            <w:vAlign w:val="center"/>
          </w:tcPr>
          <w:p w14:paraId="62F7D5E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16339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1E21A73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35</w:t>
            </w:r>
          </w:p>
        </w:tc>
        <w:tc>
          <w:tcPr>
            <w:tcW w:w="3954" w:type="dxa"/>
            <w:vAlign w:val="center"/>
          </w:tcPr>
          <w:p w14:paraId="19037C6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砖墙面人工开线槽宽*深（mm以内）90*90（含补填砂浆修复）</w:t>
            </w:r>
          </w:p>
        </w:tc>
        <w:tc>
          <w:tcPr>
            <w:tcW w:w="675" w:type="dxa"/>
            <w:vAlign w:val="center"/>
          </w:tcPr>
          <w:p w14:paraId="27E4CF4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7066B1F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13</w:t>
            </w:r>
          </w:p>
        </w:tc>
        <w:tc>
          <w:tcPr>
            <w:tcW w:w="3544" w:type="dxa"/>
            <w:vAlign w:val="center"/>
          </w:tcPr>
          <w:p w14:paraId="02454C1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61756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47CD36B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36</w:t>
            </w:r>
          </w:p>
        </w:tc>
        <w:tc>
          <w:tcPr>
            <w:tcW w:w="3954" w:type="dxa"/>
            <w:vAlign w:val="center"/>
          </w:tcPr>
          <w:p w14:paraId="505442A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砖墙面人工开线槽宽*深（mm以内）100*140（含补填砂浆修复）</w:t>
            </w:r>
          </w:p>
        </w:tc>
        <w:tc>
          <w:tcPr>
            <w:tcW w:w="675" w:type="dxa"/>
            <w:vAlign w:val="center"/>
          </w:tcPr>
          <w:p w14:paraId="7B4FB3D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53E52D4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19</w:t>
            </w:r>
          </w:p>
        </w:tc>
        <w:tc>
          <w:tcPr>
            <w:tcW w:w="3544" w:type="dxa"/>
            <w:vAlign w:val="center"/>
          </w:tcPr>
          <w:p w14:paraId="370D687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27CC0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6538C1D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37</w:t>
            </w:r>
          </w:p>
        </w:tc>
        <w:tc>
          <w:tcPr>
            <w:tcW w:w="3954" w:type="dxa"/>
            <w:vAlign w:val="center"/>
          </w:tcPr>
          <w:p w14:paraId="2EAC7A3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砖墙面人工开线槽宽*深（mm以内）120*150（含补填砂浆修复）</w:t>
            </w:r>
          </w:p>
        </w:tc>
        <w:tc>
          <w:tcPr>
            <w:tcW w:w="675" w:type="dxa"/>
            <w:vAlign w:val="center"/>
          </w:tcPr>
          <w:p w14:paraId="1C98890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6ECE658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23</w:t>
            </w:r>
          </w:p>
        </w:tc>
        <w:tc>
          <w:tcPr>
            <w:tcW w:w="3544" w:type="dxa"/>
            <w:vAlign w:val="center"/>
          </w:tcPr>
          <w:p w14:paraId="156FB57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5AA3A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30410E9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38</w:t>
            </w:r>
          </w:p>
        </w:tc>
        <w:tc>
          <w:tcPr>
            <w:tcW w:w="3954" w:type="dxa"/>
            <w:vAlign w:val="center"/>
          </w:tcPr>
          <w:p w14:paraId="2BC11E3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砖墙面人工开线槽宽*深（mm以内）150*200（含补填砂浆修复）</w:t>
            </w:r>
          </w:p>
        </w:tc>
        <w:tc>
          <w:tcPr>
            <w:tcW w:w="675" w:type="dxa"/>
            <w:vAlign w:val="center"/>
          </w:tcPr>
          <w:p w14:paraId="1AFCE6B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74F7746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34</w:t>
            </w:r>
          </w:p>
        </w:tc>
        <w:tc>
          <w:tcPr>
            <w:tcW w:w="3544" w:type="dxa"/>
            <w:vAlign w:val="center"/>
          </w:tcPr>
          <w:p w14:paraId="68F5FB6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2A7B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4349B0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39</w:t>
            </w:r>
          </w:p>
        </w:tc>
        <w:tc>
          <w:tcPr>
            <w:tcW w:w="3954" w:type="dxa"/>
            <w:vAlign w:val="center"/>
          </w:tcPr>
          <w:p w14:paraId="656BDC3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砖墙面机械开线槽宽*深（mm以内）70*70（含补填砂浆修复）</w:t>
            </w:r>
          </w:p>
        </w:tc>
        <w:tc>
          <w:tcPr>
            <w:tcW w:w="675" w:type="dxa"/>
            <w:vAlign w:val="center"/>
          </w:tcPr>
          <w:p w14:paraId="76347C4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071ACA7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9</w:t>
            </w:r>
          </w:p>
        </w:tc>
        <w:tc>
          <w:tcPr>
            <w:tcW w:w="3544" w:type="dxa"/>
            <w:vAlign w:val="center"/>
          </w:tcPr>
          <w:p w14:paraId="09AE110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0BBC4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2E63E98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40</w:t>
            </w:r>
          </w:p>
        </w:tc>
        <w:tc>
          <w:tcPr>
            <w:tcW w:w="3954" w:type="dxa"/>
            <w:vAlign w:val="center"/>
          </w:tcPr>
          <w:p w14:paraId="02AA2CD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砖墙面机械开线槽宽*深（mm以内）90*90（含补填砂浆修复）</w:t>
            </w:r>
          </w:p>
        </w:tc>
        <w:tc>
          <w:tcPr>
            <w:tcW w:w="675" w:type="dxa"/>
            <w:vAlign w:val="center"/>
          </w:tcPr>
          <w:p w14:paraId="3997B8D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48E3C83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12</w:t>
            </w:r>
          </w:p>
        </w:tc>
        <w:tc>
          <w:tcPr>
            <w:tcW w:w="3544" w:type="dxa"/>
            <w:vAlign w:val="center"/>
          </w:tcPr>
          <w:p w14:paraId="11E094F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7EA8A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21A6479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41</w:t>
            </w:r>
          </w:p>
        </w:tc>
        <w:tc>
          <w:tcPr>
            <w:tcW w:w="3954" w:type="dxa"/>
            <w:vAlign w:val="center"/>
          </w:tcPr>
          <w:p w14:paraId="10A631E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砖墙面机械开线槽宽*深（mm以内）100*140（含补填砂浆修复）</w:t>
            </w:r>
          </w:p>
        </w:tc>
        <w:tc>
          <w:tcPr>
            <w:tcW w:w="675" w:type="dxa"/>
            <w:vAlign w:val="center"/>
          </w:tcPr>
          <w:p w14:paraId="44B55CA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677E5DC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18</w:t>
            </w:r>
          </w:p>
        </w:tc>
        <w:tc>
          <w:tcPr>
            <w:tcW w:w="3544" w:type="dxa"/>
            <w:vAlign w:val="center"/>
          </w:tcPr>
          <w:p w14:paraId="1A93CEF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21B35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3AC438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42</w:t>
            </w:r>
          </w:p>
        </w:tc>
        <w:tc>
          <w:tcPr>
            <w:tcW w:w="3954" w:type="dxa"/>
            <w:vAlign w:val="center"/>
          </w:tcPr>
          <w:p w14:paraId="4330D81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砖墙面机械开线槽宽*深（mm以内）120*150（含补填砂浆修复）</w:t>
            </w:r>
          </w:p>
        </w:tc>
        <w:tc>
          <w:tcPr>
            <w:tcW w:w="675" w:type="dxa"/>
            <w:vAlign w:val="center"/>
          </w:tcPr>
          <w:p w14:paraId="1D520D6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2DBEECA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22</w:t>
            </w:r>
          </w:p>
        </w:tc>
        <w:tc>
          <w:tcPr>
            <w:tcW w:w="3544" w:type="dxa"/>
            <w:vAlign w:val="center"/>
          </w:tcPr>
          <w:p w14:paraId="16BE2D2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5AFC2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33252DA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43</w:t>
            </w:r>
          </w:p>
        </w:tc>
        <w:tc>
          <w:tcPr>
            <w:tcW w:w="3954" w:type="dxa"/>
            <w:vAlign w:val="center"/>
          </w:tcPr>
          <w:p w14:paraId="6D2AD96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砖墙面机械开线槽宽*深（mm以内）150*200（含补填砂浆修复）</w:t>
            </w:r>
          </w:p>
        </w:tc>
        <w:tc>
          <w:tcPr>
            <w:tcW w:w="675" w:type="dxa"/>
            <w:vAlign w:val="center"/>
          </w:tcPr>
          <w:p w14:paraId="5539B7E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294F8AE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32</w:t>
            </w:r>
          </w:p>
        </w:tc>
        <w:tc>
          <w:tcPr>
            <w:tcW w:w="3544" w:type="dxa"/>
            <w:vAlign w:val="center"/>
          </w:tcPr>
          <w:p w14:paraId="061E6D3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77863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46050C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44</w:t>
            </w:r>
          </w:p>
        </w:tc>
        <w:tc>
          <w:tcPr>
            <w:tcW w:w="3954" w:type="dxa"/>
            <w:vAlign w:val="center"/>
          </w:tcPr>
          <w:p w14:paraId="5AC8B1F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砼墙面人工开线槽宽*深（mm以内）70*70（含补填砂浆修复）</w:t>
            </w:r>
          </w:p>
        </w:tc>
        <w:tc>
          <w:tcPr>
            <w:tcW w:w="675" w:type="dxa"/>
            <w:vAlign w:val="center"/>
          </w:tcPr>
          <w:p w14:paraId="44F4710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2ABD291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25</w:t>
            </w:r>
          </w:p>
        </w:tc>
        <w:tc>
          <w:tcPr>
            <w:tcW w:w="3544" w:type="dxa"/>
            <w:vAlign w:val="center"/>
          </w:tcPr>
          <w:p w14:paraId="2915473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4108D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2F6D87C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45</w:t>
            </w:r>
          </w:p>
        </w:tc>
        <w:tc>
          <w:tcPr>
            <w:tcW w:w="3954" w:type="dxa"/>
            <w:vAlign w:val="center"/>
          </w:tcPr>
          <w:p w14:paraId="0205667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砼墙面人工开线槽宽*深（mm以内）90*90（含补填砂浆修复）</w:t>
            </w:r>
          </w:p>
        </w:tc>
        <w:tc>
          <w:tcPr>
            <w:tcW w:w="675" w:type="dxa"/>
            <w:vAlign w:val="center"/>
          </w:tcPr>
          <w:p w14:paraId="76B8837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1819EB6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30</w:t>
            </w:r>
          </w:p>
        </w:tc>
        <w:tc>
          <w:tcPr>
            <w:tcW w:w="3544" w:type="dxa"/>
            <w:vAlign w:val="center"/>
          </w:tcPr>
          <w:p w14:paraId="6D9C076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331A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A15846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46</w:t>
            </w:r>
          </w:p>
        </w:tc>
        <w:tc>
          <w:tcPr>
            <w:tcW w:w="3954" w:type="dxa"/>
            <w:vAlign w:val="center"/>
          </w:tcPr>
          <w:p w14:paraId="3959F0B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砼墙面人工开线槽宽*深（mm以内）100*140（含补填砂浆修复）</w:t>
            </w:r>
          </w:p>
        </w:tc>
        <w:tc>
          <w:tcPr>
            <w:tcW w:w="675" w:type="dxa"/>
            <w:vAlign w:val="center"/>
          </w:tcPr>
          <w:p w14:paraId="03756E4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01E02E8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44</w:t>
            </w:r>
          </w:p>
        </w:tc>
        <w:tc>
          <w:tcPr>
            <w:tcW w:w="3544" w:type="dxa"/>
            <w:vAlign w:val="center"/>
          </w:tcPr>
          <w:p w14:paraId="0F8298F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8469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6065A0D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47</w:t>
            </w:r>
          </w:p>
        </w:tc>
        <w:tc>
          <w:tcPr>
            <w:tcW w:w="3954" w:type="dxa"/>
            <w:vAlign w:val="center"/>
          </w:tcPr>
          <w:p w14:paraId="37C7873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砼墙面人工开线槽宽*深（mm以内）120*150（含补填砂浆修复）</w:t>
            </w:r>
          </w:p>
        </w:tc>
        <w:tc>
          <w:tcPr>
            <w:tcW w:w="675" w:type="dxa"/>
            <w:vAlign w:val="center"/>
          </w:tcPr>
          <w:p w14:paraId="501F89F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32BA4AE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55</w:t>
            </w:r>
          </w:p>
        </w:tc>
        <w:tc>
          <w:tcPr>
            <w:tcW w:w="3544" w:type="dxa"/>
            <w:vAlign w:val="center"/>
          </w:tcPr>
          <w:p w14:paraId="497DABD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63A7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580F4D3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48</w:t>
            </w:r>
          </w:p>
        </w:tc>
        <w:tc>
          <w:tcPr>
            <w:tcW w:w="3954" w:type="dxa"/>
            <w:vAlign w:val="center"/>
          </w:tcPr>
          <w:p w14:paraId="38B098C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砼墙面人工开线槽宽*深（mm以内）150*200（含补填砂浆修复）</w:t>
            </w:r>
          </w:p>
        </w:tc>
        <w:tc>
          <w:tcPr>
            <w:tcW w:w="675" w:type="dxa"/>
            <w:vAlign w:val="center"/>
          </w:tcPr>
          <w:p w14:paraId="27E93D5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7FD7B26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93</w:t>
            </w:r>
          </w:p>
        </w:tc>
        <w:tc>
          <w:tcPr>
            <w:tcW w:w="3544" w:type="dxa"/>
            <w:vAlign w:val="center"/>
          </w:tcPr>
          <w:p w14:paraId="6828BB5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6634A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4F19B89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49</w:t>
            </w:r>
          </w:p>
        </w:tc>
        <w:tc>
          <w:tcPr>
            <w:tcW w:w="3954" w:type="dxa"/>
            <w:vAlign w:val="center"/>
          </w:tcPr>
          <w:p w14:paraId="0E52825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砼墙面机械开线槽宽*深（mm以内）70*70（含补填砂浆修复）</w:t>
            </w:r>
          </w:p>
        </w:tc>
        <w:tc>
          <w:tcPr>
            <w:tcW w:w="675" w:type="dxa"/>
            <w:vAlign w:val="center"/>
          </w:tcPr>
          <w:p w14:paraId="7D0BF3D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6D86290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21</w:t>
            </w:r>
          </w:p>
        </w:tc>
        <w:tc>
          <w:tcPr>
            <w:tcW w:w="3544" w:type="dxa"/>
            <w:vAlign w:val="center"/>
          </w:tcPr>
          <w:p w14:paraId="574C4D9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2E50E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177EEB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50</w:t>
            </w:r>
          </w:p>
        </w:tc>
        <w:tc>
          <w:tcPr>
            <w:tcW w:w="3954" w:type="dxa"/>
            <w:vAlign w:val="center"/>
          </w:tcPr>
          <w:p w14:paraId="0678331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砼墙面机械开线槽宽*深（mm以内）90*90（含补填砂浆修复）</w:t>
            </w:r>
          </w:p>
        </w:tc>
        <w:tc>
          <w:tcPr>
            <w:tcW w:w="675" w:type="dxa"/>
            <w:vAlign w:val="center"/>
          </w:tcPr>
          <w:p w14:paraId="47A3332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2E37DB6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26</w:t>
            </w:r>
          </w:p>
        </w:tc>
        <w:tc>
          <w:tcPr>
            <w:tcW w:w="3544" w:type="dxa"/>
            <w:vAlign w:val="center"/>
          </w:tcPr>
          <w:p w14:paraId="0591208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8719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1A726EE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51</w:t>
            </w:r>
          </w:p>
        </w:tc>
        <w:tc>
          <w:tcPr>
            <w:tcW w:w="3954" w:type="dxa"/>
            <w:vAlign w:val="center"/>
          </w:tcPr>
          <w:p w14:paraId="0B051D0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砼墙面机械开线槽宽*深（mm以内）100*140（含补填砂浆修复）</w:t>
            </w:r>
          </w:p>
        </w:tc>
        <w:tc>
          <w:tcPr>
            <w:tcW w:w="675" w:type="dxa"/>
            <w:vAlign w:val="center"/>
          </w:tcPr>
          <w:p w14:paraId="3F337F6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18ECE90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35</w:t>
            </w:r>
          </w:p>
        </w:tc>
        <w:tc>
          <w:tcPr>
            <w:tcW w:w="3544" w:type="dxa"/>
            <w:vAlign w:val="center"/>
          </w:tcPr>
          <w:p w14:paraId="3DFD50C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3296B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1A46A19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52</w:t>
            </w:r>
          </w:p>
        </w:tc>
        <w:tc>
          <w:tcPr>
            <w:tcW w:w="3954" w:type="dxa"/>
            <w:vAlign w:val="center"/>
          </w:tcPr>
          <w:p w14:paraId="2A697E4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砼墙面机械开线槽宽*深（mm以内）120*150（含补填砂浆修复）</w:t>
            </w:r>
          </w:p>
        </w:tc>
        <w:tc>
          <w:tcPr>
            <w:tcW w:w="675" w:type="dxa"/>
            <w:vAlign w:val="center"/>
          </w:tcPr>
          <w:p w14:paraId="063D640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5948F54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43</w:t>
            </w:r>
          </w:p>
        </w:tc>
        <w:tc>
          <w:tcPr>
            <w:tcW w:w="3544" w:type="dxa"/>
            <w:vAlign w:val="center"/>
          </w:tcPr>
          <w:p w14:paraId="1427DD6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641D2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23FEC6A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53</w:t>
            </w:r>
          </w:p>
        </w:tc>
        <w:tc>
          <w:tcPr>
            <w:tcW w:w="3954" w:type="dxa"/>
            <w:vAlign w:val="center"/>
          </w:tcPr>
          <w:p w14:paraId="0F67CFF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砼墙面机械开线槽宽*深（mm以内）150*200（含补填砂浆修复）</w:t>
            </w:r>
          </w:p>
        </w:tc>
        <w:tc>
          <w:tcPr>
            <w:tcW w:w="675" w:type="dxa"/>
            <w:vAlign w:val="center"/>
          </w:tcPr>
          <w:p w14:paraId="22B9221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6ADCC71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68</w:t>
            </w:r>
          </w:p>
        </w:tc>
        <w:tc>
          <w:tcPr>
            <w:tcW w:w="3544" w:type="dxa"/>
            <w:vAlign w:val="center"/>
          </w:tcPr>
          <w:p w14:paraId="56E9002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07ACD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EDA8D3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54</w:t>
            </w:r>
          </w:p>
        </w:tc>
        <w:tc>
          <w:tcPr>
            <w:tcW w:w="3954" w:type="dxa"/>
            <w:vAlign w:val="center"/>
          </w:tcPr>
          <w:p w14:paraId="7F48FE6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楼地面（砼板）开线槽宽*深（mm以内）70*15（含补填砂浆修复）</w:t>
            </w:r>
          </w:p>
        </w:tc>
        <w:tc>
          <w:tcPr>
            <w:tcW w:w="675" w:type="dxa"/>
            <w:vAlign w:val="center"/>
          </w:tcPr>
          <w:p w14:paraId="403E541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米</w:t>
            </w:r>
          </w:p>
        </w:tc>
        <w:tc>
          <w:tcPr>
            <w:tcW w:w="1324" w:type="dxa"/>
            <w:vAlign w:val="center"/>
          </w:tcPr>
          <w:p w14:paraId="5F14352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16</w:t>
            </w:r>
          </w:p>
        </w:tc>
        <w:tc>
          <w:tcPr>
            <w:tcW w:w="3544" w:type="dxa"/>
            <w:vAlign w:val="center"/>
          </w:tcPr>
          <w:p w14:paraId="3FB86F1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含人工、材料及垃圾清理</w:t>
            </w:r>
          </w:p>
        </w:tc>
      </w:tr>
      <w:tr w14:paraId="1C1D3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E8D0D3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55</w:t>
            </w:r>
          </w:p>
        </w:tc>
        <w:tc>
          <w:tcPr>
            <w:tcW w:w="3954" w:type="dxa"/>
            <w:vAlign w:val="center"/>
          </w:tcPr>
          <w:p w14:paraId="6FDC1A8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接线盒安装（86型）</w:t>
            </w:r>
          </w:p>
        </w:tc>
        <w:tc>
          <w:tcPr>
            <w:tcW w:w="675" w:type="dxa"/>
            <w:vAlign w:val="center"/>
          </w:tcPr>
          <w:p w14:paraId="34DB977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0FC9DF1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w:t>
            </w:r>
          </w:p>
        </w:tc>
        <w:tc>
          <w:tcPr>
            <w:tcW w:w="3544" w:type="dxa"/>
            <w:vAlign w:val="center"/>
          </w:tcPr>
          <w:p w14:paraId="31A0D13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含人工、材料及垃圾清理，不含主材费</w:t>
            </w:r>
          </w:p>
        </w:tc>
      </w:tr>
      <w:tr w14:paraId="6487F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29C3604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56</w:t>
            </w:r>
          </w:p>
        </w:tc>
        <w:tc>
          <w:tcPr>
            <w:tcW w:w="3954" w:type="dxa"/>
            <w:vAlign w:val="center"/>
          </w:tcPr>
          <w:p w14:paraId="06421F0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接线箱安装（200*200以内）</w:t>
            </w:r>
          </w:p>
        </w:tc>
        <w:tc>
          <w:tcPr>
            <w:tcW w:w="675" w:type="dxa"/>
            <w:vAlign w:val="center"/>
          </w:tcPr>
          <w:p w14:paraId="08ECB46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6EF8B1E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40</w:t>
            </w:r>
          </w:p>
        </w:tc>
        <w:tc>
          <w:tcPr>
            <w:tcW w:w="3544" w:type="dxa"/>
            <w:vAlign w:val="center"/>
          </w:tcPr>
          <w:p w14:paraId="60B2E9D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含人工、材料及垃圾清理，不含主材费</w:t>
            </w:r>
          </w:p>
        </w:tc>
      </w:tr>
      <w:tr w14:paraId="2FD6F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63D3C1F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57</w:t>
            </w:r>
          </w:p>
        </w:tc>
        <w:tc>
          <w:tcPr>
            <w:tcW w:w="3954" w:type="dxa"/>
            <w:vAlign w:val="center"/>
          </w:tcPr>
          <w:p w14:paraId="3C2FD19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密闭肋（防护密闭穿墙管）DN40</w:t>
            </w:r>
          </w:p>
        </w:tc>
        <w:tc>
          <w:tcPr>
            <w:tcW w:w="675" w:type="dxa"/>
            <w:vAlign w:val="center"/>
          </w:tcPr>
          <w:p w14:paraId="23B5F09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3D80E64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64</w:t>
            </w:r>
          </w:p>
        </w:tc>
        <w:tc>
          <w:tcPr>
            <w:tcW w:w="3544" w:type="dxa"/>
            <w:vAlign w:val="center"/>
          </w:tcPr>
          <w:p w14:paraId="06F6CB1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含人工、主材、辐材及垃圾清理</w:t>
            </w:r>
          </w:p>
        </w:tc>
      </w:tr>
      <w:tr w14:paraId="16B60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48089F7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58</w:t>
            </w:r>
          </w:p>
        </w:tc>
        <w:tc>
          <w:tcPr>
            <w:tcW w:w="3954" w:type="dxa"/>
            <w:vAlign w:val="center"/>
          </w:tcPr>
          <w:p w14:paraId="1BCA5DD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密闭肋（防护密闭穿墙管）DN50</w:t>
            </w:r>
          </w:p>
        </w:tc>
        <w:tc>
          <w:tcPr>
            <w:tcW w:w="675" w:type="dxa"/>
            <w:vAlign w:val="center"/>
          </w:tcPr>
          <w:p w14:paraId="11BE0AB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70C0DD2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67</w:t>
            </w:r>
          </w:p>
        </w:tc>
        <w:tc>
          <w:tcPr>
            <w:tcW w:w="3544" w:type="dxa"/>
            <w:vAlign w:val="center"/>
          </w:tcPr>
          <w:p w14:paraId="785F53C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含人工、主材、辐材及垃圾清理</w:t>
            </w:r>
          </w:p>
        </w:tc>
      </w:tr>
      <w:tr w14:paraId="5B6A5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22050D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59</w:t>
            </w:r>
          </w:p>
        </w:tc>
        <w:tc>
          <w:tcPr>
            <w:tcW w:w="3954" w:type="dxa"/>
            <w:vAlign w:val="center"/>
          </w:tcPr>
          <w:p w14:paraId="438C483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密闭肋（防护密闭穿墙管）DN65</w:t>
            </w:r>
          </w:p>
        </w:tc>
        <w:tc>
          <w:tcPr>
            <w:tcW w:w="675" w:type="dxa"/>
            <w:vAlign w:val="center"/>
          </w:tcPr>
          <w:p w14:paraId="7E7362F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23B5BFF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74</w:t>
            </w:r>
          </w:p>
        </w:tc>
        <w:tc>
          <w:tcPr>
            <w:tcW w:w="3544" w:type="dxa"/>
            <w:vAlign w:val="center"/>
          </w:tcPr>
          <w:p w14:paraId="174F863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含人工、主材、辐材及垃圾清理</w:t>
            </w:r>
          </w:p>
        </w:tc>
      </w:tr>
      <w:tr w14:paraId="39FEC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6929B75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60</w:t>
            </w:r>
          </w:p>
        </w:tc>
        <w:tc>
          <w:tcPr>
            <w:tcW w:w="3954" w:type="dxa"/>
            <w:vAlign w:val="center"/>
          </w:tcPr>
          <w:p w14:paraId="0B2E06B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密闭肋（防护密闭穿墙管）DN80</w:t>
            </w:r>
          </w:p>
        </w:tc>
        <w:tc>
          <w:tcPr>
            <w:tcW w:w="675" w:type="dxa"/>
            <w:vAlign w:val="center"/>
          </w:tcPr>
          <w:p w14:paraId="6ADD0E1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605575C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83</w:t>
            </w:r>
          </w:p>
        </w:tc>
        <w:tc>
          <w:tcPr>
            <w:tcW w:w="3544" w:type="dxa"/>
            <w:vAlign w:val="center"/>
          </w:tcPr>
          <w:p w14:paraId="225F409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含人工、主材、辐材及垃圾清理</w:t>
            </w:r>
          </w:p>
        </w:tc>
      </w:tr>
      <w:tr w14:paraId="30E62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7C1695C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61</w:t>
            </w:r>
          </w:p>
        </w:tc>
        <w:tc>
          <w:tcPr>
            <w:tcW w:w="3954" w:type="dxa"/>
            <w:vAlign w:val="center"/>
          </w:tcPr>
          <w:p w14:paraId="67C09CE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密闭肋（防护密闭穿墙管）DN100</w:t>
            </w:r>
          </w:p>
        </w:tc>
        <w:tc>
          <w:tcPr>
            <w:tcW w:w="675" w:type="dxa"/>
            <w:vAlign w:val="center"/>
          </w:tcPr>
          <w:p w14:paraId="0A0C575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723CEC6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91</w:t>
            </w:r>
          </w:p>
        </w:tc>
        <w:tc>
          <w:tcPr>
            <w:tcW w:w="3544" w:type="dxa"/>
            <w:vAlign w:val="center"/>
          </w:tcPr>
          <w:p w14:paraId="204044D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含人工、主材、辐材及垃圾清理</w:t>
            </w:r>
          </w:p>
        </w:tc>
      </w:tr>
      <w:tr w14:paraId="3CC36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13C2D50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62</w:t>
            </w:r>
          </w:p>
        </w:tc>
        <w:tc>
          <w:tcPr>
            <w:tcW w:w="3954" w:type="dxa"/>
            <w:vAlign w:val="center"/>
          </w:tcPr>
          <w:p w14:paraId="0E280FE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密闭肋（防护密闭穿墙管）DN125</w:t>
            </w:r>
          </w:p>
        </w:tc>
        <w:tc>
          <w:tcPr>
            <w:tcW w:w="675" w:type="dxa"/>
            <w:vAlign w:val="center"/>
          </w:tcPr>
          <w:p w14:paraId="7E1F8A1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547570B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103</w:t>
            </w:r>
          </w:p>
        </w:tc>
        <w:tc>
          <w:tcPr>
            <w:tcW w:w="3544" w:type="dxa"/>
            <w:vAlign w:val="center"/>
          </w:tcPr>
          <w:p w14:paraId="00157A2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含人工、主材、辐材及垃圾清理</w:t>
            </w:r>
          </w:p>
        </w:tc>
      </w:tr>
      <w:tr w14:paraId="69B46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31ADC3F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63</w:t>
            </w:r>
          </w:p>
        </w:tc>
        <w:tc>
          <w:tcPr>
            <w:tcW w:w="3954" w:type="dxa"/>
            <w:vAlign w:val="center"/>
          </w:tcPr>
          <w:p w14:paraId="1EEB258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密闭肋（防护密闭穿墙管）DN150</w:t>
            </w:r>
          </w:p>
        </w:tc>
        <w:tc>
          <w:tcPr>
            <w:tcW w:w="675" w:type="dxa"/>
            <w:vAlign w:val="center"/>
          </w:tcPr>
          <w:p w14:paraId="7E47B9A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43A2CCA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112</w:t>
            </w:r>
          </w:p>
        </w:tc>
        <w:tc>
          <w:tcPr>
            <w:tcW w:w="3544" w:type="dxa"/>
            <w:vAlign w:val="center"/>
          </w:tcPr>
          <w:p w14:paraId="548FAA8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kern w:val="0"/>
                <w:szCs w:val="21"/>
                <w:highlight w:val="none"/>
              </w:rPr>
              <w:t>含人工、主材、辐材及垃圾清理</w:t>
            </w:r>
          </w:p>
        </w:tc>
      </w:tr>
      <w:tr w14:paraId="486DF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54F4649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64</w:t>
            </w:r>
          </w:p>
        </w:tc>
        <w:tc>
          <w:tcPr>
            <w:tcW w:w="3954" w:type="dxa"/>
            <w:vAlign w:val="center"/>
          </w:tcPr>
          <w:p w14:paraId="07785C9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密闭肋（防护密闭穿墙管）DN200</w:t>
            </w:r>
          </w:p>
        </w:tc>
        <w:tc>
          <w:tcPr>
            <w:tcW w:w="675" w:type="dxa"/>
            <w:vAlign w:val="center"/>
          </w:tcPr>
          <w:p w14:paraId="5183951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个</w:t>
            </w:r>
          </w:p>
        </w:tc>
        <w:tc>
          <w:tcPr>
            <w:tcW w:w="1324" w:type="dxa"/>
            <w:vAlign w:val="center"/>
          </w:tcPr>
          <w:p w14:paraId="4229FCF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152</w:t>
            </w:r>
          </w:p>
        </w:tc>
        <w:tc>
          <w:tcPr>
            <w:tcW w:w="3544" w:type="dxa"/>
            <w:vAlign w:val="center"/>
          </w:tcPr>
          <w:p w14:paraId="19F9D0D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含人工、主材、辐材及垃圾清理</w:t>
            </w:r>
          </w:p>
        </w:tc>
      </w:tr>
    </w:tbl>
    <w:p w14:paraId="0691528D">
      <w:pPr>
        <w:adjustRightInd w:val="0"/>
        <w:snapToGrid w:val="0"/>
        <w:spacing w:line="360" w:lineRule="auto"/>
        <w:outlineLvl w:val="9"/>
        <w:rPr>
          <w:rFonts w:cs="宋体" w:asciiTheme="minorEastAsia" w:hAnsiTheme="minorEastAsia" w:eastAsiaTheme="minorEastAsia"/>
          <w:color w:val="auto"/>
          <w:highlight w:val="none"/>
        </w:rPr>
      </w:pPr>
      <w:r>
        <w:rPr>
          <w:rFonts w:hint="eastAsia" w:cs="宋体" w:asciiTheme="minorEastAsia" w:hAnsiTheme="minorEastAsia" w:eastAsiaTheme="minorEastAsia"/>
          <w:color w:val="auto"/>
          <w:highlight w:val="none"/>
        </w:rPr>
        <w:t>备注：该表中暂定价为含税金全费用单价，不进入投标报价，结算时按照现场确认的工程量乘以暂定价进行结算。</w:t>
      </w:r>
    </w:p>
    <w:p w14:paraId="165220DD">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br w:type="page"/>
      </w:r>
    </w:p>
    <w:p w14:paraId="67CD72AA">
      <w:pPr>
        <w:pStyle w:val="22"/>
        <w:spacing w:line="500" w:lineRule="exact"/>
        <w:outlineLvl w:val="9"/>
        <w:rPr>
          <w:rFonts w:hint="eastAsia" w:asciiTheme="minorEastAsia" w:hAnsiTheme="minorEastAsia" w:eastAsiaTheme="minorEastAsia"/>
          <w:color w:val="auto"/>
          <w:highlight w:val="none"/>
          <w:u w:val="single"/>
          <w:lang w:eastAsia="zh-CN"/>
        </w:rPr>
      </w:pPr>
      <w:r>
        <w:rPr>
          <w:rFonts w:hint="eastAsia" w:asciiTheme="minorEastAsia" w:hAnsiTheme="minorEastAsia" w:eastAsiaTheme="minorEastAsia"/>
          <w:b/>
          <w:color w:val="auto"/>
          <w:highlight w:val="none"/>
        </w:rPr>
        <w:t>附件</w:t>
      </w:r>
      <w:r>
        <w:rPr>
          <w:rFonts w:hint="eastAsia" w:asciiTheme="minorEastAsia" w:hAnsiTheme="minorEastAsia" w:eastAsiaTheme="minorEastAsia"/>
          <w:b/>
          <w:color w:val="auto"/>
          <w:highlight w:val="none"/>
          <w:lang w:val="en-US" w:eastAsia="zh-CN"/>
        </w:rPr>
        <w:t>六</w:t>
      </w:r>
    </w:p>
    <w:p w14:paraId="00F3EBA0">
      <w:pPr>
        <w:pStyle w:val="22"/>
        <w:spacing w:line="500" w:lineRule="exact"/>
        <w:ind w:firstLine="843" w:firstLineChars="400"/>
        <w:jc w:val="center"/>
        <w:outlineLvl w:val="9"/>
        <w:rPr>
          <w:rFonts w:asciiTheme="minorEastAsia" w:hAnsiTheme="minorEastAsia" w:eastAsiaTheme="minorEastAsia"/>
          <w:b/>
          <w:bCs/>
          <w:color w:val="auto"/>
          <w:highlight w:val="none"/>
          <w:u w:val="single"/>
        </w:rPr>
      </w:pPr>
      <w:r>
        <w:rPr>
          <w:rFonts w:hint="eastAsia" w:asciiTheme="minorEastAsia" w:hAnsiTheme="minorEastAsia" w:eastAsiaTheme="minorEastAsia"/>
          <w:b/>
          <w:bCs/>
          <w:color w:val="auto"/>
          <w:highlight w:val="none"/>
          <w:u w:val="single"/>
        </w:rPr>
        <w:t>工期控制时间表</w:t>
      </w:r>
    </w:p>
    <w:p w14:paraId="0DFC157D">
      <w:pPr>
        <w:numPr>
          <w:ilvl w:val="0"/>
          <w:numId w:val="1"/>
        </w:numPr>
        <w:spacing w:before="100" w:beforeAutospacing="1"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设计工期控制时间表</w:t>
      </w:r>
    </w:p>
    <w:tbl>
      <w:tblPr>
        <w:tblStyle w:val="56"/>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3900"/>
        <w:gridCol w:w="2295"/>
        <w:gridCol w:w="2295"/>
      </w:tblGrid>
      <w:tr w14:paraId="3D901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690" w:type="dxa"/>
            <w:vAlign w:val="center"/>
          </w:tcPr>
          <w:p w14:paraId="03CC1FC2">
            <w:pPr>
              <w:keepNext w:val="0"/>
              <w:keepLines w:val="0"/>
              <w:suppressLineNumbers w:val="0"/>
              <w:spacing w:before="100" w:beforeAutospacing="1" w:after="0" w:afterAutospacing="0" w:line="360" w:lineRule="auto"/>
              <w:ind w:left="0" w:right="0"/>
              <w:rPr>
                <w:rFonts w:cs="宋体" w:asciiTheme="minorEastAsia" w:hAnsiTheme="minorEastAsia" w:eastAsiaTheme="minorEastAsia"/>
                <w:szCs w:val="21"/>
              </w:rPr>
            </w:pPr>
            <w:r>
              <w:rPr>
                <w:rFonts w:hint="eastAsia" w:cs="宋体" w:asciiTheme="minorEastAsia" w:hAnsiTheme="minorEastAsia" w:eastAsiaTheme="minorEastAsia"/>
                <w:szCs w:val="21"/>
              </w:rPr>
              <w:t>编号</w:t>
            </w:r>
          </w:p>
        </w:tc>
        <w:tc>
          <w:tcPr>
            <w:tcW w:w="3900" w:type="dxa"/>
            <w:vAlign w:val="center"/>
          </w:tcPr>
          <w:p w14:paraId="2B185250">
            <w:pPr>
              <w:keepNext w:val="0"/>
              <w:keepLines w:val="0"/>
              <w:suppressLineNumbers w:val="0"/>
              <w:spacing w:before="100" w:beforeAutospacing="1" w:after="0" w:afterAutospacing="0" w:line="360" w:lineRule="auto"/>
              <w:ind w:left="0" w:right="0"/>
              <w:jc w:val="center"/>
              <w:rPr>
                <w:rFonts w:cs="宋体" w:asciiTheme="minorEastAsia" w:hAnsiTheme="minorEastAsia" w:eastAsiaTheme="minorEastAsia"/>
                <w:szCs w:val="21"/>
              </w:rPr>
            </w:pPr>
            <w:r>
              <w:rPr>
                <w:rFonts w:hint="eastAsia" w:cs="宋体" w:asciiTheme="minorEastAsia" w:hAnsiTheme="minorEastAsia" w:eastAsiaTheme="minorEastAsia"/>
                <w:szCs w:val="21"/>
              </w:rPr>
              <w:t>设计内容</w:t>
            </w:r>
          </w:p>
        </w:tc>
        <w:tc>
          <w:tcPr>
            <w:tcW w:w="2295" w:type="dxa"/>
            <w:vAlign w:val="center"/>
          </w:tcPr>
          <w:p w14:paraId="1953AA12">
            <w:pPr>
              <w:keepNext w:val="0"/>
              <w:keepLines w:val="0"/>
              <w:suppressLineNumbers w:val="0"/>
              <w:spacing w:before="100" w:beforeAutospacing="1" w:after="0" w:afterAutospacing="0" w:line="360" w:lineRule="auto"/>
              <w:ind w:left="0" w:right="0"/>
              <w:jc w:val="center"/>
              <w:rPr>
                <w:rFonts w:cs="宋体" w:asciiTheme="minorEastAsia" w:hAnsiTheme="minorEastAsia" w:eastAsiaTheme="minorEastAsia"/>
                <w:szCs w:val="21"/>
              </w:rPr>
            </w:pPr>
            <w:r>
              <w:rPr>
                <w:rFonts w:hint="eastAsia" w:cs="宋体" w:asciiTheme="minorEastAsia" w:hAnsiTheme="minorEastAsia" w:eastAsiaTheme="minorEastAsia"/>
                <w:szCs w:val="21"/>
              </w:rPr>
              <w:t>完成日期</w:t>
            </w:r>
          </w:p>
        </w:tc>
        <w:tc>
          <w:tcPr>
            <w:tcW w:w="2295" w:type="dxa"/>
            <w:vAlign w:val="center"/>
          </w:tcPr>
          <w:p w14:paraId="1E9E178E">
            <w:pPr>
              <w:keepNext w:val="0"/>
              <w:keepLines w:val="0"/>
              <w:suppressLineNumbers w:val="0"/>
              <w:spacing w:before="100" w:beforeAutospacing="1" w:after="0" w:afterAutospacing="0" w:line="360" w:lineRule="auto"/>
              <w:ind w:left="0" w:right="0"/>
              <w:jc w:val="center"/>
              <w:rPr>
                <w:rFonts w:cs="宋体" w:asciiTheme="minorEastAsia" w:hAnsiTheme="minorEastAsia" w:eastAsiaTheme="minorEastAsia"/>
                <w:szCs w:val="21"/>
              </w:rPr>
            </w:pPr>
            <w:r>
              <w:rPr>
                <w:rFonts w:hint="eastAsia" w:cs="宋体" w:asciiTheme="minorEastAsia" w:hAnsiTheme="minorEastAsia" w:eastAsiaTheme="minorEastAsia"/>
                <w:szCs w:val="21"/>
              </w:rPr>
              <w:t>备注</w:t>
            </w:r>
          </w:p>
        </w:tc>
      </w:tr>
      <w:tr w14:paraId="2ACF8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690" w:type="dxa"/>
            <w:vAlign w:val="center"/>
          </w:tcPr>
          <w:p w14:paraId="150713DA">
            <w:pPr>
              <w:keepNext w:val="0"/>
              <w:keepLines w:val="0"/>
              <w:suppressLineNumbers w:val="0"/>
              <w:spacing w:before="100" w:beforeAutospacing="1" w:after="0" w:afterAutospacing="0" w:line="360" w:lineRule="auto"/>
              <w:ind w:left="0" w:right="0"/>
              <w:jc w:val="center"/>
              <w:rPr>
                <w:rFonts w:cs="宋体" w:asciiTheme="minorEastAsia" w:hAnsiTheme="minorEastAsia" w:eastAsiaTheme="minorEastAsia"/>
                <w:szCs w:val="21"/>
              </w:rPr>
            </w:pPr>
            <w:r>
              <w:rPr>
                <w:rFonts w:cs="宋体" w:asciiTheme="minorEastAsia" w:hAnsiTheme="minorEastAsia" w:eastAsiaTheme="minorEastAsia"/>
                <w:szCs w:val="21"/>
              </w:rPr>
              <w:t>1</w:t>
            </w:r>
          </w:p>
        </w:tc>
        <w:tc>
          <w:tcPr>
            <w:tcW w:w="3900" w:type="dxa"/>
            <w:vAlign w:val="center"/>
          </w:tcPr>
          <w:p w14:paraId="7B4174DD">
            <w:pPr>
              <w:keepNext w:val="0"/>
              <w:keepLines w:val="0"/>
              <w:suppressLineNumbers w:val="0"/>
              <w:spacing w:before="100" w:beforeAutospacing="1" w:after="0" w:afterAutospacing="0" w:line="360" w:lineRule="auto"/>
              <w:ind w:left="0" w:right="0"/>
              <w:jc w:val="center"/>
              <w:rPr>
                <w:rFonts w:cs="宋体" w:asciiTheme="minorEastAsia" w:hAnsiTheme="minorEastAsia" w:eastAsiaTheme="minorEastAsia"/>
                <w:szCs w:val="21"/>
              </w:rPr>
            </w:pPr>
            <w:r>
              <w:rPr>
                <w:rFonts w:hint="eastAsia" w:cs="宋体" w:asciiTheme="minorEastAsia" w:hAnsiTheme="minorEastAsia" w:eastAsiaTheme="minorEastAsia"/>
                <w:szCs w:val="21"/>
              </w:rPr>
              <w:t>提供方案深化阶段要求的设计内容</w:t>
            </w:r>
          </w:p>
        </w:tc>
        <w:tc>
          <w:tcPr>
            <w:tcW w:w="2295" w:type="dxa"/>
            <w:vAlign w:val="center"/>
          </w:tcPr>
          <w:p w14:paraId="074E53B5">
            <w:pPr>
              <w:keepNext w:val="0"/>
              <w:keepLines w:val="0"/>
              <w:suppressLineNumbers w:val="0"/>
              <w:spacing w:before="100" w:beforeAutospacing="1" w:after="0" w:afterAutospacing="0" w:line="360" w:lineRule="auto"/>
              <w:ind w:left="0" w:right="0"/>
              <w:jc w:val="center"/>
              <w:rPr>
                <w:rFonts w:cs="宋体" w:asciiTheme="minorEastAsia" w:hAnsiTheme="minorEastAsia" w:eastAsiaTheme="minorEastAsia"/>
                <w:szCs w:val="21"/>
              </w:rPr>
            </w:pPr>
            <w:r>
              <w:rPr>
                <w:rFonts w:hint="eastAsia" w:cs="宋体" w:asciiTheme="minorEastAsia" w:hAnsiTheme="minorEastAsia" w:eastAsiaTheme="minorEastAsia"/>
                <w:szCs w:val="21"/>
              </w:rPr>
              <w:t>收到中标通知后30天内</w:t>
            </w:r>
          </w:p>
        </w:tc>
        <w:tc>
          <w:tcPr>
            <w:tcW w:w="2295" w:type="dxa"/>
            <w:vAlign w:val="center"/>
          </w:tcPr>
          <w:p w14:paraId="20CF8A2C">
            <w:pPr>
              <w:keepNext/>
              <w:keepLines/>
              <w:suppressLineNumbers w:val="0"/>
              <w:spacing w:before="100" w:beforeAutospacing="1" w:after="330" w:afterAutospacing="0" w:line="360" w:lineRule="auto"/>
              <w:ind w:left="0" w:right="0"/>
              <w:jc w:val="center"/>
              <w:outlineLvl w:val="0"/>
              <w:rPr>
                <w:rFonts w:cs="宋体" w:asciiTheme="minorEastAsia" w:hAnsiTheme="minorEastAsia" w:eastAsiaTheme="minorEastAsia"/>
                <w:szCs w:val="21"/>
              </w:rPr>
            </w:pPr>
          </w:p>
        </w:tc>
      </w:tr>
      <w:tr w14:paraId="2774C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690" w:type="dxa"/>
            <w:vAlign w:val="center"/>
          </w:tcPr>
          <w:p w14:paraId="0D27D4E5">
            <w:pPr>
              <w:keepNext w:val="0"/>
              <w:keepLines w:val="0"/>
              <w:suppressLineNumbers w:val="0"/>
              <w:spacing w:before="100" w:beforeAutospacing="1" w:after="0" w:afterAutospacing="0" w:line="360" w:lineRule="auto"/>
              <w:ind w:left="0" w:right="0"/>
              <w:jc w:val="center"/>
              <w:rPr>
                <w:rFonts w:cs="宋体" w:asciiTheme="minorEastAsia" w:hAnsiTheme="minorEastAsia" w:eastAsiaTheme="minorEastAsia"/>
                <w:szCs w:val="21"/>
              </w:rPr>
            </w:pPr>
            <w:r>
              <w:rPr>
                <w:rFonts w:cs="宋体" w:asciiTheme="minorEastAsia" w:hAnsiTheme="minorEastAsia" w:eastAsiaTheme="minorEastAsia"/>
                <w:szCs w:val="21"/>
              </w:rPr>
              <w:t>2</w:t>
            </w:r>
          </w:p>
        </w:tc>
        <w:tc>
          <w:tcPr>
            <w:tcW w:w="3900" w:type="dxa"/>
            <w:vAlign w:val="center"/>
          </w:tcPr>
          <w:p w14:paraId="292A34C2">
            <w:pPr>
              <w:keepNext w:val="0"/>
              <w:keepLines w:val="0"/>
              <w:suppressLineNumbers w:val="0"/>
              <w:spacing w:before="100" w:beforeAutospacing="1" w:after="0" w:afterAutospacing="0" w:line="360" w:lineRule="auto"/>
              <w:ind w:left="0" w:right="0"/>
              <w:jc w:val="center"/>
              <w:rPr>
                <w:rFonts w:cs="宋体" w:asciiTheme="minorEastAsia" w:hAnsiTheme="minorEastAsia" w:eastAsiaTheme="minorEastAsia"/>
                <w:szCs w:val="21"/>
              </w:rPr>
            </w:pPr>
            <w:r>
              <w:rPr>
                <w:rFonts w:hint="eastAsia" w:cs="宋体" w:asciiTheme="minorEastAsia" w:hAnsiTheme="minorEastAsia" w:eastAsiaTheme="minorEastAsia"/>
                <w:szCs w:val="21"/>
              </w:rPr>
              <w:t>施工图设计完成</w:t>
            </w:r>
          </w:p>
        </w:tc>
        <w:tc>
          <w:tcPr>
            <w:tcW w:w="2295" w:type="dxa"/>
            <w:vAlign w:val="center"/>
          </w:tcPr>
          <w:p w14:paraId="2E745748">
            <w:pPr>
              <w:keepNext w:val="0"/>
              <w:keepLines w:val="0"/>
              <w:suppressLineNumbers w:val="0"/>
              <w:spacing w:before="100" w:beforeAutospacing="1" w:after="0" w:afterAutospacing="0" w:line="360" w:lineRule="auto"/>
              <w:ind w:left="0" w:right="0"/>
              <w:jc w:val="center"/>
              <w:rPr>
                <w:rFonts w:cs="宋体" w:asciiTheme="minorEastAsia" w:hAnsiTheme="minorEastAsia" w:eastAsiaTheme="minorEastAsia"/>
                <w:szCs w:val="21"/>
              </w:rPr>
            </w:pPr>
            <w:r>
              <w:rPr>
                <w:rFonts w:hint="eastAsia" w:asciiTheme="minorEastAsia" w:hAnsiTheme="minorEastAsia" w:eastAsiaTheme="minorEastAsia"/>
              </w:rPr>
              <w:t>自方案深化设计经业主确认后并同意开展施工图设计之日起50天内</w:t>
            </w:r>
          </w:p>
        </w:tc>
        <w:tc>
          <w:tcPr>
            <w:tcW w:w="2295" w:type="dxa"/>
            <w:vAlign w:val="center"/>
          </w:tcPr>
          <w:p w14:paraId="458B1867">
            <w:pPr>
              <w:keepNext/>
              <w:keepLines/>
              <w:suppressLineNumbers w:val="0"/>
              <w:spacing w:before="100" w:beforeAutospacing="1" w:after="330" w:afterAutospacing="0" w:line="360" w:lineRule="auto"/>
              <w:ind w:left="0" w:right="0"/>
              <w:jc w:val="center"/>
              <w:outlineLvl w:val="0"/>
              <w:rPr>
                <w:rFonts w:cs="宋体" w:asciiTheme="minorEastAsia" w:hAnsiTheme="minorEastAsia" w:eastAsiaTheme="minorEastAsia"/>
                <w:szCs w:val="21"/>
              </w:rPr>
            </w:pPr>
          </w:p>
        </w:tc>
      </w:tr>
      <w:tr w14:paraId="0D36C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690" w:type="dxa"/>
            <w:vAlign w:val="center"/>
          </w:tcPr>
          <w:p w14:paraId="48BEB828">
            <w:pPr>
              <w:keepNext w:val="0"/>
              <w:keepLines w:val="0"/>
              <w:suppressLineNumbers w:val="0"/>
              <w:spacing w:before="100" w:beforeAutospacing="1" w:after="0" w:afterAutospacing="0" w:line="360" w:lineRule="auto"/>
              <w:ind w:left="0" w:right="0"/>
              <w:jc w:val="center"/>
              <w:rPr>
                <w:rFonts w:cs="宋体" w:asciiTheme="minorEastAsia" w:hAnsiTheme="minorEastAsia" w:eastAsiaTheme="minorEastAsia"/>
                <w:szCs w:val="21"/>
              </w:rPr>
            </w:pPr>
            <w:r>
              <w:rPr>
                <w:rFonts w:cs="宋体" w:asciiTheme="minorEastAsia" w:hAnsiTheme="minorEastAsia" w:eastAsiaTheme="minorEastAsia"/>
                <w:szCs w:val="21"/>
              </w:rPr>
              <w:t>3</w:t>
            </w:r>
          </w:p>
        </w:tc>
        <w:tc>
          <w:tcPr>
            <w:tcW w:w="3900" w:type="dxa"/>
            <w:vAlign w:val="center"/>
          </w:tcPr>
          <w:p w14:paraId="54671930">
            <w:pPr>
              <w:keepNext w:val="0"/>
              <w:keepLines w:val="0"/>
              <w:suppressLineNumbers w:val="0"/>
              <w:spacing w:before="100" w:beforeAutospacing="1" w:after="0" w:afterAutospacing="0" w:line="360" w:lineRule="auto"/>
              <w:ind w:left="0" w:right="0"/>
              <w:jc w:val="center"/>
              <w:rPr>
                <w:rFonts w:cs="宋体" w:asciiTheme="minorEastAsia" w:hAnsiTheme="minorEastAsia" w:eastAsiaTheme="minorEastAsia"/>
                <w:szCs w:val="21"/>
              </w:rPr>
            </w:pPr>
            <w:r>
              <w:rPr>
                <w:rFonts w:hint="eastAsia" w:cs="宋体" w:asciiTheme="minorEastAsia" w:hAnsiTheme="minorEastAsia" w:eastAsiaTheme="minorEastAsia"/>
                <w:szCs w:val="21"/>
              </w:rPr>
              <w:t>施工蓝图及电子版图纸</w:t>
            </w:r>
          </w:p>
        </w:tc>
        <w:tc>
          <w:tcPr>
            <w:tcW w:w="2295" w:type="dxa"/>
            <w:vAlign w:val="center"/>
          </w:tcPr>
          <w:p w14:paraId="44446642">
            <w:pPr>
              <w:keepNext w:val="0"/>
              <w:keepLines w:val="0"/>
              <w:suppressLineNumbers w:val="0"/>
              <w:spacing w:before="100" w:beforeAutospacing="1" w:after="0" w:afterAutospacing="0" w:line="360" w:lineRule="auto"/>
              <w:ind w:left="0" w:right="0"/>
              <w:jc w:val="center"/>
              <w:rPr>
                <w:rFonts w:cs="宋体" w:asciiTheme="minorEastAsia" w:hAnsiTheme="minorEastAsia" w:eastAsiaTheme="minorEastAsia"/>
                <w:szCs w:val="21"/>
              </w:rPr>
            </w:pPr>
            <w:r>
              <w:rPr>
                <w:rFonts w:hint="eastAsia" w:cs="宋体" w:asciiTheme="minorEastAsia" w:hAnsiTheme="minorEastAsia" w:eastAsiaTheme="minorEastAsia"/>
                <w:szCs w:val="21"/>
              </w:rPr>
              <w:t>根据工程节点计划另行通知</w:t>
            </w:r>
          </w:p>
        </w:tc>
        <w:tc>
          <w:tcPr>
            <w:tcW w:w="2295" w:type="dxa"/>
            <w:vAlign w:val="center"/>
          </w:tcPr>
          <w:p w14:paraId="0EB0E71B">
            <w:pPr>
              <w:keepNext/>
              <w:keepLines/>
              <w:suppressLineNumbers w:val="0"/>
              <w:spacing w:before="100" w:beforeAutospacing="1" w:after="330" w:afterAutospacing="0" w:line="360" w:lineRule="auto"/>
              <w:ind w:left="0" w:right="0"/>
              <w:jc w:val="center"/>
              <w:outlineLvl w:val="0"/>
              <w:rPr>
                <w:rFonts w:cs="宋体" w:asciiTheme="minorEastAsia" w:hAnsiTheme="minorEastAsia" w:eastAsiaTheme="minorEastAsia"/>
                <w:szCs w:val="21"/>
              </w:rPr>
            </w:pPr>
          </w:p>
        </w:tc>
      </w:tr>
    </w:tbl>
    <w:p w14:paraId="6591B9A0">
      <w:pPr>
        <w:pStyle w:val="22"/>
        <w:rPr>
          <w:rFonts w:hint="eastAsia" w:cs="宋体" w:asciiTheme="minorEastAsia" w:hAnsiTheme="minorEastAsia" w:eastAsiaTheme="minorEastAsia"/>
          <w:color w:val="auto"/>
          <w:szCs w:val="21"/>
          <w:highlight w:val="none"/>
        </w:rPr>
      </w:pPr>
    </w:p>
    <w:p w14:paraId="5A8047C8">
      <w:pPr>
        <w:numPr>
          <w:ilvl w:val="0"/>
          <w:numId w:val="1"/>
        </w:numPr>
        <w:spacing w:before="100" w:beforeAutospacing="1" w:line="360" w:lineRule="auto"/>
        <w:ind w:left="0" w:leftChars="0" w:firstLine="315" w:firstLineChars="15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施工工期控制时间表</w:t>
      </w:r>
    </w:p>
    <w:tbl>
      <w:tblPr>
        <w:tblStyle w:val="56"/>
        <w:tblpPr w:leftFromText="180" w:rightFromText="180" w:vertAnchor="text" w:horzAnchor="margin" w:tblpXSpec="center" w:tblpY="103"/>
        <w:tblW w:w="85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19"/>
        <w:gridCol w:w="4320"/>
      </w:tblGrid>
      <w:tr w14:paraId="21763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8539" w:type="dxa"/>
            <w:gridSpan w:val="2"/>
            <w:vAlign w:val="center"/>
          </w:tcPr>
          <w:p w14:paraId="35D9F409">
            <w:pPr>
              <w:keepNext w:val="0"/>
              <w:keepLines w:val="0"/>
              <w:suppressLineNumbers w:val="0"/>
              <w:spacing w:before="0" w:beforeAutospacing="0" w:after="0" w:afterAutospacing="0"/>
              <w:ind w:left="0" w:right="0" w:firstLine="422"/>
              <w:jc w:val="center"/>
              <w:rPr>
                <w:rFonts w:cs="宋体" w:asciiTheme="minorEastAsia" w:hAnsiTheme="minorEastAsia" w:eastAsiaTheme="minorEastAsia"/>
                <w:b/>
              </w:rPr>
            </w:pPr>
            <w:r>
              <w:rPr>
                <w:rFonts w:hint="eastAsia" w:cs="宋体" w:asciiTheme="minorEastAsia" w:hAnsiTheme="minorEastAsia" w:eastAsiaTheme="minorEastAsia"/>
                <w:b/>
                <w:lang w:eastAsia="zh-CN"/>
              </w:rPr>
              <w:t>各楼栋</w:t>
            </w:r>
          </w:p>
        </w:tc>
      </w:tr>
      <w:tr w14:paraId="6C5F9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4219" w:type="dxa"/>
            <w:vAlign w:val="center"/>
          </w:tcPr>
          <w:p w14:paraId="70CB5D7C">
            <w:pPr>
              <w:keepNext w:val="0"/>
              <w:keepLines w:val="0"/>
              <w:suppressLineNumbers w:val="0"/>
              <w:spacing w:before="0" w:beforeAutospacing="0" w:after="0" w:afterAutospacing="0"/>
              <w:ind w:left="0" w:right="0" w:firstLine="422"/>
              <w:jc w:val="center"/>
              <w:rPr>
                <w:rFonts w:cs="宋体" w:asciiTheme="minorEastAsia" w:hAnsiTheme="minorEastAsia" w:eastAsiaTheme="minorEastAsia"/>
                <w:b/>
              </w:rPr>
            </w:pPr>
            <w:r>
              <w:rPr>
                <w:rFonts w:hint="eastAsia" w:cs="宋体" w:asciiTheme="minorEastAsia" w:hAnsiTheme="minorEastAsia" w:eastAsiaTheme="minorEastAsia"/>
                <w:b/>
              </w:rPr>
              <w:t>内容</w:t>
            </w:r>
          </w:p>
        </w:tc>
        <w:tc>
          <w:tcPr>
            <w:tcW w:w="4320" w:type="dxa"/>
            <w:vAlign w:val="center"/>
          </w:tcPr>
          <w:p w14:paraId="388D7ACD">
            <w:pPr>
              <w:keepNext w:val="0"/>
              <w:keepLines w:val="0"/>
              <w:suppressLineNumbers w:val="0"/>
              <w:spacing w:before="0" w:beforeAutospacing="0" w:after="0" w:afterAutospacing="0"/>
              <w:ind w:left="0" w:right="0" w:firstLine="422"/>
              <w:jc w:val="center"/>
              <w:rPr>
                <w:rFonts w:cs="宋体" w:asciiTheme="minorEastAsia" w:hAnsiTheme="minorEastAsia" w:eastAsiaTheme="minorEastAsia"/>
                <w:b/>
              </w:rPr>
            </w:pPr>
            <w:r>
              <w:rPr>
                <w:rFonts w:hint="eastAsia" w:cs="宋体" w:asciiTheme="minorEastAsia" w:hAnsiTheme="minorEastAsia" w:eastAsiaTheme="minorEastAsia"/>
                <w:b/>
              </w:rPr>
              <w:t>结束时间</w:t>
            </w:r>
          </w:p>
        </w:tc>
      </w:tr>
      <w:tr w14:paraId="7AAC2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4219" w:type="dxa"/>
            <w:vAlign w:val="center"/>
          </w:tcPr>
          <w:p w14:paraId="56F9F4D2">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b/>
              </w:rPr>
            </w:pPr>
            <w:r>
              <w:rPr>
                <w:rFonts w:hint="eastAsia" w:ascii="宋体" w:hAnsi="宋体" w:eastAsia="宋体" w:cs="宋体"/>
                <w:i w:val="0"/>
                <w:iCs w:val="0"/>
                <w:color w:val="000000"/>
                <w:kern w:val="0"/>
                <w:sz w:val="22"/>
                <w:szCs w:val="22"/>
                <w:u w:val="none"/>
                <w:lang w:val="en-US" w:eastAsia="zh-CN" w:bidi="ar"/>
              </w:rPr>
              <w:t>总包开工</w:t>
            </w:r>
          </w:p>
        </w:tc>
        <w:tc>
          <w:tcPr>
            <w:tcW w:w="4320" w:type="dxa"/>
            <w:vAlign w:val="center"/>
          </w:tcPr>
          <w:p w14:paraId="305889EF">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sz w:val="22"/>
                <w:szCs w:val="22"/>
              </w:rPr>
            </w:pPr>
            <w:r>
              <w:rPr>
                <w:rFonts w:hint="eastAsia" w:ascii="宋体" w:hAnsi="宋体" w:eastAsia="宋体" w:cs="宋体"/>
                <w:i w:val="0"/>
                <w:iCs w:val="0"/>
                <w:color w:val="000000"/>
                <w:kern w:val="0"/>
                <w:sz w:val="22"/>
                <w:szCs w:val="22"/>
                <w:u w:val="none"/>
                <w:lang w:val="en-US" w:eastAsia="zh-CN" w:bidi="ar"/>
              </w:rPr>
              <w:t>根据发包人开工报告</w:t>
            </w:r>
          </w:p>
        </w:tc>
      </w:tr>
      <w:tr w14:paraId="32947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4219" w:type="dxa"/>
            <w:vAlign w:val="center"/>
          </w:tcPr>
          <w:p w14:paraId="4866183E">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b/>
              </w:rPr>
            </w:pPr>
            <w:r>
              <w:rPr>
                <w:rFonts w:hint="eastAsia" w:ascii="宋体" w:hAnsi="宋体" w:eastAsia="宋体" w:cs="宋体"/>
                <w:i w:val="0"/>
                <w:iCs w:val="0"/>
                <w:color w:val="000000"/>
                <w:kern w:val="0"/>
                <w:sz w:val="22"/>
                <w:szCs w:val="22"/>
                <w:u w:val="none"/>
                <w:lang w:val="en-US" w:eastAsia="zh-CN" w:bidi="ar"/>
              </w:rPr>
              <w:t>主体开工（基础垫层开始施工）</w:t>
            </w:r>
          </w:p>
        </w:tc>
        <w:tc>
          <w:tcPr>
            <w:tcW w:w="4320" w:type="dxa"/>
            <w:vAlign w:val="center"/>
          </w:tcPr>
          <w:p w14:paraId="6905E854">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sz w:val="22"/>
                <w:szCs w:val="22"/>
              </w:rPr>
            </w:pPr>
            <w:r>
              <w:rPr>
                <w:rFonts w:hint="eastAsia" w:ascii="宋体" w:hAnsi="宋体" w:eastAsia="宋体" w:cs="宋体"/>
                <w:i w:val="0"/>
                <w:iCs w:val="0"/>
                <w:color w:val="000000"/>
                <w:kern w:val="0"/>
                <w:sz w:val="22"/>
                <w:szCs w:val="22"/>
                <w:u w:val="none"/>
                <w:lang w:val="en-US" w:eastAsia="zh-CN" w:bidi="ar"/>
              </w:rPr>
              <w:t>第1天</w:t>
            </w:r>
          </w:p>
        </w:tc>
      </w:tr>
      <w:tr w14:paraId="28163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4219" w:type="dxa"/>
            <w:vAlign w:val="center"/>
          </w:tcPr>
          <w:p w14:paraId="4C70352E">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b/>
              </w:rPr>
            </w:pPr>
            <w:r>
              <w:rPr>
                <w:rFonts w:hint="eastAsia" w:ascii="宋体" w:hAnsi="宋体" w:eastAsia="宋体" w:cs="宋体"/>
                <w:i w:val="0"/>
                <w:iCs w:val="0"/>
                <w:color w:val="000000"/>
                <w:kern w:val="0"/>
                <w:sz w:val="22"/>
                <w:szCs w:val="22"/>
                <w:u w:val="none"/>
                <w:lang w:val="en-US" w:eastAsia="zh-CN" w:bidi="ar"/>
              </w:rPr>
              <w:t>正负零</w:t>
            </w:r>
          </w:p>
        </w:tc>
        <w:tc>
          <w:tcPr>
            <w:tcW w:w="4320" w:type="dxa"/>
            <w:vAlign w:val="center"/>
          </w:tcPr>
          <w:p w14:paraId="46CEF362">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sz w:val="22"/>
                <w:szCs w:val="22"/>
              </w:rPr>
            </w:pPr>
            <w:r>
              <w:rPr>
                <w:rFonts w:hint="eastAsia" w:ascii="宋体" w:hAnsi="宋体" w:eastAsia="宋体" w:cs="宋体"/>
                <w:i w:val="0"/>
                <w:iCs w:val="0"/>
                <w:color w:val="000000"/>
                <w:kern w:val="0"/>
                <w:sz w:val="22"/>
                <w:szCs w:val="22"/>
                <w:u w:val="none"/>
                <w:lang w:val="en-US" w:eastAsia="zh-CN" w:bidi="ar"/>
              </w:rPr>
              <w:t>第25天</w:t>
            </w:r>
          </w:p>
        </w:tc>
      </w:tr>
      <w:tr w14:paraId="5E5A6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4219" w:type="dxa"/>
            <w:vAlign w:val="center"/>
          </w:tcPr>
          <w:p w14:paraId="4D895F62">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b/>
              </w:rPr>
            </w:pPr>
            <w:r>
              <w:rPr>
                <w:rFonts w:hint="eastAsia" w:ascii="宋体" w:hAnsi="宋体" w:eastAsia="宋体" w:cs="宋体"/>
                <w:i w:val="0"/>
                <w:iCs w:val="0"/>
                <w:color w:val="000000"/>
                <w:kern w:val="0"/>
                <w:sz w:val="22"/>
                <w:szCs w:val="22"/>
                <w:u w:val="none"/>
                <w:lang w:val="en-US" w:eastAsia="zh-CN" w:bidi="ar"/>
              </w:rPr>
              <w:t>主体结构一半完成（6层）</w:t>
            </w:r>
          </w:p>
        </w:tc>
        <w:tc>
          <w:tcPr>
            <w:tcW w:w="4320" w:type="dxa"/>
            <w:vAlign w:val="center"/>
          </w:tcPr>
          <w:p w14:paraId="2B88A040">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sz w:val="22"/>
                <w:szCs w:val="22"/>
              </w:rPr>
            </w:pPr>
            <w:r>
              <w:rPr>
                <w:rFonts w:hint="eastAsia" w:ascii="宋体" w:hAnsi="宋体" w:eastAsia="宋体" w:cs="宋体"/>
                <w:i w:val="0"/>
                <w:iCs w:val="0"/>
                <w:color w:val="000000"/>
                <w:kern w:val="0"/>
                <w:sz w:val="22"/>
                <w:szCs w:val="22"/>
                <w:u w:val="none"/>
                <w:lang w:val="en-US" w:eastAsia="zh-CN" w:bidi="ar"/>
              </w:rPr>
              <w:t>第76天</w:t>
            </w:r>
          </w:p>
        </w:tc>
      </w:tr>
      <w:tr w14:paraId="7693D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219" w:type="dxa"/>
            <w:vAlign w:val="center"/>
          </w:tcPr>
          <w:p w14:paraId="61D0D592">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b/>
              </w:rPr>
            </w:pPr>
            <w:r>
              <w:rPr>
                <w:rFonts w:hint="eastAsia" w:ascii="宋体" w:hAnsi="宋体" w:eastAsia="宋体" w:cs="宋体"/>
                <w:i w:val="0"/>
                <w:iCs w:val="0"/>
                <w:color w:val="000000"/>
                <w:kern w:val="0"/>
                <w:sz w:val="22"/>
                <w:szCs w:val="22"/>
                <w:u w:val="none"/>
                <w:lang w:val="en-US" w:eastAsia="zh-CN" w:bidi="ar"/>
              </w:rPr>
              <w:t>主体封顶</w:t>
            </w:r>
          </w:p>
        </w:tc>
        <w:tc>
          <w:tcPr>
            <w:tcW w:w="4320" w:type="dxa"/>
            <w:vAlign w:val="center"/>
          </w:tcPr>
          <w:p w14:paraId="69BA9DE0">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sz w:val="22"/>
                <w:szCs w:val="22"/>
              </w:rPr>
            </w:pPr>
            <w:r>
              <w:rPr>
                <w:rFonts w:hint="eastAsia" w:ascii="宋体" w:hAnsi="宋体" w:eastAsia="宋体" w:cs="宋体"/>
                <w:i w:val="0"/>
                <w:iCs w:val="0"/>
                <w:color w:val="000000"/>
                <w:kern w:val="0"/>
                <w:sz w:val="22"/>
                <w:szCs w:val="22"/>
                <w:u w:val="none"/>
                <w:lang w:val="en-US" w:eastAsia="zh-CN" w:bidi="ar"/>
              </w:rPr>
              <w:t>第122天</w:t>
            </w:r>
          </w:p>
        </w:tc>
      </w:tr>
      <w:tr w14:paraId="0FA87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4219" w:type="dxa"/>
            <w:vAlign w:val="center"/>
          </w:tcPr>
          <w:p w14:paraId="3EFC9060">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b/>
              </w:rPr>
            </w:pPr>
            <w:r>
              <w:rPr>
                <w:rFonts w:hint="eastAsia" w:ascii="宋体" w:hAnsi="宋体" w:eastAsia="宋体" w:cs="宋体"/>
                <w:i w:val="0"/>
                <w:iCs w:val="0"/>
                <w:color w:val="000000"/>
                <w:kern w:val="0"/>
                <w:sz w:val="22"/>
                <w:szCs w:val="22"/>
                <w:u w:val="none"/>
                <w:lang w:val="en-US" w:eastAsia="zh-CN" w:bidi="ar"/>
              </w:rPr>
              <w:t>室外回填完成</w:t>
            </w:r>
          </w:p>
        </w:tc>
        <w:tc>
          <w:tcPr>
            <w:tcW w:w="4320" w:type="dxa"/>
            <w:vAlign w:val="center"/>
          </w:tcPr>
          <w:p w14:paraId="1BF2C755">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sz w:val="22"/>
                <w:szCs w:val="22"/>
              </w:rPr>
            </w:pPr>
            <w:r>
              <w:rPr>
                <w:rFonts w:hint="eastAsia" w:ascii="宋体" w:hAnsi="宋体" w:eastAsia="宋体" w:cs="宋体"/>
                <w:i w:val="0"/>
                <w:iCs w:val="0"/>
                <w:color w:val="000000"/>
                <w:kern w:val="0"/>
                <w:sz w:val="22"/>
                <w:szCs w:val="22"/>
                <w:u w:val="none"/>
                <w:lang w:val="en-US" w:eastAsia="zh-CN" w:bidi="ar"/>
              </w:rPr>
              <w:t>第201天</w:t>
            </w:r>
          </w:p>
        </w:tc>
      </w:tr>
      <w:tr w14:paraId="12D81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4219" w:type="dxa"/>
            <w:vAlign w:val="center"/>
          </w:tcPr>
          <w:p w14:paraId="7986853F">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b/>
              </w:rPr>
            </w:pPr>
            <w:r>
              <w:rPr>
                <w:rFonts w:hint="eastAsia" w:ascii="宋体" w:hAnsi="宋体" w:eastAsia="宋体" w:cs="宋体"/>
                <w:i w:val="0"/>
                <w:iCs w:val="0"/>
                <w:color w:val="000000"/>
                <w:kern w:val="0"/>
                <w:sz w:val="22"/>
                <w:szCs w:val="22"/>
                <w:u w:val="none"/>
                <w:lang w:val="en-US" w:eastAsia="zh-CN" w:bidi="ar"/>
              </w:rPr>
              <w:t>外立面完成</w:t>
            </w:r>
          </w:p>
        </w:tc>
        <w:tc>
          <w:tcPr>
            <w:tcW w:w="4320" w:type="dxa"/>
            <w:vAlign w:val="center"/>
          </w:tcPr>
          <w:p w14:paraId="2F3B2F03">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sz w:val="22"/>
                <w:szCs w:val="22"/>
              </w:rPr>
            </w:pPr>
            <w:r>
              <w:rPr>
                <w:rFonts w:hint="eastAsia" w:ascii="宋体" w:hAnsi="宋体" w:eastAsia="宋体" w:cs="宋体"/>
                <w:i w:val="0"/>
                <w:iCs w:val="0"/>
                <w:color w:val="000000"/>
                <w:kern w:val="0"/>
                <w:sz w:val="22"/>
                <w:szCs w:val="22"/>
                <w:u w:val="none"/>
                <w:lang w:val="en-US" w:eastAsia="zh-CN" w:bidi="ar"/>
              </w:rPr>
              <w:t>第375天</w:t>
            </w:r>
          </w:p>
        </w:tc>
      </w:tr>
      <w:tr w14:paraId="12A04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4219" w:type="dxa"/>
            <w:vAlign w:val="center"/>
          </w:tcPr>
          <w:p w14:paraId="6CD8B01B">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b/>
              </w:rPr>
            </w:pPr>
            <w:r>
              <w:rPr>
                <w:rFonts w:hint="eastAsia" w:ascii="宋体" w:hAnsi="宋体" w:eastAsia="宋体" w:cs="宋体"/>
                <w:i w:val="0"/>
                <w:iCs w:val="0"/>
                <w:color w:val="000000"/>
                <w:kern w:val="0"/>
                <w:sz w:val="22"/>
                <w:szCs w:val="22"/>
                <w:u w:val="none"/>
                <w:lang w:val="en-US" w:eastAsia="zh-CN" w:bidi="ar"/>
              </w:rPr>
              <w:t>竣工验收</w:t>
            </w:r>
          </w:p>
        </w:tc>
        <w:tc>
          <w:tcPr>
            <w:tcW w:w="4320" w:type="dxa"/>
            <w:vAlign w:val="center"/>
          </w:tcPr>
          <w:p w14:paraId="34C28643">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sz w:val="22"/>
                <w:szCs w:val="22"/>
              </w:rPr>
            </w:pPr>
            <w:r>
              <w:rPr>
                <w:rFonts w:hint="eastAsia" w:ascii="宋体" w:hAnsi="宋体" w:eastAsia="宋体" w:cs="宋体"/>
                <w:i w:val="0"/>
                <w:iCs w:val="0"/>
                <w:color w:val="000000"/>
                <w:kern w:val="0"/>
                <w:sz w:val="22"/>
                <w:szCs w:val="22"/>
                <w:u w:val="none"/>
                <w:lang w:val="en-US" w:eastAsia="zh-CN" w:bidi="ar"/>
              </w:rPr>
              <w:t>第423天</w:t>
            </w:r>
          </w:p>
        </w:tc>
      </w:tr>
      <w:tr w14:paraId="77276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4219" w:type="dxa"/>
            <w:vAlign w:val="center"/>
          </w:tcPr>
          <w:p w14:paraId="69715B8B">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b/>
              </w:rPr>
            </w:pPr>
            <w:r>
              <w:rPr>
                <w:rFonts w:hint="eastAsia" w:ascii="宋体" w:hAnsi="宋体" w:eastAsia="宋体" w:cs="宋体"/>
                <w:i w:val="0"/>
                <w:iCs w:val="0"/>
                <w:color w:val="000000"/>
                <w:kern w:val="0"/>
                <w:sz w:val="22"/>
                <w:szCs w:val="22"/>
                <w:u w:val="none"/>
                <w:lang w:val="en-US" w:eastAsia="zh-CN" w:bidi="ar"/>
              </w:rPr>
              <w:t>竣工备案</w:t>
            </w:r>
          </w:p>
        </w:tc>
        <w:tc>
          <w:tcPr>
            <w:tcW w:w="4320" w:type="dxa"/>
            <w:vAlign w:val="center"/>
          </w:tcPr>
          <w:p w14:paraId="7421BDF7">
            <w:pPr>
              <w:keepNext w:val="0"/>
              <w:keepLines w:val="0"/>
              <w:widowControl/>
              <w:suppressLineNumbers w:val="0"/>
              <w:spacing w:before="0" w:beforeAutospacing="0" w:after="0" w:afterAutospacing="0"/>
              <w:ind w:left="0" w:right="0"/>
              <w:jc w:val="left"/>
              <w:textAlignment w:val="center"/>
              <w:rPr>
                <w:rFonts w:cs="宋体" w:asciiTheme="minorEastAsia" w:hAnsiTheme="minorEastAsia" w:eastAsiaTheme="minorEastAsia"/>
                <w:sz w:val="22"/>
                <w:szCs w:val="22"/>
              </w:rPr>
            </w:pPr>
            <w:r>
              <w:rPr>
                <w:rFonts w:hint="eastAsia" w:ascii="宋体" w:hAnsi="宋体" w:eastAsia="宋体" w:cs="宋体"/>
                <w:i w:val="0"/>
                <w:iCs w:val="0"/>
                <w:color w:val="000000"/>
                <w:kern w:val="0"/>
                <w:sz w:val="22"/>
                <w:szCs w:val="22"/>
                <w:u w:val="none"/>
                <w:lang w:val="en-US" w:eastAsia="zh-CN" w:bidi="ar"/>
              </w:rPr>
              <w:t>第454天</w:t>
            </w:r>
          </w:p>
        </w:tc>
      </w:tr>
    </w:tbl>
    <w:p w14:paraId="0B65F252">
      <w:pPr>
        <w:pStyle w:val="5"/>
        <w:keepNext/>
        <w:keepLines/>
        <w:widowControl w:val="0"/>
        <w:numPr>
          <w:ilvl w:val="0"/>
          <w:numId w:val="0"/>
        </w:numPr>
        <w:spacing w:before="280" w:after="290" w:line="376" w:lineRule="auto"/>
        <w:jc w:val="both"/>
        <w:outlineLvl w:val="3"/>
      </w:pPr>
    </w:p>
    <w:p w14:paraId="363507AA"/>
    <w:p w14:paraId="73BC8C36">
      <w:pPr>
        <w:outlineLvl w:val="9"/>
        <w:rPr>
          <w:rFonts w:asciiTheme="minorEastAsia" w:hAnsiTheme="minorEastAsia" w:eastAsiaTheme="minorEastAsia"/>
          <w:color w:val="auto"/>
          <w:highlight w:val="none"/>
        </w:rPr>
      </w:pPr>
    </w:p>
    <w:p w14:paraId="35463C52">
      <w:pPr>
        <w:outlineLvl w:val="9"/>
        <w:rPr>
          <w:rFonts w:asciiTheme="minorEastAsia" w:hAnsiTheme="minorEastAsia" w:eastAsiaTheme="minorEastAsia"/>
          <w:color w:val="auto"/>
          <w:highlight w:val="none"/>
        </w:rPr>
        <w:sectPr>
          <w:headerReference r:id="rId3" w:type="default"/>
          <w:footerReference r:id="rId4" w:type="default"/>
          <w:pgSz w:w="11906" w:h="16838"/>
          <w:pgMar w:top="1440" w:right="1440" w:bottom="1440" w:left="1440" w:header="850" w:footer="1020" w:gutter="0"/>
          <w:pgBorders>
            <w:top w:val="none" w:sz="0" w:space="0"/>
            <w:left w:val="none" w:sz="0" w:space="0"/>
            <w:bottom w:val="none" w:sz="0" w:space="0"/>
            <w:right w:val="none" w:sz="0" w:space="0"/>
          </w:pgBorders>
          <w:cols w:space="720" w:num="1"/>
          <w:docGrid w:linePitch="312" w:charSpace="0"/>
        </w:sectPr>
      </w:pPr>
    </w:p>
    <w:p w14:paraId="5A03E0BA">
      <w:pPr>
        <w:jc w:val="center"/>
        <w:outlineLvl w:val="9"/>
        <w:rPr>
          <w:rFonts w:cs="宋体" w:asciiTheme="minorEastAsia" w:hAnsiTheme="minorEastAsia" w:eastAsiaTheme="minorEastAsia"/>
          <w:b/>
          <w:color w:val="auto"/>
          <w:highlight w:val="none"/>
        </w:rPr>
      </w:pPr>
      <w:r>
        <w:rPr>
          <w:rFonts w:hint="eastAsia" w:cs="宋体" w:asciiTheme="minorEastAsia" w:hAnsiTheme="minorEastAsia" w:eastAsiaTheme="minorEastAsia"/>
          <w:b/>
          <w:color w:val="auto"/>
          <w:highlight w:val="none"/>
        </w:rPr>
        <w:br w:type="page"/>
      </w:r>
    </w:p>
    <w:p w14:paraId="0E0FA9F4">
      <w:pPr>
        <w:outlineLvl w:val="9"/>
        <w:rPr>
          <w:rFonts w:asciiTheme="minorEastAsia" w:hAnsiTheme="minorEastAsia" w:eastAsiaTheme="minorEastAsia"/>
          <w:color w:val="auto"/>
          <w:highlight w:val="none"/>
        </w:rPr>
      </w:pPr>
    </w:p>
    <w:p w14:paraId="7F13881D">
      <w:pPr>
        <w:pStyle w:val="22"/>
        <w:rPr>
          <w:color w:val="auto"/>
          <w:highlight w:val="none"/>
        </w:rPr>
      </w:pPr>
    </w:p>
    <w:p w14:paraId="3F585AC6">
      <w:pPr>
        <w:outlineLvl w:val="9"/>
        <w:rPr>
          <w:rFonts w:asciiTheme="minorEastAsia" w:hAnsiTheme="minorEastAsia" w:eastAsiaTheme="minorEastAsia"/>
          <w:color w:val="auto"/>
          <w:highlight w:val="none"/>
        </w:rPr>
      </w:pPr>
    </w:p>
    <w:p w14:paraId="4FDBCD5D">
      <w:pPr>
        <w:spacing w:line="360" w:lineRule="auto"/>
        <w:outlineLvl w:val="9"/>
        <w:rPr>
          <w:rFonts w:cs="宋体" w:asciiTheme="minorEastAsia" w:hAnsiTheme="minorEastAsia" w:eastAsiaTheme="minorEastAsia"/>
          <w:color w:val="auto"/>
          <w:kern w:val="0"/>
          <w:highlight w:val="none"/>
        </w:rPr>
      </w:pPr>
      <w:r>
        <w:rPr>
          <w:rFonts w:hint="eastAsia" w:cs="宋体" w:asciiTheme="minorEastAsia" w:hAnsiTheme="minorEastAsia" w:eastAsiaTheme="minorEastAsia"/>
          <w:color w:val="auto"/>
          <w:kern w:val="0"/>
          <w:highlight w:val="none"/>
        </w:rPr>
        <w:t>备注：</w:t>
      </w:r>
    </w:p>
    <w:p w14:paraId="2AB6D164">
      <w:pPr>
        <w:spacing w:line="360" w:lineRule="auto"/>
        <w:outlineLvl w:val="9"/>
        <w:rPr>
          <w:rFonts w:cs="宋体" w:asciiTheme="minorEastAsia" w:hAnsiTheme="minorEastAsia" w:eastAsiaTheme="minorEastAsia"/>
          <w:color w:val="auto"/>
          <w:kern w:val="0"/>
          <w:highlight w:val="none"/>
        </w:rPr>
      </w:pPr>
      <w:r>
        <w:rPr>
          <w:rFonts w:hint="eastAsia" w:cs="宋体" w:asciiTheme="minorEastAsia" w:hAnsiTheme="minorEastAsia" w:eastAsiaTheme="minorEastAsia"/>
          <w:color w:val="auto"/>
          <w:kern w:val="0"/>
          <w:highlight w:val="none"/>
        </w:rPr>
        <w:t>1、以上各节点工期与合同总工期具有同等约束力，承包人未能按照节点工期完成指定部位或区段完工、移交的，承包人应向发包人承担延误工期的违约责任。以上各节点严格按现场要求工期执行（各项验收完成时间以验收会议召开的通过日期为准），若推后一天按每天5000元进行扣款。承包人移交公装工作面如有延误，按需要交出工作面的建筑面积每天1元/m2支付违约金，该违约金在任何情况下均不予免除。</w:t>
      </w:r>
    </w:p>
    <w:p w14:paraId="0D697CA7">
      <w:pPr>
        <w:spacing w:line="360" w:lineRule="auto"/>
        <w:outlineLvl w:val="9"/>
        <w:rPr>
          <w:rFonts w:asciiTheme="minorEastAsia" w:hAnsiTheme="minorEastAsia" w:eastAsiaTheme="minorEastAsia"/>
          <w:color w:val="auto"/>
          <w:sz w:val="18"/>
          <w:highlight w:val="none"/>
        </w:rPr>
        <w:sectPr>
          <w:type w:val="continuous"/>
          <w:pgSz w:w="11906" w:h="16838"/>
          <w:pgMar w:top="1440" w:right="1304" w:bottom="1440" w:left="1304" w:header="850" w:footer="1020" w:gutter="0"/>
          <w:pgBorders>
            <w:top w:val="none" w:sz="0" w:space="0"/>
            <w:left w:val="none" w:sz="0" w:space="0"/>
            <w:bottom w:val="none" w:sz="0" w:space="0"/>
            <w:right w:val="none" w:sz="0" w:space="0"/>
          </w:pgBorders>
          <w:cols w:space="720" w:num="1"/>
          <w:docGrid w:linePitch="312" w:charSpace="0"/>
        </w:sectPr>
      </w:pPr>
      <w:r>
        <w:rPr>
          <w:rFonts w:hint="eastAsia" w:cs="宋体" w:asciiTheme="minorEastAsia" w:hAnsiTheme="minorEastAsia" w:eastAsiaTheme="minorEastAsia"/>
          <w:color w:val="auto"/>
          <w:kern w:val="0"/>
          <w:highlight w:val="none"/>
        </w:rPr>
        <w:t>2、投标单位结合工期控制时间表的具体要求，自行编制施工组织设计及施工方案并将所有费用考虑在报价中。</w:t>
      </w:r>
    </w:p>
    <w:p w14:paraId="6F21FA8A">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w:t>
      </w:r>
      <w:r>
        <w:rPr>
          <w:rFonts w:hint="eastAsia" w:cs="宋体" w:asciiTheme="minorEastAsia" w:hAnsiTheme="minorEastAsia" w:eastAsiaTheme="minorEastAsia"/>
          <w:color w:val="auto"/>
          <w:szCs w:val="21"/>
          <w:highlight w:val="none"/>
          <w:lang w:val="en-US" w:eastAsia="zh-CN"/>
        </w:rPr>
        <w:t>七</w:t>
      </w:r>
      <w:r>
        <w:rPr>
          <w:rFonts w:hint="eastAsia" w:cs="宋体" w:asciiTheme="minorEastAsia" w:hAnsiTheme="minorEastAsia" w:eastAsiaTheme="minorEastAsia"/>
          <w:color w:val="auto"/>
          <w:szCs w:val="21"/>
          <w:highlight w:val="none"/>
        </w:rPr>
        <w:t>：</w:t>
      </w:r>
    </w:p>
    <w:p w14:paraId="22027B8C">
      <w:pPr>
        <w:spacing w:line="360" w:lineRule="auto"/>
        <w:ind w:firstLine="643"/>
        <w:jc w:val="center"/>
        <w:outlineLvl w:val="9"/>
        <w:rPr>
          <w:rFonts w:cs="宋体" w:asciiTheme="minorEastAsia" w:hAnsiTheme="minorEastAsia" w:eastAsiaTheme="minorEastAsia"/>
          <w:b/>
          <w:bCs/>
          <w:color w:val="auto"/>
          <w:kern w:val="0"/>
          <w:szCs w:val="21"/>
          <w:highlight w:val="none"/>
        </w:rPr>
      </w:pPr>
      <w:r>
        <w:rPr>
          <w:rFonts w:hint="eastAsia" w:cs="宋体" w:asciiTheme="minorEastAsia" w:hAnsiTheme="minorEastAsia" w:eastAsiaTheme="minorEastAsia"/>
          <w:b/>
          <w:bCs/>
          <w:color w:val="auto"/>
          <w:kern w:val="0"/>
          <w:szCs w:val="21"/>
          <w:highlight w:val="none"/>
        </w:rPr>
        <w:t>建设工程安全防护、文明施工措施项目清单</w:t>
      </w:r>
    </w:p>
    <w:tbl>
      <w:tblPr>
        <w:tblStyle w:val="56"/>
        <w:tblW w:w="4976" w:type="pct"/>
        <w:tblCellSpacing w:w="0" w:type="dxa"/>
        <w:tblInd w:w="0" w:type="dxa"/>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fixed"/>
        <w:tblCellMar>
          <w:top w:w="30" w:type="dxa"/>
          <w:left w:w="30" w:type="dxa"/>
          <w:bottom w:w="30" w:type="dxa"/>
          <w:right w:w="30" w:type="dxa"/>
        </w:tblCellMar>
      </w:tblPr>
      <w:tblGrid>
        <w:gridCol w:w="574"/>
        <w:gridCol w:w="785"/>
        <w:gridCol w:w="1316"/>
        <w:gridCol w:w="6206"/>
      </w:tblGrid>
      <w:tr w14:paraId="4C3C4077">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tcBorders>
              <w:top w:val="single" w:color="auto" w:sz="4" w:space="0"/>
              <w:left w:val="single" w:color="auto" w:sz="4" w:space="0"/>
              <w:bottom w:val="single" w:color="auto" w:sz="4" w:space="0"/>
              <w:right w:val="single" w:color="auto" w:sz="4" w:space="0"/>
            </w:tcBorders>
            <w:vAlign w:val="center"/>
          </w:tcPr>
          <w:p w14:paraId="2C83B2BA">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bCs/>
                <w:color w:val="auto"/>
                <w:kern w:val="0"/>
                <w:szCs w:val="21"/>
                <w:highlight w:val="none"/>
              </w:rPr>
              <w:t>类别</w:t>
            </w: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18291808">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bCs/>
                <w:color w:val="auto"/>
                <w:kern w:val="0"/>
                <w:szCs w:val="21"/>
                <w:highlight w:val="none"/>
              </w:rPr>
              <w:t>项目名称</w:t>
            </w:r>
          </w:p>
        </w:tc>
        <w:tc>
          <w:tcPr>
            <w:tcW w:w="3494" w:type="pct"/>
            <w:tcBorders>
              <w:top w:val="single" w:color="auto" w:sz="4" w:space="0"/>
              <w:left w:val="single" w:color="auto" w:sz="4" w:space="0"/>
              <w:bottom w:val="single" w:color="auto" w:sz="4" w:space="0"/>
              <w:right w:val="single" w:color="auto" w:sz="4" w:space="0"/>
            </w:tcBorders>
            <w:vAlign w:val="center"/>
          </w:tcPr>
          <w:p w14:paraId="009C4C30">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bCs/>
                <w:color w:val="auto"/>
                <w:kern w:val="0"/>
                <w:szCs w:val="21"/>
                <w:highlight w:val="none"/>
              </w:rPr>
              <w:t>具体要求</w:t>
            </w:r>
          </w:p>
        </w:tc>
      </w:tr>
      <w:tr w14:paraId="216EC77A">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restart"/>
            <w:tcBorders>
              <w:top w:val="single" w:color="auto" w:sz="4" w:space="0"/>
              <w:left w:val="single" w:color="auto" w:sz="4" w:space="0"/>
              <w:bottom w:val="single" w:color="auto" w:sz="4" w:space="0"/>
              <w:right w:val="single" w:color="auto" w:sz="4" w:space="0"/>
            </w:tcBorders>
            <w:vAlign w:val="center"/>
          </w:tcPr>
          <w:p w14:paraId="2429AF3E">
            <w:pPr>
              <w:keepNext w:val="0"/>
              <w:keepLines w:val="0"/>
              <w:suppressLineNumbers w:val="0"/>
              <w:spacing w:before="100" w:beforeAutospacing="1" w:after="100" w:afterAutospacing="1"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文明</w:t>
            </w:r>
          </w:p>
          <w:p w14:paraId="209317BA">
            <w:pPr>
              <w:keepNext w:val="0"/>
              <w:keepLines w:val="0"/>
              <w:suppressLineNumbers w:val="0"/>
              <w:spacing w:before="100" w:beforeAutospacing="1" w:after="100" w:afterAutospacing="1"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施工</w:t>
            </w:r>
          </w:p>
          <w:p w14:paraId="42B808CC">
            <w:pPr>
              <w:keepNext w:val="0"/>
              <w:keepLines w:val="0"/>
              <w:suppressLineNumbers w:val="0"/>
              <w:spacing w:before="100" w:beforeAutospacing="1" w:after="100" w:afterAutospacing="1"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与</w:t>
            </w:r>
          </w:p>
          <w:p w14:paraId="169B4696">
            <w:pPr>
              <w:keepNext w:val="0"/>
              <w:keepLines w:val="0"/>
              <w:suppressLineNumbers w:val="0"/>
              <w:spacing w:before="100" w:beforeAutospacing="1" w:after="100" w:afterAutospacing="1"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环境</w:t>
            </w:r>
          </w:p>
          <w:p w14:paraId="5F2AA013">
            <w:pPr>
              <w:keepNext w:val="0"/>
              <w:keepLines w:val="0"/>
              <w:suppressLineNumbers w:val="0"/>
              <w:spacing w:before="100" w:beforeAutospacing="1" w:after="100" w:afterAutospacing="1"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保护</w:t>
            </w: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525D0E95">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安全警示标志牌</w:t>
            </w:r>
          </w:p>
        </w:tc>
        <w:tc>
          <w:tcPr>
            <w:tcW w:w="3494" w:type="pct"/>
            <w:tcBorders>
              <w:top w:val="single" w:color="auto" w:sz="4" w:space="0"/>
              <w:left w:val="single" w:color="auto" w:sz="4" w:space="0"/>
              <w:bottom w:val="single" w:color="auto" w:sz="4" w:space="0"/>
              <w:right w:val="single" w:color="auto" w:sz="4" w:space="0"/>
            </w:tcBorders>
            <w:vAlign w:val="center"/>
          </w:tcPr>
          <w:p w14:paraId="63CA7C7B">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在易发伤亡事故（或危险）处设置明显的、符合国家标准要求的安全警示标志牌</w:t>
            </w:r>
          </w:p>
        </w:tc>
      </w:tr>
      <w:tr w14:paraId="15F30F7F">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575F6319">
            <w:pPr>
              <w:keepNext w:val="0"/>
              <w:keepLines w:val="0"/>
              <w:suppressLineNumbers w:val="0"/>
              <w:spacing w:before="100" w:beforeAutospacing="1" w:after="100" w:afterAutospacing="1" w:line="360" w:lineRule="auto"/>
              <w:ind w:left="0" w:right="0"/>
              <w:jc w:val="center"/>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2BE330EE">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p>
        </w:tc>
        <w:tc>
          <w:tcPr>
            <w:tcW w:w="3494" w:type="pct"/>
            <w:tcBorders>
              <w:top w:val="single" w:color="auto" w:sz="4" w:space="0"/>
              <w:left w:val="single" w:color="auto" w:sz="4" w:space="0"/>
              <w:bottom w:val="single" w:color="auto" w:sz="4" w:space="0"/>
              <w:right w:val="single" w:color="auto" w:sz="4" w:space="0"/>
            </w:tcBorders>
            <w:vAlign w:val="center"/>
          </w:tcPr>
          <w:p w14:paraId="1A0090D1">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r>
      <w:tr w14:paraId="49BA79BB">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37657DFE">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495A8987">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现场围挡</w:t>
            </w:r>
          </w:p>
        </w:tc>
        <w:tc>
          <w:tcPr>
            <w:tcW w:w="3494" w:type="pct"/>
            <w:tcBorders>
              <w:top w:val="single" w:color="auto" w:sz="4" w:space="0"/>
              <w:left w:val="single" w:color="auto" w:sz="4" w:space="0"/>
              <w:bottom w:val="single" w:color="auto" w:sz="4" w:space="0"/>
              <w:right w:val="single" w:color="auto" w:sz="4" w:space="0"/>
            </w:tcBorders>
            <w:vAlign w:val="center"/>
          </w:tcPr>
          <w:p w14:paraId="5BCF8B81">
            <w:pPr>
              <w:keepNext w:val="0"/>
              <w:keepLines w:val="0"/>
              <w:widowControl/>
              <w:numPr>
                <w:ilvl w:val="0"/>
                <w:numId w:val="2"/>
              </w:numPr>
              <w:suppressLineNumbers w:val="0"/>
              <w:spacing w:before="0" w:beforeAutospacing="0" w:after="0" w:afterAutospacing="0" w:line="360" w:lineRule="auto"/>
              <w:ind w:right="0"/>
              <w:jc w:val="left"/>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现场采用封闭围挡，高度不小于1.8 m。</w:t>
            </w:r>
          </w:p>
          <w:p w14:paraId="1C8122FB">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（2）围挡材料可采用彩色、定型钢板，砖、砼砌块等墙体。</w:t>
            </w:r>
          </w:p>
          <w:p w14:paraId="020C3484">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（3）对于临街围墙形式及高度，按照当地行政主管部门相关政策及要求执行。</w:t>
            </w:r>
          </w:p>
        </w:tc>
      </w:tr>
      <w:tr w14:paraId="3CEC200F">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537830BA">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3D72569C">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八牌两图</w:t>
            </w:r>
          </w:p>
        </w:tc>
        <w:tc>
          <w:tcPr>
            <w:tcW w:w="3494" w:type="pct"/>
            <w:tcBorders>
              <w:top w:val="single" w:color="auto" w:sz="4" w:space="0"/>
              <w:left w:val="single" w:color="auto" w:sz="4" w:space="0"/>
              <w:bottom w:val="single" w:color="auto" w:sz="4" w:space="0"/>
              <w:right w:val="single" w:color="auto" w:sz="4" w:space="0"/>
            </w:tcBorders>
            <w:vAlign w:val="center"/>
          </w:tcPr>
          <w:p w14:paraId="3A25EACD">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在进门处悬挂：工程概况、管理人员名单及监督电话、安全生产牌、十项安全技术措施、施工现场 “十不吊”、施工现场防火措施、安全文明施工责任牌、消防保卫牌、施工现场总平面图、施工效果图等。</w:t>
            </w:r>
          </w:p>
        </w:tc>
      </w:tr>
      <w:tr w14:paraId="55A72F81">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0D91A85E">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388CF051">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p>
        </w:tc>
        <w:tc>
          <w:tcPr>
            <w:tcW w:w="3494" w:type="pct"/>
            <w:tcBorders>
              <w:top w:val="single" w:color="auto" w:sz="4" w:space="0"/>
              <w:left w:val="single" w:color="auto" w:sz="4" w:space="0"/>
              <w:bottom w:val="single" w:color="auto" w:sz="4" w:space="0"/>
              <w:right w:val="single" w:color="auto" w:sz="4" w:space="0"/>
            </w:tcBorders>
            <w:vAlign w:val="center"/>
          </w:tcPr>
          <w:p w14:paraId="635C29A2">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r>
      <w:tr w14:paraId="59B8A4F9">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318BACE5">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4A0110D1">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企业标志</w:t>
            </w:r>
          </w:p>
        </w:tc>
        <w:tc>
          <w:tcPr>
            <w:tcW w:w="3494" w:type="pct"/>
            <w:tcBorders>
              <w:top w:val="single" w:color="auto" w:sz="4" w:space="0"/>
              <w:left w:val="single" w:color="auto" w:sz="4" w:space="0"/>
              <w:bottom w:val="single" w:color="auto" w:sz="4" w:space="0"/>
              <w:right w:val="single" w:color="auto" w:sz="4" w:space="0"/>
            </w:tcBorders>
            <w:vAlign w:val="center"/>
          </w:tcPr>
          <w:p w14:paraId="7982695B">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现场出入的大门应设有本企业标识。</w:t>
            </w:r>
          </w:p>
        </w:tc>
      </w:tr>
      <w:tr w14:paraId="43CA385C">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1B37513C">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24C95BE6">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场容场貌</w:t>
            </w:r>
          </w:p>
        </w:tc>
        <w:tc>
          <w:tcPr>
            <w:tcW w:w="3494" w:type="pct"/>
            <w:tcBorders>
              <w:top w:val="single" w:color="auto" w:sz="4" w:space="0"/>
              <w:left w:val="single" w:color="auto" w:sz="4" w:space="0"/>
              <w:bottom w:val="single" w:color="auto" w:sz="4" w:space="0"/>
              <w:right w:val="single" w:color="auto" w:sz="4" w:space="0"/>
            </w:tcBorders>
            <w:vAlign w:val="center"/>
          </w:tcPr>
          <w:p w14:paraId="0CEFE99F">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（1）道路畅通；</w:t>
            </w:r>
          </w:p>
          <w:p w14:paraId="36A74754">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（2）排水沟、排水设施通畅；</w:t>
            </w:r>
          </w:p>
          <w:p w14:paraId="0A355BC3">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（3）工地地面硬化处理不小于80%；</w:t>
            </w:r>
          </w:p>
          <w:p w14:paraId="2622CD63">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（4）绿化；</w:t>
            </w:r>
          </w:p>
          <w:p w14:paraId="514E3F0E">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（5）在工地出入口必须设置符合当地行政部门规定的洗车台；</w:t>
            </w:r>
          </w:p>
          <w:p w14:paraId="2BB88C1A">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（6）治污减霾、裸露黄土覆盖、区域道路保洁。</w:t>
            </w:r>
          </w:p>
        </w:tc>
      </w:tr>
      <w:tr w14:paraId="2311BBDF">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7B5F1B09">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5BDCD780">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材料堆放</w:t>
            </w:r>
          </w:p>
        </w:tc>
        <w:tc>
          <w:tcPr>
            <w:tcW w:w="3494" w:type="pct"/>
            <w:tcBorders>
              <w:top w:val="single" w:color="auto" w:sz="4" w:space="0"/>
              <w:left w:val="single" w:color="auto" w:sz="4" w:space="0"/>
              <w:bottom w:val="single" w:color="auto" w:sz="4" w:space="0"/>
              <w:right w:val="single" w:color="auto" w:sz="4" w:space="0"/>
            </w:tcBorders>
            <w:vAlign w:val="center"/>
          </w:tcPr>
          <w:p w14:paraId="0C2325DF">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（1）材料、构件、料具等堆放时，悬挂有名称、品种、规格、使用部位、状态等标牌；</w:t>
            </w:r>
          </w:p>
          <w:p w14:paraId="0B0143D0">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（2）水泥和白灰其他易飞扬细颗粒建筑材料应密闭存放或采取覆盖等措施；</w:t>
            </w:r>
          </w:p>
          <w:p w14:paraId="78766795">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（3）易燃、易爆和有毒有害物品分类存放。</w:t>
            </w:r>
          </w:p>
        </w:tc>
      </w:tr>
      <w:tr w14:paraId="21B6B003">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4B38F874">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455A675B">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现场防火</w:t>
            </w:r>
          </w:p>
        </w:tc>
        <w:tc>
          <w:tcPr>
            <w:tcW w:w="3494" w:type="pct"/>
            <w:tcBorders>
              <w:top w:val="single" w:color="auto" w:sz="4" w:space="0"/>
              <w:left w:val="single" w:color="auto" w:sz="4" w:space="0"/>
              <w:bottom w:val="single" w:color="auto" w:sz="4" w:space="0"/>
              <w:right w:val="single" w:color="auto" w:sz="4" w:space="0"/>
            </w:tcBorders>
            <w:vAlign w:val="center"/>
          </w:tcPr>
          <w:p w14:paraId="321FAD47">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消防器材、设施配置合理，符合消防要求。</w:t>
            </w:r>
          </w:p>
        </w:tc>
      </w:tr>
      <w:tr w14:paraId="2EB215A0">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69D2F122">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7E52ACE7">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垃圾清运</w:t>
            </w:r>
          </w:p>
        </w:tc>
        <w:tc>
          <w:tcPr>
            <w:tcW w:w="3494" w:type="pct"/>
            <w:tcBorders>
              <w:top w:val="single" w:color="auto" w:sz="4" w:space="0"/>
              <w:left w:val="single" w:color="auto" w:sz="4" w:space="0"/>
              <w:bottom w:val="single" w:color="auto" w:sz="4" w:space="0"/>
              <w:right w:val="single" w:color="auto" w:sz="4" w:space="0"/>
            </w:tcBorders>
            <w:vAlign w:val="center"/>
          </w:tcPr>
          <w:p w14:paraId="7930B852">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施工现场应设置密闭式垃圾站，施工垃圾、生活垃圾应分类存放。施工垃圾必须采用相应容器或管道运输。</w:t>
            </w:r>
          </w:p>
        </w:tc>
      </w:tr>
      <w:tr w14:paraId="3FCCF24F">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restart"/>
            <w:tcBorders>
              <w:top w:val="single" w:color="auto" w:sz="4" w:space="0"/>
              <w:left w:val="single" w:color="auto" w:sz="4" w:space="0"/>
              <w:bottom w:val="single" w:color="auto" w:sz="4" w:space="0"/>
              <w:right w:val="single" w:color="auto" w:sz="4" w:space="0"/>
            </w:tcBorders>
            <w:vAlign w:val="center"/>
          </w:tcPr>
          <w:p w14:paraId="27464652">
            <w:pPr>
              <w:keepNext w:val="0"/>
              <w:keepLines w:val="0"/>
              <w:suppressLineNumbers w:val="0"/>
              <w:spacing w:before="100" w:beforeAutospacing="1" w:after="100" w:afterAutospacing="1"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临时</w:t>
            </w:r>
          </w:p>
          <w:p w14:paraId="6E1A4C63">
            <w:pPr>
              <w:keepNext w:val="0"/>
              <w:keepLines w:val="0"/>
              <w:suppressLineNumbers w:val="0"/>
              <w:spacing w:before="100" w:beforeAutospacing="1" w:after="100" w:afterAutospacing="1"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设施</w:t>
            </w: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28EBE449">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现场办公</w:t>
            </w:r>
            <w:r>
              <w:rPr>
                <w:rFonts w:hint="eastAsia" w:cs="宋体" w:asciiTheme="minorEastAsia" w:hAnsiTheme="minorEastAsia" w:eastAsiaTheme="minorEastAsia"/>
                <w:color w:val="auto"/>
                <w:kern w:val="0"/>
                <w:szCs w:val="21"/>
                <w:highlight w:val="none"/>
              </w:rPr>
              <w:br w:type="textWrapping"/>
            </w:r>
            <w:r>
              <w:rPr>
                <w:rFonts w:hint="eastAsia" w:cs="宋体" w:asciiTheme="minorEastAsia" w:hAnsiTheme="minorEastAsia" w:eastAsiaTheme="minorEastAsia"/>
                <w:color w:val="auto"/>
                <w:kern w:val="0"/>
                <w:szCs w:val="21"/>
                <w:highlight w:val="none"/>
              </w:rPr>
              <w:t>生活设施</w:t>
            </w:r>
          </w:p>
        </w:tc>
        <w:tc>
          <w:tcPr>
            <w:tcW w:w="3494" w:type="pct"/>
            <w:tcBorders>
              <w:top w:val="single" w:color="auto" w:sz="4" w:space="0"/>
              <w:left w:val="single" w:color="auto" w:sz="4" w:space="0"/>
              <w:bottom w:val="single" w:color="auto" w:sz="4" w:space="0"/>
              <w:right w:val="single" w:color="auto" w:sz="4" w:space="0"/>
            </w:tcBorders>
            <w:vAlign w:val="center"/>
          </w:tcPr>
          <w:p w14:paraId="28110470">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（1）施工现场办公、生活区与作业区分开设置，保持安全距离。</w:t>
            </w:r>
          </w:p>
          <w:p w14:paraId="5155B20A">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（2）工地办公室、现场宿舍、食堂、厕所、饮水、休息场所符合卫生、安全和消防要求。</w:t>
            </w:r>
          </w:p>
        </w:tc>
      </w:tr>
      <w:tr w14:paraId="37D16E13">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4E1935F7">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442" w:type="pct"/>
            <w:vMerge w:val="restart"/>
            <w:tcBorders>
              <w:top w:val="single" w:color="auto" w:sz="4" w:space="0"/>
              <w:left w:val="single" w:color="auto" w:sz="4" w:space="0"/>
              <w:bottom w:val="single" w:color="auto" w:sz="4" w:space="0"/>
              <w:right w:val="single" w:color="auto" w:sz="4" w:space="0"/>
            </w:tcBorders>
            <w:vAlign w:val="center"/>
          </w:tcPr>
          <w:p w14:paraId="24BA6866">
            <w:pPr>
              <w:keepNext w:val="0"/>
              <w:keepLines w:val="0"/>
              <w:suppressLineNumbers w:val="0"/>
              <w:spacing w:before="100" w:beforeAutospacing="1" w:after="100" w:afterAutospacing="1"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施工现场临时用电</w:t>
            </w:r>
          </w:p>
        </w:tc>
        <w:tc>
          <w:tcPr>
            <w:tcW w:w="741" w:type="pct"/>
            <w:tcBorders>
              <w:top w:val="single" w:color="auto" w:sz="4" w:space="0"/>
              <w:left w:val="single" w:color="auto" w:sz="4" w:space="0"/>
              <w:bottom w:val="single" w:color="auto" w:sz="4" w:space="0"/>
              <w:right w:val="single" w:color="auto" w:sz="4" w:space="0"/>
            </w:tcBorders>
            <w:vAlign w:val="center"/>
          </w:tcPr>
          <w:p w14:paraId="1972B656">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配电</w:t>
            </w:r>
            <w:r>
              <w:rPr>
                <w:rFonts w:hint="eastAsia" w:cs="宋体" w:asciiTheme="minorEastAsia" w:hAnsiTheme="minorEastAsia" w:eastAsiaTheme="minorEastAsia"/>
                <w:color w:val="auto"/>
                <w:kern w:val="0"/>
                <w:szCs w:val="21"/>
                <w:highlight w:val="none"/>
              </w:rPr>
              <w:br w:type="textWrapping"/>
            </w:r>
            <w:r>
              <w:rPr>
                <w:rFonts w:hint="eastAsia" w:cs="宋体" w:asciiTheme="minorEastAsia" w:hAnsiTheme="minorEastAsia" w:eastAsiaTheme="minorEastAsia"/>
                <w:color w:val="auto"/>
                <w:kern w:val="0"/>
                <w:szCs w:val="21"/>
                <w:highlight w:val="none"/>
              </w:rPr>
              <w:t>线路</w:t>
            </w:r>
          </w:p>
        </w:tc>
        <w:tc>
          <w:tcPr>
            <w:tcW w:w="3494" w:type="pct"/>
            <w:tcBorders>
              <w:top w:val="single" w:color="auto" w:sz="4" w:space="0"/>
              <w:left w:val="single" w:color="auto" w:sz="4" w:space="0"/>
              <w:bottom w:val="single" w:color="auto" w:sz="4" w:space="0"/>
              <w:right w:val="single" w:color="auto" w:sz="4" w:space="0"/>
            </w:tcBorders>
            <w:vAlign w:val="center"/>
          </w:tcPr>
          <w:p w14:paraId="3CC5D5B4">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（1）按照TN-S系统要求配备五芯电缆、四芯电缆和三芯电缆；</w:t>
            </w:r>
          </w:p>
          <w:p w14:paraId="0D5453FB">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（2）按要求架设临时用电线路的电杆、横担、瓷夹、瓷瓶等，或电缆埋地的地沟。</w:t>
            </w:r>
          </w:p>
          <w:p w14:paraId="58B3B486">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（3）对靠近施工现场的外电线路，设置木质、塑料等绝缘体的防护设施。</w:t>
            </w:r>
          </w:p>
          <w:p w14:paraId="0AD2CA48">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（4）从发包人指定的用电接入点起，之后的全部用电线路由承包人负责。</w:t>
            </w:r>
          </w:p>
        </w:tc>
      </w:tr>
      <w:tr w14:paraId="6784927F">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7CFF6D6B">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442" w:type="pct"/>
            <w:vMerge w:val="continue"/>
            <w:tcBorders>
              <w:top w:val="single" w:color="auto" w:sz="4" w:space="0"/>
              <w:left w:val="single" w:color="auto" w:sz="4" w:space="0"/>
              <w:bottom w:val="single" w:color="auto" w:sz="4" w:space="0"/>
              <w:right w:val="single" w:color="auto" w:sz="4" w:space="0"/>
            </w:tcBorders>
            <w:vAlign w:val="center"/>
          </w:tcPr>
          <w:p w14:paraId="2B636C66">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p>
        </w:tc>
        <w:tc>
          <w:tcPr>
            <w:tcW w:w="741" w:type="pct"/>
            <w:tcBorders>
              <w:top w:val="single" w:color="auto" w:sz="4" w:space="0"/>
              <w:left w:val="single" w:color="auto" w:sz="4" w:space="0"/>
              <w:bottom w:val="single" w:color="auto" w:sz="4" w:space="0"/>
              <w:right w:val="single" w:color="auto" w:sz="4" w:space="0"/>
            </w:tcBorders>
            <w:vAlign w:val="center"/>
          </w:tcPr>
          <w:p w14:paraId="6284377C">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配电箱</w:t>
            </w:r>
            <w:r>
              <w:rPr>
                <w:rFonts w:hint="eastAsia" w:cs="宋体" w:asciiTheme="minorEastAsia" w:hAnsiTheme="minorEastAsia" w:eastAsiaTheme="minorEastAsia"/>
                <w:color w:val="auto"/>
                <w:kern w:val="0"/>
                <w:szCs w:val="21"/>
                <w:highlight w:val="none"/>
              </w:rPr>
              <w:br w:type="textWrapping"/>
            </w:r>
            <w:r>
              <w:rPr>
                <w:rFonts w:hint="eastAsia" w:cs="宋体" w:asciiTheme="minorEastAsia" w:hAnsiTheme="minorEastAsia" w:eastAsiaTheme="minorEastAsia"/>
                <w:color w:val="auto"/>
                <w:kern w:val="0"/>
                <w:szCs w:val="21"/>
                <w:highlight w:val="none"/>
              </w:rPr>
              <w:t>开关箱</w:t>
            </w:r>
          </w:p>
        </w:tc>
        <w:tc>
          <w:tcPr>
            <w:tcW w:w="3494" w:type="pct"/>
            <w:tcBorders>
              <w:top w:val="single" w:color="auto" w:sz="4" w:space="0"/>
              <w:left w:val="single" w:color="auto" w:sz="4" w:space="0"/>
              <w:bottom w:val="single" w:color="auto" w:sz="4" w:space="0"/>
              <w:right w:val="single" w:color="auto" w:sz="4" w:space="0"/>
            </w:tcBorders>
            <w:vAlign w:val="center"/>
          </w:tcPr>
          <w:p w14:paraId="52800169">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（1）按三级配电要求，配备总配电箱、分配电箱、开关箱三类标准电箱。开关箱应符合一机、一箱、一闸、一漏。三类电箱中的各类电器应是合格品；</w:t>
            </w:r>
          </w:p>
          <w:p w14:paraId="2FE9F867">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（2）按两级保护的要求，选取符合容量要求和质量合格的总配电箱和开关箱中的漏电保护器。</w:t>
            </w:r>
          </w:p>
        </w:tc>
      </w:tr>
      <w:tr w14:paraId="1F13BC49">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3ACDD7D8">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442" w:type="pct"/>
            <w:vMerge w:val="continue"/>
            <w:tcBorders>
              <w:top w:val="single" w:color="auto" w:sz="4" w:space="0"/>
              <w:left w:val="single" w:color="auto" w:sz="4" w:space="0"/>
              <w:bottom w:val="single" w:color="auto" w:sz="4" w:space="0"/>
              <w:right w:val="single" w:color="auto" w:sz="4" w:space="0"/>
            </w:tcBorders>
            <w:vAlign w:val="center"/>
          </w:tcPr>
          <w:p w14:paraId="73ECE910">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p>
        </w:tc>
        <w:tc>
          <w:tcPr>
            <w:tcW w:w="741" w:type="pct"/>
            <w:tcBorders>
              <w:top w:val="single" w:color="auto" w:sz="4" w:space="0"/>
              <w:left w:val="single" w:color="auto" w:sz="4" w:space="0"/>
              <w:bottom w:val="single" w:color="auto" w:sz="4" w:space="0"/>
              <w:right w:val="single" w:color="auto" w:sz="4" w:space="0"/>
            </w:tcBorders>
            <w:vAlign w:val="center"/>
          </w:tcPr>
          <w:p w14:paraId="7212A90A">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p>
        </w:tc>
        <w:tc>
          <w:tcPr>
            <w:tcW w:w="3494" w:type="pct"/>
            <w:tcBorders>
              <w:top w:val="single" w:color="auto" w:sz="4" w:space="0"/>
              <w:left w:val="single" w:color="auto" w:sz="4" w:space="0"/>
              <w:bottom w:val="single" w:color="auto" w:sz="4" w:space="0"/>
              <w:right w:val="single" w:color="auto" w:sz="4" w:space="0"/>
            </w:tcBorders>
            <w:vAlign w:val="center"/>
          </w:tcPr>
          <w:p w14:paraId="4DA60D01">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r>
      <w:tr w14:paraId="42EB552C">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172C3042">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442" w:type="pct"/>
            <w:vMerge w:val="continue"/>
            <w:tcBorders>
              <w:top w:val="single" w:color="auto" w:sz="4" w:space="0"/>
              <w:left w:val="single" w:color="auto" w:sz="4" w:space="0"/>
              <w:bottom w:val="single" w:color="auto" w:sz="4" w:space="0"/>
              <w:right w:val="single" w:color="auto" w:sz="4" w:space="0"/>
            </w:tcBorders>
            <w:vAlign w:val="center"/>
          </w:tcPr>
          <w:p w14:paraId="2403C628">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p>
        </w:tc>
        <w:tc>
          <w:tcPr>
            <w:tcW w:w="741" w:type="pct"/>
            <w:tcBorders>
              <w:top w:val="single" w:color="auto" w:sz="4" w:space="0"/>
              <w:left w:val="single" w:color="auto" w:sz="4" w:space="0"/>
              <w:bottom w:val="single" w:color="auto" w:sz="4" w:space="0"/>
              <w:right w:val="single" w:color="auto" w:sz="4" w:space="0"/>
            </w:tcBorders>
            <w:vAlign w:val="center"/>
          </w:tcPr>
          <w:p w14:paraId="40D5250F">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接地保护</w:t>
            </w:r>
            <w:r>
              <w:rPr>
                <w:rFonts w:hint="eastAsia" w:cs="宋体" w:asciiTheme="minorEastAsia" w:hAnsiTheme="minorEastAsia" w:eastAsiaTheme="minorEastAsia"/>
                <w:color w:val="auto"/>
                <w:kern w:val="0"/>
                <w:szCs w:val="21"/>
                <w:highlight w:val="none"/>
              </w:rPr>
              <w:br w:type="textWrapping"/>
            </w:r>
            <w:r>
              <w:rPr>
                <w:rFonts w:hint="eastAsia" w:cs="宋体" w:asciiTheme="minorEastAsia" w:hAnsiTheme="minorEastAsia" w:eastAsiaTheme="minorEastAsia"/>
                <w:color w:val="auto"/>
                <w:kern w:val="0"/>
                <w:szCs w:val="21"/>
                <w:highlight w:val="none"/>
              </w:rPr>
              <w:t>装置</w:t>
            </w:r>
          </w:p>
        </w:tc>
        <w:tc>
          <w:tcPr>
            <w:tcW w:w="3494" w:type="pct"/>
            <w:tcBorders>
              <w:top w:val="single" w:color="auto" w:sz="4" w:space="0"/>
              <w:left w:val="single" w:color="auto" w:sz="4" w:space="0"/>
              <w:bottom w:val="single" w:color="auto" w:sz="4" w:space="0"/>
              <w:right w:val="single" w:color="auto" w:sz="4" w:space="0"/>
            </w:tcBorders>
            <w:vAlign w:val="center"/>
          </w:tcPr>
          <w:p w14:paraId="63ABE290">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施工现场保护零线的重复接地应不少于三处。</w:t>
            </w:r>
          </w:p>
        </w:tc>
      </w:tr>
      <w:tr w14:paraId="4A9F8D86">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restart"/>
            <w:tcBorders>
              <w:top w:val="single" w:color="auto" w:sz="4" w:space="0"/>
              <w:left w:val="single" w:color="auto" w:sz="4" w:space="0"/>
              <w:bottom w:val="single" w:color="auto" w:sz="4" w:space="0"/>
              <w:right w:val="single" w:color="auto" w:sz="4" w:space="0"/>
            </w:tcBorders>
            <w:vAlign w:val="center"/>
          </w:tcPr>
          <w:p w14:paraId="512493EE">
            <w:pPr>
              <w:keepNext w:val="0"/>
              <w:keepLines w:val="0"/>
              <w:suppressLineNumbers w:val="0"/>
              <w:spacing w:before="100" w:beforeAutospacing="1" w:after="100" w:afterAutospacing="1"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安全</w:t>
            </w:r>
          </w:p>
          <w:p w14:paraId="78457F2A">
            <w:pPr>
              <w:keepNext w:val="0"/>
              <w:keepLines w:val="0"/>
              <w:suppressLineNumbers w:val="0"/>
              <w:spacing w:before="100" w:beforeAutospacing="1" w:after="100" w:afterAutospacing="1"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施工</w:t>
            </w:r>
          </w:p>
        </w:tc>
        <w:tc>
          <w:tcPr>
            <w:tcW w:w="442" w:type="pct"/>
            <w:vMerge w:val="restart"/>
            <w:tcBorders>
              <w:top w:val="single" w:color="auto" w:sz="4" w:space="0"/>
              <w:left w:val="single" w:color="auto" w:sz="4" w:space="0"/>
              <w:bottom w:val="single" w:color="auto" w:sz="4" w:space="0"/>
              <w:right w:val="single" w:color="auto" w:sz="4" w:space="0"/>
            </w:tcBorders>
            <w:vAlign w:val="center"/>
          </w:tcPr>
          <w:p w14:paraId="0925FFA6">
            <w:pPr>
              <w:keepNext w:val="0"/>
              <w:keepLines w:val="0"/>
              <w:suppressLineNumbers w:val="0"/>
              <w:spacing w:before="100" w:beforeAutospacing="1" w:after="100" w:afterAutospacing="1"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临边洞口交叉高处作业防护</w:t>
            </w:r>
          </w:p>
        </w:tc>
        <w:tc>
          <w:tcPr>
            <w:tcW w:w="741" w:type="pct"/>
            <w:tcBorders>
              <w:top w:val="single" w:color="auto" w:sz="4" w:space="0"/>
              <w:left w:val="single" w:color="auto" w:sz="4" w:space="0"/>
              <w:bottom w:val="single" w:color="auto" w:sz="4" w:space="0"/>
              <w:right w:val="single" w:color="auto" w:sz="4" w:space="0"/>
            </w:tcBorders>
            <w:vAlign w:val="center"/>
          </w:tcPr>
          <w:p w14:paraId="55ABE545">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楼板、屋面、阳台等临边防护</w:t>
            </w:r>
          </w:p>
        </w:tc>
        <w:tc>
          <w:tcPr>
            <w:tcW w:w="3494" w:type="pct"/>
            <w:tcBorders>
              <w:top w:val="single" w:color="auto" w:sz="4" w:space="0"/>
              <w:left w:val="single" w:color="auto" w:sz="4" w:space="0"/>
              <w:bottom w:val="single" w:color="auto" w:sz="4" w:space="0"/>
              <w:right w:val="single" w:color="auto" w:sz="4" w:space="0"/>
            </w:tcBorders>
            <w:vAlign w:val="center"/>
          </w:tcPr>
          <w:p w14:paraId="484880E4">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用密目式安全立网全封闭，作业层另加两边防护栏杆和18㎝高的踢脚板。</w:t>
            </w:r>
          </w:p>
        </w:tc>
      </w:tr>
      <w:tr w14:paraId="2E1AF24E">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5A8E7A4F">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442" w:type="pct"/>
            <w:vMerge w:val="continue"/>
            <w:tcBorders>
              <w:top w:val="single" w:color="auto" w:sz="4" w:space="0"/>
              <w:left w:val="single" w:color="auto" w:sz="4" w:space="0"/>
              <w:bottom w:val="single" w:color="auto" w:sz="4" w:space="0"/>
              <w:right w:val="single" w:color="auto" w:sz="4" w:space="0"/>
            </w:tcBorders>
            <w:vAlign w:val="center"/>
          </w:tcPr>
          <w:p w14:paraId="0BEB0AE9">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741" w:type="pct"/>
            <w:tcBorders>
              <w:top w:val="single" w:color="auto" w:sz="4" w:space="0"/>
              <w:left w:val="single" w:color="auto" w:sz="4" w:space="0"/>
              <w:bottom w:val="single" w:color="auto" w:sz="4" w:space="0"/>
              <w:right w:val="single" w:color="auto" w:sz="4" w:space="0"/>
            </w:tcBorders>
            <w:vAlign w:val="center"/>
          </w:tcPr>
          <w:p w14:paraId="753DE743">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通道口防护</w:t>
            </w:r>
          </w:p>
        </w:tc>
        <w:tc>
          <w:tcPr>
            <w:tcW w:w="3494" w:type="pct"/>
            <w:tcBorders>
              <w:top w:val="single" w:color="auto" w:sz="4" w:space="0"/>
              <w:left w:val="single" w:color="auto" w:sz="4" w:space="0"/>
              <w:bottom w:val="single" w:color="auto" w:sz="4" w:space="0"/>
              <w:right w:val="single" w:color="auto" w:sz="4" w:space="0"/>
            </w:tcBorders>
            <w:vAlign w:val="center"/>
          </w:tcPr>
          <w:p w14:paraId="525B31FD">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设防护棚，防护棚应为不小于5㎝厚的木板或两道相距50㎝的竹笆。两侧应沿栏杆架用密目式安全网封闭。</w:t>
            </w:r>
          </w:p>
        </w:tc>
      </w:tr>
      <w:tr w14:paraId="17E1D516">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4B9D921A">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442" w:type="pct"/>
            <w:vMerge w:val="continue"/>
            <w:tcBorders>
              <w:top w:val="single" w:color="auto" w:sz="4" w:space="0"/>
              <w:left w:val="single" w:color="auto" w:sz="4" w:space="0"/>
              <w:bottom w:val="single" w:color="auto" w:sz="4" w:space="0"/>
              <w:right w:val="single" w:color="auto" w:sz="4" w:space="0"/>
            </w:tcBorders>
            <w:vAlign w:val="center"/>
          </w:tcPr>
          <w:p w14:paraId="1DB0B62F">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741" w:type="pct"/>
            <w:tcBorders>
              <w:top w:val="single" w:color="auto" w:sz="4" w:space="0"/>
              <w:left w:val="single" w:color="auto" w:sz="4" w:space="0"/>
              <w:bottom w:val="single" w:color="auto" w:sz="4" w:space="0"/>
              <w:right w:val="single" w:color="auto" w:sz="4" w:space="0"/>
            </w:tcBorders>
            <w:vAlign w:val="center"/>
          </w:tcPr>
          <w:p w14:paraId="27E6A61A">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预留洞口防护</w:t>
            </w:r>
          </w:p>
        </w:tc>
        <w:tc>
          <w:tcPr>
            <w:tcW w:w="3494" w:type="pct"/>
            <w:tcBorders>
              <w:top w:val="single" w:color="auto" w:sz="4" w:space="0"/>
              <w:left w:val="single" w:color="auto" w:sz="4" w:space="0"/>
              <w:bottom w:val="single" w:color="auto" w:sz="4" w:space="0"/>
              <w:right w:val="single" w:color="auto" w:sz="4" w:space="0"/>
            </w:tcBorders>
            <w:vAlign w:val="center"/>
          </w:tcPr>
          <w:p w14:paraId="5710785D">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用木板全封闭；短边超过1.5m长的洞口，除封闭外四周还应设有防护栏杆。</w:t>
            </w:r>
          </w:p>
        </w:tc>
      </w:tr>
      <w:tr w14:paraId="417EFDCA">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1ADFB220">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442" w:type="pct"/>
            <w:vMerge w:val="continue"/>
            <w:tcBorders>
              <w:top w:val="single" w:color="auto" w:sz="4" w:space="0"/>
              <w:left w:val="single" w:color="auto" w:sz="4" w:space="0"/>
              <w:bottom w:val="single" w:color="auto" w:sz="4" w:space="0"/>
              <w:right w:val="single" w:color="auto" w:sz="4" w:space="0"/>
            </w:tcBorders>
            <w:vAlign w:val="center"/>
          </w:tcPr>
          <w:p w14:paraId="49951A59">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741" w:type="pct"/>
            <w:tcBorders>
              <w:top w:val="single" w:color="auto" w:sz="4" w:space="0"/>
              <w:left w:val="single" w:color="auto" w:sz="4" w:space="0"/>
              <w:bottom w:val="single" w:color="auto" w:sz="4" w:space="0"/>
              <w:right w:val="single" w:color="auto" w:sz="4" w:space="0"/>
            </w:tcBorders>
            <w:vAlign w:val="center"/>
          </w:tcPr>
          <w:p w14:paraId="7368DDBC">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电梯井口防护</w:t>
            </w:r>
          </w:p>
        </w:tc>
        <w:tc>
          <w:tcPr>
            <w:tcW w:w="3494" w:type="pct"/>
            <w:tcBorders>
              <w:top w:val="single" w:color="auto" w:sz="4" w:space="0"/>
              <w:left w:val="single" w:color="auto" w:sz="4" w:space="0"/>
              <w:bottom w:val="single" w:color="auto" w:sz="4" w:space="0"/>
              <w:right w:val="single" w:color="auto" w:sz="4" w:space="0"/>
            </w:tcBorders>
            <w:vAlign w:val="center"/>
          </w:tcPr>
          <w:p w14:paraId="79C778F4">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设置定型化、工具化、标准化的防护门；在电梯井内每隔两层（不大于10m）设置一道安全平网。</w:t>
            </w:r>
          </w:p>
        </w:tc>
      </w:tr>
      <w:tr w14:paraId="36ED4E96">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038D5325">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442" w:type="pct"/>
            <w:vMerge w:val="continue"/>
            <w:tcBorders>
              <w:top w:val="single" w:color="auto" w:sz="4" w:space="0"/>
              <w:left w:val="single" w:color="auto" w:sz="4" w:space="0"/>
              <w:bottom w:val="single" w:color="auto" w:sz="4" w:space="0"/>
              <w:right w:val="single" w:color="auto" w:sz="4" w:space="0"/>
            </w:tcBorders>
            <w:vAlign w:val="center"/>
          </w:tcPr>
          <w:p w14:paraId="3B538319">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741" w:type="pct"/>
            <w:tcBorders>
              <w:top w:val="single" w:color="auto" w:sz="4" w:space="0"/>
              <w:left w:val="single" w:color="auto" w:sz="4" w:space="0"/>
              <w:bottom w:val="single" w:color="auto" w:sz="4" w:space="0"/>
              <w:right w:val="single" w:color="auto" w:sz="4" w:space="0"/>
            </w:tcBorders>
            <w:vAlign w:val="center"/>
          </w:tcPr>
          <w:p w14:paraId="3F351949">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楼梯边防护</w:t>
            </w:r>
          </w:p>
        </w:tc>
        <w:tc>
          <w:tcPr>
            <w:tcW w:w="3494" w:type="pct"/>
            <w:tcBorders>
              <w:top w:val="single" w:color="auto" w:sz="4" w:space="0"/>
              <w:left w:val="single" w:color="auto" w:sz="4" w:space="0"/>
              <w:bottom w:val="single" w:color="auto" w:sz="4" w:space="0"/>
              <w:right w:val="single" w:color="auto" w:sz="4" w:space="0"/>
            </w:tcBorders>
            <w:vAlign w:val="center"/>
          </w:tcPr>
          <w:p w14:paraId="01A99E2A">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设1.2m高的定型化、工具化、标准化的防护栏杆，18㎝高的踢脚板。</w:t>
            </w:r>
          </w:p>
        </w:tc>
      </w:tr>
      <w:tr w14:paraId="7B9F923A">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484CDA2A">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442" w:type="pct"/>
            <w:vMerge w:val="continue"/>
            <w:tcBorders>
              <w:top w:val="single" w:color="auto" w:sz="4" w:space="0"/>
              <w:left w:val="single" w:color="auto" w:sz="4" w:space="0"/>
              <w:bottom w:val="single" w:color="auto" w:sz="4" w:space="0"/>
              <w:right w:val="single" w:color="auto" w:sz="4" w:space="0"/>
            </w:tcBorders>
            <w:vAlign w:val="center"/>
          </w:tcPr>
          <w:p w14:paraId="3A03F83D">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741" w:type="pct"/>
            <w:tcBorders>
              <w:top w:val="single" w:color="auto" w:sz="4" w:space="0"/>
              <w:left w:val="single" w:color="auto" w:sz="4" w:space="0"/>
              <w:bottom w:val="single" w:color="auto" w:sz="4" w:space="0"/>
              <w:right w:val="single" w:color="auto" w:sz="4" w:space="0"/>
            </w:tcBorders>
            <w:vAlign w:val="center"/>
          </w:tcPr>
          <w:p w14:paraId="100ADCF6">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垂直方向交叉作业防护</w:t>
            </w:r>
          </w:p>
        </w:tc>
        <w:tc>
          <w:tcPr>
            <w:tcW w:w="3494" w:type="pct"/>
            <w:tcBorders>
              <w:top w:val="single" w:color="auto" w:sz="4" w:space="0"/>
              <w:left w:val="single" w:color="auto" w:sz="4" w:space="0"/>
              <w:bottom w:val="single" w:color="auto" w:sz="4" w:space="0"/>
              <w:right w:val="single" w:color="auto" w:sz="4" w:space="0"/>
            </w:tcBorders>
            <w:vAlign w:val="center"/>
          </w:tcPr>
          <w:p w14:paraId="6D2EDAF0">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设置防护隔离棚或其他设施。</w:t>
            </w:r>
          </w:p>
        </w:tc>
      </w:tr>
      <w:tr w14:paraId="1AEE130F">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34F34D56">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442" w:type="pct"/>
            <w:vMerge w:val="continue"/>
            <w:tcBorders>
              <w:top w:val="single" w:color="auto" w:sz="4" w:space="0"/>
              <w:left w:val="single" w:color="auto" w:sz="4" w:space="0"/>
              <w:bottom w:val="single" w:color="auto" w:sz="4" w:space="0"/>
              <w:right w:val="single" w:color="auto" w:sz="4" w:space="0"/>
            </w:tcBorders>
            <w:vAlign w:val="center"/>
          </w:tcPr>
          <w:p w14:paraId="5F2EF4F9">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741" w:type="pct"/>
            <w:tcBorders>
              <w:top w:val="single" w:color="auto" w:sz="4" w:space="0"/>
              <w:left w:val="single" w:color="auto" w:sz="4" w:space="0"/>
              <w:bottom w:val="single" w:color="auto" w:sz="4" w:space="0"/>
              <w:right w:val="single" w:color="auto" w:sz="4" w:space="0"/>
            </w:tcBorders>
            <w:vAlign w:val="center"/>
          </w:tcPr>
          <w:p w14:paraId="29CEE33A">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高空作业防护</w:t>
            </w:r>
          </w:p>
        </w:tc>
        <w:tc>
          <w:tcPr>
            <w:tcW w:w="3494" w:type="pct"/>
            <w:tcBorders>
              <w:top w:val="single" w:color="auto" w:sz="4" w:space="0"/>
              <w:left w:val="single" w:color="auto" w:sz="4" w:space="0"/>
              <w:bottom w:val="single" w:color="auto" w:sz="4" w:space="0"/>
              <w:right w:val="single" w:color="auto" w:sz="4" w:space="0"/>
            </w:tcBorders>
            <w:vAlign w:val="center"/>
          </w:tcPr>
          <w:p w14:paraId="5554443E">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有悬挂安全带的悬索或其他设施；有操作平台；有上下的梯子或其他形式的通道</w:t>
            </w:r>
          </w:p>
        </w:tc>
      </w:tr>
      <w:tr w14:paraId="45591136">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566C9B10">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5F81ED92">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作业层护栏</w:t>
            </w:r>
          </w:p>
        </w:tc>
        <w:tc>
          <w:tcPr>
            <w:tcW w:w="3494" w:type="pct"/>
            <w:tcBorders>
              <w:top w:val="single" w:color="auto" w:sz="4" w:space="0"/>
              <w:left w:val="single" w:color="auto" w:sz="4" w:space="0"/>
              <w:bottom w:val="single" w:color="auto" w:sz="4" w:space="0"/>
              <w:right w:val="single" w:color="auto" w:sz="4" w:space="0"/>
            </w:tcBorders>
            <w:vAlign w:val="center"/>
          </w:tcPr>
          <w:p w14:paraId="1AC66D9D">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作业层还需在护栏内侧加设一道小孔安全网</w:t>
            </w:r>
          </w:p>
        </w:tc>
      </w:tr>
      <w:tr w14:paraId="577F6375">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1FDD01F2">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79D8031E">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临边防护</w:t>
            </w:r>
          </w:p>
        </w:tc>
        <w:tc>
          <w:tcPr>
            <w:tcW w:w="3494" w:type="pct"/>
            <w:tcBorders>
              <w:top w:val="single" w:color="auto" w:sz="4" w:space="0"/>
              <w:left w:val="single" w:color="auto" w:sz="4" w:space="0"/>
              <w:bottom w:val="single" w:color="auto" w:sz="4" w:space="0"/>
              <w:right w:val="single" w:color="auto" w:sz="4" w:space="0"/>
            </w:tcBorders>
            <w:vAlign w:val="center"/>
          </w:tcPr>
          <w:p w14:paraId="4148EBF9">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外侧临街道时，除设置护栏、满挂密目网全封闭处理外，内侧还需加挂小孔安全网加强防护</w:t>
            </w:r>
          </w:p>
        </w:tc>
      </w:tr>
      <w:tr w14:paraId="194870D6">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3954E2B5">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330A5EAB">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临边防护</w:t>
            </w:r>
          </w:p>
        </w:tc>
        <w:tc>
          <w:tcPr>
            <w:tcW w:w="3494" w:type="pct"/>
            <w:tcBorders>
              <w:top w:val="single" w:color="auto" w:sz="4" w:space="0"/>
              <w:left w:val="single" w:color="auto" w:sz="4" w:space="0"/>
              <w:bottom w:val="single" w:color="auto" w:sz="4" w:space="0"/>
              <w:right w:val="single" w:color="auto" w:sz="4" w:space="0"/>
            </w:tcBorders>
            <w:vAlign w:val="center"/>
          </w:tcPr>
          <w:p w14:paraId="1EE56AE5">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挂架、爬架、悬挑架除用密目网全封闭处理外，内侧还需满加挂设小孔安全网防护</w:t>
            </w:r>
          </w:p>
        </w:tc>
      </w:tr>
      <w:tr w14:paraId="28A6498E">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5B3B82C8">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3BAFDA21">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基坑支护</w:t>
            </w:r>
          </w:p>
        </w:tc>
        <w:tc>
          <w:tcPr>
            <w:tcW w:w="3494" w:type="pct"/>
            <w:tcBorders>
              <w:top w:val="single" w:color="auto" w:sz="4" w:space="0"/>
              <w:left w:val="single" w:color="auto" w:sz="4" w:space="0"/>
              <w:bottom w:val="single" w:color="auto" w:sz="4" w:space="0"/>
              <w:right w:val="single" w:color="auto" w:sz="4" w:space="0"/>
            </w:tcBorders>
            <w:vAlign w:val="center"/>
          </w:tcPr>
          <w:p w14:paraId="4B372D95">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基坑支护应根据支护结构形式、挖深、地质条件、周围环境、地面载荷等制定边坡支护和临边防护实施方案</w:t>
            </w:r>
          </w:p>
        </w:tc>
      </w:tr>
      <w:tr w14:paraId="6F3A5921">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30" w:type="dxa"/>
            <w:left w:w="30" w:type="dxa"/>
            <w:bottom w:w="30" w:type="dxa"/>
            <w:right w:w="30" w:type="dxa"/>
          </w:tblCellMar>
        </w:tblPrEx>
        <w:trPr>
          <w:trHeight w:val="57" w:hRule="atLeast"/>
          <w:tblCellSpacing w:w="0" w:type="dxa"/>
        </w:trPr>
        <w:tc>
          <w:tcPr>
            <w:tcW w:w="323" w:type="pct"/>
            <w:vMerge w:val="continue"/>
            <w:tcBorders>
              <w:top w:val="single" w:color="auto" w:sz="4" w:space="0"/>
              <w:left w:val="single" w:color="auto" w:sz="4" w:space="0"/>
              <w:bottom w:val="single" w:color="auto" w:sz="4" w:space="0"/>
              <w:right w:val="single" w:color="auto" w:sz="4" w:space="0"/>
            </w:tcBorders>
            <w:vAlign w:val="center"/>
          </w:tcPr>
          <w:p w14:paraId="2A4813C8">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p>
        </w:tc>
        <w:tc>
          <w:tcPr>
            <w:tcW w:w="1183" w:type="pct"/>
            <w:gridSpan w:val="2"/>
            <w:tcBorders>
              <w:top w:val="single" w:color="auto" w:sz="4" w:space="0"/>
              <w:left w:val="single" w:color="auto" w:sz="4" w:space="0"/>
              <w:bottom w:val="single" w:color="auto" w:sz="4" w:space="0"/>
              <w:right w:val="single" w:color="auto" w:sz="4" w:space="0"/>
            </w:tcBorders>
            <w:vAlign w:val="center"/>
          </w:tcPr>
          <w:p w14:paraId="30067DB9">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外用电梯</w:t>
            </w:r>
          </w:p>
        </w:tc>
        <w:tc>
          <w:tcPr>
            <w:tcW w:w="3494" w:type="pct"/>
            <w:tcBorders>
              <w:top w:val="single" w:color="auto" w:sz="4" w:space="0"/>
              <w:left w:val="single" w:color="auto" w:sz="4" w:space="0"/>
              <w:bottom w:val="single" w:color="auto" w:sz="4" w:space="0"/>
              <w:right w:val="single" w:color="auto" w:sz="4" w:space="0"/>
            </w:tcBorders>
            <w:vAlign w:val="center"/>
          </w:tcPr>
          <w:p w14:paraId="2450D4D6">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外用电梯提升设备等楼层出入口防护门应采用工具式定型门、楼层呼叫器</w:t>
            </w:r>
          </w:p>
        </w:tc>
      </w:tr>
    </w:tbl>
    <w:p w14:paraId="45C9AFCC">
      <w:pPr>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备注：施工所涉及措施费子目包含但不局限于上表所列措施费项目清单内容，具体详见相关国家规范、规定。</w:t>
      </w:r>
    </w:p>
    <w:p w14:paraId="216A553F">
      <w:pPr>
        <w:spacing w:line="360" w:lineRule="auto"/>
        <w:ind w:firstLine="480"/>
        <w:outlineLvl w:val="9"/>
        <w:rPr>
          <w:rFonts w:cs="宋体" w:asciiTheme="minorEastAsia" w:hAnsiTheme="minorEastAsia" w:eastAsiaTheme="minorEastAsia"/>
          <w:color w:val="auto"/>
          <w:szCs w:val="21"/>
          <w:highlight w:val="none"/>
        </w:rPr>
      </w:pPr>
    </w:p>
    <w:p w14:paraId="1035A01A">
      <w:pPr>
        <w:ind w:firstLine="482"/>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b/>
          <w:color w:val="auto"/>
          <w:szCs w:val="21"/>
          <w:highlight w:val="none"/>
        </w:rPr>
        <w:br w:type="page"/>
      </w:r>
    </w:p>
    <w:p w14:paraId="210F7A1B">
      <w:pPr>
        <w:pStyle w:val="109"/>
        <w:ind w:firstLine="640"/>
        <w:jc w:val="center"/>
        <w:outlineLvl w:val="9"/>
        <w:rPr>
          <w:rFonts w:cs="宋体" w:asciiTheme="minorEastAsia" w:hAnsiTheme="minorEastAsia" w:eastAsiaTheme="minorEastAsia"/>
          <w:b w:val="0"/>
          <w:color w:val="auto"/>
          <w:sz w:val="21"/>
          <w:szCs w:val="21"/>
          <w:highlight w:val="none"/>
        </w:rPr>
      </w:pPr>
      <w:r>
        <w:rPr>
          <w:rFonts w:hint="eastAsia" w:cs="宋体" w:asciiTheme="minorEastAsia" w:hAnsiTheme="minorEastAsia" w:eastAsiaTheme="minorEastAsia"/>
          <w:b w:val="0"/>
          <w:color w:val="auto"/>
          <w:sz w:val="21"/>
          <w:szCs w:val="21"/>
          <w:highlight w:val="none"/>
        </w:rPr>
        <w:t>附图：现场临建效果参考图</w:t>
      </w:r>
    </w:p>
    <w:p w14:paraId="55C9663D">
      <w:pPr>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drawing>
          <wp:inline distT="0" distB="0" distL="0" distR="0">
            <wp:extent cx="5709285" cy="4197985"/>
            <wp:effectExtent l="0" t="0" r="5715" b="12065"/>
            <wp:docPr id="36" name="图片 6" descr="16376389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descr="1637638950(1)"/>
                    <pic:cNvPicPr>
                      <a:picLocks noChangeAspect="1" noChangeArrowheads="1"/>
                    </pic:cNvPicPr>
                  </pic:nvPicPr>
                  <pic:blipFill>
                    <a:blip r:embed="rId29" cstate="print"/>
                    <a:srcRect/>
                    <a:stretch>
                      <a:fillRect/>
                    </a:stretch>
                  </pic:blipFill>
                  <pic:spPr>
                    <a:xfrm>
                      <a:off x="0" y="0"/>
                      <a:ext cx="5709285" cy="4197985"/>
                    </a:xfrm>
                    <a:prstGeom prst="rect">
                      <a:avLst/>
                    </a:prstGeom>
                    <a:noFill/>
                    <a:ln w="9525">
                      <a:noFill/>
                      <a:miter lim="800000"/>
                      <a:headEnd/>
                      <a:tailEnd/>
                    </a:ln>
                  </pic:spPr>
                </pic:pic>
              </a:graphicData>
            </a:graphic>
          </wp:inline>
        </w:drawing>
      </w:r>
    </w:p>
    <w:p w14:paraId="52B0D7EE">
      <w:pPr>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br w:type="page"/>
      </w:r>
    </w:p>
    <w:p w14:paraId="0B10BF8E">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w:t>
      </w:r>
      <w:r>
        <w:rPr>
          <w:rFonts w:hint="eastAsia" w:cs="宋体" w:asciiTheme="minorEastAsia" w:hAnsiTheme="minorEastAsia" w:eastAsiaTheme="minorEastAsia"/>
          <w:color w:val="auto"/>
          <w:szCs w:val="21"/>
          <w:highlight w:val="none"/>
          <w:lang w:val="en-US" w:eastAsia="zh-CN"/>
        </w:rPr>
        <w:t>八</w:t>
      </w:r>
      <w:r>
        <w:rPr>
          <w:rFonts w:hint="eastAsia" w:cs="宋体" w:asciiTheme="minorEastAsia" w:hAnsiTheme="minorEastAsia" w:eastAsiaTheme="minorEastAsia"/>
          <w:color w:val="auto"/>
          <w:szCs w:val="21"/>
          <w:highlight w:val="none"/>
        </w:rPr>
        <w:t>：</w:t>
      </w:r>
    </w:p>
    <w:p w14:paraId="2A101BD9">
      <w:pPr>
        <w:spacing w:line="360" w:lineRule="auto"/>
        <w:ind w:firstLine="643"/>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工程返修</w:t>
      </w:r>
    </w:p>
    <w:p w14:paraId="6657CA7B">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1、返修内容：</w:t>
      </w:r>
    </w:p>
    <w:p w14:paraId="4C2699BA">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1）户内返修内容（总分包）</w:t>
      </w:r>
    </w:p>
    <w:p w14:paraId="2056828D">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墙、地面及天棚裂缝；天棚及梁不平整；空调洞不合适；入户门划伤、破损、掉漆；入户门、锁开启不灵活；纱窗损坏；窗玻璃划伤、破损，窗框破损或附件损坏；窗整体更换；水表、电表不能正常使用；厨卫间防水不合格；屋面、露台玻璃漏雨；屋面缸砖及女儿墙空鼓、开裂，外墙渗水；供水系统问题；排水系统问题；照明插座不能正常使用；强弱电箱不能正常使用；室内插座线路故障；其他零星整改内容。</w:t>
      </w:r>
    </w:p>
    <w:p w14:paraId="63218D46">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2）公建设施返修内容（总分包）</w:t>
      </w:r>
    </w:p>
    <w:p w14:paraId="310B4F50">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单元门漏水；楼梯扶手损坏；公建门及门锁损坏；闭门器损坏；单元对讲主机失灵；楼内瓷砖损坏；强电井空开损坏；声光控开关损坏；外墙面污染、开裂、涂料起皮；外立面幕墙渗漏、破损，车库及地下室渗漏、墙地面空鼓、开裂，管道井漏水；水暖井内设施损坏或不能正常使用，车库及地下室设备故障、损坏，空调格栅网脱落；室外管网渗漏、破损；其他零星整改内容。</w:t>
      </w:r>
    </w:p>
    <w:p w14:paraId="5334E799">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2、返修期限：</w:t>
      </w:r>
    </w:p>
    <w:p w14:paraId="18C087B2">
      <w:pPr>
        <w:adjustRightInd w:val="0"/>
        <w:snapToGrid w:val="0"/>
        <w:spacing w:line="360" w:lineRule="auto"/>
        <w:ind w:firstLine="482"/>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房屋返修周期表</w:t>
      </w:r>
    </w:p>
    <w:p w14:paraId="69E7AD82">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户内返修项目（总分包）：</w:t>
      </w:r>
    </w:p>
    <w:tbl>
      <w:tblPr>
        <w:tblStyle w:val="56"/>
        <w:tblW w:w="9439"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3619"/>
        <w:gridCol w:w="1256"/>
        <w:gridCol w:w="346"/>
        <w:gridCol w:w="2794"/>
        <w:gridCol w:w="1424"/>
      </w:tblGrid>
      <w:tr w14:paraId="6F749C99">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615" w:hRule="atLeast"/>
          <w:jc w:val="center"/>
        </w:trPr>
        <w:tc>
          <w:tcPr>
            <w:tcW w:w="3619" w:type="dxa"/>
            <w:vAlign w:val="center"/>
          </w:tcPr>
          <w:p w14:paraId="3B243927">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项目内容</w:t>
            </w:r>
          </w:p>
        </w:tc>
        <w:tc>
          <w:tcPr>
            <w:tcW w:w="1256" w:type="dxa"/>
            <w:vAlign w:val="center"/>
          </w:tcPr>
          <w:p w14:paraId="086D5E24">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返修期限</w:t>
            </w:r>
          </w:p>
        </w:tc>
        <w:tc>
          <w:tcPr>
            <w:tcW w:w="346" w:type="dxa"/>
            <w:vMerge w:val="restart"/>
            <w:vAlign w:val="center"/>
          </w:tcPr>
          <w:p w14:paraId="1A1392A4">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794" w:type="dxa"/>
            <w:vAlign w:val="center"/>
          </w:tcPr>
          <w:p w14:paraId="395976C5">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项目内容</w:t>
            </w:r>
          </w:p>
        </w:tc>
        <w:tc>
          <w:tcPr>
            <w:tcW w:w="1424" w:type="dxa"/>
            <w:vAlign w:val="center"/>
          </w:tcPr>
          <w:p w14:paraId="2501ED3A">
            <w:pPr>
              <w:keepNext w:val="0"/>
              <w:keepLines w:val="0"/>
              <w:suppressLineNumbers w:val="0"/>
              <w:tabs>
                <w:tab w:val="left" w:pos="1332"/>
                <w:tab w:val="left" w:pos="1404"/>
              </w:tabs>
              <w:adjustRightInd w:val="0"/>
              <w:snapToGrid w:val="0"/>
              <w:spacing w:before="0" w:beforeAutospacing="0" w:after="0" w:afterAutospacing="0" w:line="360" w:lineRule="auto"/>
              <w:ind w:left="0" w:right="0" w:firstLine="60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pacing w:val="60"/>
                <w:kern w:val="0"/>
                <w:szCs w:val="21"/>
                <w:highlight w:val="none"/>
                <w:fitText w:val="1200" w:id="2134331397"/>
              </w:rPr>
              <w:t>返修期</w:t>
            </w:r>
            <w:r>
              <w:rPr>
                <w:rFonts w:hint="eastAsia" w:cs="宋体" w:asciiTheme="minorEastAsia" w:hAnsiTheme="minorEastAsia" w:eastAsiaTheme="minorEastAsia"/>
                <w:color w:val="auto"/>
                <w:spacing w:val="0"/>
                <w:kern w:val="0"/>
                <w:szCs w:val="21"/>
                <w:highlight w:val="none"/>
                <w:fitText w:val="1200" w:id="2134331397"/>
              </w:rPr>
              <w:t>限</w:t>
            </w:r>
          </w:p>
        </w:tc>
      </w:tr>
      <w:tr w14:paraId="7F3DE4DE">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3619" w:type="dxa"/>
            <w:vAlign w:val="center"/>
          </w:tcPr>
          <w:p w14:paraId="246DE272">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墙面裂缝</w:t>
            </w:r>
          </w:p>
        </w:tc>
        <w:tc>
          <w:tcPr>
            <w:tcW w:w="1256" w:type="dxa"/>
            <w:vAlign w:val="center"/>
          </w:tcPr>
          <w:p w14:paraId="7EFD2CD3">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15天</w:t>
            </w:r>
          </w:p>
        </w:tc>
        <w:tc>
          <w:tcPr>
            <w:tcW w:w="346" w:type="dxa"/>
            <w:vMerge w:val="continue"/>
            <w:vAlign w:val="center"/>
          </w:tcPr>
          <w:p w14:paraId="4CFA900C">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794" w:type="dxa"/>
            <w:vAlign w:val="center"/>
          </w:tcPr>
          <w:p w14:paraId="5EB9533B">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厨卫间防水不合格</w:t>
            </w:r>
          </w:p>
        </w:tc>
        <w:tc>
          <w:tcPr>
            <w:tcW w:w="1424" w:type="dxa"/>
            <w:vAlign w:val="center"/>
          </w:tcPr>
          <w:p w14:paraId="6B021D28">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10天</w:t>
            </w:r>
          </w:p>
        </w:tc>
      </w:tr>
      <w:tr w14:paraId="7B64F24E">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3619" w:type="dxa"/>
            <w:vAlign w:val="center"/>
          </w:tcPr>
          <w:p w14:paraId="64E2A5B4">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顶部、梁不平整</w:t>
            </w:r>
          </w:p>
        </w:tc>
        <w:tc>
          <w:tcPr>
            <w:tcW w:w="1256" w:type="dxa"/>
            <w:vAlign w:val="center"/>
          </w:tcPr>
          <w:p w14:paraId="239C6EE8">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15天</w:t>
            </w:r>
          </w:p>
        </w:tc>
        <w:tc>
          <w:tcPr>
            <w:tcW w:w="346" w:type="dxa"/>
            <w:vMerge w:val="continue"/>
            <w:vAlign w:val="center"/>
          </w:tcPr>
          <w:p w14:paraId="45DF4CEC">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794" w:type="dxa"/>
            <w:vAlign w:val="center"/>
          </w:tcPr>
          <w:p w14:paraId="5D169969">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屋面、露台玻璃漏雨</w:t>
            </w:r>
          </w:p>
        </w:tc>
        <w:tc>
          <w:tcPr>
            <w:tcW w:w="1424" w:type="dxa"/>
            <w:vAlign w:val="center"/>
          </w:tcPr>
          <w:p w14:paraId="6DF9C4BD">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20天</w:t>
            </w:r>
          </w:p>
        </w:tc>
      </w:tr>
      <w:tr w14:paraId="47FA70ED">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3619" w:type="dxa"/>
            <w:vAlign w:val="center"/>
          </w:tcPr>
          <w:p w14:paraId="6C216970">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空调洞不合适</w:t>
            </w:r>
          </w:p>
        </w:tc>
        <w:tc>
          <w:tcPr>
            <w:tcW w:w="1256" w:type="dxa"/>
            <w:vAlign w:val="center"/>
          </w:tcPr>
          <w:p w14:paraId="6447A14D">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4天</w:t>
            </w:r>
          </w:p>
        </w:tc>
        <w:tc>
          <w:tcPr>
            <w:tcW w:w="346" w:type="dxa"/>
            <w:vMerge w:val="continue"/>
            <w:vAlign w:val="center"/>
          </w:tcPr>
          <w:p w14:paraId="031AE16B">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794" w:type="dxa"/>
            <w:vAlign w:val="center"/>
          </w:tcPr>
          <w:p w14:paraId="3DE2447D">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外墙渗水</w:t>
            </w:r>
          </w:p>
        </w:tc>
        <w:tc>
          <w:tcPr>
            <w:tcW w:w="1424" w:type="dxa"/>
            <w:vAlign w:val="center"/>
          </w:tcPr>
          <w:p w14:paraId="03132EA8">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10天</w:t>
            </w:r>
          </w:p>
        </w:tc>
      </w:tr>
      <w:tr w14:paraId="28D8FD0B">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3619" w:type="dxa"/>
            <w:vAlign w:val="center"/>
          </w:tcPr>
          <w:p w14:paraId="313ADC2E">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入户门划伤、掉漆</w:t>
            </w:r>
          </w:p>
        </w:tc>
        <w:tc>
          <w:tcPr>
            <w:tcW w:w="1256" w:type="dxa"/>
            <w:vAlign w:val="center"/>
          </w:tcPr>
          <w:p w14:paraId="609CE0FE">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7天</w:t>
            </w:r>
          </w:p>
        </w:tc>
        <w:tc>
          <w:tcPr>
            <w:tcW w:w="346" w:type="dxa"/>
            <w:vMerge w:val="continue"/>
            <w:vAlign w:val="center"/>
          </w:tcPr>
          <w:p w14:paraId="4D05A17B">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794" w:type="dxa"/>
            <w:vAlign w:val="center"/>
          </w:tcPr>
          <w:p w14:paraId="2B60538B">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供水系统</w:t>
            </w:r>
          </w:p>
        </w:tc>
        <w:tc>
          <w:tcPr>
            <w:tcW w:w="1424" w:type="dxa"/>
            <w:vAlign w:val="center"/>
          </w:tcPr>
          <w:p w14:paraId="3FEDF8C5">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5天</w:t>
            </w:r>
          </w:p>
        </w:tc>
      </w:tr>
      <w:tr w14:paraId="2FC38A84">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3619" w:type="dxa"/>
            <w:vAlign w:val="center"/>
          </w:tcPr>
          <w:p w14:paraId="2BD3038A">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入户门、锁开启不灵活</w:t>
            </w:r>
          </w:p>
        </w:tc>
        <w:tc>
          <w:tcPr>
            <w:tcW w:w="1256" w:type="dxa"/>
            <w:vAlign w:val="center"/>
          </w:tcPr>
          <w:p w14:paraId="4B0BE804">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7天</w:t>
            </w:r>
          </w:p>
        </w:tc>
        <w:tc>
          <w:tcPr>
            <w:tcW w:w="346" w:type="dxa"/>
            <w:vMerge w:val="continue"/>
            <w:vAlign w:val="center"/>
          </w:tcPr>
          <w:p w14:paraId="5F786830">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794" w:type="dxa"/>
            <w:vAlign w:val="center"/>
          </w:tcPr>
          <w:p w14:paraId="06B0ECE0">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排水系统</w:t>
            </w:r>
          </w:p>
        </w:tc>
        <w:tc>
          <w:tcPr>
            <w:tcW w:w="1424" w:type="dxa"/>
            <w:vAlign w:val="center"/>
          </w:tcPr>
          <w:p w14:paraId="3CE2080A">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5天</w:t>
            </w:r>
          </w:p>
        </w:tc>
      </w:tr>
      <w:tr w14:paraId="17652C4F">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3619" w:type="dxa"/>
            <w:vAlign w:val="center"/>
          </w:tcPr>
          <w:p w14:paraId="66D8E4C9">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纱窗损坏</w:t>
            </w:r>
          </w:p>
        </w:tc>
        <w:tc>
          <w:tcPr>
            <w:tcW w:w="1256" w:type="dxa"/>
            <w:vAlign w:val="center"/>
          </w:tcPr>
          <w:p w14:paraId="1D95CED5">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5天</w:t>
            </w:r>
          </w:p>
        </w:tc>
        <w:tc>
          <w:tcPr>
            <w:tcW w:w="346" w:type="dxa"/>
            <w:vMerge w:val="continue"/>
            <w:vAlign w:val="center"/>
          </w:tcPr>
          <w:p w14:paraId="57480876">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794" w:type="dxa"/>
            <w:vAlign w:val="center"/>
          </w:tcPr>
          <w:p w14:paraId="6FDEF4E4">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散热器受损</w:t>
            </w:r>
          </w:p>
        </w:tc>
        <w:tc>
          <w:tcPr>
            <w:tcW w:w="1424" w:type="dxa"/>
            <w:vAlign w:val="center"/>
          </w:tcPr>
          <w:p w14:paraId="5F8A283F">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15天</w:t>
            </w:r>
          </w:p>
        </w:tc>
      </w:tr>
      <w:tr w14:paraId="721993A7">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3619" w:type="dxa"/>
            <w:vAlign w:val="center"/>
          </w:tcPr>
          <w:p w14:paraId="518D3586">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铝合金窗玻璃划伤、破损或附件损坏</w:t>
            </w:r>
          </w:p>
        </w:tc>
        <w:tc>
          <w:tcPr>
            <w:tcW w:w="1256" w:type="dxa"/>
            <w:vAlign w:val="center"/>
          </w:tcPr>
          <w:p w14:paraId="2EDEE708">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15天</w:t>
            </w:r>
          </w:p>
        </w:tc>
        <w:tc>
          <w:tcPr>
            <w:tcW w:w="346" w:type="dxa"/>
            <w:vMerge w:val="continue"/>
            <w:vAlign w:val="center"/>
          </w:tcPr>
          <w:p w14:paraId="32538B60">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794" w:type="dxa"/>
            <w:vAlign w:val="center"/>
          </w:tcPr>
          <w:p w14:paraId="77C66B29">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照明、插座不能正常使用</w:t>
            </w:r>
          </w:p>
        </w:tc>
        <w:tc>
          <w:tcPr>
            <w:tcW w:w="1424" w:type="dxa"/>
            <w:vAlign w:val="center"/>
          </w:tcPr>
          <w:p w14:paraId="06EC01FF">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4天</w:t>
            </w:r>
          </w:p>
        </w:tc>
      </w:tr>
      <w:tr w14:paraId="5B21A63F">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87" w:hRule="atLeast"/>
          <w:jc w:val="center"/>
        </w:trPr>
        <w:tc>
          <w:tcPr>
            <w:tcW w:w="3619" w:type="dxa"/>
            <w:vAlign w:val="center"/>
          </w:tcPr>
          <w:p w14:paraId="0819D3CA">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铝合金窗更换</w:t>
            </w:r>
          </w:p>
        </w:tc>
        <w:tc>
          <w:tcPr>
            <w:tcW w:w="1256" w:type="dxa"/>
            <w:vAlign w:val="center"/>
          </w:tcPr>
          <w:p w14:paraId="331F77B2">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30天</w:t>
            </w:r>
          </w:p>
        </w:tc>
        <w:tc>
          <w:tcPr>
            <w:tcW w:w="346" w:type="dxa"/>
            <w:vMerge w:val="continue"/>
            <w:vAlign w:val="center"/>
          </w:tcPr>
          <w:p w14:paraId="3EF3EE0C">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794" w:type="dxa"/>
            <w:vAlign w:val="center"/>
          </w:tcPr>
          <w:p w14:paraId="1ACDDD6E">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弱电箱不能正常使用</w:t>
            </w:r>
          </w:p>
        </w:tc>
        <w:tc>
          <w:tcPr>
            <w:tcW w:w="1424" w:type="dxa"/>
            <w:vAlign w:val="center"/>
          </w:tcPr>
          <w:p w14:paraId="2138475F">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4天</w:t>
            </w:r>
          </w:p>
        </w:tc>
      </w:tr>
      <w:tr w14:paraId="5F6B2D6D">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37" w:hRule="atLeast"/>
          <w:jc w:val="center"/>
        </w:trPr>
        <w:tc>
          <w:tcPr>
            <w:tcW w:w="3619" w:type="dxa"/>
            <w:vAlign w:val="center"/>
          </w:tcPr>
          <w:p w14:paraId="0AFE375E">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水表、电表不能正常使用</w:t>
            </w:r>
          </w:p>
        </w:tc>
        <w:tc>
          <w:tcPr>
            <w:tcW w:w="1256" w:type="dxa"/>
            <w:vAlign w:val="center"/>
          </w:tcPr>
          <w:p w14:paraId="280253CA">
            <w:pPr>
              <w:keepNext w:val="0"/>
              <w:keepLines w:val="0"/>
              <w:suppressLineNumbers w:val="0"/>
              <w:adjustRightInd w:val="0"/>
              <w:snapToGrid w:val="0"/>
              <w:spacing w:before="0" w:beforeAutospacing="0" w:after="0" w:afterAutospacing="0" w:line="360" w:lineRule="auto"/>
              <w:ind w:left="0" w:right="0" w:firstLine="315" w:firstLineChars="15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5天</w:t>
            </w:r>
          </w:p>
        </w:tc>
        <w:tc>
          <w:tcPr>
            <w:tcW w:w="346" w:type="dxa"/>
            <w:vAlign w:val="center"/>
          </w:tcPr>
          <w:p w14:paraId="4531967F">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794" w:type="dxa"/>
            <w:vAlign w:val="center"/>
          </w:tcPr>
          <w:p w14:paraId="7E7287EC">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室内插座线路故障</w:t>
            </w:r>
          </w:p>
        </w:tc>
        <w:tc>
          <w:tcPr>
            <w:tcW w:w="1424" w:type="dxa"/>
            <w:vAlign w:val="center"/>
          </w:tcPr>
          <w:p w14:paraId="6E329D2A">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7天</w:t>
            </w:r>
          </w:p>
        </w:tc>
      </w:tr>
    </w:tbl>
    <w:p w14:paraId="64205130">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公建设施返修项目（总分包）：</w:t>
      </w:r>
    </w:p>
    <w:tbl>
      <w:tblPr>
        <w:tblStyle w:val="56"/>
        <w:tblW w:w="9439"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2832"/>
        <w:gridCol w:w="1699"/>
        <w:gridCol w:w="566"/>
        <w:gridCol w:w="2832"/>
        <w:gridCol w:w="1510"/>
      </w:tblGrid>
      <w:tr w14:paraId="6CBA24C9">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618" w:hRule="atLeast"/>
          <w:jc w:val="center"/>
        </w:trPr>
        <w:tc>
          <w:tcPr>
            <w:tcW w:w="2832" w:type="dxa"/>
          </w:tcPr>
          <w:p w14:paraId="04F831BD">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项目内容</w:t>
            </w:r>
          </w:p>
        </w:tc>
        <w:tc>
          <w:tcPr>
            <w:tcW w:w="1699" w:type="dxa"/>
          </w:tcPr>
          <w:p w14:paraId="5B117AB4">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返修期限</w:t>
            </w:r>
          </w:p>
        </w:tc>
        <w:tc>
          <w:tcPr>
            <w:tcW w:w="566" w:type="dxa"/>
            <w:vMerge w:val="restart"/>
          </w:tcPr>
          <w:p w14:paraId="26D68EC3">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832" w:type="dxa"/>
          </w:tcPr>
          <w:p w14:paraId="64D08375">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项目内容</w:t>
            </w:r>
          </w:p>
        </w:tc>
        <w:tc>
          <w:tcPr>
            <w:tcW w:w="1510" w:type="dxa"/>
          </w:tcPr>
          <w:p w14:paraId="700BE9DB">
            <w:pPr>
              <w:keepNext w:val="0"/>
              <w:keepLines w:val="0"/>
              <w:suppressLineNumbers w:val="0"/>
              <w:tabs>
                <w:tab w:val="left" w:pos="1332"/>
                <w:tab w:val="left" w:pos="1404"/>
              </w:tabs>
              <w:adjustRightInd w:val="0"/>
              <w:snapToGrid w:val="0"/>
              <w:spacing w:before="0" w:beforeAutospacing="0" w:after="0" w:afterAutospacing="0" w:line="360" w:lineRule="auto"/>
              <w:ind w:left="0" w:right="0" w:firstLine="6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pacing w:val="60"/>
                <w:kern w:val="0"/>
                <w:szCs w:val="21"/>
                <w:highlight w:val="none"/>
                <w:fitText w:val="1200" w:id="1210326212"/>
              </w:rPr>
              <w:t>返修期</w:t>
            </w:r>
            <w:r>
              <w:rPr>
                <w:rFonts w:hint="eastAsia" w:cs="宋体" w:asciiTheme="minorEastAsia" w:hAnsiTheme="minorEastAsia" w:eastAsiaTheme="minorEastAsia"/>
                <w:color w:val="auto"/>
                <w:spacing w:val="0"/>
                <w:kern w:val="0"/>
                <w:szCs w:val="21"/>
                <w:highlight w:val="none"/>
                <w:fitText w:val="1200" w:id="1210326212"/>
              </w:rPr>
              <w:t>限</w:t>
            </w:r>
          </w:p>
        </w:tc>
      </w:tr>
      <w:tr w14:paraId="08694ACB">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2" w:hRule="atLeast"/>
          <w:jc w:val="center"/>
        </w:trPr>
        <w:tc>
          <w:tcPr>
            <w:tcW w:w="2832" w:type="dxa"/>
          </w:tcPr>
          <w:p w14:paraId="07698A1E">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单元门漏水</w:t>
            </w:r>
          </w:p>
        </w:tc>
        <w:tc>
          <w:tcPr>
            <w:tcW w:w="1699" w:type="dxa"/>
          </w:tcPr>
          <w:p w14:paraId="6997CCC4">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20天</w:t>
            </w:r>
          </w:p>
        </w:tc>
        <w:tc>
          <w:tcPr>
            <w:tcW w:w="566" w:type="dxa"/>
            <w:vMerge w:val="continue"/>
          </w:tcPr>
          <w:p w14:paraId="3B18C904">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832" w:type="dxa"/>
          </w:tcPr>
          <w:p w14:paraId="1EF32244">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强电井空开损坏</w:t>
            </w:r>
          </w:p>
        </w:tc>
        <w:tc>
          <w:tcPr>
            <w:tcW w:w="1510" w:type="dxa"/>
          </w:tcPr>
          <w:p w14:paraId="3C11B018">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4天</w:t>
            </w:r>
          </w:p>
        </w:tc>
      </w:tr>
      <w:tr w14:paraId="2C8645DA">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2" w:hRule="atLeast"/>
          <w:jc w:val="center"/>
        </w:trPr>
        <w:tc>
          <w:tcPr>
            <w:tcW w:w="2832" w:type="dxa"/>
          </w:tcPr>
          <w:p w14:paraId="423B677C">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楼梯扶手损坏</w:t>
            </w:r>
          </w:p>
        </w:tc>
        <w:tc>
          <w:tcPr>
            <w:tcW w:w="1699" w:type="dxa"/>
          </w:tcPr>
          <w:p w14:paraId="68244FD1">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7天</w:t>
            </w:r>
          </w:p>
        </w:tc>
        <w:tc>
          <w:tcPr>
            <w:tcW w:w="566" w:type="dxa"/>
            <w:vMerge w:val="continue"/>
          </w:tcPr>
          <w:p w14:paraId="7031287A">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832" w:type="dxa"/>
          </w:tcPr>
          <w:p w14:paraId="31E6FF19">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声光控开关损坏</w:t>
            </w:r>
          </w:p>
        </w:tc>
        <w:tc>
          <w:tcPr>
            <w:tcW w:w="1510" w:type="dxa"/>
          </w:tcPr>
          <w:p w14:paraId="1A4D02AD">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4天</w:t>
            </w:r>
          </w:p>
        </w:tc>
      </w:tr>
      <w:tr w14:paraId="178D3C22">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2" w:hRule="atLeast"/>
          <w:jc w:val="center"/>
        </w:trPr>
        <w:tc>
          <w:tcPr>
            <w:tcW w:w="2832" w:type="dxa"/>
          </w:tcPr>
          <w:p w14:paraId="68ED0990">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公建门及门锁损坏</w:t>
            </w:r>
          </w:p>
        </w:tc>
        <w:tc>
          <w:tcPr>
            <w:tcW w:w="1699" w:type="dxa"/>
          </w:tcPr>
          <w:p w14:paraId="243945F2">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4天</w:t>
            </w:r>
          </w:p>
        </w:tc>
        <w:tc>
          <w:tcPr>
            <w:tcW w:w="566" w:type="dxa"/>
            <w:vMerge w:val="continue"/>
          </w:tcPr>
          <w:p w14:paraId="26454C7D">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832" w:type="dxa"/>
          </w:tcPr>
          <w:p w14:paraId="3786619D">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外墙面污染</w:t>
            </w:r>
          </w:p>
        </w:tc>
        <w:tc>
          <w:tcPr>
            <w:tcW w:w="1510" w:type="dxa"/>
          </w:tcPr>
          <w:p w14:paraId="7B2FA0A3">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10天</w:t>
            </w:r>
          </w:p>
        </w:tc>
      </w:tr>
      <w:tr w14:paraId="54BD5C6F">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2" w:hRule="atLeast"/>
          <w:jc w:val="center"/>
        </w:trPr>
        <w:tc>
          <w:tcPr>
            <w:tcW w:w="2832" w:type="dxa"/>
          </w:tcPr>
          <w:p w14:paraId="73A9D4A1">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闭门器损坏</w:t>
            </w:r>
          </w:p>
        </w:tc>
        <w:tc>
          <w:tcPr>
            <w:tcW w:w="1699" w:type="dxa"/>
          </w:tcPr>
          <w:p w14:paraId="0FBFB7B9">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3天</w:t>
            </w:r>
          </w:p>
        </w:tc>
        <w:tc>
          <w:tcPr>
            <w:tcW w:w="566" w:type="dxa"/>
            <w:vMerge w:val="continue"/>
            <w:vAlign w:val="center"/>
          </w:tcPr>
          <w:p w14:paraId="00534B86">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832" w:type="dxa"/>
          </w:tcPr>
          <w:p w14:paraId="5F6FC9A9">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管道井漏水</w:t>
            </w:r>
          </w:p>
        </w:tc>
        <w:tc>
          <w:tcPr>
            <w:tcW w:w="1510" w:type="dxa"/>
          </w:tcPr>
          <w:p w14:paraId="76A348AE">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7天</w:t>
            </w:r>
          </w:p>
        </w:tc>
      </w:tr>
      <w:tr w14:paraId="19171EA0">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2" w:hRule="atLeast"/>
          <w:jc w:val="center"/>
        </w:trPr>
        <w:tc>
          <w:tcPr>
            <w:tcW w:w="2832" w:type="dxa"/>
          </w:tcPr>
          <w:p w14:paraId="66F2D294">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单元对讲主机失灵</w:t>
            </w:r>
          </w:p>
        </w:tc>
        <w:tc>
          <w:tcPr>
            <w:tcW w:w="1699" w:type="dxa"/>
          </w:tcPr>
          <w:p w14:paraId="0AC8F4EA">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7天</w:t>
            </w:r>
          </w:p>
        </w:tc>
        <w:tc>
          <w:tcPr>
            <w:tcW w:w="566" w:type="dxa"/>
            <w:vMerge w:val="continue"/>
            <w:vAlign w:val="center"/>
          </w:tcPr>
          <w:p w14:paraId="3B1B774A">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832" w:type="dxa"/>
          </w:tcPr>
          <w:p w14:paraId="3BE62C76">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空调格删网脱落</w:t>
            </w:r>
          </w:p>
        </w:tc>
        <w:tc>
          <w:tcPr>
            <w:tcW w:w="1510" w:type="dxa"/>
          </w:tcPr>
          <w:p w14:paraId="5BA1363D">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7天</w:t>
            </w:r>
          </w:p>
        </w:tc>
      </w:tr>
      <w:tr w14:paraId="1A9CDA9C">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2" w:hRule="atLeast"/>
          <w:jc w:val="center"/>
        </w:trPr>
        <w:tc>
          <w:tcPr>
            <w:tcW w:w="2832" w:type="dxa"/>
          </w:tcPr>
          <w:p w14:paraId="0ECDBF8A">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楼内磁砖损坏</w:t>
            </w:r>
          </w:p>
        </w:tc>
        <w:tc>
          <w:tcPr>
            <w:tcW w:w="1699" w:type="dxa"/>
          </w:tcPr>
          <w:p w14:paraId="1C07667C">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5天</w:t>
            </w:r>
          </w:p>
        </w:tc>
        <w:tc>
          <w:tcPr>
            <w:tcW w:w="566" w:type="dxa"/>
            <w:vMerge w:val="continue"/>
            <w:vAlign w:val="center"/>
          </w:tcPr>
          <w:p w14:paraId="6787F185">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832" w:type="dxa"/>
          </w:tcPr>
          <w:p w14:paraId="1B9CC184">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室外管网渗漏、破损</w:t>
            </w:r>
          </w:p>
        </w:tc>
        <w:tc>
          <w:tcPr>
            <w:tcW w:w="1510" w:type="dxa"/>
          </w:tcPr>
          <w:p w14:paraId="33C38515">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15天</w:t>
            </w:r>
          </w:p>
        </w:tc>
      </w:tr>
    </w:tbl>
    <w:p w14:paraId="2A91D37B">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3、返修责任</w:t>
      </w:r>
    </w:p>
    <w:p w14:paraId="2D89405B">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在返修期内出现房屋质量问题，若质量问题属于总（分）包方责任的，总（分）包方须按照约定的维修期限及质量标准予以返修，若不予返修或未按约定返修到位，发包人将另行委托返修能力强的施工单位进行维修，所产生的费用从总（分）包单位工程结算款或保修金中扣除。</w:t>
      </w:r>
    </w:p>
    <w:p w14:paraId="26D0AEAB">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4、返修扣款</w:t>
      </w:r>
    </w:p>
    <w:p w14:paraId="2300AF73">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当发生金额较小的返修问题，原施工单位应积极配合发包人进行维修，不出现推诿现象，凡出现原施工单位拒绝返修、原施工单位在接到通知后</w:t>
      </w:r>
      <w:r>
        <w:rPr>
          <w:rFonts w:cs="宋体" w:asciiTheme="minorEastAsia" w:hAnsiTheme="minorEastAsia" w:eastAsiaTheme="minorEastAsia"/>
          <w:color w:val="auto"/>
          <w:szCs w:val="21"/>
          <w:highlight w:val="none"/>
        </w:rPr>
        <w:t>24小时不回复、原施工单位在约定的时间内未进行返修、原施工单位无法按返修期限完成返修、返修期限内出现两次不合格现象的，甲方有权直接委托其他单位进行返修，发生的返修扣款金额按合同相关条款执行。</w:t>
      </w:r>
    </w:p>
    <w:p w14:paraId="126E80DE">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br w:type="page"/>
      </w:r>
    </w:p>
    <w:p w14:paraId="3B2E5501">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w:t>
      </w:r>
      <w:r>
        <w:rPr>
          <w:rFonts w:hint="eastAsia" w:cs="宋体" w:asciiTheme="minorEastAsia" w:hAnsiTheme="minorEastAsia" w:eastAsiaTheme="minorEastAsia"/>
          <w:color w:val="auto"/>
          <w:szCs w:val="21"/>
          <w:highlight w:val="none"/>
          <w:lang w:val="en-US" w:eastAsia="zh-CN"/>
        </w:rPr>
        <w:t>九</w:t>
      </w:r>
      <w:r>
        <w:rPr>
          <w:rFonts w:hint="eastAsia" w:cs="宋体" w:asciiTheme="minorEastAsia" w:hAnsiTheme="minorEastAsia" w:eastAsiaTheme="minorEastAsia"/>
          <w:color w:val="auto"/>
          <w:szCs w:val="21"/>
          <w:highlight w:val="none"/>
        </w:rPr>
        <w:t>：</w:t>
      </w:r>
    </w:p>
    <w:p w14:paraId="23A47BF0">
      <w:pPr>
        <w:adjustRightInd w:val="0"/>
        <w:snapToGrid w:val="0"/>
        <w:spacing w:line="360" w:lineRule="auto"/>
        <w:ind w:firstLine="643"/>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剩余工程量施工（垃圾外运）费用扣除流程</w:t>
      </w:r>
    </w:p>
    <w:p w14:paraId="7A334CAE">
      <w:pPr>
        <w:adjustRightInd w:val="0"/>
        <w:snapToGrid w:val="0"/>
        <w:spacing w:line="360" w:lineRule="auto"/>
        <w:ind w:firstLine="480"/>
        <w:outlineLvl w:val="9"/>
        <w:rPr>
          <w:rFonts w:cs="宋体" w:asciiTheme="minorEastAsia" w:hAnsiTheme="minorEastAsia" w:eastAsiaTheme="minorEastAsia"/>
          <w:color w:val="auto"/>
          <w:szCs w:val="21"/>
          <w:highlight w:val="none"/>
          <w:lang w:eastAsia="zh-TW"/>
        </w:rPr>
      </w:pPr>
      <w:r>
        <w:rPr>
          <w:rFonts w:hint="eastAsia" w:cs="宋体" w:asciiTheme="minorEastAsia" w:hAnsiTheme="minorEastAsia" w:eastAsiaTheme="minorEastAsia"/>
          <w:color w:val="auto"/>
          <w:szCs w:val="21"/>
          <w:highlight w:val="none"/>
        </w:rPr>
        <w:t>一、承包人应在合同工期内完成所有工程量施工并做到工完场清，若存在工程内容未按合同工期完成或垃圾未及时外运，并在发包人现场代表要求期限内还未按时完成。发包人有权另行委托其他施工单位进行施工或垃圾外运，所产生的费用将从承包人工程结算款中扣除，具体实施流程如下页《剩余工程施工（垃圾外运）费用扣除流程）》。</w:t>
      </w:r>
    </w:p>
    <w:p w14:paraId="56B0D451">
      <w:pPr>
        <w:adjustRightInd w:val="0"/>
        <w:snapToGrid w:val="0"/>
        <w:spacing w:line="360" w:lineRule="auto"/>
        <w:ind w:firstLine="525" w:firstLineChars="2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二、主控事项：</w:t>
      </w:r>
    </w:p>
    <w:p w14:paraId="77E0844C">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1、在以下任何一种情况下，项目部可委托其它单位对剩余工程（剩余垃圾）进行处理：</w:t>
      </w:r>
    </w:p>
    <w:p w14:paraId="6BE264C7">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fldChar w:fldCharType="begin"/>
      </w:r>
      <w:r>
        <w:rPr>
          <w:rFonts w:cs="宋体" w:asciiTheme="minorEastAsia" w:hAnsiTheme="minorEastAsia" w:eastAsiaTheme="minorEastAsia"/>
          <w:color w:val="auto"/>
          <w:szCs w:val="21"/>
          <w:highlight w:val="none"/>
        </w:rPr>
        <w:instrText xml:space="preserve">eq \o\ac(</w:instrText>
      </w:r>
      <w:r>
        <w:rPr>
          <w:rFonts w:hint="eastAsia" w:cs="宋体" w:asciiTheme="minorEastAsia" w:hAnsiTheme="minorEastAsia" w:eastAsiaTheme="minorEastAsia"/>
          <w:color w:val="auto"/>
          <w:position w:val="-4"/>
          <w:szCs w:val="21"/>
          <w:highlight w:val="none"/>
        </w:rPr>
        <w:instrText xml:space="preserve">○</w:instrText>
      </w:r>
      <w:r>
        <w:rPr>
          <w:rFonts w:cs="宋体" w:asciiTheme="minorEastAsia" w:hAnsiTheme="minorEastAsia" w:eastAsiaTheme="minorEastAsia"/>
          <w:color w:val="auto"/>
          <w:szCs w:val="21"/>
          <w:highlight w:val="none"/>
        </w:rPr>
        <w:instrText xml:space="preserve">,1)</w:instrText>
      </w:r>
      <w:r>
        <w:rPr>
          <w:rFonts w:hint="eastAsia" w:cs="宋体" w:asciiTheme="minorEastAsia" w:hAnsiTheme="minorEastAsia" w:eastAsiaTheme="minorEastAsia"/>
          <w:color w:val="auto"/>
          <w:szCs w:val="21"/>
          <w:highlight w:val="none"/>
        </w:rPr>
        <w:fldChar w:fldCharType="end"/>
      </w:r>
      <w:r>
        <w:rPr>
          <w:rFonts w:hint="eastAsia" w:cs="宋体" w:asciiTheme="minorEastAsia" w:hAnsiTheme="minorEastAsia" w:eastAsiaTheme="minorEastAsia"/>
          <w:color w:val="auto"/>
          <w:szCs w:val="21"/>
          <w:highlight w:val="none"/>
        </w:rPr>
        <w:t>、施工单位拒绝处理；</w:t>
      </w:r>
    </w:p>
    <w:p w14:paraId="245AB2F8">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fldChar w:fldCharType="begin"/>
      </w:r>
      <w:r>
        <w:rPr>
          <w:rFonts w:cs="宋体" w:asciiTheme="minorEastAsia" w:hAnsiTheme="minorEastAsia" w:eastAsiaTheme="minorEastAsia"/>
          <w:color w:val="auto"/>
          <w:szCs w:val="21"/>
          <w:highlight w:val="none"/>
        </w:rPr>
        <w:instrText xml:space="preserve">eq \o\ac(</w:instrText>
      </w:r>
      <w:r>
        <w:rPr>
          <w:rFonts w:hint="eastAsia" w:cs="宋体" w:asciiTheme="minorEastAsia" w:hAnsiTheme="minorEastAsia" w:eastAsiaTheme="minorEastAsia"/>
          <w:color w:val="auto"/>
          <w:position w:val="-4"/>
          <w:szCs w:val="21"/>
          <w:highlight w:val="none"/>
        </w:rPr>
        <w:instrText xml:space="preserve">○</w:instrText>
      </w:r>
      <w:r>
        <w:rPr>
          <w:rFonts w:cs="宋体" w:asciiTheme="minorEastAsia" w:hAnsiTheme="minorEastAsia" w:eastAsiaTheme="minorEastAsia"/>
          <w:color w:val="auto"/>
          <w:szCs w:val="21"/>
          <w:highlight w:val="none"/>
        </w:rPr>
        <w:instrText xml:space="preserve">,2)</w:instrText>
      </w:r>
      <w:r>
        <w:rPr>
          <w:rFonts w:hint="eastAsia" w:cs="宋体" w:asciiTheme="minorEastAsia" w:hAnsiTheme="minorEastAsia" w:eastAsiaTheme="minorEastAsia"/>
          <w:color w:val="auto"/>
          <w:szCs w:val="21"/>
          <w:highlight w:val="none"/>
        </w:rPr>
        <w:fldChar w:fldCharType="end"/>
      </w:r>
      <w:r>
        <w:rPr>
          <w:rFonts w:hint="eastAsia" w:cs="宋体" w:asciiTheme="minorEastAsia" w:hAnsiTheme="minorEastAsia" w:eastAsiaTheme="minorEastAsia"/>
          <w:color w:val="auto"/>
          <w:szCs w:val="21"/>
          <w:highlight w:val="none"/>
        </w:rPr>
        <w:t>、施工单位处理的时效性不符合工程需要，经项目部协调仍不能满足时；</w:t>
      </w:r>
    </w:p>
    <w:p w14:paraId="6540DD2A">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fldChar w:fldCharType="begin"/>
      </w:r>
      <w:r>
        <w:rPr>
          <w:rFonts w:cs="宋体" w:asciiTheme="minorEastAsia" w:hAnsiTheme="minorEastAsia" w:eastAsiaTheme="minorEastAsia"/>
          <w:color w:val="auto"/>
          <w:szCs w:val="21"/>
          <w:highlight w:val="none"/>
        </w:rPr>
        <w:instrText xml:space="preserve">eq \o\ac(</w:instrText>
      </w:r>
      <w:r>
        <w:rPr>
          <w:rFonts w:hint="eastAsia" w:cs="宋体" w:asciiTheme="minorEastAsia" w:hAnsiTheme="minorEastAsia" w:eastAsiaTheme="minorEastAsia"/>
          <w:color w:val="auto"/>
          <w:position w:val="-4"/>
          <w:szCs w:val="21"/>
          <w:highlight w:val="none"/>
        </w:rPr>
        <w:instrText xml:space="preserve">○</w:instrText>
      </w:r>
      <w:r>
        <w:rPr>
          <w:rFonts w:cs="宋体" w:asciiTheme="minorEastAsia" w:hAnsiTheme="minorEastAsia" w:eastAsiaTheme="minorEastAsia"/>
          <w:color w:val="auto"/>
          <w:szCs w:val="21"/>
          <w:highlight w:val="none"/>
        </w:rPr>
        <w:instrText xml:space="preserve">,3)</w:instrText>
      </w:r>
      <w:r>
        <w:rPr>
          <w:rFonts w:hint="eastAsia" w:cs="宋体" w:asciiTheme="minorEastAsia" w:hAnsiTheme="minorEastAsia" w:eastAsiaTheme="minorEastAsia"/>
          <w:color w:val="auto"/>
          <w:szCs w:val="21"/>
          <w:highlight w:val="none"/>
        </w:rPr>
        <w:fldChar w:fldCharType="end"/>
      </w:r>
      <w:r>
        <w:rPr>
          <w:rFonts w:hint="eastAsia" w:cs="宋体" w:asciiTheme="minorEastAsia" w:hAnsiTheme="minorEastAsia" w:eastAsiaTheme="minorEastAsia"/>
          <w:color w:val="auto"/>
          <w:szCs w:val="21"/>
          <w:highlight w:val="none"/>
        </w:rPr>
        <w:t>、施工单位同意委托其它单位进行处理。</w:t>
      </w:r>
    </w:p>
    <w:p w14:paraId="0DDF0517">
      <w:pPr>
        <w:widowControl/>
        <w:numPr>
          <w:ilvl w:val="0"/>
          <w:numId w:val="3"/>
        </w:numPr>
        <w:adjustRightInd w:val="0"/>
        <w:snapToGrid w:val="0"/>
        <w:spacing w:line="360" w:lineRule="auto"/>
        <w:ind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其他施工单位进行施工或垃圾外运产生的费用由甲方按市场价进行支付，所有费用从原施工单位的工程款扣除。</w:t>
      </w:r>
    </w:p>
    <w:p w14:paraId="0288BA96">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4、扣款通知发送形式及主要内容：</w:t>
      </w:r>
    </w:p>
    <w:p w14:paraId="6B2C9E4A">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fldChar w:fldCharType="begin"/>
      </w:r>
      <w:r>
        <w:rPr>
          <w:rFonts w:cs="宋体" w:asciiTheme="minorEastAsia" w:hAnsiTheme="minorEastAsia" w:eastAsiaTheme="minorEastAsia"/>
          <w:color w:val="auto"/>
          <w:szCs w:val="21"/>
          <w:highlight w:val="none"/>
        </w:rPr>
        <w:instrText xml:space="preserve">eq \o\ac(</w:instrText>
      </w:r>
      <w:r>
        <w:rPr>
          <w:rFonts w:hint="eastAsia" w:cs="宋体" w:asciiTheme="minorEastAsia" w:hAnsiTheme="minorEastAsia" w:eastAsiaTheme="minorEastAsia"/>
          <w:color w:val="auto"/>
          <w:position w:val="-4"/>
          <w:szCs w:val="21"/>
          <w:highlight w:val="none"/>
        </w:rPr>
        <w:instrText xml:space="preserve">○</w:instrText>
      </w:r>
      <w:r>
        <w:rPr>
          <w:rFonts w:cs="宋体" w:asciiTheme="minorEastAsia" w:hAnsiTheme="minorEastAsia" w:eastAsiaTheme="minorEastAsia"/>
          <w:color w:val="auto"/>
          <w:szCs w:val="21"/>
          <w:highlight w:val="none"/>
        </w:rPr>
        <w:instrText xml:space="preserve">,1)</w:instrText>
      </w:r>
      <w:r>
        <w:rPr>
          <w:rFonts w:hint="eastAsia" w:cs="宋体" w:asciiTheme="minorEastAsia" w:hAnsiTheme="minorEastAsia" w:eastAsiaTheme="minorEastAsia"/>
          <w:color w:val="auto"/>
          <w:szCs w:val="21"/>
          <w:highlight w:val="none"/>
        </w:rPr>
        <w:fldChar w:fldCharType="end"/>
      </w:r>
      <w:r>
        <w:rPr>
          <w:rFonts w:hint="eastAsia" w:cs="宋体" w:asciiTheme="minorEastAsia" w:hAnsiTheme="minorEastAsia" w:eastAsiaTheme="minorEastAsia"/>
          <w:color w:val="auto"/>
          <w:szCs w:val="21"/>
          <w:highlight w:val="none"/>
        </w:rPr>
        <w:t>、扣款通知单应及时发送施工单位，若施工单位拒绝签收，可用挂号信或特快专递形式发送。</w:t>
      </w:r>
    </w:p>
    <w:p w14:paraId="63FFAE36">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fldChar w:fldCharType="begin"/>
      </w:r>
      <w:r>
        <w:rPr>
          <w:rFonts w:cs="宋体" w:asciiTheme="minorEastAsia" w:hAnsiTheme="minorEastAsia" w:eastAsiaTheme="minorEastAsia"/>
          <w:color w:val="auto"/>
          <w:szCs w:val="21"/>
          <w:highlight w:val="none"/>
        </w:rPr>
        <w:instrText xml:space="preserve">eq \o\ac(</w:instrText>
      </w:r>
      <w:r>
        <w:rPr>
          <w:rFonts w:hint="eastAsia" w:cs="宋体" w:asciiTheme="minorEastAsia" w:hAnsiTheme="minorEastAsia" w:eastAsiaTheme="minorEastAsia"/>
          <w:color w:val="auto"/>
          <w:position w:val="-4"/>
          <w:szCs w:val="21"/>
          <w:highlight w:val="none"/>
        </w:rPr>
        <w:instrText xml:space="preserve">○</w:instrText>
      </w:r>
      <w:r>
        <w:rPr>
          <w:rFonts w:cs="宋体" w:asciiTheme="minorEastAsia" w:hAnsiTheme="minorEastAsia" w:eastAsiaTheme="minorEastAsia"/>
          <w:color w:val="auto"/>
          <w:szCs w:val="21"/>
          <w:highlight w:val="none"/>
        </w:rPr>
        <w:instrText xml:space="preserve">,2)</w:instrText>
      </w:r>
      <w:r>
        <w:rPr>
          <w:rFonts w:hint="eastAsia" w:cs="宋体" w:asciiTheme="minorEastAsia" w:hAnsiTheme="minorEastAsia" w:eastAsiaTheme="minorEastAsia"/>
          <w:color w:val="auto"/>
          <w:szCs w:val="21"/>
          <w:highlight w:val="none"/>
        </w:rPr>
        <w:fldChar w:fldCharType="end"/>
      </w:r>
      <w:r>
        <w:rPr>
          <w:rFonts w:hint="eastAsia" w:cs="宋体" w:asciiTheme="minorEastAsia" w:hAnsiTheme="minorEastAsia" w:eastAsiaTheme="minorEastAsia"/>
          <w:color w:val="auto"/>
          <w:szCs w:val="21"/>
          <w:highlight w:val="none"/>
        </w:rPr>
        <w:t>、扣款通知的主要内容：</w:t>
      </w:r>
    </w:p>
    <w:p w14:paraId="1F6E2B78">
      <w:pPr>
        <w:adjustRightInd w:val="0"/>
        <w:snapToGrid w:val="0"/>
        <w:spacing w:line="360" w:lineRule="auto"/>
        <w:ind w:firstLine="525" w:firstLineChars="2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a）、相关影像记录数据；</w:t>
      </w:r>
    </w:p>
    <w:p w14:paraId="222DADF4">
      <w:pPr>
        <w:adjustRightInd w:val="0"/>
        <w:snapToGrid w:val="0"/>
        <w:spacing w:line="360" w:lineRule="auto"/>
        <w:ind w:firstLine="525" w:firstLineChars="2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b）、项目部、监理单位、委托施工单位三方定价记录；</w:t>
      </w:r>
    </w:p>
    <w:p w14:paraId="077931CD">
      <w:pPr>
        <w:adjustRightInd w:val="0"/>
        <w:snapToGrid w:val="0"/>
        <w:spacing w:line="360" w:lineRule="auto"/>
        <w:ind w:firstLine="525" w:firstLineChars="2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c）、监理通知单；</w:t>
      </w:r>
    </w:p>
    <w:p w14:paraId="1718B005">
      <w:pPr>
        <w:adjustRightInd w:val="0"/>
        <w:snapToGrid w:val="0"/>
        <w:spacing w:line="360" w:lineRule="auto"/>
        <w:ind w:firstLine="525" w:firstLineChars="2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d）、监理例会纪要；</w:t>
      </w:r>
    </w:p>
    <w:p w14:paraId="723F7D66">
      <w:pPr>
        <w:adjustRightInd w:val="0"/>
        <w:snapToGrid w:val="0"/>
        <w:spacing w:line="360" w:lineRule="auto"/>
        <w:ind w:firstLine="525" w:firstLineChars="2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e）、扣款通知单（见附表1）。</w:t>
      </w:r>
    </w:p>
    <w:p w14:paraId="5D0A1D7E">
      <w:pPr>
        <w:adjustRightInd w:val="0"/>
        <w:snapToGrid w:val="0"/>
        <w:spacing w:line="360" w:lineRule="auto"/>
        <w:ind w:firstLine="480"/>
        <w:jc w:val="center"/>
        <w:outlineLvl w:val="9"/>
        <w:rPr>
          <w:rFonts w:cs="宋体" w:asciiTheme="minorEastAsia" w:hAnsiTheme="minorEastAsia" w:eastAsiaTheme="minorEastAsia"/>
          <w:color w:val="auto"/>
          <w:szCs w:val="21"/>
          <w:highlight w:val="none"/>
        </w:rPr>
      </w:pPr>
    </w:p>
    <w:p w14:paraId="5C123330">
      <w:pPr>
        <w:adjustRightInd w:val="0"/>
        <w:snapToGrid w:val="0"/>
        <w:spacing w:line="360" w:lineRule="auto"/>
        <w:ind w:firstLine="480"/>
        <w:jc w:val="center"/>
        <w:outlineLvl w:val="9"/>
        <w:rPr>
          <w:rFonts w:cs="宋体" w:asciiTheme="minorEastAsia" w:hAnsiTheme="minorEastAsia" w:eastAsiaTheme="minorEastAsia"/>
          <w:color w:val="auto"/>
          <w:szCs w:val="21"/>
          <w:highlight w:val="none"/>
        </w:rPr>
      </w:pPr>
    </w:p>
    <w:p w14:paraId="6E6F9479">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468E7957">
      <w:pPr>
        <w:adjustRightInd w:val="0"/>
        <w:snapToGrid w:val="0"/>
        <w:spacing w:line="360" w:lineRule="auto"/>
        <w:ind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br w:type="page"/>
      </w:r>
    </w:p>
    <w:p w14:paraId="5F549191">
      <w:pPr>
        <w:adjustRightInd w:val="0"/>
        <w:snapToGrid w:val="0"/>
        <w:spacing w:line="360" w:lineRule="auto"/>
        <w:ind w:firstLine="643"/>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剩余工程施工（垃圾外运）费用扣除流程</w:t>
      </w:r>
    </w:p>
    <w:p w14:paraId="125C0C05">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mc:AlternateContent>
          <mc:Choice Requires="wpg">
            <w:drawing>
              <wp:anchor distT="0" distB="0" distL="114300" distR="114300" simplePos="0" relativeHeight="251951104" behindDoc="0" locked="0" layoutInCell="1" allowOverlap="1">
                <wp:simplePos x="0" y="0"/>
                <wp:positionH relativeFrom="column">
                  <wp:posOffset>-38100</wp:posOffset>
                </wp:positionH>
                <wp:positionV relativeFrom="paragraph">
                  <wp:posOffset>74930</wp:posOffset>
                </wp:positionV>
                <wp:extent cx="5857875" cy="7965440"/>
                <wp:effectExtent l="15875" t="4445" r="12700" b="12065"/>
                <wp:wrapNone/>
                <wp:docPr id="177" name="Group 151"/>
                <wp:cNvGraphicFramePr/>
                <a:graphic xmlns:a="http://schemas.openxmlformats.org/drawingml/2006/main">
                  <a:graphicData uri="http://schemas.microsoft.com/office/word/2010/wordprocessingGroup">
                    <wpg:wgp>
                      <wpg:cNvGrpSpPr/>
                      <wpg:grpSpPr>
                        <a:xfrm>
                          <a:off x="0" y="0"/>
                          <a:ext cx="5857875" cy="7965440"/>
                          <a:chOff x="1050" y="2460"/>
                          <a:chExt cx="9458" cy="12396"/>
                        </a:xfrm>
                        <a:effectLst/>
                      </wpg:grpSpPr>
                      <wps:wsp>
                        <wps:cNvPr id="178" name="AutoShape 152"/>
                        <wps:cNvSpPr>
                          <a:spLocks noChangeArrowheads="1"/>
                        </wps:cNvSpPr>
                        <wps:spPr bwMode="auto">
                          <a:xfrm>
                            <a:off x="2040" y="6360"/>
                            <a:ext cx="2160" cy="468"/>
                          </a:xfrm>
                          <a:prstGeom prst="flowChartProcess">
                            <a:avLst/>
                          </a:prstGeom>
                          <a:solidFill>
                            <a:srgbClr val="FFFFFF"/>
                          </a:solidFill>
                          <a:ln w="9525">
                            <a:solidFill>
                              <a:srgbClr val="000000"/>
                            </a:solidFill>
                            <a:miter lim="800000"/>
                          </a:ln>
                          <a:effectLst/>
                        </wps:spPr>
                        <wps:txbx>
                          <w:txbxContent>
                            <w:p w14:paraId="0776A34E">
                              <w:pPr>
                                <w:jc w:val="center"/>
                              </w:pPr>
                              <w:r>
                                <w:rPr>
                                  <w:rFonts w:hint="eastAsia"/>
                                </w:rPr>
                                <w:t>数量确认</w:t>
                              </w:r>
                            </w:p>
                            <w:p w14:paraId="19CC68F2"/>
                          </w:txbxContent>
                        </wps:txbx>
                        <wps:bodyPr rot="0" vert="horz" wrap="square" lIns="91440" tIns="45720" rIns="91440" bIns="45720" anchor="t" anchorCtr="0" upright="1">
                          <a:noAutofit/>
                        </wps:bodyPr>
                      </wps:wsp>
                      <wps:wsp>
                        <wps:cNvPr id="179" name="AutoShape 153"/>
                        <wps:cNvSpPr>
                          <a:spLocks noChangeArrowheads="1"/>
                        </wps:cNvSpPr>
                        <wps:spPr bwMode="auto">
                          <a:xfrm>
                            <a:off x="4155" y="4470"/>
                            <a:ext cx="4740" cy="762"/>
                          </a:xfrm>
                          <a:prstGeom prst="flowChartDecision">
                            <a:avLst/>
                          </a:prstGeom>
                          <a:solidFill>
                            <a:srgbClr val="FFFFFF"/>
                          </a:solidFill>
                          <a:ln w="9525">
                            <a:solidFill>
                              <a:srgbClr val="000000"/>
                            </a:solidFill>
                            <a:miter lim="800000"/>
                          </a:ln>
                          <a:effectLst/>
                        </wps:spPr>
                        <wps:txbx>
                          <w:txbxContent>
                            <w:p w14:paraId="1A6A251B">
                              <w:r>
                                <w:rPr>
                                  <w:rFonts w:hint="eastAsia"/>
                                </w:rPr>
                                <w:t>施工单位是否处理</w:t>
                              </w:r>
                            </w:p>
                          </w:txbxContent>
                        </wps:txbx>
                        <wps:bodyPr rot="0" vert="horz" wrap="square" lIns="91440" tIns="45720" rIns="91440" bIns="45720" anchor="t" anchorCtr="0" upright="1">
                          <a:noAutofit/>
                        </wps:bodyPr>
                      </wps:wsp>
                      <wps:wsp>
                        <wps:cNvPr id="180" name="AutoShape 154"/>
                        <wps:cNvSpPr>
                          <a:spLocks noChangeArrowheads="1"/>
                        </wps:cNvSpPr>
                        <wps:spPr bwMode="auto">
                          <a:xfrm>
                            <a:off x="1050" y="7266"/>
                            <a:ext cx="4140" cy="1260"/>
                          </a:xfrm>
                          <a:prstGeom prst="flowChartDecision">
                            <a:avLst/>
                          </a:prstGeom>
                          <a:solidFill>
                            <a:srgbClr val="FFFFFF"/>
                          </a:solidFill>
                          <a:ln w="9525">
                            <a:solidFill>
                              <a:srgbClr val="000000"/>
                            </a:solidFill>
                            <a:miter lim="800000"/>
                          </a:ln>
                          <a:effectLst/>
                        </wps:spPr>
                        <wps:txbx>
                          <w:txbxContent>
                            <w:p w14:paraId="7DACA9FC">
                              <w:pPr>
                                <w:jc w:val="center"/>
                              </w:pPr>
                              <w:r>
                                <w:rPr>
                                  <w:rFonts w:hint="eastAsia"/>
                                </w:rPr>
                                <w:t>施工单位是否参与</w:t>
                              </w:r>
                            </w:p>
                            <w:p w14:paraId="1889E217">
                              <w:pPr>
                                <w:jc w:val="center"/>
                              </w:pPr>
                              <w:r>
                                <w:rPr>
                                  <w:rFonts w:hint="eastAsia"/>
                                </w:rPr>
                                <w:t>数量确认</w:t>
                              </w:r>
                            </w:p>
                          </w:txbxContent>
                        </wps:txbx>
                        <wps:bodyPr rot="0" vert="horz" wrap="square" lIns="91440" tIns="45720" rIns="91440" bIns="45720" anchor="t" anchorCtr="0" upright="1">
                          <a:noAutofit/>
                        </wps:bodyPr>
                      </wps:wsp>
                      <wps:wsp>
                        <wps:cNvPr id="181" name="AutoShape 155"/>
                        <wps:cNvSpPr>
                          <a:spLocks noChangeArrowheads="1"/>
                        </wps:cNvSpPr>
                        <wps:spPr bwMode="auto">
                          <a:xfrm>
                            <a:off x="5640" y="8391"/>
                            <a:ext cx="3960" cy="468"/>
                          </a:xfrm>
                          <a:prstGeom prst="flowChartProcess">
                            <a:avLst/>
                          </a:prstGeom>
                          <a:solidFill>
                            <a:srgbClr val="FFFFFF"/>
                          </a:solidFill>
                          <a:ln w="9525">
                            <a:solidFill>
                              <a:srgbClr val="000000"/>
                            </a:solidFill>
                            <a:miter lim="800000"/>
                          </a:ln>
                          <a:effectLst/>
                        </wps:spPr>
                        <wps:txbx>
                          <w:txbxContent>
                            <w:p w14:paraId="1027B552">
                              <w:pPr>
                                <w:jc w:val="center"/>
                              </w:pPr>
                              <w:r>
                                <w:rPr>
                                  <w:rFonts w:hint="eastAsia"/>
                                </w:rPr>
                                <w:t>项目部、监理、受委托施工方确认数量</w:t>
                              </w:r>
                            </w:p>
                            <w:p w14:paraId="09A75B7A"/>
                          </w:txbxContent>
                        </wps:txbx>
                        <wps:bodyPr rot="0" vert="horz" wrap="square" lIns="91440" tIns="45720" rIns="91440" bIns="45720" anchor="t" anchorCtr="0" upright="1">
                          <a:noAutofit/>
                        </wps:bodyPr>
                      </wps:wsp>
                      <wps:wsp>
                        <wps:cNvPr id="182" name="AutoShape 156"/>
                        <wps:cNvSpPr>
                          <a:spLocks noChangeArrowheads="1"/>
                        </wps:cNvSpPr>
                        <wps:spPr bwMode="auto">
                          <a:xfrm>
                            <a:off x="7170" y="11967"/>
                            <a:ext cx="3060" cy="789"/>
                          </a:xfrm>
                          <a:prstGeom prst="flowChartProcess">
                            <a:avLst/>
                          </a:prstGeom>
                          <a:solidFill>
                            <a:srgbClr val="FFFFFF"/>
                          </a:solidFill>
                          <a:ln w="9525">
                            <a:solidFill>
                              <a:srgbClr val="000000"/>
                            </a:solidFill>
                            <a:miter lim="800000"/>
                          </a:ln>
                          <a:effectLst/>
                        </wps:spPr>
                        <wps:txbx>
                          <w:txbxContent>
                            <w:p w14:paraId="00FC8BBE">
                              <w:pPr>
                                <w:jc w:val="center"/>
                              </w:pPr>
                              <w:r>
                                <w:rPr>
                                  <w:rFonts w:hint="eastAsia"/>
                                </w:rPr>
                                <w:t>监理例会通报，并在会议纪要中明确监理扣款通知单内容</w:t>
                              </w:r>
                            </w:p>
                          </w:txbxContent>
                        </wps:txbx>
                        <wps:bodyPr rot="0" vert="horz" wrap="square" lIns="91440" tIns="45720" rIns="91440" bIns="45720" anchor="t" anchorCtr="0" upright="1">
                          <a:noAutofit/>
                        </wps:bodyPr>
                      </wps:wsp>
                      <wps:wsp>
                        <wps:cNvPr id="183" name="AutoShape 157"/>
                        <wps:cNvSpPr>
                          <a:spLocks noChangeArrowheads="1"/>
                        </wps:cNvSpPr>
                        <wps:spPr bwMode="auto">
                          <a:xfrm>
                            <a:off x="5460" y="9324"/>
                            <a:ext cx="3945" cy="468"/>
                          </a:xfrm>
                          <a:prstGeom prst="flowChartProcess">
                            <a:avLst/>
                          </a:prstGeom>
                          <a:solidFill>
                            <a:srgbClr val="FFFFFF"/>
                          </a:solidFill>
                          <a:ln w="9525">
                            <a:solidFill>
                              <a:srgbClr val="000000"/>
                            </a:solidFill>
                            <a:miter lim="800000"/>
                          </a:ln>
                          <a:effectLst/>
                        </wps:spPr>
                        <wps:txbx>
                          <w:txbxContent>
                            <w:p w14:paraId="05B396E2">
                              <w:pPr>
                                <w:jc w:val="center"/>
                              </w:pPr>
                              <w:r>
                                <w:rPr>
                                  <w:rFonts w:hint="eastAsia"/>
                                </w:rPr>
                                <w:t>项目部、监理、受委托施工方确认价格格</w:t>
                              </w:r>
                            </w:p>
                            <w:p w14:paraId="60C39142"/>
                          </w:txbxContent>
                        </wps:txbx>
                        <wps:bodyPr rot="0" vert="horz" wrap="square" lIns="91440" tIns="45720" rIns="91440" bIns="45720" anchor="t" anchorCtr="0" upright="1">
                          <a:noAutofit/>
                        </wps:bodyPr>
                      </wps:wsp>
                      <wps:wsp>
                        <wps:cNvPr id="184" name="AutoShape 158"/>
                        <wps:cNvSpPr>
                          <a:spLocks noChangeArrowheads="1"/>
                        </wps:cNvSpPr>
                        <wps:spPr bwMode="auto">
                          <a:xfrm>
                            <a:off x="7440" y="13224"/>
                            <a:ext cx="2655" cy="468"/>
                          </a:xfrm>
                          <a:prstGeom prst="flowChartProcess">
                            <a:avLst/>
                          </a:prstGeom>
                          <a:solidFill>
                            <a:srgbClr val="FFFFFF"/>
                          </a:solidFill>
                          <a:ln w="9525">
                            <a:solidFill>
                              <a:srgbClr val="000000"/>
                            </a:solidFill>
                            <a:miter lim="800000"/>
                          </a:ln>
                          <a:effectLst/>
                        </wps:spPr>
                        <wps:txbx>
                          <w:txbxContent>
                            <w:p w14:paraId="12947A52">
                              <w:pPr>
                                <w:jc w:val="center"/>
                              </w:pPr>
                              <w:r>
                                <w:rPr>
                                  <w:rFonts w:hint="eastAsia"/>
                                </w:rPr>
                                <w:t>给施工单位发扣款通知单</w:t>
                              </w:r>
                            </w:p>
                            <w:p w14:paraId="5E01FE57"/>
                          </w:txbxContent>
                        </wps:txbx>
                        <wps:bodyPr rot="0" vert="horz" wrap="square" lIns="91440" tIns="45720" rIns="91440" bIns="45720" anchor="t" anchorCtr="0" upright="1">
                          <a:noAutofit/>
                        </wps:bodyPr>
                      </wps:wsp>
                      <wps:wsp>
                        <wps:cNvPr id="185" name="AutoShape 159"/>
                        <wps:cNvSpPr>
                          <a:spLocks noChangeArrowheads="1"/>
                        </wps:cNvSpPr>
                        <wps:spPr bwMode="auto">
                          <a:xfrm>
                            <a:off x="1320" y="9324"/>
                            <a:ext cx="3600" cy="780"/>
                          </a:xfrm>
                          <a:prstGeom prst="flowChartProcess">
                            <a:avLst/>
                          </a:prstGeom>
                          <a:solidFill>
                            <a:srgbClr val="FFFFFF"/>
                          </a:solidFill>
                          <a:ln w="9525">
                            <a:solidFill>
                              <a:srgbClr val="000000"/>
                            </a:solidFill>
                            <a:miter lim="800000"/>
                          </a:ln>
                          <a:effectLst/>
                        </wps:spPr>
                        <wps:txbx>
                          <w:txbxContent>
                            <w:p w14:paraId="1C238C3D">
                              <w:pPr>
                                <w:jc w:val="center"/>
                              </w:pPr>
                              <w:r>
                                <w:rPr>
                                  <w:rFonts w:hint="eastAsia"/>
                                </w:rPr>
                                <w:t>项目部、监理、施工方、受委托施工方</w:t>
                              </w:r>
                            </w:p>
                            <w:p w14:paraId="54B35734">
                              <w:pPr>
                                <w:jc w:val="center"/>
                              </w:pPr>
                              <w:r>
                                <w:rPr>
                                  <w:rFonts w:hint="eastAsia"/>
                                </w:rPr>
                                <w:t>确认数量</w:t>
                              </w:r>
                            </w:p>
                            <w:p w14:paraId="0C60AD68"/>
                          </w:txbxContent>
                        </wps:txbx>
                        <wps:bodyPr rot="0" vert="horz" wrap="square" lIns="91440" tIns="45720" rIns="91440" bIns="45720" anchor="t" anchorCtr="0" upright="1">
                          <a:noAutofit/>
                        </wps:bodyPr>
                      </wps:wsp>
                      <wps:wsp>
                        <wps:cNvPr id="186" name="AutoShape 160"/>
                        <wps:cNvSpPr>
                          <a:spLocks noChangeArrowheads="1"/>
                        </wps:cNvSpPr>
                        <wps:spPr bwMode="auto">
                          <a:xfrm>
                            <a:off x="1320" y="11508"/>
                            <a:ext cx="3630" cy="780"/>
                          </a:xfrm>
                          <a:prstGeom prst="flowChartProcess">
                            <a:avLst/>
                          </a:prstGeom>
                          <a:solidFill>
                            <a:srgbClr val="FFFFFF"/>
                          </a:solidFill>
                          <a:ln w="9525">
                            <a:solidFill>
                              <a:srgbClr val="000000"/>
                            </a:solidFill>
                            <a:miter lim="800000"/>
                          </a:ln>
                          <a:effectLst/>
                        </wps:spPr>
                        <wps:txbx>
                          <w:txbxContent>
                            <w:p w14:paraId="4402F22A">
                              <w:pPr>
                                <w:jc w:val="center"/>
                              </w:pPr>
                              <w:r>
                                <w:rPr>
                                  <w:rFonts w:hint="eastAsia"/>
                                </w:rPr>
                                <w:t>项目部、监理、施工方、受委托施工方</w:t>
                              </w:r>
                            </w:p>
                            <w:p w14:paraId="0A579AC7">
                              <w:pPr>
                                <w:jc w:val="center"/>
                              </w:pPr>
                              <w:r>
                                <w:rPr>
                                  <w:rFonts w:hint="eastAsia"/>
                                </w:rPr>
                                <w:t>确认价格</w:t>
                              </w:r>
                            </w:p>
                            <w:p w14:paraId="4CD1696D"/>
                          </w:txbxContent>
                        </wps:txbx>
                        <wps:bodyPr rot="0" vert="horz" wrap="square" lIns="91440" tIns="54000" rIns="91440" bIns="36000" anchor="t" anchorCtr="0" upright="1">
                          <a:noAutofit/>
                        </wps:bodyPr>
                      </wps:wsp>
                      <wps:wsp>
                        <wps:cNvPr id="187" name="Line 161"/>
                        <wps:cNvCnPr/>
                        <wps:spPr bwMode="auto">
                          <a:xfrm>
                            <a:off x="6540" y="3864"/>
                            <a:ext cx="0" cy="600"/>
                          </a:xfrm>
                          <a:prstGeom prst="line">
                            <a:avLst/>
                          </a:prstGeom>
                          <a:noFill/>
                          <a:ln w="9525">
                            <a:solidFill>
                              <a:srgbClr val="000000"/>
                            </a:solidFill>
                            <a:round/>
                            <a:tailEnd type="triangle" w="med" len="med"/>
                          </a:ln>
                          <a:effectLst/>
                        </wps:spPr>
                        <wps:bodyPr/>
                      </wps:wsp>
                      <wps:wsp>
                        <wps:cNvPr id="188" name="Line 162"/>
                        <wps:cNvCnPr/>
                        <wps:spPr bwMode="auto">
                          <a:xfrm flipH="1">
                            <a:off x="3135" y="4854"/>
                            <a:ext cx="1020" cy="0"/>
                          </a:xfrm>
                          <a:prstGeom prst="line">
                            <a:avLst/>
                          </a:prstGeom>
                          <a:noFill/>
                          <a:ln w="9525">
                            <a:solidFill>
                              <a:srgbClr val="000000"/>
                            </a:solidFill>
                            <a:round/>
                          </a:ln>
                          <a:effectLst/>
                        </wps:spPr>
                        <wps:bodyPr/>
                      </wps:wsp>
                      <wps:wsp>
                        <wps:cNvPr id="189" name="Line 163"/>
                        <wps:cNvCnPr/>
                        <wps:spPr bwMode="auto">
                          <a:xfrm>
                            <a:off x="3120" y="4856"/>
                            <a:ext cx="0" cy="568"/>
                          </a:xfrm>
                          <a:prstGeom prst="line">
                            <a:avLst/>
                          </a:prstGeom>
                          <a:noFill/>
                          <a:ln w="9525">
                            <a:solidFill>
                              <a:srgbClr val="000000"/>
                            </a:solidFill>
                            <a:round/>
                            <a:tailEnd type="triangle" w="med" len="med"/>
                          </a:ln>
                          <a:effectLst/>
                        </wps:spPr>
                        <wps:bodyPr/>
                      </wps:wsp>
                      <wps:wsp>
                        <wps:cNvPr id="190" name="Line 164"/>
                        <wps:cNvCnPr/>
                        <wps:spPr bwMode="auto">
                          <a:xfrm>
                            <a:off x="3120" y="6828"/>
                            <a:ext cx="0" cy="447"/>
                          </a:xfrm>
                          <a:prstGeom prst="line">
                            <a:avLst/>
                          </a:prstGeom>
                          <a:noFill/>
                          <a:ln w="9525">
                            <a:solidFill>
                              <a:srgbClr val="000000"/>
                            </a:solidFill>
                            <a:round/>
                            <a:tailEnd type="triangle" w="med" len="med"/>
                          </a:ln>
                          <a:effectLst/>
                        </wps:spPr>
                        <wps:bodyPr/>
                      </wps:wsp>
                      <wps:wsp>
                        <wps:cNvPr id="191" name="Line 165"/>
                        <wps:cNvCnPr/>
                        <wps:spPr bwMode="auto">
                          <a:xfrm>
                            <a:off x="3120" y="8532"/>
                            <a:ext cx="0" cy="792"/>
                          </a:xfrm>
                          <a:prstGeom prst="line">
                            <a:avLst/>
                          </a:prstGeom>
                          <a:noFill/>
                          <a:ln w="9525">
                            <a:solidFill>
                              <a:srgbClr val="000000"/>
                            </a:solidFill>
                            <a:round/>
                            <a:tailEnd type="triangle" w="med" len="med"/>
                          </a:ln>
                          <a:effectLst/>
                        </wps:spPr>
                        <wps:bodyPr/>
                      </wps:wsp>
                      <wps:wsp>
                        <wps:cNvPr id="192" name="Line 166"/>
                        <wps:cNvCnPr/>
                        <wps:spPr bwMode="auto">
                          <a:xfrm>
                            <a:off x="3120" y="10119"/>
                            <a:ext cx="0" cy="1389"/>
                          </a:xfrm>
                          <a:prstGeom prst="line">
                            <a:avLst/>
                          </a:prstGeom>
                          <a:noFill/>
                          <a:ln w="9525">
                            <a:solidFill>
                              <a:srgbClr val="000000"/>
                            </a:solidFill>
                            <a:round/>
                            <a:tailEnd type="triangle" w="med" len="med"/>
                          </a:ln>
                          <a:effectLst/>
                        </wps:spPr>
                        <wps:bodyPr/>
                      </wps:wsp>
                      <wps:wsp>
                        <wps:cNvPr id="193" name="Line 167"/>
                        <wps:cNvCnPr/>
                        <wps:spPr bwMode="auto">
                          <a:xfrm>
                            <a:off x="5160" y="7893"/>
                            <a:ext cx="2461" cy="0"/>
                          </a:xfrm>
                          <a:prstGeom prst="line">
                            <a:avLst/>
                          </a:prstGeom>
                          <a:noFill/>
                          <a:ln w="9525">
                            <a:solidFill>
                              <a:srgbClr val="000000"/>
                            </a:solidFill>
                            <a:round/>
                          </a:ln>
                          <a:effectLst/>
                        </wps:spPr>
                        <wps:bodyPr/>
                      </wps:wsp>
                      <wps:wsp>
                        <wps:cNvPr id="194" name="Line 168"/>
                        <wps:cNvCnPr/>
                        <wps:spPr bwMode="auto">
                          <a:xfrm>
                            <a:off x="7620" y="7893"/>
                            <a:ext cx="0" cy="495"/>
                          </a:xfrm>
                          <a:prstGeom prst="line">
                            <a:avLst/>
                          </a:prstGeom>
                          <a:noFill/>
                          <a:ln w="9525">
                            <a:solidFill>
                              <a:srgbClr val="000000"/>
                            </a:solidFill>
                            <a:round/>
                            <a:tailEnd type="triangle" w="med" len="med"/>
                          </a:ln>
                          <a:effectLst/>
                        </wps:spPr>
                        <wps:bodyPr/>
                      </wps:wsp>
                      <wps:wsp>
                        <wps:cNvPr id="195" name="Line 169"/>
                        <wps:cNvCnPr/>
                        <wps:spPr bwMode="auto">
                          <a:xfrm>
                            <a:off x="7620" y="8856"/>
                            <a:ext cx="0" cy="468"/>
                          </a:xfrm>
                          <a:prstGeom prst="line">
                            <a:avLst/>
                          </a:prstGeom>
                          <a:noFill/>
                          <a:ln w="9525">
                            <a:solidFill>
                              <a:srgbClr val="000000"/>
                            </a:solidFill>
                            <a:round/>
                            <a:tailEnd type="triangle" w="med" len="med"/>
                          </a:ln>
                          <a:effectLst/>
                        </wps:spPr>
                        <wps:bodyPr/>
                      </wps:wsp>
                      <wps:wsp>
                        <wps:cNvPr id="196" name="Line 170"/>
                        <wps:cNvCnPr/>
                        <wps:spPr bwMode="auto">
                          <a:xfrm>
                            <a:off x="8700" y="12756"/>
                            <a:ext cx="0" cy="456"/>
                          </a:xfrm>
                          <a:prstGeom prst="line">
                            <a:avLst/>
                          </a:prstGeom>
                          <a:noFill/>
                          <a:ln w="9525">
                            <a:solidFill>
                              <a:srgbClr val="000000"/>
                            </a:solidFill>
                            <a:round/>
                            <a:tailEnd type="triangle" w="med" len="med"/>
                          </a:ln>
                          <a:effectLst/>
                        </wps:spPr>
                        <wps:bodyPr/>
                      </wps:wsp>
                      <wps:wsp>
                        <wps:cNvPr id="197" name="Line 171"/>
                        <wps:cNvCnPr/>
                        <wps:spPr bwMode="auto">
                          <a:xfrm>
                            <a:off x="3120" y="12288"/>
                            <a:ext cx="0" cy="2270"/>
                          </a:xfrm>
                          <a:prstGeom prst="line">
                            <a:avLst/>
                          </a:prstGeom>
                          <a:noFill/>
                          <a:ln w="9525">
                            <a:solidFill>
                              <a:srgbClr val="000000"/>
                            </a:solidFill>
                            <a:round/>
                          </a:ln>
                          <a:effectLst/>
                        </wps:spPr>
                        <wps:bodyPr/>
                      </wps:wsp>
                      <wps:wsp>
                        <wps:cNvPr id="198" name="Line 172"/>
                        <wps:cNvCnPr/>
                        <wps:spPr bwMode="auto">
                          <a:xfrm>
                            <a:off x="3135" y="14556"/>
                            <a:ext cx="1920" cy="0"/>
                          </a:xfrm>
                          <a:prstGeom prst="line">
                            <a:avLst/>
                          </a:prstGeom>
                          <a:noFill/>
                          <a:ln w="9525">
                            <a:solidFill>
                              <a:srgbClr val="000000"/>
                            </a:solidFill>
                            <a:round/>
                            <a:tailEnd type="triangle" w="med" len="med"/>
                          </a:ln>
                          <a:effectLst/>
                        </wps:spPr>
                        <wps:bodyPr/>
                      </wps:wsp>
                      <wps:wsp>
                        <wps:cNvPr id="199" name="Line 173"/>
                        <wps:cNvCnPr/>
                        <wps:spPr bwMode="auto">
                          <a:xfrm>
                            <a:off x="8888" y="4843"/>
                            <a:ext cx="1620" cy="0"/>
                          </a:xfrm>
                          <a:prstGeom prst="line">
                            <a:avLst/>
                          </a:prstGeom>
                          <a:noFill/>
                          <a:ln w="9525">
                            <a:solidFill>
                              <a:srgbClr val="000000"/>
                            </a:solidFill>
                            <a:round/>
                          </a:ln>
                          <a:effectLst/>
                        </wps:spPr>
                        <wps:bodyPr/>
                      </wps:wsp>
                      <wps:wsp>
                        <wps:cNvPr id="200" name="Line 174"/>
                        <wps:cNvCnPr/>
                        <wps:spPr bwMode="auto">
                          <a:xfrm>
                            <a:off x="10500" y="4854"/>
                            <a:ext cx="0" cy="9693"/>
                          </a:xfrm>
                          <a:prstGeom prst="line">
                            <a:avLst/>
                          </a:prstGeom>
                          <a:noFill/>
                          <a:ln w="9525">
                            <a:solidFill>
                              <a:srgbClr val="000000"/>
                            </a:solidFill>
                            <a:round/>
                          </a:ln>
                          <a:effectLst/>
                        </wps:spPr>
                        <wps:bodyPr/>
                      </wps:wsp>
                      <wps:wsp>
                        <wps:cNvPr id="201" name="Line 175"/>
                        <wps:cNvCnPr/>
                        <wps:spPr bwMode="auto">
                          <a:xfrm flipH="1">
                            <a:off x="7185" y="14565"/>
                            <a:ext cx="3300" cy="0"/>
                          </a:xfrm>
                          <a:prstGeom prst="line">
                            <a:avLst/>
                          </a:prstGeom>
                          <a:noFill/>
                          <a:ln w="9525">
                            <a:solidFill>
                              <a:srgbClr val="000000"/>
                            </a:solidFill>
                            <a:round/>
                            <a:tailEnd type="triangle" w="med" len="med"/>
                          </a:ln>
                          <a:effectLst/>
                        </wps:spPr>
                        <wps:bodyPr/>
                      </wps:wsp>
                      <wps:wsp>
                        <wps:cNvPr id="202" name="AutoShape 176"/>
                        <wps:cNvSpPr>
                          <a:spLocks noChangeArrowheads="1"/>
                        </wps:cNvSpPr>
                        <wps:spPr bwMode="auto">
                          <a:xfrm>
                            <a:off x="4740" y="14262"/>
                            <a:ext cx="2880" cy="594"/>
                          </a:xfrm>
                          <a:prstGeom prst="flowChartTerminator">
                            <a:avLst/>
                          </a:prstGeom>
                          <a:solidFill>
                            <a:srgbClr val="FFFFFF"/>
                          </a:solidFill>
                          <a:ln w="9525">
                            <a:solidFill>
                              <a:srgbClr val="000000"/>
                            </a:solidFill>
                            <a:miter lim="800000"/>
                          </a:ln>
                          <a:effectLst/>
                        </wps:spPr>
                        <wps:txbx>
                          <w:txbxContent>
                            <w:p w14:paraId="0F5DD404">
                              <w:pPr>
                                <w:jc w:val="center"/>
                              </w:pPr>
                              <w:r>
                                <w:rPr>
                                  <w:rFonts w:hint="eastAsia"/>
                                </w:rPr>
                                <w:t>剩余工程施工（垃圾外运）</w:t>
                              </w:r>
                            </w:p>
                          </w:txbxContent>
                        </wps:txbx>
                        <wps:bodyPr rot="0" vert="horz" wrap="square" lIns="91440" tIns="45720" rIns="91440" bIns="45720" anchor="t" anchorCtr="0" upright="1">
                          <a:noAutofit/>
                        </wps:bodyPr>
                      </wps:wsp>
                      <wps:wsp>
                        <wps:cNvPr id="203" name="AutoShape 177"/>
                        <wps:cNvSpPr>
                          <a:spLocks noChangeArrowheads="1"/>
                        </wps:cNvSpPr>
                        <wps:spPr bwMode="auto">
                          <a:xfrm>
                            <a:off x="5100" y="2460"/>
                            <a:ext cx="2700" cy="577"/>
                          </a:xfrm>
                          <a:prstGeom prst="flowChartTerminator">
                            <a:avLst/>
                          </a:prstGeom>
                          <a:solidFill>
                            <a:srgbClr val="FFFFFF"/>
                          </a:solidFill>
                          <a:ln w="9525">
                            <a:solidFill>
                              <a:srgbClr val="000000"/>
                            </a:solidFill>
                            <a:miter lim="800000"/>
                          </a:ln>
                          <a:effectLst/>
                        </wps:spPr>
                        <wps:txbx>
                          <w:txbxContent>
                            <w:p w14:paraId="744427BA">
                              <w:pPr>
                                <w:jc w:val="center"/>
                              </w:pPr>
                              <w:r>
                                <w:rPr>
                                  <w:rFonts w:hint="eastAsia"/>
                                </w:rPr>
                                <w:t>剩余工程（垃圾外运）</w:t>
                              </w:r>
                            </w:p>
                          </w:txbxContent>
                        </wps:txbx>
                        <wps:bodyPr rot="0" vert="horz" wrap="square" lIns="91440" tIns="45720" rIns="91440" bIns="45720" anchor="t" anchorCtr="0" upright="1">
                          <a:noAutofit/>
                        </wps:bodyPr>
                      </wps:wsp>
                      <wps:wsp>
                        <wps:cNvPr id="204" name="Line 178"/>
                        <wps:cNvCnPr/>
                        <wps:spPr bwMode="auto">
                          <a:xfrm flipH="1">
                            <a:off x="4155" y="5655"/>
                            <a:ext cx="720" cy="0"/>
                          </a:xfrm>
                          <a:prstGeom prst="line">
                            <a:avLst/>
                          </a:prstGeom>
                          <a:noFill/>
                          <a:ln w="9525">
                            <a:solidFill>
                              <a:srgbClr val="000000"/>
                            </a:solidFill>
                            <a:round/>
                          </a:ln>
                          <a:effectLst/>
                        </wps:spPr>
                        <wps:bodyPr/>
                      </wps:wsp>
                      <wps:wsp>
                        <wps:cNvPr id="205" name="AutoShape 179"/>
                        <wps:cNvSpPr>
                          <a:spLocks noChangeArrowheads="1"/>
                        </wps:cNvSpPr>
                        <wps:spPr bwMode="auto">
                          <a:xfrm>
                            <a:off x="4875" y="5358"/>
                            <a:ext cx="555" cy="594"/>
                          </a:xfrm>
                          <a:prstGeom prst="flowChartConnector">
                            <a:avLst/>
                          </a:prstGeom>
                          <a:solidFill>
                            <a:srgbClr val="FFFFFF"/>
                          </a:solidFill>
                          <a:ln w="9525">
                            <a:solidFill>
                              <a:srgbClr val="000000"/>
                            </a:solidFill>
                            <a:round/>
                          </a:ln>
                          <a:effectLst/>
                        </wps:spPr>
                        <wps:txbx>
                          <w:txbxContent>
                            <w:p w14:paraId="5D92D406">
                              <w:pPr>
                                <w:jc w:val="center"/>
                              </w:pPr>
                              <w:r>
                                <w:t>1</w:t>
                              </w:r>
                            </w:p>
                          </w:txbxContent>
                        </wps:txbx>
                        <wps:bodyPr rot="0" vert="horz" wrap="square" lIns="91440" tIns="45720" rIns="91440" bIns="45720" anchor="t" anchorCtr="0" upright="1">
                          <a:noAutofit/>
                        </wps:bodyPr>
                      </wps:wsp>
                      <wps:wsp>
                        <wps:cNvPr id="206" name="Rectangle 180"/>
                        <wps:cNvSpPr>
                          <a:spLocks noChangeArrowheads="1"/>
                        </wps:cNvSpPr>
                        <wps:spPr bwMode="auto">
                          <a:xfrm>
                            <a:off x="3315" y="4272"/>
                            <a:ext cx="570" cy="444"/>
                          </a:xfrm>
                          <a:prstGeom prst="rect">
                            <a:avLst/>
                          </a:prstGeom>
                          <a:solidFill>
                            <a:srgbClr val="FFFFFF"/>
                          </a:solidFill>
                          <a:ln>
                            <a:noFill/>
                          </a:ln>
                          <a:effectLst/>
                        </wps:spPr>
                        <wps:txbx>
                          <w:txbxContent>
                            <w:p w14:paraId="7442BE39">
                              <w:r>
                                <w:rPr>
                                  <w:rFonts w:hint="eastAsia"/>
                                </w:rPr>
                                <w:t>否</w:t>
                              </w:r>
                            </w:p>
                          </w:txbxContent>
                        </wps:txbx>
                        <wps:bodyPr rot="0" vert="horz" wrap="square" lIns="91440" tIns="45720" rIns="91440" bIns="45720" anchor="t" anchorCtr="0" upright="1">
                          <a:noAutofit/>
                        </wps:bodyPr>
                      </wps:wsp>
                      <wps:wsp>
                        <wps:cNvPr id="207" name="Rectangle 181"/>
                        <wps:cNvSpPr>
                          <a:spLocks noChangeArrowheads="1"/>
                        </wps:cNvSpPr>
                        <wps:spPr bwMode="auto">
                          <a:xfrm>
                            <a:off x="9240" y="4176"/>
                            <a:ext cx="465" cy="402"/>
                          </a:xfrm>
                          <a:prstGeom prst="rect">
                            <a:avLst/>
                          </a:prstGeom>
                          <a:solidFill>
                            <a:srgbClr val="FFFFFF"/>
                          </a:solidFill>
                          <a:ln>
                            <a:noFill/>
                          </a:ln>
                          <a:effectLst/>
                        </wps:spPr>
                        <wps:txbx>
                          <w:txbxContent>
                            <w:p w14:paraId="1DC95A8F">
                              <w:r>
                                <w:rPr>
                                  <w:rFonts w:hint="eastAsia"/>
                                </w:rPr>
                                <w:t>是</w:t>
                              </w:r>
                            </w:p>
                          </w:txbxContent>
                        </wps:txbx>
                        <wps:bodyPr rot="0" vert="horz" wrap="square" lIns="91440" tIns="45720" rIns="91440" bIns="45720" anchor="t" anchorCtr="0" upright="1">
                          <a:noAutofit/>
                        </wps:bodyPr>
                      </wps:wsp>
                      <wps:wsp>
                        <wps:cNvPr id="208" name="Rectangle 182"/>
                        <wps:cNvSpPr>
                          <a:spLocks noChangeArrowheads="1"/>
                        </wps:cNvSpPr>
                        <wps:spPr bwMode="auto">
                          <a:xfrm>
                            <a:off x="2400" y="8544"/>
                            <a:ext cx="555" cy="447"/>
                          </a:xfrm>
                          <a:prstGeom prst="rect">
                            <a:avLst/>
                          </a:prstGeom>
                          <a:solidFill>
                            <a:srgbClr val="FFFFFF"/>
                          </a:solidFill>
                          <a:ln>
                            <a:noFill/>
                          </a:ln>
                          <a:effectLst/>
                        </wps:spPr>
                        <wps:txbx>
                          <w:txbxContent>
                            <w:p w14:paraId="276E8FC9">
                              <w:r>
                                <w:rPr>
                                  <w:rFonts w:hint="eastAsia"/>
                                </w:rPr>
                                <w:t>是</w:t>
                              </w:r>
                            </w:p>
                          </w:txbxContent>
                        </wps:txbx>
                        <wps:bodyPr rot="0" vert="horz" wrap="square" lIns="91440" tIns="45720" rIns="91440" bIns="45720" anchor="t" anchorCtr="0" upright="1">
                          <a:noAutofit/>
                        </wps:bodyPr>
                      </wps:wsp>
                      <wps:wsp>
                        <wps:cNvPr id="209" name="Rectangle 183"/>
                        <wps:cNvSpPr>
                          <a:spLocks noChangeArrowheads="1"/>
                        </wps:cNvSpPr>
                        <wps:spPr bwMode="auto">
                          <a:xfrm>
                            <a:off x="6000" y="7296"/>
                            <a:ext cx="555" cy="447"/>
                          </a:xfrm>
                          <a:prstGeom prst="rect">
                            <a:avLst/>
                          </a:prstGeom>
                          <a:solidFill>
                            <a:srgbClr val="FFFFFF"/>
                          </a:solidFill>
                          <a:ln>
                            <a:noFill/>
                          </a:ln>
                          <a:effectLst/>
                        </wps:spPr>
                        <wps:txbx>
                          <w:txbxContent>
                            <w:p w14:paraId="579142D1">
                              <w:r>
                                <w:rPr>
                                  <w:rFonts w:hint="eastAsia"/>
                                </w:rPr>
                                <w:t>否</w:t>
                              </w:r>
                            </w:p>
                          </w:txbxContent>
                        </wps:txbx>
                        <wps:bodyPr rot="0" vert="horz" wrap="square" lIns="91440" tIns="45720" rIns="91440" bIns="45720" anchor="t" anchorCtr="0" upright="1">
                          <a:noAutofit/>
                        </wps:bodyPr>
                      </wps:wsp>
                      <wps:wsp>
                        <wps:cNvPr id="210" name="Line 184"/>
                        <wps:cNvCnPr/>
                        <wps:spPr bwMode="auto">
                          <a:xfrm>
                            <a:off x="9405" y="9576"/>
                            <a:ext cx="300" cy="0"/>
                          </a:xfrm>
                          <a:prstGeom prst="line">
                            <a:avLst/>
                          </a:prstGeom>
                          <a:noFill/>
                          <a:ln w="9525">
                            <a:solidFill>
                              <a:srgbClr val="000000"/>
                            </a:solidFill>
                            <a:round/>
                          </a:ln>
                          <a:effectLst/>
                        </wps:spPr>
                        <wps:bodyPr/>
                      </wps:wsp>
                      <wps:wsp>
                        <wps:cNvPr id="211" name="AutoShape 185"/>
                        <wps:cNvSpPr>
                          <a:spLocks noChangeArrowheads="1"/>
                        </wps:cNvSpPr>
                        <wps:spPr bwMode="auto">
                          <a:xfrm>
                            <a:off x="9720" y="9255"/>
                            <a:ext cx="555" cy="594"/>
                          </a:xfrm>
                          <a:prstGeom prst="flowChartConnector">
                            <a:avLst/>
                          </a:prstGeom>
                          <a:solidFill>
                            <a:srgbClr val="FFFFFF"/>
                          </a:solidFill>
                          <a:ln w="9525">
                            <a:solidFill>
                              <a:srgbClr val="000000"/>
                            </a:solidFill>
                            <a:round/>
                          </a:ln>
                          <a:effectLst/>
                        </wps:spPr>
                        <wps:txbx>
                          <w:txbxContent>
                            <w:p w14:paraId="06085F54">
                              <w:pPr>
                                <w:jc w:val="center"/>
                              </w:pPr>
                              <w:r>
                                <w:t>2</w:t>
                              </w:r>
                            </w:p>
                          </w:txbxContent>
                        </wps:txbx>
                        <wps:bodyPr rot="0" vert="horz" wrap="square" lIns="91440" tIns="45720" rIns="91440" bIns="45720" anchor="t" anchorCtr="0" upright="1">
                          <a:noAutofit/>
                        </wps:bodyPr>
                      </wps:wsp>
                      <wps:wsp>
                        <wps:cNvPr id="212" name="AutoShape 186"/>
                        <wps:cNvSpPr>
                          <a:spLocks noChangeArrowheads="1"/>
                        </wps:cNvSpPr>
                        <wps:spPr bwMode="auto">
                          <a:xfrm>
                            <a:off x="6525" y="13208"/>
                            <a:ext cx="555" cy="594"/>
                          </a:xfrm>
                          <a:prstGeom prst="flowChartConnector">
                            <a:avLst/>
                          </a:prstGeom>
                          <a:solidFill>
                            <a:srgbClr val="FFFFFF"/>
                          </a:solidFill>
                          <a:ln w="9525">
                            <a:solidFill>
                              <a:srgbClr val="000000"/>
                            </a:solidFill>
                            <a:round/>
                          </a:ln>
                          <a:effectLst/>
                        </wps:spPr>
                        <wps:txbx>
                          <w:txbxContent>
                            <w:p w14:paraId="75E1C7C1">
                              <w:pPr>
                                <w:jc w:val="center"/>
                              </w:pPr>
                              <w:r>
                                <w:t>3</w:t>
                              </w:r>
                            </w:p>
                          </w:txbxContent>
                        </wps:txbx>
                        <wps:bodyPr rot="0" vert="horz" wrap="square" lIns="91440" tIns="45720" rIns="91440" bIns="45720" anchor="t" anchorCtr="0" upright="1">
                          <a:noAutofit/>
                        </wps:bodyPr>
                      </wps:wsp>
                      <wps:wsp>
                        <wps:cNvPr id="213" name="AutoShape 187"/>
                        <wps:cNvSpPr>
                          <a:spLocks noChangeArrowheads="1"/>
                        </wps:cNvSpPr>
                        <wps:spPr bwMode="auto">
                          <a:xfrm>
                            <a:off x="2040" y="5424"/>
                            <a:ext cx="2160" cy="468"/>
                          </a:xfrm>
                          <a:prstGeom prst="flowChartProcess">
                            <a:avLst/>
                          </a:prstGeom>
                          <a:solidFill>
                            <a:srgbClr val="FFFFFF"/>
                          </a:solidFill>
                          <a:ln w="9525">
                            <a:solidFill>
                              <a:srgbClr val="000000"/>
                            </a:solidFill>
                            <a:miter lim="800000"/>
                          </a:ln>
                          <a:effectLst/>
                        </wps:spPr>
                        <wps:txbx>
                          <w:txbxContent>
                            <w:p w14:paraId="3AE66C67">
                              <w:pPr>
                                <w:jc w:val="center"/>
                              </w:pPr>
                              <w:r>
                                <w:rPr>
                                  <w:rFonts w:hint="eastAsia"/>
                                </w:rPr>
                                <w:t>委托其它单位处理</w:t>
                              </w:r>
                            </w:p>
                            <w:p w14:paraId="48F7B218"/>
                          </w:txbxContent>
                        </wps:txbx>
                        <wps:bodyPr rot="0" vert="horz" wrap="square" lIns="91440" tIns="45720" rIns="91440" bIns="45720" anchor="t" anchorCtr="0" upright="1">
                          <a:noAutofit/>
                        </wps:bodyPr>
                      </wps:wsp>
                      <wps:wsp>
                        <wps:cNvPr id="214" name="Line 188"/>
                        <wps:cNvCnPr/>
                        <wps:spPr bwMode="auto">
                          <a:xfrm>
                            <a:off x="3120" y="5892"/>
                            <a:ext cx="0" cy="468"/>
                          </a:xfrm>
                          <a:prstGeom prst="line">
                            <a:avLst/>
                          </a:prstGeom>
                          <a:noFill/>
                          <a:ln w="9525">
                            <a:solidFill>
                              <a:srgbClr val="000000"/>
                            </a:solidFill>
                            <a:round/>
                            <a:tailEnd type="triangle" w="med" len="med"/>
                          </a:ln>
                          <a:effectLst/>
                        </wps:spPr>
                        <wps:bodyPr/>
                      </wps:wsp>
                      <wps:wsp>
                        <wps:cNvPr id="215" name="Line 189"/>
                        <wps:cNvCnPr/>
                        <wps:spPr bwMode="auto">
                          <a:xfrm>
                            <a:off x="7620" y="10728"/>
                            <a:ext cx="0" cy="626"/>
                          </a:xfrm>
                          <a:prstGeom prst="line">
                            <a:avLst/>
                          </a:prstGeom>
                          <a:noFill/>
                          <a:ln w="9525">
                            <a:solidFill>
                              <a:srgbClr val="000000"/>
                            </a:solidFill>
                            <a:round/>
                          </a:ln>
                          <a:effectLst/>
                        </wps:spPr>
                        <wps:bodyPr/>
                      </wps:wsp>
                      <wps:wsp>
                        <wps:cNvPr id="216" name="Line 190"/>
                        <wps:cNvCnPr/>
                        <wps:spPr bwMode="auto">
                          <a:xfrm>
                            <a:off x="6135" y="11352"/>
                            <a:ext cx="2566" cy="0"/>
                          </a:xfrm>
                          <a:prstGeom prst="line">
                            <a:avLst/>
                          </a:prstGeom>
                          <a:noFill/>
                          <a:ln w="9525">
                            <a:solidFill>
                              <a:srgbClr val="000000"/>
                            </a:solidFill>
                            <a:round/>
                          </a:ln>
                          <a:effectLst/>
                        </wps:spPr>
                        <wps:bodyPr/>
                      </wps:wsp>
                      <wps:wsp>
                        <wps:cNvPr id="217" name="Line 191"/>
                        <wps:cNvCnPr/>
                        <wps:spPr bwMode="auto">
                          <a:xfrm>
                            <a:off x="8700" y="11352"/>
                            <a:ext cx="0" cy="624"/>
                          </a:xfrm>
                          <a:prstGeom prst="line">
                            <a:avLst/>
                          </a:prstGeom>
                          <a:noFill/>
                          <a:ln w="9525">
                            <a:solidFill>
                              <a:srgbClr val="000000"/>
                            </a:solidFill>
                            <a:round/>
                            <a:tailEnd type="triangle" w="med" len="med"/>
                          </a:ln>
                          <a:effectLst/>
                        </wps:spPr>
                        <wps:bodyPr/>
                      </wps:wsp>
                      <wps:wsp>
                        <wps:cNvPr id="218" name="Line 192"/>
                        <wps:cNvCnPr/>
                        <wps:spPr bwMode="auto">
                          <a:xfrm>
                            <a:off x="6128" y="11358"/>
                            <a:ext cx="0" cy="2917"/>
                          </a:xfrm>
                          <a:prstGeom prst="line">
                            <a:avLst/>
                          </a:prstGeom>
                          <a:noFill/>
                          <a:ln w="9525">
                            <a:solidFill>
                              <a:srgbClr val="000000"/>
                            </a:solidFill>
                            <a:round/>
                            <a:tailEnd type="triangle" w="med" len="med"/>
                          </a:ln>
                          <a:effectLst/>
                        </wps:spPr>
                        <wps:bodyPr/>
                      </wps:wsp>
                      <wps:wsp>
                        <wps:cNvPr id="219" name="Line 193"/>
                        <wps:cNvCnPr/>
                        <wps:spPr bwMode="auto">
                          <a:xfrm>
                            <a:off x="7080" y="13536"/>
                            <a:ext cx="353" cy="0"/>
                          </a:xfrm>
                          <a:prstGeom prst="line">
                            <a:avLst/>
                          </a:prstGeom>
                          <a:noFill/>
                          <a:ln w="9525">
                            <a:solidFill>
                              <a:srgbClr val="000000"/>
                            </a:solidFill>
                            <a:round/>
                          </a:ln>
                          <a:effectLst/>
                        </wps:spPr>
                        <wps:bodyPr/>
                      </wps:wsp>
                      <wps:wsp>
                        <wps:cNvPr id="220" name="AutoShape 194"/>
                        <wps:cNvSpPr>
                          <a:spLocks noChangeArrowheads="1"/>
                        </wps:cNvSpPr>
                        <wps:spPr bwMode="auto">
                          <a:xfrm>
                            <a:off x="6180" y="10260"/>
                            <a:ext cx="2880" cy="468"/>
                          </a:xfrm>
                          <a:prstGeom prst="flowChartProcess">
                            <a:avLst/>
                          </a:prstGeom>
                          <a:solidFill>
                            <a:srgbClr val="FFFFFF"/>
                          </a:solidFill>
                          <a:ln w="9525">
                            <a:solidFill>
                              <a:srgbClr val="000000"/>
                            </a:solidFill>
                            <a:miter lim="800000"/>
                          </a:ln>
                          <a:effectLst/>
                        </wps:spPr>
                        <wps:txbx>
                          <w:txbxContent>
                            <w:p w14:paraId="313D1F1E">
                              <w:pPr>
                                <w:jc w:val="center"/>
                              </w:pPr>
                              <w:r>
                                <w:rPr>
                                  <w:rFonts w:hint="eastAsia"/>
                                </w:rPr>
                                <w:t>给被扣款方发监理通知单</w:t>
                              </w:r>
                            </w:p>
                            <w:p w14:paraId="7B3B5BD8"/>
                          </w:txbxContent>
                        </wps:txbx>
                        <wps:bodyPr rot="0" vert="horz" wrap="square" lIns="91440" tIns="45720" rIns="91440" bIns="45720" anchor="t" anchorCtr="0" upright="1">
                          <a:noAutofit/>
                        </wps:bodyPr>
                      </wps:wsp>
                      <wps:wsp>
                        <wps:cNvPr id="221" name="Line 195"/>
                        <wps:cNvCnPr/>
                        <wps:spPr bwMode="auto">
                          <a:xfrm>
                            <a:off x="7620" y="9792"/>
                            <a:ext cx="0" cy="468"/>
                          </a:xfrm>
                          <a:prstGeom prst="line">
                            <a:avLst/>
                          </a:prstGeom>
                          <a:noFill/>
                          <a:ln w="9525">
                            <a:solidFill>
                              <a:srgbClr val="000000"/>
                            </a:solidFill>
                            <a:round/>
                            <a:tailEnd type="triangle" w="med" len="med"/>
                          </a:ln>
                          <a:effectLst/>
                        </wps:spPr>
                        <wps:bodyPr/>
                      </wps:wsp>
                      <wps:wsp>
                        <wps:cNvPr id="222" name="AutoShape 196"/>
                        <wps:cNvSpPr>
                          <a:spLocks noChangeArrowheads="1"/>
                        </wps:cNvSpPr>
                        <wps:spPr bwMode="auto">
                          <a:xfrm>
                            <a:off x="5460" y="3477"/>
                            <a:ext cx="2520" cy="468"/>
                          </a:xfrm>
                          <a:prstGeom prst="flowChartProcess">
                            <a:avLst/>
                          </a:prstGeom>
                          <a:solidFill>
                            <a:srgbClr val="FFFFFF"/>
                          </a:solidFill>
                          <a:ln w="9525">
                            <a:solidFill>
                              <a:srgbClr val="000000"/>
                            </a:solidFill>
                            <a:miter lim="800000"/>
                          </a:ln>
                          <a:effectLst/>
                        </wps:spPr>
                        <wps:txbx>
                          <w:txbxContent>
                            <w:p w14:paraId="0537FAEB">
                              <w:pPr>
                                <w:jc w:val="center"/>
                              </w:pPr>
                              <w:r>
                                <w:rPr>
                                  <w:rFonts w:hint="eastAsia"/>
                                </w:rPr>
                                <w:t>电话通知施工单位处理</w:t>
                              </w:r>
                            </w:p>
                            <w:p w14:paraId="59986765"/>
                          </w:txbxContent>
                        </wps:txbx>
                        <wps:bodyPr rot="0" vert="horz" wrap="square" lIns="91440" tIns="45720" rIns="91440" bIns="45720" anchor="t" anchorCtr="0" upright="1">
                          <a:noAutofit/>
                        </wps:bodyPr>
                      </wps:wsp>
                      <wps:wsp>
                        <wps:cNvPr id="223" name="Line 197"/>
                        <wps:cNvCnPr/>
                        <wps:spPr bwMode="auto">
                          <a:xfrm>
                            <a:off x="6540" y="3033"/>
                            <a:ext cx="0" cy="444"/>
                          </a:xfrm>
                          <a:prstGeom prst="line">
                            <a:avLst/>
                          </a:prstGeom>
                          <a:noFill/>
                          <a:ln w="9525">
                            <a:solidFill>
                              <a:srgbClr val="000000"/>
                            </a:solidFill>
                            <a:round/>
                            <a:tailEnd type="triangle" w="med" len="med"/>
                          </a:ln>
                          <a:effectLst/>
                        </wps:spPr>
                        <wps:bodyPr/>
                      </wps:wsp>
                    </wpg:wgp>
                  </a:graphicData>
                </a:graphic>
              </wp:anchor>
            </w:drawing>
          </mc:Choice>
          <mc:Fallback>
            <w:pict>
              <v:group id="Group 151" o:spid="_x0000_s1026" o:spt="203" style="position:absolute;left:0pt;margin-left:-3pt;margin-top:5.9pt;height:627.2pt;width:461.25pt;z-index:251951104;mso-width-relative:page;mso-height-relative:page;" coordorigin="1050,2460" coordsize="9458,12396" o:gfxdata="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">
                <o:lock v:ext="edit" aspectratio="f"/>
                <v:shape id="AutoShape 152" o:spid="_x0000_s1026" o:spt="109" type="#_x0000_t109" style="position:absolute;left:2040;top:6360;height:468;width:2160;" fillcolor="#FFFFFF" filled="t" stroked="t" coordsize="21600,21600" o:gfxdata="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4dnLU&#10;wAAAANw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14:paraId="0776A34E">
                        <w:pPr>
                          <w:jc w:val="center"/>
                        </w:pPr>
                        <w:r>
                          <w:rPr>
                            <w:rFonts w:hint="eastAsia"/>
                          </w:rPr>
                          <w:t>数量确认</w:t>
                        </w:r>
                      </w:p>
                      <w:p w14:paraId="19CC68F2"/>
                    </w:txbxContent>
                  </v:textbox>
                </v:shape>
                <v:shape id="AutoShape 153" o:spid="_x0000_s1026" o:spt="110" type="#_x0000_t110" style="position:absolute;left:4155;top:4470;height:762;width:4740;" fillcolor="#FFFFFF" filled="t" stroked="t" coordsize="21600,21600" o:gfxdata="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z1WbC8AAAA&#10;3A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14:paraId="1A6A251B">
                        <w:r>
                          <w:rPr>
                            <w:rFonts w:hint="eastAsia"/>
                          </w:rPr>
                          <w:t>施工单位是否处理</w:t>
                        </w:r>
                      </w:p>
                    </w:txbxContent>
                  </v:textbox>
                </v:shape>
                <v:shape id="AutoShape 154" o:spid="_x0000_s1026" o:spt="110" type="#_x0000_t110" style="position:absolute;left:1050;top:7266;height:1260;width:4140;" fillcolor="#FFFFFF" filled="t" stroked="t" coordsize="21600,21600" o:gfxdata="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gagAq/&#10;AAAA3A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w:txbxContent>
                      <w:p w14:paraId="7DACA9FC">
                        <w:pPr>
                          <w:jc w:val="center"/>
                        </w:pPr>
                        <w:r>
                          <w:rPr>
                            <w:rFonts w:hint="eastAsia"/>
                          </w:rPr>
                          <w:t>施工单位是否参与</w:t>
                        </w:r>
                      </w:p>
                      <w:p w14:paraId="1889E217">
                        <w:pPr>
                          <w:jc w:val="center"/>
                        </w:pPr>
                        <w:r>
                          <w:rPr>
                            <w:rFonts w:hint="eastAsia"/>
                          </w:rPr>
                          <w:t>数量确认</w:t>
                        </w:r>
                      </w:p>
                    </w:txbxContent>
                  </v:textbox>
                </v:shape>
                <v:shape id="AutoShape 155" o:spid="_x0000_s1026" o:spt="109" type="#_x0000_t109" style="position:absolute;left:5640;top:8391;height:468;width:3960;" fillcolor="#FFFFFF" filled="t" stroked="t" coordsize="21600,21600" o:gfxdata="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yZq268AAAA&#10;3A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14:paraId="1027B552">
                        <w:pPr>
                          <w:jc w:val="center"/>
                        </w:pPr>
                        <w:r>
                          <w:rPr>
                            <w:rFonts w:hint="eastAsia"/>
                          </w:rPr>
                          <w:t>项目部、监理、受委托施工方确认数量</w:t>
                        </w:r>
                      </w:p>
                      <w:p w14:paraId="09A75B7A"/>
                    </w:txbxContent>
                  </v:textbox>
                </v:shape>
                <v:shape id="AutoShape 156" o:spid="_x0000_s1026" o:spt="109" type="#_x0000_t109" style="position:absolute;left:7170;top:11967;height:789;width:3060;" fillcolor="#FFFFFF" filled="t" stroked="t" coordsize="21600,21600" o:gfxdata="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SzUZ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14:paraId="00FC8BBE">
                        <w:pPr>
                          <w:jc w:val="center"/>
                        </w:pPr>
                        <w:r>
                          <w:rPr>
                            <w:rFonts w:hint="eastAsia"/>
                          </w:rPr>
                          <w:t>监理例会通报，并在会议纪要中明确监理扣款通知单内容</w:t>
                        </w:r>
                      </w:p>
                    </w:txbxContent>
                  </v:textbox>
                </v:shape>
                <v:shape id="AutoShape 157" o:spid="_x0000_s1026" o:spt="109" type="#_x0000_t109" style="position:absolute;left:5460;top:9324;height:468;width:3945;" fillcolor="#FFFFFF" filled="t" stroked="t" coordsize="21600,21600" o:gfxdata="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HkIK8AAAA&#10;3A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14:paraId="05B396E2">
                        <w:pPr>
                          <w:jc w:val="center"/>
                        </w:pPr>
                        <w:r>
                          <w:rPr>
                            <w:rFonts w:hint="eastAsia"/>
                          </w:rPr>
                          <w:t>项目部、监理、受委托施工方确认价格格</w:t>
                        </w:r>
                      </w:p>
                      <w:p w14:paraId="60C39142"/>
                    </w:txbxContent>
                  </v:textbox>
                </v:shape>
                <v:shape id="AutoShape 158" o:spid="_x0000_s1026" o:spt="109" type="#_x0000_t109" style="position:absolute;left:7440;top:13224;height:468;width:2655;" fillcolor="#FFFFFF" filled="t" stroked="t" coordsize="21600,21600" o:gfxdata="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zuCPa8AAAA&#10;3A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14:paraId="12947A52">
                        <w:pPr>
                          <w:jc w:val="center"/>
                        </w:pPr>
                        <w:r>
                          <w:rPr>
                            <w:rFonts w:hint="eastAsia"/>
                          </w:rPr>
                          <w:t>给施工单位发扣款通知单</w:t>
                        </w:r>
                      </w:p>
                      <w:p w14:paraId="5E01FE57"/>
                    </w:txbxContent>
                  </v:textbox>
                </v:shape>
                <v:shape id="AutoShape 159" o:spid="_x0000_s1026" o:spt="109" type="#_x0000_t109" style="position:absolute;left:1320;top:9324;height:780;width:3600;" fillcolor="#FFFFFF" filled="t" stroked="t" coordsize="21600,21600" o:gfxdata="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oq1t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14:paraId="1C238C3D">
                        <w:pPr>
                          <w:jc w:val="center"/>
                        </w:pPr>
                        <w:r>
                          <w:rPr>
                            <w:rFonts w:hint="eastAsia"/>
                          </w:rPr>
                          <w:t>项目部、监理、施工方、受委托施工方</w:t>
                        </w:r>
                      </w:p>
                      <w:p w14:paraId="54B35734">
                        <w:pPr>
                          <w:jc w:val="center"/>
                        </w:pPr>
                        <w:r>
                          <w:rPr>
                            <w:rFonts w:hint="eastAsia"/>
                          </w:rPr>
                          <w:t>确认数量</w:t>
                        </w:r>
                      </w:p>
                      <w:p w14:paraId="0C60AD68"/>
                    </w:txbxContent>
                  </v:textbox>
                </v:shape>
                <v:shape id="AutoShape 160" o:spid="_x0000_s1026" o:spt="109" type="#_x0000_t109" style="position:absolute;left:1320;top:11508;height:780;width:3630;" fillcolor="#FFFFFF" filled="t" stroked="t" coordsize="21600,21600" o:gfxdata="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tvO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inset="2.54mm,1.5mm,2.54mm,1mm">
                    <w:txbxContent>
                      <w:p w14:paraId="4402F22A">
                        <w:pPr>
                          <w:jc w:val="center"/>
                        </w:pPr>
                        <w:r>
                          <w:rPr>
                            <w:rFonts w:hint="eastAsia"/>
                          </w:rPr>
                          <w:t>项目部、监理、施工方、受委托施工方</w:t>
                        </w:r>
                      </w:p>
                      <w:p w14:paraId="0A579AC7">
                        <w:pPr>
                          <w:jc w:val="center"/>
                        </w:pPr>
                        <w:r>
                          <w:rPr>
                            <w:rFonts w:hint="eastAsia"/>
                          </w:rPr>
                          <w:t>确认价格</w:t>
                        </w:r>
                      </w:p>
                      <w:p w14:paraId="4CD1696D"/>
                    </w:txbxContent>
                  </v:textbox>
                </v:shape>
                <v:line id="Line 161" o:spid="_x0000_s1026" o:spt="20" style="position:absolute;left:6540;top:3864;height:600;width:0;" filled="f" stroked="t" coordsize="21600,21600" o:gfxdata="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IdlmL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62" o:spid="_x0000_s1026" o:spt="20" style="position:absolute;left:3135;top:4854;flip:x;height:0;width:1020;" filled="f" stroked="t" coordsize="21600,21600" o:gfxdata="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2ZiKr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163" o:spid="_x0000_s1026" o:spt="20" style="position:absolute;left:3120;top:4856;height:568;width:0;" filled="f" stroked="t" coordsize="21600,21600" o:gfxdata="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VFRx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Line 164" o:spid="_x0000_s1026" o:spt="20" style="position:absolute;left:3120;top:6828;height:447;width:0;" filled="f" stroked="t" coordsize="21600,21600" o:gfxdata="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rdr&#10;McEAAADc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line>
                <v:line id="Line 165" o:spid="_x0000_s1026" o:spt="20" style="position:absolute;left:3120;top:8532;height:792;width:0;" filled="f" stroked="t" coordsize="21600,21600" o:gfxdata="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86q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Line 166" o:spid="_x0000_s1026" o:spt="20" style="position:absolute;left:3120;top:10119;height:1389;width:0;" filled="f" stroked="t" coordsize="21600,21600" o:gfxdata="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SlQ3b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Line 167" o:spid="_x0000_s1026" o:spt="20" style="position:absolute;left:5160;top:7893;height:0;width:2461;" filled="f" stroked="t" coordsize="21600,21600" o:gfxdata="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JZLX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168" o:spid="_x0000_s1026" o:spt="20" style="position:absolute;left:7620;top:7893;height:495;width:0;" filled="f" stroked="t" coordsize="21600,21600" o:gfxdata="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jG0y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Line 169" o:spid="_x0000_s1026" o:spt="20" style="position:absolute;left:7620;top:8856;height:468;width:0;" filled="f" stroked="t" coordsize="21600,21600" o:gfxdata="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wMip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Line 170" o:spid="_x0000_s1026" o:spt="20" style="position:absolute;left:8700;top:12756;height:456;width:0;" filled="f" stroked="t" coordsize="21600,21600" o:gfxdata="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Elbe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Line 171" o:spid="_x0000_s1026" o:spt="20" style="position:absolute;left:3120;top:12288;height:2270;width:0;" filled="f" stroked="t" coordsize="21600,21600" o:gfxdata="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HpTU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172" o:spid="_x0000_s1026" o:spt="20" style="position:absolute;left:3135;top:14556;height:0;width:1920;" filled="f" stroked="t" coordsize="21600,21600" o:gfxdata="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MFn&#10;N8EAAADc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line>
                <v:line id="Line 173" o:spid="_x0000_s1026" o:spt="20" style="position:absolute;left:8888;top:4843;height:0;width:1620;" filled="f" stroked="t" coordsize="21600,21600" o:gfxdata="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zaU9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Line 174" o:spid="_x0000_s1026" o:spt="20" style="position:absolute;left:10500;top:4854;height:9693;width:0;" filled="f" stroked="t" coordsize="21600,21600" o:gfxdata="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9j4W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175" o:spid="_x0000_s1026" o:spt="20" style="position:absolute;left:7185;top:14565;flip:x;height:0;width:3300;" filled="f" stroked="t" coordsize="21600,21600" o:gfxdata="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tqNuG/&#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AutoShape 176" o:spid="_x0000_s1026" o:spt="116" type="#_x0000_t116" style="position:absolute;left:4740;top:14262;height:594;width:2880;" fillcolor="#FFFFFF" filled="t" stroked="t" coordsize="21600,21600" o:gfxdata="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p76v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14:paraId="0F5DD404">
                        <w:pPr>
                          <w:jc w:val="center"/>
                        </w:pPr>
                        <w:r>
                          <w:rPr>
                            <w:rFonts w:hint="eastAsia"/>
                          </w:rPr>
                          <w:t>剩余工程施工（垃圾外运）</w:t>
                        </w:r>
                      </w:p>
                    </w:txbxContent>
                  </v:textbox>
                </v:shape>
                <v:shape id="AutoShape 177" o:spid="_x0000_s1026" o:spt="116" type="#_x0000_t116" style="position:absolute;left:5100;top:2460;height:577;width:2700;" fillcolor="#FFFFFF" filled="t" stroked="t" coordsize="21600,21600" o:gfxdata="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6xs0vQAA&#10;ANw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textbox>
                    <w:txbxContent>
                      <w:p w14:paraId="744427BA">
                        <w:pPr>
                          <w:jc w:val="center"/>
                        </w:pPr>
                        <w:r>
                          <w:rPr>
                            <w:rFonts w:hint="eastAsia"/>
                          </w:rPr>
                          <w:t>剩余工程（垃圾外运）</w:t>
                        </w:r>
                      </w:p>
                    </w:txbxContent>
                  </v:textbox>
                </v:shape>
                <v:line id="Line 178" o:spid="_x0000_s1026" o:spt="20" style="position:absolute;left:4155;top:5655;flip:x;height:0;width:720;" filled="f" stroked="t" coordsize="21600,21600" o:gfxdata="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N0KC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AutoShape 179" o:spid="_x0000_s1026" o:spt="120" type="#_x0000_t120" style="position:absolute;left:4875;top:5358;height:594;width:555;" fillcolor="#FFFFFF" filled="t" stroked="t" coordsize="21600,21600" o:gfxdata="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K2uuL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5D92D406">
                        <w:pPr>
                          <w:jc w:val="center"/>
                        </w:pPr>
                        <w:r>
                          <w:t>1</w:t>
                        </w:r>
                      </w:p>
                    </w:txbxContent>
                  </v:textbox>
                </v:shape>
                <v:rect id="Rectangle 180" o:spid="_x0000_s1026" o:spt="1" style="position:absolute;left:3315;top:4272;height:444;width:570;" fillcolor="#FFFFFF" filled="t" stroked="f" coordsize="21600,21600" o:gfxdata="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tb7Lr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7442BE39">
                        <w:r>
                          <w:rPr>
                            <w:rFonts w:hint="eastAsia"/>
                          </w:rPr>
                          <w:t>否</w:t>
                        </w:r>
                      </w:p>
                    </w:txbxContent>
                  </v:textbox>
                </v:rect>
                <v:rect id="Rectangle 181" o:spid="_x0000_s1026" o:spt="1" style="position:absolute;left:9240;top:4176;height:402;width:465;" fillcolor="#FFFFFF" filled="t" stroked="f" coordsize="21600,21600" o:gfxdata="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GaXrW/&#10;AAAA3AAAAA8AAAAAAAAAAQAgAAAAIgAAAGRycy9kb3ducmV2LnhtbFBLAQIUABQAAAAIAIdO4kAz&#10;LwWeOwAAADkAAAAQAAAAAAAAAAEAIAAAAA4BAABkcnMvc2hhcGV4bWwueG1sUEsFBgAAAAAGAAYA&#10;WwEAALgDAAAAAA==&#10;">
                  <v:fill on="t" focussize="0,0"/>
                  <v:stroke on="f"/>
                  <v:imagedata o:title=""/>
                  <o:lock v:ext="edit" aspectratio="f"/>
                  <v:textbox>
                    <w:txbxContent>
                      <w:p w14:paraId="1DC95A8F">
                        <w:r>
                          <w:rPr>
                            <w:rFonts w:hint="eastAsia"/>
                          </w:rPr>
                          <w:t>是</w:t>
                        </w:r>
                      </w:p>
                    </w:txbxContent>
                  </v:textbox>
                </v:rect>
                <v:rect id="Rectangle 182" o:spid="_x0000_s1026" o:spt="1" style="position:absolute;left:2400;top:8544;height:447;width:555;" fillcolor="#FFFFFF" filled="t" stroked="f" coordsize="21600,21600" o:gfxdata="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BcrHugAAANwA&#10;AAAPAAAAAAAAAAEAIAAAACIAAABkcnMvZG93bnJldi54bWxQSwECFAAUAAAACACHTuJAMy8FnjsA&#10;AAA5AAAAEAAAAAAAAAABACAAAAAJAQAAZHJzL3NoYXBleG1sLnhtbFBLBQYAAAAABgAGAFsBAACz&#10;AwAAAAA=&#10;">
                  <v:fill on="t" focussize="0,0"/>
                  <v:stroke on="f"/>
                  <v:imagedata o:title=""/>
                  <o:lock v:ext="edit" aspectratio="f"/>
                  <v:textbox>
                    <w:txbxContent>
                      <w:p w14:paraId="276E8FC9">
                        <w:r>
                          <w:rPr>
                            <w:rFonts w:hint="eastAsia"/>
                          </w:rPr>
                          <w:t>是</w:t>
                        </w:r>
                      </w:p>
                    </w:txbxContent>
                  </v:textbox>
                </v:rect>
                <v:rect id="Rectangle 183" o:spid="_x0000_s1026" o:spt="1" style="position:absolute;left:6000;top:7296;height:447;width:555;" fillcolor="#FFFFFF" filled="t" stroked="f" coordsize="21600,21600" o:gfxdata="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lvXL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579142D1">
                        <w:r>
                          <w:rPr>
                            <w:rFonts w:hint="eastAsia"/>
                          </w:rPr>
                          <w:t>否</w:t>
                        </w:r>
                      </w:p>
                    </w:txbxContent>
                  </v:textbox>
                </v:rect>
                <v:line id="Line 184" o:spid="_x0000_s1026" o:spt="20" style="position:absolute;left:9405;top:9576;height:0;width:300;" filled="f" stroked="t" coordsize="21600,21600" o:gfxdata="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6AW6G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shape id="AutoShape 185" o:spid="_x0000_s1026" o:spt="120" type="#_x0000_t120" style="position:absolute;left:9720;top:9255;height:594;width:555;" fillcolor="#FFFFFF" filled="t" stroked="t" coordsize="21600,21600" o:gfxdata="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k8+Zr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06085F54">
                        <w:pPr>
                          <w:jc w:val="center"/>
                        </w:pPr>
                        <w:r>
                          <w:t>2</w:t>
                        </w:r>
                      </w:p>
                    </w:txbxContent>
                  </v:textbox>
                </v:shape>
                <v:shape id="AutoShape 186" o:spid="_x0000_s1026" o:spt="120" type="#_x0000_t120" style="position:absolute;left:6525;top:13208;height:594;width:555;" fillcolor="#FFFFFF" filled="t" stroked="t" coordsize="21600,21600" o:gfxdata="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p2gEb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14:paraId="75E1C7C1">
                        <w:pPr>
                          <w:jc w:val="center"/>
                        </w:pPr>
                        <w:r>
                          <w:t>3</w:t>
                        </w:r>
                      </w:p>
                    </w:txbxContent>
                  </v:textbox>
                </v:shape>
                <v:shape id="AutoShape 187" o:spid="_x0000_s1026" o:spt="109" type="#_x0000_t109" style="position:absolute;left:2040;top:5424;height:468;width:2160;" fillcolor="#FFFFFF" filled="t" stroked="t" coordsize="21600,21600" o:gfxdata="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oZHm/&#10;AAAA3A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w:txbxContent>
                      <w:p w14:paraId="3AE66C67">
                        <w:pPr>
                          <w:jc w:val="center"/>
                        </w:pPr>
                        <w:r>
                          <w:rPr>
                            <w:rFonts w:hint="eastAsia"/>
                          </w:rPr>
                          <w:t>委托其它单位处理</w:t>
                        </w:r>
                      </w:p>
                      <w:p w14:paraId="48F7B218"/>
                    </w:txbxContent>
                  </v:textbox>
                </v:shape>
                <v:line id="Line 188" o:spid="_x0000_s1026" o:spt="20" style="position:absolute;left:3120;top:5892;height:468;width:0;" filled="f" stroked="t" coordsize="21600,21600" o:gfxdata="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6Dx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89" o:spid="_x0000_s1026" o:spt="20" style="position:absolute;left:7620;top:10728;height:626;width:0;" filled="f" stroked="t" coordsize="21600,21600" o:gfxdata="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nbNHr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190" o:spid="_x0000_s1026" o:spt="20" style="position:absolute;left:6135;top:11352;height:0;width:2566;" filled="f" stroked="t" coordsize="21600,21600" o:gfxdata="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pFNp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191" o:spid="_x0000_s1026" o:spt="20" style="position:absolute;left:8700;top:11352;height:624;width:0;" filled="f" stroked="t" coordsize="21600,21600" o:gfxdata="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eokW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Line 192" o:spid="_x0000_s1026" o:spt="20" style="position:absolute;left:6128;top:11358;height:2917;width:0;" filled="f" stroked="t" coordsize="21600,21600" o:gfxdata="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jcFEb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Line 193" o:spid="_x0000_s1026" o:spt="20" style="position:absolute;left:7080;top:13536;height:0;width:353;" filled="f" stroked="t" coordsize="21600,21600" o:gfxdata="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zvHG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AutoShape 194" o:spid="_x0000_s1026" o:spt="109" type="#_x0000_t109" style="position:absolute;left:6180;top:10260;height:468;width:2880;" fillcolor="#FFFFFF" filled="t" stroked="t" coordsize="21600,21600" o:gfxdata="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6WMLO8AAAA&#10;3A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14:paraId="313D1F1E">
                        <w:pPr>
                          <w:jc w:val="center"/>
                        </w:pPr>
                        <w:r>
                          <w:rPr>
                            <w:rFonts w:hint="eastAsia"/>
                          </w:rPr>
                          <w:t>给被扣款方发监理通知单</w:t>
                        </w:r>
                      </w:p>
                      <w:p w14:paraId="7B3B5BD8"/>
                    </w:txbxContent>
                  </v:textbox>
                </v:shape>
                <v:line id="Line 195" o:spid="_x0000_s1026" o:spt="20" style="position:absolute;left:7620;top:9792;height:468;width:0;" filled="f" stroked="t" coordsize="21600,21600" o:gfxdata="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ZYWYx&#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AutoShape 196" o:spid="_x0000_s1026" o:spt="109" type="#_x0000_t109" style="position:absolute;left:5460;top:3477;height:468;width:2520;" fillcolor="#FFFFFF" filled="t" stroked="t" coordsize="21600,21600" o:gfxdata="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EIC1+/&#10;AAAA3A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w:txbxContent>
                      <w:p w14:paraId="0537FAEB">
                        <w:pPr>
                          <w:jc w:val="center"/>
                        </w:pPr>
                        <w:r>
                          <w:rPr>
                            <w:rFonts w:hint="eastAsia"/>
                          </w:rPr>
                          <w:t>电话通知施工单位处理</w:t>
                        </w:r>
                      </w:p>
                      <w:p w14:paraId="59986765"/>
                    </w:txbxContent>
                  </v:textbox>
                </v:shape>
                <v:line id="Line 197" o:spid="_x0000_s1026" o:spt="20" style="position:absolute;left:6540;top:3033;height:444;width:0;" filled="f" stroked="t" coordsize="21600,21600" o:gfxdata="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13d&#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group>
            </w:pict>
          </mc:Fallback>
        </mc:AlternateContent>
      </w:r>
      <w:r>
        <w:rPr>
          <w:rFonts w:hint="eastAsia" w:cs="宋体" w:asciiTheme="minorEastAsia" w:hAnsiTheme="minorEastAsia" w:eastAsiaTheme="minorEastAsia"/>
          <w:color w:val="auto"/>
          <w:szCs w:val="21"/>
          <w:highlight w:val="none"/>
        </w:rPr>
        <w:t>一、扣款流程：</w:t>
      </w:r>
    </w:p>
    <w:p w14:paraId="10CD091B">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3424C626">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61599269">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5012AAD0">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6810AD13">
      <w:pPr>
        <w:tabs>
          <w:tab w:val="left" w:pos="1980"/>
        </w:tabs>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241BC764">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0E3889DA">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5317AFC8">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29663D57">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7557F5FA">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6123EB85">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101A7F1E">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698D3CCC">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32A2418F">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474E553D">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50BD058D">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504EE26D">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0D822102">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2D71B6F7">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71A9B4D3">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2EFAE66B">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3DC7C378">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1DA467A6">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6BA564BC">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1EECC436">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72039200">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770BFF26">
      <w:pPr>
        <w:ind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br w:type="page"/>
      </w:r>
    </w:p>
    <w:p w14:paraId="25BE707B">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w:t>
      </w:r>
      <w:r>
        <w:rPr>
          <w:rFonts w:cs="宋体" w:asciiTheme="minorEastAsia" w:hAnsiTheme="minorEastAsia" w:eastAsiaTheme="minorEastAsia"/>
          <w:color w:val="auto"/>
          <w:szCs w:val="21"/>
          <w:highlight w:val="none"/>
        </w:rPr>
        <w:t>1：</w:t>
      </w:r>
    </w:p>
    <w:p w14:paraId="6BEE26CE">
      <w:pPr>
        <w:adjustRightInd w:val="0"/>
        <w:snapToGrid w:val="0"/>
        <w:spacing w:line="360" w:lineRule="auto"/>
        <w:ind w:firstLine="643"/>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剩余工程施工（垃圾外运）扣款通知单</w:t>
      </w:r>
    </w:p>
    <w:tbl>
      <w:tblPr>
        <w:tblStyle w:val="56"/>
        <w:tblW w:w="9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5"/>
        <w:gridCol w:w="569"/>
        <w:gridCol w:w="2489"/>
        <w:gridCol w:w="2011"/>
        <w:gridCol w:w="2464"/>
      </w:tblGrid>
      <w:tr w14:paraId="4D05D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2554" w:type="dxa"/>
            <w:gridSpan w:val="2"/>
            <w:vAlign w:val="center"/>
          </w:tcPr>
          <w:p w14:paraId="0CB2EDA9">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垃圾产生位置</w:t>
            </w:r>
          </w:p>
        </w:tc>
        <w:tc>
          <w:tcPr>
            <w:tcW w:w="2489" w:type="dxa"/>
            <w:vAlign w:val="center"/>
          </w:tcPr>
          <w:p w14:paraId="19F1F761">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011" w:type="dxa"/>
            <w:vAlign w:val="center"/>
          </w:tcPr>
          <w:p w14:paraId="6F0D4598">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w:t>
            </w:r>
          </w:p>
        </w:tc>
        <w:tc>
          <w:tcPr>
            <w:tcW w:w="2464" w:type="dxa"/>
            <w:vAlign w:val="center"/>
          </w:tcPr>
          <w:p w14:paraId="065CF930">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218C8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2" w:hRule="atLeast"/>
          <w:jc w:val="center"/>
        </w:trPr>
        <w:tc>
          <w:tcPr>
            <w:tcW w:w="9518" w:type="dxa"/>
            <w:gridSpan w:val="5"/>
          </w:tcPr>
          <w:p w14:paraId="0F86E2DB">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问题描述：</w:t>
            </w:r>
          </w:p>
          <w:p w14:paraId="6DDF5C97">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tc>
      </w:tr>
      <w:tr w14:paraId="5F662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5" w:hRule="atLeast"/>
          <w:jc w:val="center"/>
        </w:trPr>
        <w:tc>
          <w:tcPr>
            <w:tcW w:w="1985" w:type="dxa"/>
            <w:vAlign w:val="center"/>
          </w:tcPr>
          <w:p w14:paraId="3FB72DAA">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扣款金额（大写）</w:t>
            </w:r>
          </w:p>
        </w:tc>
        <w:tc>
          <w:tcPr>
            <w:tcW w:w="7533" w:type="dxa"/>
            <w:gridSpan w:val="4"/>
            <w:vAlign w:val="center"/>
          </w:tcPr>
          <w:p w14:paraId="346D2C8E">
            <w:pPr>
              <w:keepNext/>
              <w:keepLines/>
              <w:suppressLineNumbers w:val="0"/>
              <w:adjustRightInd w:val="0"/>
              <w:snapToGrid w:val="0"/>
              <w:spacing w:before="340" w:beforeAutospacing="0" w:after="330" w:afterAutospacing="0" w:line="360" w:lineRule="auto"/>
              <w:ind w:left="0" w:right="0" w:firstLine="480"/>
              <w:outlineLvl w:val="9"/>
              <w:rPr>
                <w:rFonts w:cs="宋体" w:asciiTheme="minorEastAsia" w:hAnsiTheme="minorEastAsia" w:eastAsiaTheme="minorEastAsia"/>
                <w:color w:val="auto"/>
                <w:szCs w:val="21"/>
                <w:highlight w:val="none"/>
                <w:u w:val="single"/>
              </w:rPr>
            </w:pPr>
          </w:p>
        </w:tc>
      </w:tr>
      <w:tr w14:paraId="378E8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2" w:hRule="atLeast"/>
          <w:jc w:val="center"/>
        </w:trPr>
        <w:tc>
          <w:tcPr>
            <w:tcW w:w="1985" w:type="dxa"/>
            <w:vAlign w:val="center"/>
          </w:tcPr>
          <w:p w14:paraId="71A28A75">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扣款理由</w:t>
            </w:r>
          </w:p>
        </w:tc>
        <w:tc>
          <w:tcPr>
            <w:tcW w:w="7533" w:type="dxa"/>
            <w:gridSpan w:val="4"/>
            <w:vAlign w:val="center"/>
          </w:tcPr>
          <w:p w14:paraId="6A8860B9">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□施工单位拒绝垃圾外运</w:t>
            </w:r>
          </w:p>
          <w:p w14:paraId="79BEBDD0">
            <w:pPr>
              <w:keepNext w:val="0"/>
              <w:keepLines w:val="0"/>
              <w:suppressLineNumbers w:val="0"/>
              <w:adjustRightInd w:val="0"/>
              <w:snapToGrid w:val="0"/>
              <w:spacing w:before="0" w:beforeAutospacing="0" w:after="0" w:afterAutospacing="0" w:line="360" w:lineRule="auto"/>
              <w:ind w:left="210" w:right="0" w:hanging="210" w:hangingChars="1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□施工单位垃圾外运的时效性不符合工程需要，经项目部协调仍不能满足时</w:t>
            </w:r>
          </w:p>
          <w:p w14:paraId="77374664">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□施工单位同意委托其它单位外运</w:t>
            </w:r>
          </w:p>
        </w:tc>
      </w:tr>
    </w:tbl>
    <w:p w14:paraId="1B157E31">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填表人：审核：审批：公章</w:t>
      </w:r>
    </w:p>
    <w:p w14:paraId="47391C4D">
      <w:pPr>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br w:type="page"/>
      </w:r>
    </w:p>
    <w:p w14:paraId="4AFA7B26">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附件十：</w:t>
      </w:r>
    </w:p>
    <w:p w14:paraId="731DE773">
      <w:pPr>
        <w:adjustRightInd w:val="0"/>
        <w:snapToGrid w:val="0"/>
        <w:spacing w:line="360" w:lineRule="auto"/>
        <w:ind w:firstLine="643"/>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监理例会制度</w:t>
      </w:r>
    </w:p>
    <w:p w14:paraId="53B7DE96">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项目周监理例会必须按照首次例会确定的时间召开，会议由总监理工程师主持，监理部相关人员；项目部相关人员；施工单位项目经理、副经理、现场总负责人、技术总负责人、质量员、安全员；分包单位项目经理参加。</w:t>
      </w:r>
    </w:p>
    <w:p w14:paraId="5AA81A51">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参会人员必须按时到会，不能按时到会的要提前向总监理工程师说明原因，迟到每人次罚款50元，缺席每人次罚款200元，迟到30分钟以上按缺席计。施工单位项目经理每月至少参会</w:t>
      </w:r>
      <w:r>
        <w:rPr>
          <w:rFonts w:hint="eastAsia" w:cs="宋体" w:asciiTheme="minorEastAsia" w:hAnsiTheme="minorEastAsia" w:eastAsiaTheme="minorEastAsia"/>
          <w:color w:val="FF0000"/>
          <w:szCs w:val="21"/>
          <w:highlight w:val="none"/>
          <w:lang w:val="en-US" w:eastAsia="zh-CN"/>
        </w:rPr>
        <w:t>4</w:t>
      </w:r>
      <w:r>
        <w:rPr>
          <w:rFonts w:hint="eastAsia" w:cs="宋体" w:asciiTheme="minorEastAsia" w:hAnsiTheme="minorEastAsia" w:eastAsiaTheme="minorEastAsia"/>
          <w:color w:val="auto"/>
          <w:szCs w:val="21"/>
          <w:highlight w:val="none"/>
        </w:rPr>
        <w:t>次，每缺席一次罚款500元。罚单由项目部开出，总监理工程师、项目部总经理签字确认即可。罚款以直接从当月的工程进度款中扣除。</w:t>
      </w:r>
    </w:p>
    <w:p w14:paraId="451BB330">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例会纪要由项目监理部整理完成，在会后2个工作日内发送各单位。参会方须将例会纪要中涉及自己的问题于接到会议纪要后1个工作日内书面回复监理处，回复中需明确责任人及完成时间。</w:t>
      </w:r>
    </w:p>
    <w:p w14:paraId="7A760141">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会议内容：</w:t>
      </w:r>
    </w:p>
    <w:p w14:paraId="6182FD72">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对上周例会提出的问题进行回顾。（主要由施工单位汇报执行情况，监理单位核实汇报情况）</w:t>
      </w:r>
    </w:p>
    <w:p w14:paraId="1816B0EF">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施工单位对工程质量、进度、安全以及需要协调的事宜进行阐述。</w:t>
      </w:r>
    </w:p>
    <w:p w14:paraId="51995404">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监理单位对工程质量、进度、安全等问题的检查情况进行通报并作要求。</w:t>
      </w:r>
    </w:p>
    <w:p w14:paraId="1EBC9AE5">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建设单位对工程质量、进度、安全等问题的抽查情况进行通报并作要求。</w:t>
      </w:r>
    </w:p>
    <w:p w14:paraId="3F9FA936">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建设单位、监理单位对需要协调事宜进行现场答复，如不能立即答复，需明确回复时间。</w:t>
      </w:r>
    </w:p>
    <w:p w14:paraId="4329B18A">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例会纪要格式：按监理单位贯标格式编写，需包含上述会议内容。</w:t>
      </w:r>
    </w:p>
    <w:p w14:paraId="4C6E7103">
      <w:pPr>
        <w:spacing w:line="360" w:lineRule="auto"/>
        <w:jc w:val="both"/>
        <w:outlineLvl w:val="9"/>
        <w:rPr>
          <w:rFonts w:hint="eastAsia" w:ascii="宋体" w:hAnsi="宋体" w:eastAsia="宋体" w:cs="宋体"/>
          <w:color w:val="auto"/>
          <w:sz w:val="21"/>
          <w:szCs w:val="21"/>
          <w:highlight w:val="none"/>
        </w:rPr>
        <w:sectPr>
          <w:headerReference r:id="rId5" w:type="default"/>
          <w:footerReference r:id="rId6" w:type="even"/>
          <w:pgSz w:w="11906" w:h="16838"/>
          <w:pgMar w:top="2098" w:right="1474" w:bottom="1985" w:left="1588" w:header="851" w:footer="1020" w:gutter="0"/>
          <w:pgBorders>
            <w:top w:val="none" w:sz="0" w:space="0"/>
            <w:left w:val="none" w:sz="0" w:space="0"/>
            <w:bottom w:val="none" w:sz="0" w:space="0"/>
            <w:right w:val="none" w:sz="0" w:space="0"/>
          </w:pgBorders>
          <w:pgNumType w:fmt="numberInDash"/>
          <w:cols w:space="425" w:num="1"/>
          <w:titlePg/>
          <w:docGrid w:type="lines" w:linePitch="381" w:charSpace="0"/>
        </w:sectPr>
      </w:pPr>
    </w:p>
    <w:p w14:paraId="587D639F">
      <w:pPr>
        <w:spacing w:line="360" w:lineRule="auto"/>
        <w:jc w:val="both"/>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附件十</w:t>
      </w:r>
      <w:r>
        <w:rPr>
          <w:rFonts w:hint="eastAsia" w:ascii="宋体" w:hAnsi="宋体" w:eastAsia="宋体" w:cs="宋体"/>
          <w:color w:val="auto"/>
          <w:sz w:val="21"/>
          <w:szCs w:val="21"/>
          <w:highlight w:val="none"/>
          <w:lang w:val="en-US" w:eastAsia="zh-CN"/>
        </w:rPr>
        <w:t>一</w:t>
      </w:r>
      <w:r>
        <w:rPr>
          <w:rFonts w:hint="eastAsia" w:ascii="宋体" w:hAnsi="宋体" w:eastAsia="宋体" w:cs="宋体"/>
          <w:color w:val="auto"/>
          <w:sz w:val="21"/>
          <w:szCs w:val="21"/>
          <w:highlight w:val="none"/>
        </w:rPr>
        <w:t>：</w:t>
      </w:r>
    </w:p>
    <w:p w14:paraId="1315E674">
      <w:pPr>
        <w:spacing w:line="360" w:lineRule="auto"/>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工程变更与签证管理办法</w:t>
      </w:r>
    </w:p>
    <w:p w14:paraId="573A518D">
      <w:pPr>
        <w:spacing w:line="360" w:lineRule="auto"/>
        <w:jc w:val="center"/>
        <w:outlineLvl w:val="9"/>
        <w:rPr>
          <w:rFonts w:hint="eastAsia" w:ascii="宋体" w:hAnsi="宋体" w:eastAsia="宋体" w:cs="宋体"/>
          <w:color w:val="auto"/>
          <w:sz w:val="21"/>
          <w:szCs w:val="21"/>
          <w:highlight w:val="none"/>
        </w:rPr>
      </w:pPr>
    </w:p>
    <w:p w14:paraId="59A33BA5">
      <w:pPr>
        <w:numPr>
          <w:ilvl w:val="0"/>
          <w:numId w:val="4"/>
        </w:numPr>
        <w:spacing w:line="360" w:lineRule="auto"/>
        <w:ind w:firstLine="420" w:firstLineChars="20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目的</w:t>
      </w:r>
    </w:p>
    <w:p w14:paraId="18E886F8">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为加强工程签证及设计变更管理，规范工作流程及审批制度，保证动态成本及时准确，并有效控制工程建造成本，特制定本办法。</w:t>
      </w:r>
    </w:p>
    <w:p w14:paraId="3726A65A">
      <w:pPr>
        <w:numPr>
          <w:ilvl w:val="0"/>
          <w:numId w:val="4"/>
        </w:numPr>
        <w:spacing w:line="360" w:lineRule="auto"/>
        <w:ind w:firstLine="420" w:firstLineChars="20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适用范围</w:t>
      </w:r>
    </w:p>
    <w:p w14:paraId="5E6E04FE">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本办法适用于公司经营类开发项目。</w:t>
      </w:r>
    </w:p>
    <w:p w14:paraId="3ABE1B78">
      <w:pPr>
        <w:numPr>
          <w:ilvl w:val="0"/>
          <w:numId w:val="4"/>
        </w:numPr>
        <w:spacing w:line="360" w:lineRule="auto"/>
        <w:ind w:firstLine="64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管理原则</w:t>
      </w:r>
    </w:p>
    <w:p w14:paraId="015D2D4A">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（一）事前控制原则：要求事前控制，提高图纸质量，尽量减少变更签证的发生。</w:t>
      </w:r>
    </w:p>
    <w:p w14:paraId="0FD02F6C">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（二）合法合规原则：变更签证的审批，应严格按照公司规定的审批权限执行，不符合权限范围的签字一律无效。</w:t>
      </w:r>
    </w:p>
    <w:p w14:paraId="3D762C28">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（三）及时处理原则：要求事前审批，及时办理，并按时进行价款确认。</w:t>
      </w:r>
    </w:p>
    <w:p w14:paraId="6179961C">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（四）真实有效原则：要求所有变更签证必须真实有效，不能弄虚作假。</w:t>
      </w:r>
    </w:p>
    <w:p w14:paraId="2A9BB695">
      <w:pPr>
        <w:numPr>
          <w:ilvl w:val="0"/>
          <w:numId w:val="4"/>
        </w:numPr>
        <w:spacing w:line="360" w:lineRule="auto"/>
        <w:ind w:firstLine="420" w:firstLineChars="20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工作职责</w:t>
      </w:r>
    </w:p>
    <w:p w14:paraId="36E4CFFE">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（一）工程管理部</w:t>
      </w:r>
    </w:p>
    <w:p w14:paraId="28586529">
      <w:pPr>
        <w:spacing w:line="360" w:lineRule="auto"/>
        <w:ind w:firstLine="420" w:firstLineChars="20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1.负责制定公司工程变更、签证管控思路；</w:t>
      </w:r>
    </w:p>
    <w:p w14:paraId="333964F6">
      <w:pPr>
        <w:spacing w:line="360" w:lineRule="auto"/>
        <w:ind w:firstLine="420" w:firstLineChars="20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2.负责公司变更、签证制度的制定、修改、解释、监督检查；</w:t>
      </w:r>
    </w:p>
    <w:p w14:paraId="16A206DD">
      <w:pPr>
        <w:spacing w:line="360" w:lineRule="auto"/>
        <w:ind w:firstLine="420" w:firstLineChars="20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3.负责对项目部线上上报签证资料真实性、准确性进行审核判断。</w:t>
      </w:r>
    </w:p>
    <w:p w14:paraId="71E1F198">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（二）成本管理部</w:t>
      </w:r>
    </w:p>
    <w:p w14:paraId="4FBA12CC">
      <w:pPr>
        <w:spacing w:line="360" w:lineRule="auto"/>
        <w:ind w:firstLine="420" w:firstLineChars="20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1.参与制定公司工程变更、签证管控思路；</w:t>
      </w:r>
    </w:p>
    <w:p w14:paraId="5C2FAC26">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2.负责对发起的变更、签证进行成本测算、成本审核及控制，并及时准确地反映在动态成本中；对因设计变更引起拆除返工的签证内容进行现场核实；</w:t>
      </w:r>
    </w:p>
    <w:p w14:paraId="5D68F99F">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3.负责对公司当月发生的变更签证进行梳理；根据各项目上报的月度变更签证结果进行汇总分析，提出管理建议，制定降低变更签证的有效措施；</w:t>
      </w:r>
    </w:p>
    <w:p w14:paraId="6E57BD90">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4.对产生的签证的合理性依据合同条款进行审核判断。</w:t>
      </w:r>
    </w:p>
    <w:p w14:paraId="15106A5D">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（三）总师办</w:t>
      </w:r>
    </w:p>
    <w:p w14:paraId="2F779A1F">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1.负责接收、汇总、审核项目、营销等部门的变更需求。</w:t>
      </w:r>
    </w:p>
    <w:p w14:paraId="263324F4">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2.负责组织对重大设计变更的技术经济论证，确保设计变更的合规性及合理性。</w:t>
      </w:r>
    </w:p>
    <w:p w14:paraId="5788D792">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3.负责制定降低变更率的有效措施；负责设计变更的线上发起审批。</w:t>
      </w:r>
    </w:p>
    <w:p w14:paraId="4B996454">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（四）招标采供部</w:t>
      </w:r>
    </w:p>
    <w:p w14:paraId="6F111788">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1.负责工程范围界定、合同价款调整、材料品牌范围的确定及相关认价管理及成本相关控制工作；</w:t>
      </w:r>
    </w:p>
    <w:p w14:paraId="7023856B">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2.配合成本管理部对产生的签证的合理性依据合同条款进行审核判断。</w:t>
      </w:r>
    </w:p>
    <w:p w14:paraId="2AFFE11C">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（五）项目部</w:t>
      </w:r>
    </w:p>
    <w:p w14:paraId="2F2A7AF2">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1.负责变更的实施，原始签证凭证的记录，签证线上的发起。</w:t>
      </w:r>
    </w:p>
    <w:p w14:paraId="7347E7BC">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2.负责对所有审批通过并已完工的变更、签证及时进行完工确认。</w:t>
      </w:r>
    </w:p>
    <w:p w14:paraId="258463B1">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3.配合公司成本管理部进行变更、签证的结算工作。</w:t>
      </w:r>
    </w:p>
    <w:p w14:paraId="2CA2BEB4">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4.负责每月与施工单位办理变更签证对账。</w:t>
      </w:r>
    </w:p>
    <w:p w14:paraId="27801AD6">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（六）其他部门</w:t>
      </w:r>
    </w:p>
    <w:p w14:paraId="03972AF3">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前期拓展部负责涉及报建工作的设计变更审批。营销、销售负责对设计变更涉及平面变化、交付及销售承诺的情况进行审批。</w:t>
      </w:r>
    </w:p>
    <w:p w14:paraId="02C38D78">
      <w:pPr>
        <w:numPr>
          <w:ilvl w:val="0"/>
          <w:numId w:val="4"/>
        </w:numPr>
        <w:spacing w:line="360" w:lineRule="auto"/>
        <w:ind w:firstLine="420" w:firstLineChars="20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管控要求</w:t>
      </w:r>
    </w:p>
    <w:p w14:paraId="44627E5E">
      <w:pPr>
        <w:pStyle w:val="112"/>
        <w:numPr>
          <w:ilvl w:val="0"/>
          <w:numId w:val="5"/>
        </w:numPr>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权限管理</w:t>
      </w:r>
    </w:p>
    <w:p w14:paraId="69A68DE4">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在合同额基础上，设计变更累计发生率不得超过合同额的2%，现场签证累计发生率不得超过合同额的1%，变更、签证累计总额不得超过合同金额的3%。若超出指标，须经变更、签证需求部门及分管领导审核，工程管理委员会、总经办会评审通过后方可实施。</w:t>
      </w:r>
    </w:p>
    <w:p w14:paraId="40BAF55D">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2.单项变更内容造成成本增加额在10万以上，单项签证产生成本增加在5万以上，须经变更、签证需求部门及分管领导审核，工程管理委员会、总经办会评审通过后方可实施。</w:t>
      </w:r>
    </w:p>
    <w:p w14:paraId="6DDDE68F">
      <w:pPr>
        <w:pStyle w:val="112"/>
        <w:numPr>
          <w:ilvl w:val="0"/>
          <w:numId w:val="5"/>
        </w:numPr>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事前审批</w:t>
      </w:r>
    </w:p>
    <w:p w14:paraId="30806C45">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1.所有变更、签证实施前，主办部门须将变更签证相关资料发往成本部门审核并估价，并发起系统审批流程。</w:t>
      </w:r>
    </w:p>
    <w:p w14:paraId="44E3274E">
      <w:pPr>
        <w:pStyle w:val="112"/>
        <w:spacing w:line="360" w:lineRule="auto"/>
        <w:ind w:firstLine="420" w:firstLineChars="200"/>
        <w:outlineLvl w:val="9"/>
        <w:rPr>
          <w:rFonts w:hint="eastAsia" w:ascii="宋体" w:hAnsi="宋体" w:eastAsia="宋体" w:cs="宋体"/>
          <w:color w:val="auto"/>
          <w:sz w:val="21"/>
          <w:szCs w:val="21"/>
          <w:highlight w:val="none"/>
        </w:rPr>
      </w:pPr>
      <w:bookmarkStart w:id="733" w:name="_Toc422302582"/>
      <w:r>
        <w:rPr>
          <w:rFonts w:hint="eastAsia" w:ascii="宋体" w:hAnsi="宋体" w:eastAsia="宋体" w:cs="宋体"/>
          <w:color w:val="auto"/>
          <w:sz w:val="21"/>
          <w:szCs w:val="21"/>
          <w:highlight w:val="none"/>
        </w:rPr>
        <w:t>2.审批通过后，方可下发设计变更或现场签证指令单。</w:t>
      </w:r>
      <w:bookmarkEnd w:id="733"/>
    </w:p>
    <w:p w14:paraId="1253B1B3">
      <w:pPr>
        <w:pStyle w:val="112"/>
        <w:spacing w:line="360" w:lineRule="auto"/>
        <w:ind w:firstLine="420" w:firstLineChars="200"/>
        <w:outlineLvl w:val="9"/>
        <w:rPr>
          <w:rFonts w:hint="eastAsia" w:ascii="宋体" w:hAnsi="宋体" w:eastAsia="宋体" w:cs="宋体"/>
          <w:color w:val="auto"/>
          <w:sz w:val="21"/>
          <w:szCs w:val="21"/>
          <w:highlight w:val="none"/>
        </w:rPr>
      </w:pPr>
      <w:bookmarkStart w:id="734" w:name="_Toc422302583"/>
      <w:r>
        <w:rPr>
          <w:rFonts w:hint="eastAsia" w:ascii="宋体" w:hAnsi="宋体" w:eastAsia="宋体" w:cs="宋体"/>
          <w:color w:val="auto"/>
          <w:sz w:val="21"/>
          <w:szCs w:val="21"/>
          <w:highlight w:val="none"/>
        </w:rPr>
        <w:t>3.变更签证应先审批后执行，禁止事后补办。对于急需实施的，</w:t>
      </w:r>
      <w:bookmarkEnd w:id="734"/>
      <w:r>
        <w:rPr>
          <w:rFonts w:hint="eastAsia" w:ascii="宋体" w:hAnsi="宋体" w:eastAsia="宋体" w:cs="宋体"/>
          <w:color w:val="auto"/>
          <w:sz w:val="21"/>
          <w:szCs w:val="21"/>
          <w:highlight w:val="none"/>
        </w:rPr>
        <w:t>按照公司紧急变更、签证表格模板填写申请。</w:t>
      </w:r>
    </w:p>
    <w:p w14:paraId="45A5638E">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4.变更涉及报建工作时，审批需增加前期拓展部；变更涉及平面变化、交付及销售承诺时，审批需增加营销策划部、销售分公司。</w:t>
      </w:r>
    </w:p>
    <w:p w14:paraId="045E030E">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5.变更涉及多专业时，应将各专业变更同时报审；涉及其他专业未招标时，应将各专业变更纳入招标图纸中。</w:t>
      </w:r>
    </w:p>
    <w:p w14:paraId="29369FCE">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6.设计变更引起拆改时，应在设计变更审批中，将变更事项与拆改事项一同报审，不得单独以签证形式报审。</w:t>
      </w:r>
    </w:p>
    <w:p w14:paraId="1957ADF1">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（三）完工确认</w:t>
      </w:r>
    </w:p>
    <w:p w14:paraId="59D7C032">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设计变更、工程签证完工后，施工单位必须在完工后7日内组织验收，并与监理单位、建设单位在《现场签证指令单及实施确认单》三方签字确认。如属隐蔽工程，必须在其覆盖之前签字确认。对于造价调减的设计变更、工程签证，应及时办理相关手续，跟踪、落实、核定减少的具体数量，并与施工单位形成书面记录，防止因漏报而给公司造成损失。</w:t>
      </w:r>
    </w:p>
    <w:p w14:paraId="6CAABDD2">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2.变更签证完工确认后，施工单位必须在5日内上报《工程签证确认单》，报监理单位、建设单位签字确认。逾期提出的不予确认。</w:t>
      </w:r>
    </w:p>
    <w:p w14:paraId="7006DE07">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3.各项目标段集中交付30天时，项目部不再接收施工单位工程签证。</w:t>
      </w:r>
    </w:p>
    <w:p w14:paraId="454DAFA4">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4.初上签证流程时，须对事项进行无效成本初步判定，方可进入下一审批流程。</w:t>
      </w:r>
    </w:p>
    <w:p w14:paraId="7A9BDCD0">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（四）月度总结</w:t>
      </w:r>
    </w:p>
    <w:p w14:paraId="16566E14">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工程口月度会每月需对各项目当月发生的变更签证金额、累计金额及占比进行统计汇报，做好变更、签证事前及事中控制。</w:t>
      </w:r>
    </w:p>
    <w:p w14:paraId="1B1C36BF">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（五）违规惩处</w:t>
      </w:r>
    </w:p>
    <w:p w14:paraId="2B402347">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1.刻意拆分变更、签证，规避公司审批，一经发现，对相应责任人、部门负责人，每发生一次扣罚当月绩效5%，工程管理部、企管部监督执行。</w:t>
      </w:r>
    </w:p>
    <w:p w14:paraId="1C7AB116">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除紧急变更、签证外，其余变更、签证应严格按照公司预审批流程执行，若发现变更、签证已执行，且应报请工管会、总经办会审议而未报请时，或变更、签证执行完成后报请，一律视为违规操作，对相应责任人、部门负责人，每发生一次扣罚当月绩效5%，工程管理部、企管部监督执行。</w:t>
      </w:r>
    </w:p>
    <w:p w14:paraId="2A428BA3">
      <w:pPr>
        <w:spacing w:line="360" w:lineRule="auto"/>
        <w:ind w:firstLine="420" w:firstLineChars="20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三、工程变更管理办法</w:t>
      </w:r>
    </w:p>
    <w:p w14:paraId="15A17D05">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（一）设计变更的定义</w:t>
      </w:r>
    </w:p>
    <w:p w14:paraId="63A69BE2">
      <w:pPr>
        <w:spacing w:line="360" w:lineRule="auto"/>
        <w:ind w:firstLine="420" w:firstLineChars="20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由总师办主办，完成公司内部审批程序后，经项目部交由施工单位施工的涉及建筑功能变化、工艺做法改变、材料变动等内容的技术经济文件。包括因此而导致的现场返工、延误、停工等。</w:t>
      </w:r>
    </w:p>
    <w:p w14:paraId="0491413D">
      <w:pPr>
        <w:pStyle w:val="112"/>
        <w:numPr>
          <w:ilvl w:val="0"/>
          <w:numId w:val="6"/>
        </w:numPr>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变更的类型</w:t>
      </w:r>
    </w:p>
    <w:tbl>
      <w:tblPr>
        <w:tblStyle w:val="5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1"/>
        <w:gridCol w:w="892"/>
        <w:gridCol w:w="7327"/>
      </w:tblGrid>
      <w:tr w14:paraId="20EE9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841" w:type="dxa"/>
            <w:vAlign w:val="center"/>
          </w:tcPr>
          <w:p w14:paraId="770852EC">
            <w:pPr>
              <w:pStyle w:val="74"/>
              <w:keepNext w:val="0"/>
              <w:keepLines w:val="0"/>
              <w:suppressLineNumbers w:val="0"/>
              <w:spacing w:before="0" w:beforeAutospacing="0" w:after="0" w:afterAutospacing="0" w:line="360" w:lineRule="auto"/>
              <w:ind w:left="0" w:leftChars="0" w:right="0" w:firstLine="0" w:firstLineChars="0"/>
              <w:jc w:val="both"/>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类型名称</w:t>
            </w:r>
          </w:p>
        </w:tc>
        <w:tc>
          <w:tcPr>
            <w:tcW w:w="892" w:type="dxa"/>
            <w:vAlign w:val="center"/>
          </w:tcPr>
          <w:p w14:paraId="75FCF203">
            <w:pPr>
              <w:pStyle w:val="74"/>
              <w:keepNext w:val="0"/>
              <w:keepLines w:val="0"/>
              <w:suppressLineNumbers w:val="0"/>
              <w:spacing w:before="0" w:beforeAutospacing="0" w:after="0" w:afterAutospacing="0" w:line="360" w:lineRule="auto"/>
              <w:ind w:left="0" w:leftChars="0" w:right="0" w:firstLine="0" w:firstLineChars="0"/>
              <w:jc w:val="both"/>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7327" w:type="dxa"/>
            <w:vAlign w:val="center"/>
          </w:tcPr>
          <w:p w14:paraId="69979FEE">
            <w:pPr>
              <w:pStyle w:val="74"/>
              <w:keepNext w:val="0"/>
              <w:keepLines w:val="0"/>
              <w:suppressLineNumbers w:val="0"/>
              <w:spacing w:before="0" w:beforeAutospacing="0" w:after="0" w:afterAutospacing="0" w:line="360" w:lineRule="auto"/>
              <w:ind w:left="0" w:leftChars="0" w:right="0" w:firstLine="0" w:firstLineChars="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原因分类</w:t>
            </w:r>
          </w:p>
        </w:tc>
      </w:tr>
      <w:tr w14:paraId="6CB78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841" w:type="dxa"/>
            <w:vMerge w:val="restart"/>
            <w:vAlign w:val="center"/>
          </w:tcPr>
          <w:p w14:paraId="17095D88">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设计变更</w:t>
            </w:r>
          </w:p>
        </w:tc>
        <w:tc>
          <w:tcPr>
            <w:tcW w:w="892" w:type="dxa"/>
            <w:vAlign w:val="center"/>
          </w:tcPr>
          <w:p w14:paraId="7D23F2BE">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7327" w:type="dxa"/>
            <w:vAlign w:val="center"/>
          </w:tcPr>
          <w:p w14:paraId="643671AF">
            <w:pPr>
              <w:pStyle w:val="711"/>
              <w:keepNext w:val="0"/>
              <w:keepLines w:val="0"/>
              <w:suppressLineNumbers w:val="0"/>
              <w:spacing w:before="0" w:beforeAutospacing="0" w:after="0" w:afterAutospacing="0" w:line="360" w:lineRule="auto"/>
              <w:ind w:left="0" w:right="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政策规范变化：</w:t>
            </w:r>
            <w:r>
              <w:rPr>
                <w:rFonts w:hint="eastAsia" w:ascii="宋体" w:hAnsi="宋体" w:eastAsia="宋体" w:cs="宋体"/>
                <w:color w:val="auto"/>
                <w:sz w:val="21"/>
                <w:szCs w:val="21"/>
                <w:highlight w:val="none"/>
              </w:rPr>
              <w:t>因政府政策调整、相关规范调整、验收要求等需对施工图进行变更的情况。</w:t>
            </w:r>
          </w:p>
        </w:tc>
      </w:tr>
      <w:tr w14:paraId="1E006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841" w:type="dxa"/>
            <w:vMerge w:val="continue"/>
            <w:vAlign w:val="center"/>
          </w:tcPr>
          <w:p w14:paraId="55E4F705">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892" w:type="dxa"/>
            <w:vAlign w:val="center"/>
          </w:tcPr>
          <w:p w14:paraId="5FA87317">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p>
        </w:tc>
        <w:tc>
          <w:tcPr>
            <w:tcW w:w="7327" w:type="dxa"/>
            <w:vAlign w:val="center"/>
          </w:tcPr>
          <w:p w14:paraId="4B156368">
            <w:pPr>
              <w:pStyle w:val="711"/>
              <w:keepNext w:val="0"/>
              <w:keepLines w:val="0"/>
              <w:suppressLineNumbers w:val="0"/>
              <w:spacing w:before="0" w:beforeAutospacing="0" w:after="0" w:afterAutospacing="0" w:line="360" w:lineRule="auto"/>
              <w:ind w:left="0" w:right="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营销需求：</w:t>
            </w:r>
            <w:r>
              <w:rPr>
                <w:rFonts w:hint="eastAsia" w:ascii="宋体" w:hAnsi="宋体" w:eastAsia="宋体" w:cs="宋体"/>
                <w:color w:val="auto"/>
                <w:sz w:val="21"/>
                <w:szCs w:val="21"/>
                <w:highlight w:val="none"/>
              </w:rPr>
              <w:t>因营销需求、品质或定位调整、客户原因等，需对施工图进行变更的情况。</w:t>
            </w:r>
          </w:p>
        </w:tc>
      </w:tr>
      <w:tr w14:paraId="24231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1" w:type="dxa"/>
            <w:vMerge w:val="continue"/>
            <w:vAlign w:val="center"/>
          </w:tcPr>
          <w:p w14:paraId="70709D13">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892" w:type="dxa"/>
            <w:vAlign w:val="center"/>
          </w:tcPr>
          <w:p w14:paraId="5292F7F4">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p>
        </w:tc>
        <w:tc>
          <w:tcPr>
            <w:tcW w:w="7327" w:type="dxa"/>
            <w:vAlign w:val="center"/>
          </w:tcPr>
          <w:p w14:paraId="26B387EE">
            <w:pPr>
              <w:pStyle w:val="711"/>
              <w:keepNext w:val="0"/>
              <w:keepLines w:val="0"/>
              <w:suppressLineNumbers w:val="0"/>
              <w:spacing w:before="0" w:beforeAutospacing="0" w:after="0" w:afterAutospacing="0" w:line="360" w:lineRule="auto"/>
              <w:ind w:left="0" w:right="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设计优化</w:t>
            </w:r>
            <w:r>
              <w:rPr>
                <w:rFonts w:hint="eastAsia" w:ascii="宋体" w:hAnsi="宋体" w:eastAsia="宋体" w:cs="宋体"/>
                <w:color w:val="auto"/>
                <w:sz w:val="21"/>
                <w:szCs w:val="21"/>
                <w:highlight w:val="none"/>
              </w:rPr>
              <w:t>：对原有设计功能、结构、材料、做法进行优化且费用降低的情况。</w:t>
            </w:r>
          </w:p>
        </w:tc>
      </w:tr>
      <w:tr w14:paraId="16DA5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841" w:type="dxa"/>
            <w:vMerge w:val="continue"/>
            <w:vAlign w:val="center"/>
          </w:tcPr>
          <w:p w14:paraId="6735DC51">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892" w:type="dxa"/>
            <w:vAlign w:val="center"/>
          </w:tcPr>
          <w:p w14:paraId="4F88B1EC">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w:t>
            </w:r>
          </w:p>
        </w:tc>
        <w:tc>
          <w:tcPr>
            <w:tcW w:w="7327" w:type="dxa"/>
            <w:vAlign w:val="center"/>
          </w:tcPr>
          <w:p w14:paraId="10F1D4C1">
            <w:pPr>
              <w:pStyle w:val="711"/>
              <w:keepNext w:val="0"/>
              <w:keepLines w:val="0"/>
              <w:suppressLineNumbers w:val="0"/>
              <w:spacing w:before="0" w:beforeAutospacing="0" w:after="0" w:afterAutospacing="0" w:line="360" w:lineRule="auto"/>
              <w:ind w:left="0" w:right="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二次深化：</w:t>
            </w:r>
            <w:r>
              <w:rPr>
                <w:rFonts w:hint="eastAsia" w:ascii="宋体" w:hAnsi="宋体" w:eastAsia="宋体" w:cs="宋体"/>
                <w:color w:val="auto"/>
                <w:sz w:val="21"/>
                <w:szCs w:val="21"/>
                <w:highlight w:val="none"/>
              </w:rPr>
              <w:t>因二次深化设计引起施工图纸变化而产生的变更。</w:t>
            </w:r>
          </w:p>
        </w:tc>
      </w:tr>
      <w:tr w14:paraId="71A39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841" w:type="dxa"/>
            <w:vMerge w:val="continue"/>
            <w:vAlign w:val="center"/>
          </w:tcPr>
          <w:p w14:paraId="6E054355">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892" w:type="dxa"/>
            <w:vAlign w:val="center"/>
          </w:tcPr>
          <w:p w14:paraId="6EDD7FB3">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p>
        </w:tc>
        <w:tc>
          <w:tcPr>
            <w:tcW w:w="7327" w:type="dxa"/>
            <w:vAlign w:val="center"/>
          </w:tcPr>
          <w:p w14:paraId="5A80577C">
            <w:pPr>
              <w:pStyle w:val="711"/>
              <w:keepNext w:val="0"/>
              <w:keepLines w:val="0"/>
              <w:suppressLineNumbers w:val="0"/>
              <w:spacing w:before="0" w:beforeAutospacing="0" w:after="0" w:afterAutospacing="0" w:line="360" w:lineRule="auto"/>
              <w:ind w:left="0" w:right="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设计缺陷：</w:t>
            </w:r>
            <w:r>
              <w:rPr>
                <w:rFonts w:hint="eastAsia" w:ascii="宋体" w:hAnsi="宋体" w:eastAsia="宋体" w:cs="宋体"/>
                <w:color w:val="auto"/>
                <w:sz w:val="21"/>
                <w:szCs w:val="21"/>
                <w:highlight w:val="none"/>
              </w:rPr>
              <w:t>按照设计规范，但影响使用功能及验收的设计缺陷。</w:t>
            </w:r>
          </w:p>
        </w:tc>
      </w:tr>
      <w:tr w14:paraId="699A2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841" w:type="dxa"/>
            <w:vMerge w:val="continue"/>
            <w:vAlign w:val="center"/>
          </w:tcPr>
          <w:p w14:paraId="2D56CB76">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892" w:type="dxa"/>
            <w:vAlign w:val="center"/>
          </w:tcPr>
          <w:p w14:paraId="289577D7">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w:t>
            </w:r>
          </w:p>
        </w:tc>
        <w:tc>
          <w:tcPr>
            <w:tcW w:w="7327" w:type="dxa"/>
            <w:vAlign w:val="center"/>
          </w:tcPr>
          <w:p w14:paraId="33E3AC8C">
            <w:pPr>
              <w:pStyle w:val="711"/>
              <w:keepNext w:val="0"/>
              <w:keepLines w:val="0"/>
              <w:suppressLineNumbers w:val="0"/>
              <w:spacing w:before="0" w:beforeAutospacing="0" w:after="0" w:afterAutospacing="0" w:line="360" w:lineRule="auto"/>
              <w:ind w:left="0" w:right="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设计错漏：</w:t>
            </w:r>
            <w:r>
              <w:rPr>
                <w:rFonts w:hint="eastAsia" w:ascii="宋体" w:hAnsi="宋体" w:eastAsia="宋体" w:cs="宋体"/>
                <w:color w:val="auto"/>
                <w:sz w:val="21"/>
                <w:szCs w:val="21"/>
                <w:highlight w:val="none"/>
              </w:rPr>
              <w:t>未按照设计规范导致图纸设计错漏，或原图纸深度不足及专业间图纸冲突等引起的变更。</w:t>
            </w:r>
          </w:p>
        </w:tc>
      </w:tr>
      <w:tr w14:paraId="0E02D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841" w:type="dxa"/>
            <w:vMerge w:val="continue"/>
            <w:vAlign w:val="center"/>
          </w:tcPr>
          <w:p w14:paraId="58BDEBFE">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892" w:type="dxa"/>
            <w:vAlign w:val="center"/>
          </w:tcPr>
          <w:p w14:paraId="42D32E0C">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w:t>
            </w:r>
          </w:p>
        </w:tc>
        <w:tc>
          <w:tcPr>
            <w:tcW w:w="7327" w:type="dxa"/>
            <w:vAlign w:val="center"/>
          </w:tcPr>
          <w:p w14:paraId="69021713">
            <w:pPr>
              <w:pStyle w:val="711"/>
              <w:keepNext w:val="0"/>
              <w:keepLines w:val="0"/>
              <w:suppressLineNumbers w:val="0"/>
              <w:spacing w:before="0" w:beforeAutospacing="0" w:after="0" w:afterAutospacing="0" w:line="360" w:lineRule="auto"/>
              <w:ind w:left="0" w:right="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施工错漏：</w:t>
            </w:r>
            <w:r>
              <w:rPr>
                <w:rFonts w:hint="eastAsia" w:ascii="宋体" w:hAnsi="宋体" w:eastAsia="宋体" w:cs="宋体"/>
                <w:color w:val="auto"/>
                <w:sz w:val="21"/>
                <w:szCs w:val="21"/>
                <w:highlight w:val="none"/>
              </w:rPr>
              <w:t>因施工出现错误或遗漏，为弥补影响，对原设计图纸进行调整而引起的变更。</w:t>
            </w:r>
          </w:p>
        </w:tc>
      </w:tr>
      <w:tr w14:paraId="0409B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841" w:type="dxa"/>
            <w:vMerge w:val="continue"/>
            <w:vAlign w:val="center"/>
          </w:tcPr>
          <w:p w14:paraId="716E4861">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892" w:type="dxa"/>
            <w:vAlign w:val="center"/>
          </w:tcPr>
          <w:p w14:paraId="1C8E4585">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8</w:t>
            </w:r>
          </w:p>
        </w:tc>
        <w:tc>
          <w:tcPr>
            <w:tcW w:w="7327" w:type="dxa"/>
            <w:vAlign w:val="center"/>
          </w:tcPr>
          <w:p w14:paraId="13437789">
            <w:pPr>
              <w:pStyle w:val="711"/>
              <w:keepNext w:val="0"/>
              <w:keepLines w:val="0"/>
              <w:suppressLineNumbers w:val="0"/>
              <w:spacing w:before="0" w:beforeAutospacing="0" w:after="0" w:afterAutospacing="0" w:line="360" w:lineRule="auto"/>
              <w:ind w:left="0" w:right="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图纸会审：</w:t>
            </w:r>
            <w:r>
              <w:rPr>
                <w:rFonts w:hint="eastAsia" w:ascii="宋体" w:hAnsi="宋体" w:eastAsia="宋体" w:cs="宋体"/>
                <w:color w:val="auto"/>
                <w:sz w:val="21"/>
                <w:szCs w:val="21"/>
                <w:highlight w:val="none"/>
              </w:rPr>
              <w:t>图纸会审需以变更形式处理，由公司总师办20日内上线并审批完成，如未按变更审批，图纸会审资料不作为结算的依据。图纸联合会审后的图纸，将作为最终版图纸，即设计变更的起始点。</w:t>
            </w:r>
          </w:p>
        </w:tc>
      </w:tr>
      <w:tr w14:paraId="1865A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733" w:type="dxa"/>
            <w:gridSpan w:val="2"/>
            <w:vAlign w:val="center"/>
          </w:tcPr>
          <w:p w14:paraId="6F58036A">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特别说明</w:t>
            </w:r>
          </w:p>
        </w:tc>
        <w:tc>
          <w:tcPr>
            <w:tcW w:w="7327" w:type="dxa"/>
            <w:vAlign w:val="center"/>
          </w:tcPr>
          <w:p w14:paraId="0E999C17">
            <w:pPr>
              <w:pStyle w:val="711"/>
              <w:keepNext w:val="0"/>
              <w:keepLines w:val="0"/>
              <w:suppressLineNumbers w:val="0"/>
              <w:spacing w:before="0" w:beforeAutospacing="0" w:after="0" w:afterAutospacing="0" w:line="360" w:lineRule="auto"/>
              <w:ind w:left="0" w:right="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样板评审纪要、沟通协调会纪要、技术核定单、工程变更洽商记录等对设计进行调整，造成成本变化的，均需以设计变更形式处理完善，严禁未经成本核算即执行，造成成本不可控。</w:t>
            </w:r>
          </w:p>
        </w:tc>
      </w:tr>
    </w:tbl>
    <w:p w14:paraId="22185F77">
      <w:pPr>
        <w:pStyle w:val="112"/>
        <w:spacing w:line="360" w:lineRule="auto"/>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drawing>
          <wp:anchor distT="0" distB="0" distL="114300" distR="114300" simplePos="0" relativeHeight="251952128" behindDoc="1" locked="0" layoutInCell="1" allowOverlap="1">
            <wp:simplePos x="0" y="0"/>
            <wp:positionH relativeFrom="column">
              <wp:posOffset>226695</wp:posOffset>
            </wp:positionH>
            <wp:positionV relativeFrom="paragraph">
              <wp:posOffset>622300</wp:posOffset>
            </wp:positionV>
            <wp:extent cx="5044440" cy="1409700"/>
            <wp:effectExtent l="0" t="0" r="3810" b="0"/>
            <wp:wrapTight wrapText="bothSides">
              <wp:wrapPolygon>
                <wp:start x="0" y="0"/>
                <wp:lineTo x="0" y="21308"/>
                <wp:lineTo x="21535" y="21308"/>
                <wp:lineTo x="21535" y="0"/>
                <wp:lineTo x="0" y="0"/>
              </wp:wrapPolygon>
            </wp:wrapTight>
            <wp:docPr id="37" name="ECB019B1-382A-4266-B25C-5B523AA43C14-1" descr="C:/Users/lenovo/AppData/Local/Temp/wps.oIuDI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CB019B1-382A-4266-B25C-5B523AA43C14-1" descr="C:/Users/lenovo/AppData/Local/Temp/wps.oIuDIpwps"/>
                    <pic:cNvPicPr>
                      <a:picLocks noChangeAspect="1"/>
                    </pic:cNvPicPr>
                  </pic:nvPicPr>
                  <pic:blipFill>
                    <a:blip r:embed="rId30"/>
                    <a:srcRect l="4065" t="11317" r="6869" b="19109"/>
                    <a:stretch>
                      <a:fillRect/>
                    </a:stretch>
                  </pic:blipFill>
                  <pic:spPr>
                    <a:xfrm>
                      <a:off x="0" y="0"/>
                      <a:ext cx="5044440" cy="1409700"/>
                    </a:xfrm>
                    <a:prstGeom prst="rect">
                      <a:avLst/>
                    </a:prstGeom>
                  </pic:spPr>
                </pic:pic>
              </a:graphicData>
            </a:graphic>
          </wp:anchor>
        </w:drawing>
      </w:r>
      <w:r>
        <w:rPr>
          <w:rFonts w:hint="eastAsia" w:ascii="宋体" w:hAnsi="宋体" w:eastAsia="宋体" w:cs="宋体"/>
          <w:color w:val="auto"/>
          <w:sz w:val="21"/>
          <w:szCs w:val="21"/>
          <w:highlight w:val="none"/>
        </w:rPr>
        <w:t>（三）</w:t>
      </w:r>
      <w:r>
        <w:rPr>
          <w:rFonts w:hint="eastAsia" w:ascii="宋体" w:hAnsi="宋体" w:eastAsia="宋体" w:cs="宋体"/>
          <w:bCs/>
          <w:color w:val="auto"/>
          <w:sz w:val="21"/>
          <w:szCs w:val="21"/>
          <w:highlight w:val="none"/>
        </w:rPr>
        <w:t>变更执行程序</w:t>
      </w:r>
    </w:p>
    <w:p w14:paraId="348E651A">
      <w:pPr>
        <w:pStyle w:val="112"/>
        <w:spacing w:line="360" w:lineRule="auto"/>
        <w:outlineLvl w:val="9"/>
        <w:rPr>
          <w:rFonts w:hint="eastAsia" w:ascii="宋体" w:hAnsi="宋体" w:eastAsia="宋体" w:cs="宋体"/>
          <w:color w:val="auto"/>
          <w:sz w:val="21"/>
          <w:szCs w:val="21"/>
          <w:highlight w:val="none"/>
        </w:rPr>
      </w:pPr>
    </w:p>
    <w:p w14:paraId="0DDE95CC">
      <w:pPr>
        <w:pStyle w:val="112"/>
        <w:spacing w:line="360" w:lineRule="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（四）变更的提出</w:t>
      </w:r>
    </w:p>
    <w:p w14:paraId="7A3A72E6">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设计变更发起均由变更需求部门以工作联系单的形式提出“变更建议”，经部门分管领导审批后签发变更负责部门；当变更的内容涉及客户端交房标准及销售合同等内容时，变更提出部门同时将联系单发送营销策划部进行确认，营销策划部以工作联系单形式确认后，发送变更负责部门实施。</w:t>
      </w:r>
    </w:p>
    <w:p w14:paraId="0953F2F6">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xml:space="preserve">2.变更需求部门通过工作联系单的形式提出“变更建议”时应注明变更提出时的施工状态及发生费用情况，施工状态及发生费用情况分为施工前、施工中、施工后三类。 </w:t>
      </w:r>
    </w:p>
    <w:p w14:paraId="04A4A5D5">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bCs/>
          <w:color w:val="auto"/>
          <w:sz w:val="21"/>
          <w:szCs w:val="21"/>
          <w:highlight w:val="none"/>
          <w:lang w:eastAsia="zh-CN"/>
        </w:rPr>
        <w:t>（</w:t>
      </w:r>
      <w:r>
        <w:rPr>
          <w:rFonts w:hint="eastAsia" w:ascii="宋体" w:hAnsi="宋体" w:eastAsia="宋体" w:cs="宋体"/>
          <w:bCs/>
          <w:color w:val="auto"/>
          <w:sz w:val="21"/>
          <w:szCs w:val="21"/>
          <w:highlight w:val="none"/>
        </w:rPr>
        <w:t>五）</w:t>
      </w:r>
      <w:r>
        <w:rPr>
          <w:rFonts w:hint="eastAsia" w:ascii="宋体" w:hAnsi="宋体" w:eastAsia="宋体" w:cs="宋体"/>
          <w:color w:val="auto"/>
          <w:sz w:val="21"/>
          <w:szCs w:val="21"/>
          <w:highlight w:val="none"/>
        </w:rPr>
        <w:t>变更的审批流</w:t>
      </w:r>
    </w:p>
    <w:tbl>
      <w:tblPr>
        <w:tblStyle w:val="57"/>
        <w:tblpPr w:leftFromText="180" w:rightFromText="180" w:vertAnchor="text" w:horzAnchor="page" w:tblpX="2445" w:tblpY="880"/>
        <w:tblOverlap w:val="never"/>
        <w:tblW w:w="85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0"/>
        <w:gridCol w:w="4095"/>
        <w:gridCol w:w="2355"/>
      </w:tblGrid>
      <w:tr w14:paraId="39A83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2100" w:type="dxa"/>
          </w:tcPr>
          <w:p w14:paraId="16C80B87">
            <w:pPr>
              <w:pStyle w:val="112"/>
              <w:keepNext w:val="0"/>
              <w:keepLines w:val="0"/>
              <w:suppressLineNumbers w:val="0"/>
              <w:spacing w:before="0" w:beforeAutospacing="0" w:after="0" w:afterAutospacing="0" w:line="360" w:lineRule="auto"/>
              <w:ind w:left="0" w:leftChars="0" w:right="0" w:firstLine="0" w:firstLineChars="0"/>
              <w:jc w:val="center"/>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变更类别</w:t>
            </w:r>
          </w:p>
        </w:tc>
        <w:tc>
          <w:tcPr>
            <w:tcW w:w="4095" w:type="dxa"/>
          </w:tcPr>
          <w:p w14:paraId="0467D26C">
            <w:pPr>
              <w:pStyle w:val="112"/>
              <w:keepNext w:val="0"/>
              <w:keepLines w:val="0"/>
              <w:suppressLineNumbers w:val="0"/>
              <w:spacing w:before="0" w:beforeAutospacing="0" w:after="0" w:afterAutospacing="0" w:line="360" w:lineRule="auto"/>
              <w:ind w:left="0" w:leftChars="0" w:right="0" w:firstLine="0" w:firstLineChars="0"/>
              <w:jc w:val="center"/>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审批流程</w:t>
            </w:r>
          </w:p>
        </w:tc>
        <w:tc>
          <w:tcPr>
            <w:tcW w:w="2355" w:type="dxa"/>
          </w:tcPr>
          <w:p w14:paraId="18B8D93E">
            <w:pPr>
              <w:pStyle w:val="112"/>
              <w:keepNext w:val="0"/>
              <w:keepLines w:val="0"/>
              <w:suppressLineNumbers w:val="0"/>
              <w:spacing w:before="0" w:beforeAutospacing="0" w:after="0" w:afterAutospacing="0" w:line="360" w:lineRule="auto"/>
              <w:ind w:left="0" w:leftChars="0" w:right="0" w:firstLine="0" w:firstLineChars="0"/>
              <w:jc w:val="center"/>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所需附件</w:t>
            </w:r>
          </w:p>
        </w:tc>
      </w:tr>
      <w:tr w14:paraId="4662A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2100" w:type="dxa"/>
            <w:vAlign w:val="center"/>
          </w:tcPr>
          <w:p w14:paraId="3DF1C850">
            <w:pPr>
              <w:pStyle w:val="112"/>
              <w:keepNext w:val="0"/>
              <w:keepLines w:val="0"/>
              <w:suppressLineNumbers w:val="0"/>
              <w:spacing w:before="0" w:beforeAutospacing="0" w:after="0" w:afterAutospacing="0" w:line="360" w:lineRule="auto"/>
              <w:ind w:left="0" w:leftChars="0" w:right="0" w:firstLine="0" w:firstLineChars="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变更金额≤5万</w:t>
            </w:r>
          </w:p>
        </w:tc>
        <w:tc>
          <w:tcPr>
            <w:tcW w:w="4095" w:type="dxa"/>
            <w:vAlign w:val="center"/>
          </w:tcPr>
          <w:p w14:paraId="10DD30CA">
            <w:pPr>
              <w:pStyle w:val="112"/>
              <w:keepNext w:val="0"/>
              <w:keepLines w:val="0"/>
              <w:suppressLineNumbers w:val="0"/>
              <w:spacing w:before="0" w:beforeAutospacing="0" w:after="0" w:afterAutospacing="0" w:line="360" w:lineRule="auto"/>
              <w:ind w:left="0" w:leftChars="0" w:right="0" w:firstLine="0" w:firstLineChars="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总师办发起人→总师办负责人及分管领导→营销/销售/前期等部门负责人及分管领导（根据涉及交圈部门选择）→项目成本经办人→项目总/项目分管领导→成本管理部负责人</w:t>
            </w:r>
          </w:p>
        </w:tc>
        <w:tc>
          <w:tcPr>
            <w:tcW w:w="2355" w:type="dxa"/>
            <w:vAlign w:val="center"/>
          </w:tcPr>
          <w:p w14:paraId="73E66328">
            <w:pPr>
              <w:pStyle w:val="112"/>
              <w:keepNext w:val="0"/>
              <w:keepLines w:val="0"/>
              <w:suppressLineNumbers w:val="0"/>
              <w:spacing w:before="0" w:beforeAutospacing="0" w:after="0" w:afterAutospacing="0" w:line="360" w:lineRule="auto"/>
              <w:ind w:left="0" w:right="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设计变更；</w:t>
            </w:r>
          </w:p>
          <w:p w14:paraId="20245D7C">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成本的测算资料；</w:t>
            </w:r>
          </w:p>
          <w:p w14:paraId="37A99BBF">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工管会会议纪要（重大技术变更时）</w:t>
            </w:r>
          </w:p>
        </w:tc>
      </w:tr>
      <w:tr w14:paraId="41653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7" w:hRule="atLeast"/>
        </w:trPr>
        <w:tc>
          <w:tcPr>
            <w:tcW w:w="2100" w:type="dxa"/>
            <w:vAlign w:val="center"/>
          </w:tcPr>
          <w:p w14:paraId="652C2110">
            <w:pPr>
              <w:pStyle w:val="112"/>
              <w:keepNext w:val="0"/>
              <w:keepLines w:val="0"/>
              <w:suppressLineNumbers w:val="0"/>
              <w:spacing w:before="0" w:beforeAutospacing="0" w:after="0" w:afterAutospacing="0" w:line="360" w:lineRule="auto"/>
              <w:ind w:left="0" w:leftChars="0" w:right="0" w:firstLine="0" w:firstLineChars="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5万＜变更金额≤10万</w:t>
            </w:r>
          </w:p>
        </w:tc>
        <w:tc>
          <w:tcPr>
            <w:tcW w:w="4095" w:type="dxa"/>
            <w:vAlign w:val="center"/>
          </w:tcPr>
          <w:p w14:paraId="4E069378">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总师办发起人→总师办负责人及分管领导→营销/销售/前期等部门负责人及分管领导（根据涉及交圈部门选择）→项目成本经办人→项目总/项目分管领导→成本管理部负责人及分管领导</w:t>
            </w:r>
          </w:p>
        </w:tc>
        <w:tc>
          <w:tcPr>
            <w:tcW w:w="2355" w:type="dxa"/>
            <w:vAlign w:val="center"/>
          </w:tcPr>
          <w:p w14:paraId="1E8027B2">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设计变更；</w:t>
            </w:r>
          </w:p>
          <w:p w14:paraId="17085C7D">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成本的测算资料；</w:t>
            </w:r>
          </w:p>
          <w:p w14:paraId="6DAE9B5C">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工管会会议纪要（工管会秘书部门上传）</w:t>
            </w:r>
          </w:p>
        </w:tc>
      </w:tr>
      <w:tr w14:paraId="57C0F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0" w:hRule="atLeast"/>
        </w:trPr>
        <w:tc>
          <w:tcPr>
            <w:tcW w:w="2100" w:type="dxa"/>
            <w:vAlign w:val="center"/>
          </w:tcPr>
          <w:p w14:paraId="32DD6907">
            <w:pPr>
              <w:pStyle w:val="112"/>
              <w:keepNext w:val="0"/>
              <w:keepLines w:val="0"/>
              <w:suppressLineNumbers w:val="0"/>
              <w:spacing w:before="0" w:beforeAutospacing="0" w:after="0" w:afterAutospacing="0" w:line="360" w:lineRule="auto"/>
              <w:ind w:left="0" w:leftChars="0" w:right="0" w:firstLine="0" w:firstLineChars="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变更金额＞10万</w:t>
            </w:r>
          </w:p>
        </w:tc>
        <w:tc>
          <w:tcPr>
            <w:tcW w:w="4095" w:type="dxa"/>
            <w:vAlign w:val="center"/>
          </w:tcPr>
          <w:p w14:paraId="160A4D0A">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总师办发起人→总师办负责人及分管领导→营销/销售/前期等部门负责人及分管领导（根据涉及交圈部门选择）→项目成本经办人→项目总/项目分管领导→成本管理部负责人及分管领导→总经理</w:t>
            </w:r>
          </w:p>
        </w:tc>
        <w:tc>
          <w:tcPr>
            <w:tcW w:w="2355" w:type="dxa"/>
            <w:vAlign w:val="center"/>
          </w:tcPr>
          <w:p w14:paraId="33CE8FE1">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设计变更；</w:t>
            </w:r>
          </w:p>
          <w:p w14:paraId="383CE649">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成本的测算资料；</w:t>
            </w:r>
          </w:p>
          <w:p w14:paraId="37DDFAC6">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工管会会议纪要；</w:t>
            </w:r>
          </w:p>
          <w:p w14:paraId="2AF62D4B">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总经办会会议纪要（工管会秘书部门上传）</w:t>
            </w:r>
          </w:p>
        </w:tc>
      </w:tr>
      <w:tr w14:paraId="1855F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2100" w:type="dxa"/>
            <w:vAlign w:val="center"/>
          </w:tcPr>
          <w:p w14:paraId="3B374C6C">
            <w:pPr>
              <w:pStyle w:val="112"/>
              <w:keepNext w:val="0"/>
              <w:keepLines w:val="0"/>
              <w:suppressLineNumbers w:val="0"/>
              <w:spacing w:before="0" w:beforeAutospacing="0" w:after="0" w:afterAutospacing="0" w:line="360" w:lineRule="auto"/>
              <w:ind w:left="0" w:leftChars="0" w:right="0" w:firstLine="0" w:firstLineChars="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特别说明</w:t>
            </w:r>
          </w:p>
        </w:tc>
        <w:tc>
          <w:tcPr>
            <w:tcW w:w="6450" w:type="dxa"/>
            <w:gridSpan w:val="2"/>
            <w:vAlign w:val="center"/>
          </w:tcPr>
          <w:p w14:paraId="1DA169FF">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1.当变更累计总额超出合同金额的2%，或变更、签证累计总额超出合同金额3%时，变更发起流程必须附带工程管理委员会及总经办会评审通过的会议纪要，审批流按照“变更金额＞10万”的审批流进行审批。</w:t>
            </w:r>
          </w:p>
          <w:p w14:paraId="366D2953">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当变更内容涉及重大技术变更（使用功能、外立面、交通组织、结构主体、标高、层高等变化；与客户的交房标准或合同不符的变更）时，变更发起流程必须附带工程管理委员会或总经办会评审通过的会议纪要；</w:t>
            </w:r>
          </w:p>
          <w:p w14:paraId="7A80EE4D">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3.总包、装修、景观等需参照对应总包、装修、景观等施工合同金额；联合招标的分包工作内容变更需参照联合招标合同金额；</w:t>
            </w:r>
          </w:p>
          <w:p w14:paraId="6E00FA77">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4.变更累计总额需考虑成本核减。</w:t>
            </w:r>
          </w:p>
        </w:tc>
      </w:tr>
    </w:tbl>
    <w:p w14:paraId="086F34E3">
      <w:pPr>
        <w:pStyle w:val="112"/>
        <w:spacing w:line="360" w:lineRule="auto"/>
        <w:outlineLvl w:val="9"/>
        <w:rPr>
          <w:rFonts w:hint="eastAsia" w:ascii="宋体" w:hAnsi="宋体" w:eastAsia="宋体" w:cs="宋体"/>
          <w:color w:val="auto"/>
          <w:sz w:val="21"/>
          <w:szCs w:val="21"/>
          <w:highlight w:val="none"/>
        </w:rPr>
      </w:pPr>
    </w:p>
    <w:p w14:paraId="3C7FDC2E">
      <w:pPr>
        <w:pStyle w:val="112"/>
        <w:spacing w:line="360" w:lineRule="auto"/>
        <w:ind w:firstLine="420" w:firstLineChars="200"/>
        <w:outlineLvl w:val="9"/>
        <w:rPr>
          <w:rFonts w:hint="eastAsia" w:ascii="宋体" w:hAnsi="宋体" w:eastAsia="宋体" w:cs="宋体"/>
          <w:bCs/>
          <w:color w:val="auto"/>
          <w:sz w:val="21"/>
          <w:szCs w:val="21"/>
          <w:highlight w:val="none"/>
        </w:rPr>
      </w:pPr>
    </w:p>
    <w:p w14:paraId="5B60674C">
      <w:pPr>
        <w:pStyle w:val="112"/>
        <w:spacing w:line="360" w:lineRule="auto"/>
        <w:ind w:firstLine="420" w:firstLineChars="200"/>
        <w:outlineLvl w:val="9"/>
        <w:rPr>
          <w:rFonts w:hint="eastAsia" w:ascii="宋体" w:hAnsi="宋体" w:eastAsia="宋体" w:cs="宋体"/>
          <w:bCs/>
          <w:color w:val="auto"/>
          <w:sz w:val="21"/>
          <w:szCs w:val="21"/>
          <w:highlight w:val="none"/>
        </w:rPr>
      </w:pPr>
    </w:p>
    <w:p w14:paraId="2F4EB187">
      <w:pPr>
        <w:pStyle w:val="112"/>
        <w:spacing w:line="360" w:lineRule="auto"/>
        <w:ind w:firstLine="420" w:firstLineChars="200"/>
        <w:outlineLvl w:val="9"/>
        <w:rPr>
          <w:rFonts w:hint="eastAsia" w:ascii="宋体" w:hAnsi="宋体" w:eastAsia="宋体" w:cs="宋体"/>
          <w:bCs/>
          <w:color w:val="auto"/>
          <w:sz w:val="21"/>
          <w:szCs w:val="21"/>
          <w:highlight w:val="none"/>
        </w:rPr>
      </w:pPr>
    </w:p>
    <w:p w14:paraId="61B78C89">
      <w:pPr>
        <w:pStyle w:val="112"/>
        <w:spacing w:line="360" w:lineRule="auto"/>
        <w:ind w:firstLine="420" w:firstLineChars="200"/>
        <w:outlineLvl w:val="9"/>
        <w:rPr>
          <w:rFonts w:hint="eastAsia" w:ascii="宋体" w:hAnsi="宋体" w:eastAsia="宋体" w:cs="宋体"/>
          <w:bCs/>
          <w:color w:val="auto"/>
          <w:sz w:val="21"/>
          <w:szCs w:val="21"/>
          <w:highlight w:val="none"/>
        </w:rPr>
      </w:pPr>
    </w:p>
    <w:p w14:paraId="3C3A0107">
      <w:pPr>
        <w:pStyle w:val="112"/>
        <w:spacing w:line="360" w:lineRule="auto"/>
        <w:ind w:firstLine="420" w:firstLineChars="200"/>
        <w:outlineLvl w:val="9"/>
        <w:rPr>
          <w:rFonts w:hint="eastAsia" w:ascii="宋体" w:hAnsi="宋体" w:eastAsia="宋体" w:cs="宋体"/>
          <w:bCs/>
          <w:color w:val="auto"/>
          <w:sz w:val="21"/>
          <w:szCs w:val="21"/>
          <w:highlight w:val="none"/>
        </w:rPr>
      </w:pPr>
    </w:p>
    <w:p w14:paraId="3738952E">
      <w:pPr>
        <w:pStyle w:val="112"/>
        <w:spacing w:line="360" w:lineRule="auto"/>
        <w:ind w:firstLine="420" w:firstLineChars="200"/>
        <w:outlineLvl w:val="9"/>
        <w:rPr>
          <w:rFonts w:hint="eastAsia" w:ascii="宋体" w:hAnsi="宋体" w:eastAsia="宋体" w:cs="宋体"/>
          <w:bCs/>
          <w:color w:val="auto"/>
          <w:sz w:val="21"/>
          <w:szCs w:val="21"/>
          <w:highlight w:val="none"/>
        </w:rPr>
      </w:pPr>
    </w:p>
    <w:p w14:paraId="0DDD8725">
      <w:pPr>
        <w:pStyle w:val="112"/>
        <w:spacing w:line="360" w:lineRule="auto"/>
        <w:ind w:firstLine="420" w:firstLineChars="200"/>
        <w:outlineLvl w:val="9"/>
        <w:rPr>
          <w:rFonts w:hint="eastAsia" w:ascii="宋体" w:hAnsi="宋体" w:eastAsia="宋体" w:cs="宋体"/>
          <w:bCs/>
          <w:color w:val="auto"/>
          <w:sz w:val="21"/>
          <w:szCs w:val="21"/>
          <w:highlight w:val="none"/>
        </w:rPr>
      </w:pPr>
    </w:p>
    <w:p w14:paraId="3436111D">
      <w:pPr>
        <w:pStyle w:val="112"/>
        <w:spacing w:line="360" w:lineRule="auto"/>
        <w:ind w:firstLine="420" w:firstLineChars="200"/>
        <w:outlineLvl w:val="9"/>
        <w:rPr>
          <w:rFonts w:hint="eastAsia" w:ascii="宋体" w:hAnsi="宋体" w:eastAsia="宋体" w:cs="宋体"/>
          <w:bCs/>
          <w:color w:val="auto"/>
          <w:sz w:val="21"/>
          <w:szCs w:val="21"/>
          <w:highlight w:val="none"/>
        </w:rPr>
      </w:pPr>
    </w:p>
    <w:p w14:paraId="68395690">
      <w:pPr>
        <w:pStyle w:val="112"/>
        <w:spacing w:line="360" w:lineRule="auto"/>
        <w:ind w:firstLine="420" w:firstLineChars="200"/>
        <w:outlineLvl w:val="9"/>
        <w:rPr>
          <w:rFonts w:hint="eastAsia" w:ascii="宋体" w:hAnsi="宋体" w:eastAsia="宋体" w:cs="宋体"/>
          <w:bCs/>
          <w:color w:val="auto"/>
          <w:sz w:val="21"/>
          <w:szCs w:val="21"/>
          <w:highlight w:val="none"/>
        </w:rPr>
      </w:pPr>
    </w:p>
    <w:p w14:paraId="675FE4E4">
      <w:pPr>
        <w:pStyle w:val="112"/>
        <w:spacing w:line="360" w:lineRule="auto"/>
        <w:ind w:firstLine="420" w:firstLineChars="200"/>
        <w:outlineLvl w:val="9"/>
        <w:rPr>
          <w:rFonts w:hint="eastAsia" w:ascii="宋体" w:hAnsi="宋体" w:eastAsia="宋体" w:cs="宋体"/>
          <w:bCs/>
          <w:color w:val="auto"/>
          <w:sz w:val="21"/>
          <w:szCs w:val="21"/>
          <w:highlight w:val="none"/>
        </w:rPr>
      </w:pPr>
    </w:p>
    <w:p w14:paraId="0A9380F9">
      <w:pPr>
        <w:pStyle w:val="112"/>
        <w:spacing w:line="360" w:lineRule="auto"/>
        <w:ind w:firstLine="420" w:firstLineChars="200"/>
        <w:outlineLvl w:val="9"/>
        <w:rPr>
          <w:rFonts w:hint="eastAsia" w:ascii="宋体" w:hAnsi="宋体" w:eastAsia="宋体" w:cs="宋体"/>
          <w:bCs/>
          <w:color w:val="auto"/>
          <w:sz w:val="21"/>
          <w:szCs w:val="21"/>
          <w:highlight w:val="none"/>
        </w:rPr>
      </w:pPr>
    </w:p>
    <w:p w14:paraId="666D0555">
      <w:pPr>
        <w:pStyle w:val="112"/>
        <w:spacing w:line="360" w:lineRule="auto"/>
        <w:ind w:firstLine="420" w:firstLineChars="200"/>
        <w:outlineLvl w:val="9"/>
        <w:rPr>
          <w:rFonts w:hint="eastAsia" w:ascii="宋体" w:hAnsi="宋体" w:eastAsia="宋体" w:cs="宋体"/>
          <w:bCs/>
          <w:color w:val="auto"/>
          <w:sz w:val="21"/>
          <w:szCs w:val="21"/>
          <w:highlight w:val="none"/>
        </w:rPr>
      </w:pPr>
    </w:p>
    <w:p w14:paraId="0C44D1B4">
      <w:pPr>
        <w:pStyle w:val="112"/>
        <w:spacing w:line="360" w:lineRule="auto"/>
        <w:ind w:firstLine="420" w:firstLineChars="200"/>
        <w:outlineLvl w:val="9"/>
        <w:rPr>
          <w:rFonts w:hint="eastAsia" w:ascii="宋体" w:hAnsi="宋体" w:eastAsia="宋体" w:cs="宋体"/>
          <w:bCs/>
          <w:color w:val="auto"/>
          <w:sz w:val="21"/>
          <w:szCs w:val="21"/>
          <w:highlight w:val="none"/>
        </w:rPr>
      </w:pPr>
    </w:p>
    <w:p w14:paraId="2353CD43">
      <w:pPr>
        <w:pStyle w:val="112"/>
        <w:spacing w:line="360" w:lineRule="auto"/>
        <w:ind w:firstLine="420" w:firstLineChars="200"/>
        <w:outlineLvl w:val="9"/>
        <w:rPr>
          <w:rFonts w:hint="eastAsia" w:ascii="宋体" w:hAnsi="宋体" w:eastAsia="宋体" w:cs="宋体"/>
          <w:bCs/>
          <w:color w:val="auto"/>
          <w:sz w:val="21"/>
          <w:szCs w:val="21"/>
          <w:highlight w:val="none"/>
        </w:rPr>
      </w:pPr>
    </w:p>
    <w:p w14:paraId="2095BDE1">
      <w:pPr>
        <w:pStyle w:val="112"/>
        <w:spacing w:line="360" w:lineRule="auto"/>
        <w:ind w:firstLine="420" w:firstLineChars="200"/>
        <w:outlineLvl w:val="9"/>
        <w:rPr>
          <w:rFonts w:hint="eastAsia" w:ascii="宋体" w:hAnsi="宋体" w:eastAsia="宋体" w:cs="宋体"/>
          <w:bCs/>
          <w:color w:val="auto"/>
          <w:sz w:val="21"/>
          <w:szCs w:val="21"/>
          <w:highlight w:val="none"/>
        </w:rPr>
      </w:pPr>
    </w:p>
    <w:p w14:paraId="5ADD9F7A">
      <w:pPr>
        <w:pStyle w:val="112"/>
        <w:spacing w:line="360" w:lineRule="auto"/>
        <w:ind w:firstLine="420" w:firstLineChars="200"/>
        <w:outlineLvl w:val="9"/>
        <w:rPr>
          <w:rFonts w:hint="eastAsia" w:ascii="宋体" w:hAnsi="宋体" w:eastAsia="宋体" w:cs="宋体"/>
          <w:bCs/>
          <w:color w:val="auto"/>
          <w:sz w:val="21"/>
          <w:szCs w:val="21"/>
          <w:highlight w:val="none"/>
        </w:rPr>
      </w:pPr>
    </w:p>
    <w:p w14:paraId="0C7212C0">
      <w:pPr>
        <w:pStyle w:val="112"/>
        <w:spacing w:line="360" w:lineRule="auto"/>
        <w:ind w:left="0" w:leftChars="0" w:firstLine="0" w:firstLineChars="0"/>
        <w:outlineLvl w:val="9"/>
        <w:rPr>
          <w:rFonts w:hint="eastAsia" w:ascii="宋体" w:hAnsi="宋体" w:eastAsia="宋体" w:cs="宋体"/>
          <w:bCs/>
          <w:color w:val="auto"/>
          <w:sz w:val="21"/>
          <w:szCs w:val="21"/>
          <w:highlight w:val="none"/>
        </w:rPr>
      </w:pPr>
    </w:p>
    <w:p w14:paraId="7DFEA9DF">
      <w:pPr>
        <w:pStyle w:val="112"/>
        <w:spacing w:line="360" w:lineRule="auto"/>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lang w:eastAsia="zh-CN"/>
        </w:rPr>
        <w:t>（</w:t>
      </w:r>
      <w:r>
        <w:rPr>
          <w:rFonts w:hint="eastAsia" w:ascii="宋体" w:hAnsi="宋体" w:eastAsia="宋体" w:cs="宋体"/>
          <w:bCs/>
          <w:color w:val="auto"/>
          <w:sz w:val="21"/>
          <w:szCs w:val="21"/>
          <w:highlight w:val="none"/>
        </w:rPr>
        <w:t>六）变更的实施</w:t>
      </w:r>
    </w:p>
    <w:p w14:paraId="69C2C79F">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1.总师办接到变更需求的工作联系单后，7天内发起变更的预审批流程。成本管理部7个工作日内完成变更成本测算及线上审批。</w:t>
      </w:r>
    </w:p>
    <w:p w14:paraId="66DF2DB8">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2.若出现施工范围的调整、新增或减少工作项等情况，由招标采供部拟定“工程/材料变更确认单”，经分管领导审批后下发项目部和成本管理部；根据实际情况，需要时应签订补充协议。</w:t>
      </w:r>
    </w:p>
    <w:p w14:paraId="15321BAC">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项目部接到各类变更后，应组织各专业工程师进行评审，并将评审意见及造成的结果填写在“项目部设计变更评审表”中，没有问题时项目经理审批后下发工程师执行，同时专业工程师应将变更及时标注在施工图上；若对变更内容存在异议或无法施工时，5个工作日内以工作联系单形式反馈总师办沟通解决。</w:t>
      </w:r>
    </w:p>
    <w:p w14:paraId="715982AE">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总师办每月20日对设计变更进行累计统计，统计结果发项目部、成本管理部和工程管理部。项目部按照“设计变更台账”（附件一）每月24日对设计变更及其执行情况进行累计统计，统计结果发总师办、成本管理部和工程管理部。工程管理部每月对上线的设计变更完工确认情况进行检查，检查结果在次月工程口月度会议中汇报。</w:t>
      </w:r>
    </w:p>
    <w:p w14:paraId="00F3592B">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施工单位、项目部自行变更未履行变更手续的，按照季度考核办法进行处罚。同时成本管理部对调整后做法所造成的成本变化进行分析，成本增加的不予确认，成本减少时进行核减。对于设计变更现场未执行，由工程管理部核实后上报工程管理委员会审议。</w:t>
      </w:r>
    </w:p>
    <w:p w14:paraId="0893C624">
      <w:pPr>
        <w:pStyle w:val="112"/>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6.设计变更原则上不调整工期。若变更执行过程中涉及影响公司二级以上节点计划的，按照公司《全周期计划管理办法》执行。</w:t>
      </w:r>
    </w:p>
    <w:p w14:paraId="55B9D5C0">
      <w:pPr>
        <w:pStyle w:val="112"/>
        <w:spacing w:line="360" w:lineRule="auto"/>
        <w:ind w:firstLine="420" w:firstLineChars="200"/>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四、签证管理办法</w:t>
      </w:r>
    </w:p>
    <w:p w14:paraId="48E5DCEF">
      <w:pPr>
        <w:pStyle w:val="74"/>
        <w:widowControl/>
        <w:autoSpaceDE w:val="0"/>
        <w:autoSpaceDN w:val="0"/>
        <w:adjustRightInd w:val="0"/>
        <w:spacing w:line="360" w:lineRule="auto"/>
        <w:contextualSpacing/>
        <w:jc w:val="left"/>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（一）签证定义</w:t>
      </w:r>
    </w:p>
    <w:p w14:paraId="7760DEAB">
      <w:pPr>
        <w:spacing w:line="360" w:lineRule="auto"/>
        <w:ind w:firstLine="420" w:firstLineChars="20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因施工现场的非变更原因增加的工作，对其工作内容、工程量等由相关方共同签字认可的文件。包括签字认可的用工签证、机械台班签证、零星工程签证、需现场确认工程量等工作内容所做的签认证明。</w:t>
      </w:r>
    </w:p>
    <w:p w14:paraId="4B92E304">
      <w:pPr>
        <w:pStyle w:val="74"/>
        <w:widowControl/>
        <w:numPr>
          <w:ilvl w:val="0"/>
          <w:numId w:val="0"/>
        </w:numPr>
        <w:autoSpaceDE w:val="0"/>
        <w:autoSpaceDN w:val="0"/>
        <w:adjustRightInd w:val="0"/>
        <w:spacing w:line="360" w:lineRule="auto"/>
        <w:ind w:firstLine="630" w:firstLineChars="300"/>
        <w:contextualSpacing/>
        <w:jc w:val="left"/>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lang w:eastAsia="zh-CN"/>
        </w:rPr>
        <w:t>（</w:t>
      </w:r>
      <w:r>
        <w:rPr>
          <w:rFonts w:hint="eastAsia" w:ascii="宋体" w:hAnsi="宋体" w:eastAsia="宋体" w:cs="宋体"/>
          <w:bCs/>
          <w:color w:val="auto"/>
          <w:sz w:val="21"/>
          <w:szCs w:val="21"/>
          <w:highlight w:val="none"/>
          <w:lang w:val="en-US" w:eastAsia="zh-CN"/>
        </w:rPr>
        <w:t>二</w:t>
      </w:r>
      <w:r>
        <w:rPr>
          <w:rFonts w:hint="eastAsia" w:ascii="宋体" w:hAnsi="宋体" w:eastAsia="宋体" w:cs="宋体"/>
          <w:bCs/>
          <w:color w:val="auto"/>
          <w:sz w:val="21"/>
          <w:szCs w:val="21"/>
          <w:highlight w:val="none"/>
          <w:lang w:eastAsia="zh-CN"/>
        </w:rPr>
        <w:t>）</w:t>
      </w:r>
      <w:r>
        <w:rPr>
          <w:rFonts w:hint="eastAsia" w:ascii="宋体" w:hAnsi="宋体" w:eastAsia="宋体" w:cs="宋体"/>
          <w:bCs/>
          <w:color w:val="auto"/>
          <w:sz w:val="21"/>
          <w:szCs w:val="21"/>
          <w:highlight w:val="none"/>
        </w:rPr>
        <w:t>签证类型</w:t>
      </w:r>
    </w:p>
    <w:p w14:paraId="3E43ED5C">
      <w:pPr>
        <w:pStyle w:val="74"/>
        <w:widowControl/>
        <w:autoSpaceDE w:val="0"/>
        <w:autoSpaceDN w:val="0"/>
        <w:adjustRightInd w:val="0"/>
        <w:spacing w:line="360" w:lineRule="auto"/>
        <w:contextualSpacing/>
        <w:jc w:val="left"/>
        <w:outlineLvl w:val="9"/>
        <w:rPr>
          <w:rFonts w:hint="eastAsia" w:eastAsia="宋体"/>
          <w:color w:val="auto"/>
          <w:highlight w:val="none"/>
          <w:lang w:eastAsia="zh-CN"/>
        </w:rPr>
      </w:pPr>
      <w:r>
        <w:rPr>
          <w:rFonts w:hint="eastAsia" w:ascii="宋体" w:hAnsi="宋体" w:eastAsia="宋体" w:cs="宋体"/>
          <w:color w:val="auto"/>
          <w:sz w:val="21"/>
          <w:szCs w:val="21"/>
          <w:highlight w:val="none"/>
        </w:rPr>
        <w:t>签证的发起部门为项目部，具体签证类型及原因如下：</w:t>
      </w:r>
    </w:p>
    <w:tbl>
      <w:tblPr>
        <w:tblStyle w:val="5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1"/>
        <w:gridCol w:w="730"/>
        <w:gridCol w:w="1192"/>
        <w:gridCol w:w="6297"/>
      </w:tblGrid>
      <w:tr w14:paraId="02601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841" w:type="dxa"/>
            <w:vAlign w:val="center"/>
          </w:tcPr>
          <w:p w14:paraId="2F74B852">
            <w:pPr>
              <w:pStyle w:val="74"/>
              <w:keepNext w:val="0"/>
              <w:keepLines w:val="0"/>
              <w:suppressLineNumbers w:val="0"/>
              <w:spacing w:before="0" w:beforeAutospacing="0" w:after="0" w:afterAutospacing="0" w:line="360" w:lineRule="auto"/>
              <w:ind w:right="0" w:firstLine="0" w:firstLineChars="0"/>
              <w:jc w:val="both"/>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称</w:t>
            </w:r>
          </w:p>
        </w:tc>
        <w:tc>
          <w:tcPr>
            <w:tcW w:w="730" w:type="dxa"/>
            <w:vAlign w:val="center"/>
          </w:tcPr>
          <w:p w14:paraId="773E3200">
            <w:pPr>
              <w:keepNext w:val="0"/>
              <w:keepLines w:val="0"/>
              <w:suppressLineNumbers w:val="0"/>
              <w:bidi w:val="0"/>
              <w:spacing w:before="0" w:beforeAutospacing="0" w:after="0" w:afterAutospacing="0"/>
              <w:ind w:left="0" w:right="0"/>
              <w:jc w:val="left"/>
              <w:outlineLvl w:val="9"/>
              <w:rPr>
                <w:rFonts w:hint="eastAsia"/>
                <w:color w:val="auto"/>
                <w:highlight w:val="none"/>
              </w:rPr>
            </w:pPr>
          </w:p>
        </w:tc>
        <w:tc>
          <w:tcPr>
            <w:tcW w:w="7489" w:type="dxa"/>
            <w:gridSpan w:val="2"/>
            <w:vAlign w:val="center"/>
          </w:tcPr>
          <w:p w14:paraId="717616C3">
            <w:pPr>
              <w:pStyle w:val="74"/>
              <w:keepNext w:val="0"/>
              <w:keepLines w:val="0"/>
              <w:suppressLineNumbers w:val="0"/>
              <w:spacing w:before="0" w:beforeAutospacing="0" w:after="0" w:afterAutospacing="0" w:line="240" w:lineRule="auto"/>
              <w:ind w:right="0" w:firstLine="0" w:firstLineChars="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原因分类</w:t>
            </w:r>
          </w:p>
        </w:tc>
      </w:tr>
      <w:tr w14:paraId="05F6A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841" w:type="dxa"/>
            <w:vMerge w:val="restart"/>
            <w:vAlign w:val="center"/>
          </w:tcPr>
          <w:p w14:paraId="5A966FB6">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现场签证</w:t>
            </w:r>
          </w:p>
        </w:tc>
        <w:tc>
          <w:tcPr>
            <w:tcW w:w="730" w:type="dxa"/>
            <w:vAlign w:val="center"/>
          </w:tcPr>
          <w:p w14:paraId="5D4E9865">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7489" w:type="dxa"/>
            <w:gridSpan w:val="2"/>
            <w:vAlign w:val="center"/>
          </w:tcPr>
          <w:p w14:paraId="34708430">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政策调整：</w:t>
            </w:r>
            <w:r>
              <w:rPr>
                <w:rFonts w:hint="eastAsia" w:ascii="宋体" w:hAnsi="宋体" w:eastAsia="宋体" w:cs="宋体"/>
                <w:color w:val="auto"/>
                <w:sz w:val="21"/>
                <w:szCs w:val="21"/>
                <w:highlight w:val="none"/>
              </w:rPr>
              <w:t>因政府政策调整、相关规范调整、验收要求等需对合同范围进行调整的情况。</w:t>
            </w:r>
          </w:p>
        </w:tc>
      </w:tr>
      <w:tr w14:paraId="76CFB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841" w:type="dxa"/>
            <w:vMerge w:val="continue"/>
            <w:vAlign w:val="center"/>
          </w:tcPr>
          <w:p w14:paraId="592F6E8C">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730" w:type="dxa"/>
            <w:vAlign w:val="center"/>
          </w:tcPr>
          <w:p w14:paraId="6BC73EE6">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p>
        </w:tc>
        <w:tc>
          <w:tcPr>
            <w:tcW w:w="7489" w:type="dxa"/>
            <w:gridSpan w:val="2"/>
            <w:vAlign w:val="center"/>
          </w:tcPr>
          <w:p w14:paraId="588578B0">
            <w:pPr>
              <w:pStyle w:val="711"/>
              <w:keepNext w:val="0"/>
              <w:keepLines w:val="0"/>
              <w:suppressLineNumbers w:val="0"/>
              <w:spacing w:before="0" w:beforeAutospacing="0" w:after="0" w:afterAutospacing="0" w:line="360" w:lineRule="auto"/>
              <w:ind w:left="0" w:right="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营销需求：</w:t>
            </w:r>
            <w:r>
              <w:rPr>
                <w:rFonts w:hint="eastAsia" w:ascii="宋体" w:hAnsi="宋体" w:eastAsia="宋体" w:cs="宋体"/>
                <w:color w:val="auto"/>
                <w:sz w:val="21"/>
                <w:szCs w:val="21"/>
                <w:highlight w:val="none"/>
              </w:rPr>
              <w:t>因营销需求、品质、定位调整、客户原因及交房需要等引起的合同范围进行调整的情况。</w:t>
            </w:r>
          </w:p>
        </w:tc>
      </w:tr>
      <w:tr w14:paraId="25620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841" w:type="dxa"/>
            <w:vMerge w:val="continue"/>
            <w:vAlign w:val="center"/>
          </w:tcPr>
          <w:p w14:paraId="001920D9">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730" w:type="dxa"/>
            <w:vAlign w:val="center"/>
          </w:tcPr>
          <w:p w14:paraId="54AF76FF">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p>
        </w:tc>
        <w:tc>
          <w:tcPr>
            <w:tcW w:w="7489" w:type="dxa"/>
            <w:gridSpan w:val="2"/>
            <w:vAlign w:val="center"/>
          </w:tcPr>
          <w:p w14:paraId="4CDA1258">
            <w:pPr>
              <w:pStyle w:val="711"/>
              <w:keepNext w:val="0"/>
              <w:keepLines w:val="0"/>
              <w:suppressLineNumbers w:val="0"/>
              <w:spacing w:before="0" w:beforeAutospacing="0" w:after="0" w:afterAutospacing="0" w:line="360" w:lineRule="auto"/>
              <w:ind w:left="0" w:right="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未施工项扣减：</w:t>
            </w:r>
            <w:r>
              <w:rPr>
                <w:rFonts w:hint="eastAsia" w:ascii="宋体" w:hAnsi="宋体" w:eastAsia="宋体" w:cs="宋体"/>
                <w:color w:val="auto"/>
                <w:sz w:val="21"/>
                <w:szCs w:val="21"/>
                <w:highlight w:val="none"/>
              </w:rPr>
              <w:t>经过现场核查，施工单位未按图施工且不能整改的合同范围进行调整的情况。</w:t>
            </w:r>
          </w:p>
        </w:tc>
      </w:tr>
      <w:tr w14:paraId="3C5C5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841" w:type="dxa"/>
            <w:vMerge w:val="continue"/>
            <w:vAlign w:val="center"/>
          </w:tcPr>
          <w:p w14:paraId="22CCE0A1">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730" w:type="dxa"/>
            <w:vAlign w:val="center"/>
          </w:tcPr>
          <w:p w14:paraId="629D0349">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w:t>
            </w:r>
          </w:p>
        </w:tc>
        <w:tc>
          <w:tcPr>
            <w:tcW w:w="7489" w:type="dxa"/>
            <w:gridSpan w:val="2"/>
            <w:vAlign w:val="center"/>
          </w:tcPr>
          <w:p w14:paraId="6C90F65F">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应甲方要求合同外增加或者合同范围内减少：</w:t>
            </w:r>
            <w:r>
              <w:rPr>
                <w:rFonts w:hint="eastAsia" w:ascii="宋体" w:hAnsi="宋体" w:eastAsia="宋体" w:cs="宋体"/>
                <w:color w:val="auto"/>
                <w:sz w:val="21"/>
                <w:szCs w:val="21"/>
                <w:highlight w:val="none"/>
              </w:rPr>
              <w:t>在合同承包及图纸范围之外新增加的不同于原合同施工内容的。</w:t>
            </w:r>
          </w:p>
        </w:tc>
      </w:tr>
      <w:tr w14:paraId="6F37B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841" w:type="dxa"/>
            <w:vMerge w:val="continue"/>
            <w:vAlign w:val="center"/>
          </w:tcPr>
          <w:p w14:paraId="3775E713">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730" w:type="dxa"/>
            <w:vAlign w:val="center"/>
          </w:tcPr>
          <w:p w14:paraId="1B34C44F">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p>
        </w:tc>
        <w:tc>
          <w:tcPr>
            <w:tcW w:w="7489" w:type="dxa"/>
            <w:gridSpan w:val="2"/>
            <w:vAlign w:val="center"/>
          </w:tcPr>
          <w:p w14:paraId="29450979">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施工错漏：</w:t>
            </w:r>
            <w:r>
              <w:rPr>
                <w:rFonts w:hint="eastAsia" w:ascii="宋体" w:hAnsi="宋体" w:eastAsia="宋体" w:cs="宋体"/>
                <w:color w:val="auto"/>
                <w:sz w:val="21"/>
                <w:szCs w:val="21"/>
                <w:highlight w:val="none"/>
              </w:rPr>
              <w:t>因施工出现错误或遗漏，为弥补影响，对原合同内容进行调整而引起的签证。</w:t>
            </w:r>
          </w:p>
        </w:tc>
      </w:tr>
      <w:tr w14:paraId="01CF3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841" w:type="dxa"/>
            <w:vMerge w:val="continue"/>
            <w:vAlign w:val="center"/>
          </w:tcPr>
          <w:p w14:paraId="4080CB81">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730" w:type="dxa"/>
            <w:vAlign w:val="center"/>
          </w:tcPr>
          <w:p w14:paraId="714FC7AD">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w:t>
            </w:r>
          </w:p>
        </w:tc>
        <w:tc>
          <w:tcPr>
            <w:tcW w:w="7489" w:type="dxa"/>
            <w:gridSpan w:val="2"/>
            <w:vAlign w:val="center"/>
          </w:tcPr>
          <w:p w14:paraId="0B996C28">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设计变更：</w:t>
            </w:r>
            <w:r>
              <w:rPr>
                <w:rFonts w:hint="eastAsia" w:ascii="宋体" w:hAnsi="宋体" w:eastAsia="宋体" w:cs="宋体"/>
                <w:bCs/>
                <w:color w:val="auto"/>
                <w:sz w:val="21"/>
                <w:szCs w:val="21"/>
                <w:highlight w:val="none"/>
              </w:rPr>
              <w:t>因设计变更实施导致拆改发生的签证（新增内容不办理签证）</w:t>
            </w:r>
          </w:p>
        </w:tc>
      </w:tr>
      <w:tr w14:paraId="118D2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841" w:type="dxa"/>
            <w:vMerge w:val="continue"/>
            <w:vAlign w:val="center"/>
          </w:tcPr>
          <w:p w14:paraId="69402185">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730" w:type="dxa"/>
            <w:vAlign w:val="center"/>
          </w:tcPr>
          <w:p w14:paraId="40BF2361">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w:t>
            </w:r>
          </w:p>
        </w:tc>
        <w:tc>
          <w:tcPr>
            <w:tcW w:w="7489" w:type="dxa"/>
            <w:gridSpan w:val="2"/>
            <w:vAlign w:val="center"/>
          </w:tcPr>
          <w:p w14:paraId="1BD9390B">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转扣签证：</w:t>
            </w:r>
            <w:r>
              <w:rPr>
                <w:rFonts w:hint="eastAsia" w:ascii="宋体" w:hAnsi="宋体" w:eastAsia="宋体" w:cs="宋体"/>
                <w:bCs/>
                <w:color w:val="auto"/>
                <w:sz w:val="21"/>
                <w:szCs w:val="21"/>
                <w:highlight w:val="none"/>
              </w:rPr>
              <w:t>施工过程中，原约定施工单位不配合施工，由其他单位代为施工所办理签证。</w:t>
            </w:r>
          </w:p>
        </w:tc>
      </w:tr>
      <w:tr w14:paraId="48071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841" w:type="dxa"/>
            <w:vMerge w:val="continue"/>
            <w:vAlign w:val="center"/>
          </w:tcPr>
          <w:p w14:paraId="40EF84F1">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730" w:type="dxa"/>
            <w:vAlign w:val="center"/>
          </w:tcPr>
          <w:p w14:paraId="48E068F8">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8</w:t>
            </w:r>
          </w:p>
        </w:tc>
        <w:tc>
          <w:tcPr>
            <w:tcW w:w="7489" w:type="dxa"/>
            <w:gridSpan w:val="2"/>
            <w:vAlign w:val="center"/>
          </w:tcPr>
          <w:p w14:paraId="667470C2">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窝工签证：</w:t>
            </w:r>
            <w:r>
              <w:rPr>
                <w:rFonts w:hint="eastAsia" w:ascii="宋体" w:hAnsi="宋体" w:eastAsia="宋体" w:cs="宋体"/>
                <w:bCs/>
                <w:color w:val="auto"/>
                <w:sz w:val="21"/>
                <w:szCs w:val="21"/>
                <w:highlight w:val="none"/>
              </w:rPr>
              <w:t>人员窝工、机械闲置签证</w:t>
            </w:r>
          </w:p>
        </w:tc>
      </w:tr>
      <w:tr w14:paraId="08A63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841" w:type="dxa"/>
            <w:vMerge w:val="continue"/>
            <w:vAlign w:val="center"/>
          </w:tcPr>
          <w:p w14:paraId="197393CB">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b/>
                <w:bCs/>
                <w:color w:val="auto"/>
                <w:sz w:val="21"/>
                <w:szCs w:val="21"/>
                <w:highlight w:val="none"/>
              </w:rPr>
            </w:pPr>
          </w:p>
        </w:tc>
        <w:tc>
          <w:tcPr>
            <w:tcW w:w="730" w:type="dxa"/>
            <w:vMerge w:val="restart"/>
            <w:vAlign w:val="center"/>
          </w:tcPr>
          <w:p w14:paraId="0323705B">
            <w:pPr>
              <w:pStyle w:val="711"/>
              <w:keepNext w:val="0"/>
              <w:keepLines w:val="0"/>
              <w:suppressLineNumbers w:val="0"/>
              <w:spacing w:before="0" w:beforeAutospacing="0" w:after="0" w:afterAutospacing="0" w:line="360" w:lineRule="auto"/>
              <w:ind w:left="0" w:right="0" w:firstLine="0" w:firstLineChars="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9</w:t>
            </w:r>
          </w:p>
        </w:tc>
        <w:tc>
          <w:tcPr>
            <w:tcW w:w="1192" w:type="dxa"/>
            <w:vMerge w:val="restart"/>
            <w:vAlign w:val="center"/>
          </w:tcPr>
          <w:p w14:paraId="58A647F4">
            <w:pPr>
              <w:keepNext w:val="0"/>
              <w:keepLines w:val="0"/>
              <w:suppressLineNumbers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现场管理</w:t>
            </w:r>
          </w:p>
        </w:tc>
        <w:tc>
          <w:tcPr>
            <w:tcW w:w="6297" w:type="dxa"/>
            <w:vAlign w:val="center"/>
          </w:tcPr>
          <w:p w14:paraId="69044B28">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土石方类：</w:t>
            </w:r>
            <w:r>
              <w:rPr>
                <w:rFonts w:hint="eastAsia" w:ascii="宋体" w:hAnsi="宋体" w:eastAsia="宋体" w:cs="宋体"/>
                <w:bCs/>
                <w:color w:val="auto"/>
                <w:sz w:val="21"/>
                <w:szCs w:val="21"/>
                <w:highlight w:val="none"/>
              </w:rPr>
              <w:t>地基换填、土方内倒、外运运距确认</w:t>
            </w:r>
          </w:p>
        </w:tc>
      </w:tr>
      <w:tr w14:paraId="1D012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841" w:type="dxa"/>
            <w:vMerge w:val="continue"/>
            <w:vAlign w:val="center"/>
          </w:tcPr>
          <w:p w14:paraId="4A43C8E5">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color w:val="auto"/>
                <w:sz w:val="21"/>
                <w:szCs w:val="21"/>
                <w:highlight w:val="none"/>
              </w:rPr>
            </w:pPr>
          </w:p>
        </w:tc>
        <w:tc>
          <w:tcPr>
            <w:tcW w:w="730" w:type="dxa"/>
            <w:vMerge w:val="continue"/>
            <w:vAlign w:val="center"/>
          </w:tcPr>
          <w:p w14:paraId="332E9310">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color w:val="auto"/>
                <w:sz w:val="21"/>
                <w:szCs w:val="21"/>
                <w:highlight w:val="none"/>
              </w:rPr>
            </w:pPr>
          </w:p>
        </w:tc>
        <w:tc>
          <w:tcPr>
            <w:tcW w:w="1192" w:type="dxa"/>
            <w:vMerge w:val="continue"/>
            <w:vAlign w:val="center"/>
          </w:tcPr>
          <w:p w14:paraId="1B7F0FCF">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color w:val="auto"/>
                <w:sz w:val="21"/>
                <w:szCs w:val="21"/>
                <w:highlight w:val="none"/>
              </w:rPr>
            </w:pPr>
          </w:p>
        </w:tc>
        <w:tc>
          <w:tcPr>
            <w:tcW w:w="6297" w:type="dxa"/>
            <w:vAlign w:val="center"/>
          </w:tcPr>
          <w:p w14:paraId="7B5065E9">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bCs/>
                <w:color w:val="auto"/>
                <w:sz w:val="21"/>
                <w:szCs w:val="21"/>
                <w:highlight w:val="none"/>
              </w:rPr>
            </w:pPr>
            <w:r>
              <w:rPr>
                <w:rFonts w:hint="eastAsia" w:ascii="宋体" w:hAnsi="宋体" w:eastAsia="宋体" w:cs="宋体"/>
                <w:b/>
                <w:color w:val="auto"/>
                <w:sz w:val="21"/>
                <w:szCs w:val="21"/>
                <w:highlight w:val="none"/>
              </w:rPr>
              <w:t>机械设备、人员窝工：</w:t>
            </w:r>
            <w:r>
              <w:rPr>
                <w:rFonts w:hint="eastAsia" w:ascii="宋体" w:hAnsi="宋体" w:eastAsia="宋体" w:cs="宋体"/>
                <w:bCs/>
                <w:color w:val="auto"/>
                <w:sz w:val="21"/>
                <w:szCs w:val="21"/>
                <w:highlight w:val="none"/>
              </w:rPr>
              <w:t>建设单位原因造成的窝工</w:t>
            </w:r>
          </w:p>
        </w:tc>
      </w:tr>
      <w:tr w14:paraId="4119C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841" w:type="dxa"/>
            <w:vMerge w:val="continue"/>
            <w:vAlign w:val="center"/>
          </w:tcPr>
          <w:p w14:paraId="7B7C385D">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color w:val="auto"/>
                <w:sz w:val="21"/>
                <w:szCs w:val="21"/>
                <w:highlight w:val="none"/>
              </w:rPr>
            </w:pPr>
          </w:p>
        </w:tc>
        <w:tc>
          <w:tcPr>
            <w:tcW w:w="730" w:type="dxa"/>
            <w:vMerge w:val="continue"/>
            <w:vAlign w:val="center"/>
          </w:tcPr>
          <w:p w14:paraId="2E6A6CB3">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color w:val="auto"/>
                <w:sz w:val="21"/>
                <w:szCs w:val="21"/>
                <w:highlight w:val="none"/>
              </w:rPr>
            </w:pPr>
          </w:p>
        </w:tc>
        <w:tc>
          <w:tcPr>
            <w:tcW w:w="1192" w:type="dxa"/>
            <w:vMerge w:val="continue"/>
            <w:vAlign w:val="center"/>
          </w:tcPr>
          <w:p w14:paraId="2740E1A3">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color w:val="auto"/>
                <w:sz w:val="21"/>
                <w:szCs w:val="21"/>
                <w:highlight w:val="none"/>
              </w:rPr>
            </w:pPr>
          </w:p>
        </w:tc>
        <w:tc>
          <w:tcPr>
            <w:tcW w:w="6297" w:type="dxa"/>
            <w:vAlign w:val="center"/>
          </w:tcPr>
          <w:p w14:paraId="5C7831B1">
            <w:pPr>
              <w:pStyle w:val="711"/>
              <w:keepNext w:val="0"/>
              <w:keepLines w:val="0"/>
              <w:suppressLineNumbers w:val="0"/>
              <w:spacing w:before="0" w:beforeAutospacing="0" w:after="0" w:afterAutospacing="0" w:line="360" w:lineRule="auto"/>
              <w:ind w:left="0" w:right="320" w:firstLine="0" w:firstLineChars="0"/>
              <w:outlineLvl w:val="9"/>
              <w:rPr>
                <w:rFonts w:hint="eastAsia" w:ascii="宋体" w:hAnsi="宋体" w:eastAsia="宋体" w:cs="宋体"/>
                <w:bCs/>
                <w:color w:val="auto"/>
                <w:sz w:val="21"/>
                <w:szCs w:val="21"/>
                <w:highlight w:val="none"/>
              </w:rPr>
            </w:pPr>
            <w:r>
              <w:rPr>
                <w:rFonts w:hint="eastAsia" w:ascii="宋体" w:hAnsi="宋体" w:eastAsia="宋体" w:cs="宋体"/>
                <w:b/>
                <w:color w:val="auto"/>
                <w:sz w:val="21"/>
                <w:szCs w:val="21"/>
                <w:highlight w:val="none"/>
              </w:rPr>
              <w:t>零星用工</w:t>
            </w:r>
          </w:p>
        </w:tc>
      </w:tr>
      <w:tr w14:paraId="0046E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8" w:hRule="atLeast"/>
          <w:jc w:val="center"/>
        </w:trPr>
        <w:tc>
          <w:tcPr>
            <w:tcW w:w="1571" w:type="dxa"/>
            <w:gridSpan w:val="2"/>
            <w:vAlign w:val="center"/>
          </w:tcPr>
          <w:p w14:paraId="4B796A85">
            <w:pPr>
              <w:pStyle w:val="74"/>
              <w:keepNext w:val="0"/>
              <w:keepLines w:val="0"/>
              <w:widowControl/>
              <w:suppressLineNumbers w:val="0"/>
              <w:tabs>
                <w:tab w:val="left" w:pos="993"/>
              </w:tabs>
              <w:spacing w:before="0" w:beforeAutospacing="0" w:after="0" w:afterAutospacing="0" w:line="360" w:lineRule="auto"/>
              <w:ind w:left="0" w:leftChars="0" w:right="-1" w:firstLine="0" w:firstLineChars="0"/>
              <w:contextualSpacing/>
              <w:jc w:val="both"/>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特别说明</w:t>
            </w:r>
          </w:p>
        </w:tc>
        <w:tc>
          <w:tcPr>
            <w:tcW w:w="7489" w:type="dxa"/>
            <w:gridSpan w:val="2"/>
            <w:vAlign w:val="center"/>
          </w:tcPr>
          <w:p w14:paraId="6792691B">
            <w:pPr>
              <w:pStyle w:val="74"/>
              <w:keepNext w:val="0"/>
              <w:keepLines w:val="0"/>
              <w:widowControl/>
              <w:suppressLineNumbers w:val="0"/>
              <w:tabs>
                <w:tab w:val="left" w:pos="993"/>
              </w:tabs>
              <w:spacing w:before="0" w:beforeAutospacing="0" w:after="0" w:afterAutospacing="0" w:line="360" w:lineRule="auto"/>
              <w:ind w:left="420" w:leftChars="0" w:right="-1" w:hanging="527" w:firstLineChars="0"/>
              <w:contextualSpacing/>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图纸上有体现，但清单未列项的，不得办理签证，由项目部以联系单形式确认施工单位工作内容，告知成本管理部，由成本管理部组价计费。</w:t>
            </w:r>
          </w:p>
        </w:tc>
      </w:tr>
    </w:tbl>
    <w:p w14:paraId="6BF0FE04">
      <w:pPr>
        <w:pStyle w:val="74"/>
        <w:widowControl/>
        <w:numPr>
          <w:ilvl w:val="0"/>
          <w:numId w:val="0"/>
        </w:numPr>
        <w:autoSpaceDE w:val="0"/>
        <w:autoSpaceDN w:val="0"/>
        <w:adjustRightInd w:val="0"/>
        <w:spacing w:line="360" w:lineRule="auto"/>
        <w:ind w:left="1870" w:leftChars="0"/>
        <w:contextualSpacing/>
        <w:jc w:val="left"/>
        <w:outlineLvl w:val="9"/>
        <w:rPr>
          <w:rFonts w:hint="eastAsia" w:ascii="宋体" w:hAnsi="宋体" w:eastAsia="宋体" w:cs="宋体"/>
          <w:bCs/>
          <w:color w:val="auto"/>
          <w:sz w:val="21"/>
          <w:szCs w:val="21"/>
          <w:highlight w:val="none"/>
        </w:rPr>
      </w:pPr>
    </w:p>
    <w:p w14:paraId="482D8277">
      <w:pPr>
        <w:pStyle w:val="74"/>
        <w:widowControl/>
        <w:numPr>
          <w:ilvl w:val="0"/>
          <w:numId w:val="0"/>
        </w:numPr>
        <w:autoSpaceDE w:val="0"/>
        <w:autoSpaceDN w:val="0"/>
        <w:adjustRightInd w:val="0"/>
        <w:spacing w:line="360" w:lineRule="auto"/>
        <w:contextualSpacing/>
        <w:jc w:val="left"/>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lang w:val="en-US" w:eastAsia="zh-CN"/>
        </w:rPr>
        <w:t>（三）</w:t>
      </w:r>
      <w:r>
        <w:rPr>
          <w:rFonts w:hint="eastAsia" w:ascii="宋体" w:hAnsi="宋体" w:eastAsia="宋体" w:cs="宋体"/>
          <w:bCs/>
          <w:color w:val="auto"/>
          <w:sz w:val="21"/>
          <w:szCs w:val="21"/>
          <w:highlight w:val="none"/>
        </w:rPr>
        <w:t>签证办理步骤</w:t>
      </w:r>
    </w:p>
    <w:p w14:paraId="632CD902">
      <w:pPr>
        <w:pStyle w:val="74"/>
        <w:widowControl/>
        <w:numPr>
          <w:ilvl w:val="0"/>
          <w:numId w:val="0"/>
        </w:numPr>
        <w:autoSpaceDE w:val="0"/>
        <w:autoSpaceDN w:val="0"/>
        <w:adjustRightInd w:val="0"/>
        <w:spacing w:line="360" w:lineRule="auto"/>
        <w:contextualSpacing/>
        <w:jc w:val="left"/>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drawing>
          <wp:anchor distT="0" distB="0" distL="114300" distR="114300" simplePos="0" relativeHeight="251953152" behindDoc="0" locked="0" layoutInCell="1" allowOverlap="1">
            <wp:simplePos x="0" y="0"/>
            <wp:positionH relativeFrom="column">
              <wp:posOffset>-55880</wp:posOffset>
            </wp:positionH>
            <wp:positionV relativeFrom="paragraph">
              <wp:posOffset>140970</wp:posOffset>
            </wp:positionV>
            <wp:extent cx="5637530" cy="1508125"/>
            <wp:effectExtent l="0" t="0" r="1270" b="15875"/>
            <wp:wrapTopAndBottom/>
            <wp:docPr id="64" name="ECB019B1-382A-4266-B25C-5B523AA43C14-2" descr="C:/Users/lenovo/AppData/Local/Temp/wps.tDuKDg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CB019B1-382A-4266-B25C-5B523AA43C14-2" descr="C:/Users/lenovo/AppData/Local/Temp/wps.tDuKDgwps"/>
                    <pic:cNvPicPr>
                      <a:picLocks noChangeAspect="1"/>
                    </pic:cNvPicPr>
                  </pic:nvPicPr>
                  <pic:blipFill>
                    <a:blip r:embed="rId31"/>
                    <a:srcRect l="5187" t="16721" r="8245" b="25458"/>
                    <a:stretch>
                      <a:fillRect/>
                    </a:stretch>
                  </pic:blipFill>
                  <pic:spPr>
                    <a:xfrm>
                      <a:off x="0" y="0"/>
                      <a:ext cx="5637530" cy="1508125"/>
                    </a:xfrm>
                    <a:prstGeom prst="rect">
                      <a:avLst/>
                    </a:prstGeom>
                  </pic:spPr>
                </pic:pic>
              </a:graphicData>
            </a:graphic>
          </wp:anchor>
        </w:drawing>
      </w:r>
      <w:r>
        <w:rPr>
          <w:rFonts w:hint="eastAsia" w:ascii="宋体" w:hAnsi="宋体" w:eastAsia="宋体" w:cs="宋体"/>
          <w:bCs/>
          <w:color w:val="auto"/>
          <w:sz w:val="21"/>
          <w:szCs w:val="21"/>
          <w:highlight w:val="none"/>
          <w:lang w:val="en-US" w:eastAsia="zh-CN"/>
        </w:rPr>
        <w:t>（四）</w:t>
      </w:r>
      <w:r>
        <w:rPr>
          <w:rFonts w:hint="eastAsia" w:ascii="宋体" w:hAnsi="宋体" w:eastAsia="宋体" w:cs="宋体"/>
          <w:bCs/>
          <w:color w:val="auto"/>
          <w:sz w:val="21"/>
          <w:szCs w:val="21"/>
          <w:highlight w:val="none"/>
        </w:rPr>
        <w:t>签证预审批流程</w:t>
      </w:r>
    </w:p>
    <w:tbl>
      <w:tblPr>
        <w:tblStyle w:val="57"/>
        <w:tblpPr w:leftFromText="180" w:rightFromText="180" w:vertAnchor="text" w:horzAnchor="page" w:tblpX="1605" w:tblpY="1835"/>
        <w:tblOverlap w:val="never"/>
        <w:tblW w:w="809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2"/>
        <w:gridCol w:w="2730"/>
        <w:gridCol w:w="3600"/>
      </w:tblGrid>
      <w:tr w14:paraId="1F4F8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1762" w:type="dxa"/>
          </w:tcPr>
          <w:p w14:paraId="60F23BC5">
            <w:pPr>
              <w:pStyle w:val="112"/>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变更类别</w:t>
            </w:r>
          </w:p>
        </w:tc>
        <w:tc>
          <w:tcPr>
            <w:tcW w:w="2730" w:type="dxa"/>
          </w:tcPr>
          <w:p w14:paraId="241B787A">
            <w:pPr>
              <w:pStyle w:val="112"/>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审批流程</w:t>
            </w:r>
          </w:p>
        </w:tc>
        <w:tc>
          <w:tcPr>
            <w:tcW w:w="3600" w:type="dxa"/>
          </w:tcPr>
          <w:p w14:paraId="6087CA04">
            <w:pPr>
              <w:pStyle w:val="112"/>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所需附件</w:t>
            </w:r>
          </w:p>
        </w:tc>
      </w:tr>
      <w:tr w14:paraId="104AE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1762" w:type="dxa"/>
            <w:vAlign w:val="center"/>
          </w:tcPr>
          <w:p w14:paraId="17FDEEBE">
            <w:pPr>
              <w:pStyle w:val="112"/>
              <w:keepNext w:val="0"/>
              <w:keepLines w:val="0"/>
              <w:suppressLineNumbers w:val="0"/>
              <w:spacing w:before="0" w:beforeAutospacing="0" w:after="0" w:afterAutospacing="0" w:line="360" w:lineRule="auto"/>
              <w:ind w:left="0" w:right="0" w:firstLine="420"/>
              <w:jc w:val="center"/>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签证金额≤2万</w:t>
            </w:r>
          </w:p>
        </w:tc>
        <w:tc>
          <w:tcPr>
            <w:tcW w:w="2730" w:type="dxa"/>
            <w:vAlign w:val="center"/>
          </w:tcPr>
          <w:p w14:paraId="1AD58880">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项目部发起人→项目部负责人→项目工管经办人→工程管理部负责人→项目成本经办人→项目总/项目分管领导→成本管理部负责人</w:t>
            </w:r>
          </w:p>
        </w:tc>
        <w:tc>
          <w:tcPr>
            <w:tcW w:w="3600" w:type="dxa"/>
            <w:vAlign w:val="center"/>
          </w:tcPr>
          <w:p w14:paraId="74CC0585">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施工单位成本估算单；</w:t>
            </w:r>
          </w:p>
          <w:p w14:paraId="28AC8E47">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建设单位签证指令单、设计变更、报建、营销需求等工作联系单（勾选一项）；</w:t>
            </w:r>
          </w:p>
          <w:p w14:paraId="24E6170E">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转扣签证需附事前、事中告知单；（转扣签证勾选）</w:t>
            </w:r>
          </w:p>
        </w:tc>
      </w:tr>
      <w:tr w14:paraId="1E832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6" w:hRule="atLeast"/>
        </w:trPr>
        <w:tc>
          <w:tcPr>
            <w:tcW w:w="1762" w:type="dxa"/>
            <w:vAlign w:val="center"/>
          </w:tcPr>
          <w:p w14:paraId="0878C361">
            <w:pPr>
              <w:pStyle w:val="112"/>
              <w:keepNext w:val="0"/>
              <w:keepLines w:val="0"/>
              <w:suppressLineNumbers w:val="0"/>
              <w:spacing w:before="0" w:beforeAutospacing="0" w:after="0" w:afterAutospacing="0" w:line="360" w:lineRule="auto"/>
              <w:ind w:left="0" w:right="0" w:firstLine="420"/>
              <w:jc w:val="center"/>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2万＜签证金额≤5万</w:t>
            </w:r>
          </w:p>
        </w:tc>
        <w:tc>
          <w:tcPr>
            <w:tcW w:w="2730" w:type="dxa"/>
            <w:vAlign w:val="center"/>
          </w:tcPr>
          <w:p w14:paraId="13FF3101">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项目部发起人→项目部负责人→项目工管经办人→工程管理部负责人→项目成本经办人→项目总/项目分管领导→成本管理部负责人及分管领导</w:t>
            </w:r>
          </w:p>
        </w:tc>
        <w:tc>
          <w:tcPr>
            <w:tcW w:w="3600" w:type="dxa"/>
            <w:vAlign w:val="center"/>
          </w:tcPr>
          <w:p w14:paraId="0D8F7484">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施工单位成本估算单；</w:t>
            </w:r>
          </w:p>
          <w:p w14:paraId="10AF7CED">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工管会会议纪要（工管会秘书部门上传）；</w:t>
            </w:r>
          </w:p>
          <w:p w14:paraId="3DE1B4F0">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建设单位签证指令单、设计变更（勾选一项）；</w:t>
            </w:r>
          </w:p>
          <w:p w14:paraId="387365C6">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转扣签证需附事前、事中告知单；（转扣签证勾选）</w:t>
            </w:r>
          </w:p>
        </w:tc>
      </w:tr>
      <w:tr w14:paraId="319DA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3" w:hRule="atLeast"/>
        </w:trPr>
        <w:tc>
          <w:tcPr>
            <w:tcW w:w="1762" w:type="dxa"/>
            <w:vAlign w:val="center"/>
          </w:tcPr>
          <w:p w14:paraId="4A7A03A7">
            <w:pPr>
              <w:pStyle w:val="112"/>
              <w:keepNext w:val="0"/>
              <w:keepLines w:val="0"/>
              <w:suppressLineNumbers w:val="0"/>
              <w:spacing w:before="0" w:beforeAutospacing="0" w:after="0" w:afterAutospacing="0" w:line="360" w:lineRule="auto"/>
              <w:ind w:left="0" w:right="0" w:firstLine="420"/>
              <w:jc w:val="center"/>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签证金额＞5万</w:t>
            </w:r>
          </w:p>
        </w:tc>
        <w:tc>
          <w:tcPr>
            <w:tcW w:w="2730" w:type="dxa"/>
            <w:vAlign w:val="center"/>
          </w:tcPr>
          <w:p w14:paraId="62819043">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项目部发起人→项目部负责人→项目工管经办人→工程管理部负责人→项目成本经办人→项目总/项目分管领导→成本管理部负责人及分管领导→总经理</w:t>
            </w:r>
          </w:p>
        </w:tc>
        <w:tc>
          <w:tcPr>
            <w:tcW w:w="3600" w:type="dxa"/>
            <w:vAlign w:val="center"/>
          </w:tcPr>
          <w:p w14:paraId="495C9B95">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施工单位成本估算单；</w:t>
            </w:r>
          </w:p>
          <w:p w14:paraId="280CA584">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工管会会议纪要；</w:t>
            </w:r>
          </w:p>
          <w:p w14:paraId="3F8A243B">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总经办会相关会议纪要（工管会秘书部门上传）；</w:t>
            </w:r>
          </w:p>
          <w:p w14:paraId="4D5D9059">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建设单位签证指令单、设计变更（勾选一项）；</w:t>
            </w:r>
          </w:p>
          <w:p w14:paraId="288E1D2A">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转扣签证需附事前、事中告知单；（转扣签证勾选）</w:t>
            </w:r>
          </w:p>
        </w:tc>
      </w:tr>
      <w:tr w14:paraId="311AD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7" w:hRule="atLeast"/>
        </w:trPr>
        <w:tc>
          <w:tcPr>
            <w:tcW w:w="1762" w:type="dxa"/>
            <w:vAlign w:val="center"/>
          </w:tcPr>
          <w:p w14:paraId="778515B3">
            <w:pPr>
              <w:pStyle w:val="112"/>
              <w:keepNext w:val="0"/>
              <w:keepLines w:val="0"/>
              <w:suppressLineNumbers w:val="0"/>
              <w:spacing w:before="0" w:beforeAutospacing="0" w:after="0" w:afterAutospacing="0" w:line="360" w:lineRule="auto"/>
              <w:ind w:left="0" w:right="0" w:firstLine="420"/>
              <w:jc w:val="center"/>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特别说明</w:t>
            </w:r>
          </w:p>
        </w:tc>
        <w:tc>
          <w:tcPr>
            <w:tcW w:w="6330" w:type="dxa"/>
            <w:gridSpan w:val="2"/>
            <w:vAlign w:val="center"/>
          </w:tcPr>
          <w:p w14:paraId="4B384889">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1.当签证累计总额超出合同金额的1%，或变更、签证累计总额超出合同金额3%时，签证发起流程必须附带工程管理委员会及总经办会评审通过的会议纪要，审批流按照“签证金额＞5万”的审批流进行审批。</w:t>
            </w:r>
          </w:p>
          <w:p w14:paraId="4E23DF8C">
            <w:pPr>
              <w:pStyle w:val="112"/>
              <w:keepNext w:val="0"/>
              <w:keepLines w:val="0"/>
              <w:suppressLineNumbers w:val="0"/>
              <w:spacing w:before="0" w:beforeAutospacing="0" w:after="0" w:afterAutospacing="0" w:line="360" w:lineRule="auto"/>
              <w:ind w:left="0" w:right="0" w:firstLine="420"/>
              <w:jc w:val="both"/>
              <w:outlineLvl w:val="9"/>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w:t>
            </w:r>
            <w:r>
              <w:rPr>
                <w:rFonts w:hint="eastAsia" w:ascii="宋体" w:hAnsi="宋体" w:eastAsia="宋体" w:cs="宋体"/>
                <w:b/>
                <w:color w:val="auto"/>
                <w:kern w:val="2"/>
                <w:sz w:val="21"/>
                <w:szCs w:val="21"/>
                <w:highlight w:val="none"/>
              </w:rPr>
              <w:t>窝工类签证发起流程</w:t>
            </w:r>
            <w:r>
              <w:rPr>
                <w:rFonts w:hint="eastAsia" w:ascii="宋体" w:hAnsi="宋体" w:eastAsia="宋体" w:cs="宋体"/>
                <w:color w:val="auto"/>
                <w:kern w:val="2"/>
                <w:sz w:val="21"/>
                <w:szCs w:val="21"/>
                <w:highlight w:val="none"/>
              </w:rPr>
              <w:t>必须附带工管会、总经办会对应会议纪要，审批流按照“签证金额＞5万”的审批流进行审批。</w:t>
            </w:r>
          </w:p>
        </w:tc>
      </w:tr>
    </w:tbl>
    <w:p w14:paraId="3D7A85CF">
      <w:pPr>
        <w:pStyle w:val="112"/>
        <w:spacing w:line="360" w:lineRule="auto"/>
        <w:ind w:firstLine="420" w:firstLineChars="200"/>
        <w:outlineLvl w:val="9"/>
        <w:rPr>
          <w:rFonts w:hint="eastAsia" w:ascii="宋体" w:hAnsi="宋体" w:eastAsia="宋体" w:cs="宋体"/>
          <w:bCs/>
          <w:color w:val="auto"/>
          <w:sz w:val="21"/>
          <w:szCs w:val="21"/>
          <w:highlight w:val="none"/>
        </w:rPr>
      </w:pPr>
    </w:p>
    <w:p w14:paraId="74F0F79A">
      <w:pPr>
        <w:pStyle w:val="112"/>
        <w:spacing w:line="360" w:lineRule="auto"/>
        <w:ind w:firstLine="420" w:firstLineChars="200"/>
        <w:outlineLvl w:val="9"/>
        <w:rPr>
          <w:rFonts w:hint="eastAsia" w:ascii="宋体" w:hAnsi="宋体" w:eastAsia="宋体" w:cs="宋体"/>
          <w:bCs/>
          <w:color w:val="auto"/>
          <w:sz w:val="21"/>
          <w:szCs w:val="21"/>
          <w:highlight w:val="none"/>
        </w:rPr>
      </w:pPr>
    </w:p>
    <w:p w14:paraId="50F2A65D">
      <w:pPr>
        <w:pStyle w:val="112"/>
        <w:spacing w:line="360" w:lineRule="auto"/>
        <w:ind w:firstLine="420" w:firstLineChars="200"/>
        <w:outlineLvl w:val="9"/>
        <w:rPr>
          <w:rFonts w:hint="eastAsia" w:ascii="宋体" w:hAnsi="宋体" w:eastAsia="宋体" w:cs="宋体"/>
          <w:bCs/>
          <w:color w:val="auto"/>
          <w:sz w:val="21"/>
          <w:szCs w:val="21"/>
          <w:highlight w:val="none"/>
        </w:rPr>
      </w:pPr>
    </w:p>
    <w:p w14:paraId="2E9ED802">
      <w:pPr>
        <w:pStyle w:val="112"/>
        <w:spacing w:line="360" w:lineRule="auto"/>
        <w:ind w:firstLine="420" w:firstLineChars="200"/>
        <w:outlineLvl w:val="9"/>
        <w:rPr>
          <w:rFonts w:hint="eastAsia" w:ascii="宋体" w:hAnsi="宋体" w:eastAsia="宋体" w:cs="宋体"/>
          <w:bCs/>
          <w:color w:val="auto"/>
          <w:sz w:val="21"/>
          <w:szCs w:val="21"/>
          <w:highlight w:val="none"/>
        </w:rPr>
      </w:pPr>
    </w:p>
    <w:p w14:paraId="69AF3418">
      <w:pPr>
        <w:pStyle w:val="112"/>
        <w:spacing w:line="360" w:lineRule="auto"/>
        <w:ind w:firstLine="420" w:firstLineChars="200"/>
        <w:outlineLvl w:val="9"/>
        <w:rPr>
          <w:rFonts w:hint="eastAsia" w:ascii="宋体" w:hAnsi="宋体" w:eastAsia="宋体" w:cs="宋体"/>
          <w:bCs/>
          <w:color w:val="auto"/>
          <w:sz w:val="21"/>
          <w:szCs w:val="21"/>
          <w:highlight w:val="none"/>
        </w:rPr>
      </w:pPr>
    </w:p>
    <w:p w14:paraId="45C59AB3">
      <w:pPr>
        <w:pStyle w:val="112"/>
        <w:spacing w:line="360" w:lineRule="auto"/>
        <w:ind w:firstLine="420" w:firstLineChars="200"/>
        <w:outlineLvl w:val="9"/>
        <w:rPr>
          <w:rFonts w:hint="eastAsia" w:ascii="宋体" w:hAnsi="宋体" w:eastAsia="宋体" w:cs="宋体"/>
          <w:bCs/>
          <w:color w:val="auto"/>
          <w:sz w:val="21"/>
          <w:szCs w:val="21"/>
          <w:highlight w:val="none"/>
        </w:rPr>
      </w:pPr>
    </w:p>
    <w:p w14:paraId="1A4F3D76">
      <w:pPr>
        <w:pStyle w:val="112"/>
        <w:spacing w:line="360" w:lineRule="auto"/>
        <w:ind w:firstLine="420" w:firstLineChars="200"/>
        <w:outlineLvl w:val="9"/>
        <w:rPr>
          <w:rFonts w:hint="eastAsia" w:ascii="宋体" w:hAnsi="宋体" w:eastAsia="宋体" w:cs="宋体"/>
          <w:bCs/>
          <w:color w:val="auto"/>
          <w:sz w:val="21"/>
          <w:szCs w:val="21"/>
          <w:highlight w:val="none"/>
        </w:rPr>
      </w:pPr>
    </w:p>
    <w:p w14:paraId="5722AAB4">
      <w:pPr>
        <w:pStyle w:val="112"/>
        <w:spacing w:line="360" w:lineRule="auto"/>
        <w:ind w:firstLine="420" w:firstLineChars="200"/>
        <w:outlineLvl w:val="9"/>
        <w:rPr>
          <w:rFonts w:hint="eastAsia" w:ascii="宋体" w:hAnsi="宋体" w:eastAsia="宋体" w:cs="宋体"/>
          <w:bCs/>
          <w:color w:val="auto"/>
          <w:sz w:val="21"/>
          <w:szCs w:val="21"/>
          <w:highlight w:val="none"/>
        </w:rPr>
      </w:pPr>
    </w:p>
    <w:p w14:paraId="041FD72E">
      <w:pPr>
        <w:pStyle w:val="112"/>
        <w:spacing w:line="360" w:lineRule="auto"/>
        <w:ind w:firstLine="420" w:firstLineChars="200"/>
        <w:outlineLvl w:val="9"/>
        <w:rPr>
          <w:rFonts w:hint="eastAsia" w:ascii="宋体" w:hAnsi="宋体" w:eastAsia="宋体" w:cs="宋体"/>
          <w:bCs/>
          <w:color w:val="auto"/>
          <w:sz w:val="21"/>
          <w:szCs w:val="21"/>
          <w:highlight w:val="none"/>
        </w:rPr>
      </w:pPr>
    </w:p>
    <w:p w14:paraId="229E55A4">
      <w:pPr>
        <w:pStyle w:val="112"/>
        <w:spacing w:line="360" w:lineRule="auto"/>
        <w:ind w:firstLine="420" w:firstLineChars="200"/>
        <w:outlineLvl w:val="9"/>
        <w:rPr>
          <w:rFonts w:hint="eastAsia" w:ascii="宋体" w:hAnsi="宋体" w:eastAsia="宋体" w:cs="宋体"/>
          <w:bCs/>
          <w:color w:val="auto"/>
          <w:sz w:val="21"/>
          <w:szCs w:val="21"/>
          <w:highlight w:val="none"/>
        </w:rPr>
      </w:pPr>
    </w:p>
    <w:p w14:paraId="2E80CE96">
      <w:pPr>
        <w:pStyle w:val="112"/>
        <w:spacing w:line="360" w:lineRule="auto"/>
        <w:ind w:firstLine="420" w:firstLineChars="200"/>
        <w:outlineLvl w:val="9"/>
        <w:rPr>
          <w:rFonts w:hint="eastAsia" w:ascii="宋体" w:hAnsi="宋体" w:eastAsia="宋体" w:cs="宋体"/>
          <w:bCs/>
          <w:color w:val="auto"/>
          <w:sz w:val="21"/>
          <w:szCs w:val="21"/>
          <w:highlight w:val="none"/>
        </w:rPr>
      </w:pPr>
    </w:p>
    <w:p w14:paraId="5A951E9D">
      <w:pPr>
        <w:pStyle w:val="112"/>
        <w:spacing w:line="360" w:lineRule="auto"/>
        <w:ind w:firstLine="420" w:firstLineChars="200"/>
        <w:outlineLvl w:val="9"/>
        <w:rPr>
          <w:rFonts w:hint="eastAsia" w:ascii="宋体" w:hAnsi="宋体" w:eastAsia="宋体" w:cs="宋体"/>
          <w:bCs/>
          <w:color w:val="auto"/>
          <w:sz w:val="21"/>
          <w:szCs w:val="21"/>
          <w:highlight w:val="none"/>
        </w:rPr>
      </w:pPr>
    </w:p>
    <w:p w14:paraId="7EA1BBB5">
      <w:pPr>
        <w:pStyle w:val="112"/>
        <w:spacing w:line="360" w:lineRule="auto"/>
        <w:ind w:firstLine="420" w:firstLineChars="200"/>
        <w:outlineLvl w:val="9"/>
        <w:rPr>
          <w:rFonts w:hint="eastAsia" w:ascii="宋体" w:hAnsi="宋体" w:eastAsia="宋体" w:cs="宋体"/>
          <w:bCs/>
          <w:color w:val="auto"/>
          <w:sz w:val="21"/>
          <w:szCs w:val="21"/>
          <w:highlight w:val="none"/>
        </w:rPr>
      </w:pPr>
    </w:p>
    <w:p w14:paraId="11B48E28">
      <w:pPr>
        <w:pStyle w:val="112"/>
        <w:spacing w:line="360" w:lineRule="auto"/>
        <w:ind w:firstLine="420" w:firstLineChars="200"/>
        <w:outlineLvl w:val="9"/>
        <w:rPr>
          <w:rFonts w:hint="eastAsia" w:ascii="宋体" w:hAnsi="宋体" w:eastAsia="宋体" w:cs="宋体"/>
          <w:bCs/>
          <w:color w:val="auto"/>
          <w:sz w:val="21"/>
          <w:szCs w:val="21"/>
          <w:highlight w:val="none"/>
        </w:rPr>
      </w:pPr>
    </w:p>
    <w:p w14:paraId="17BEEAA2">
      <w:pPr>
        <w:pStyle w:val="112"/>
        <w:spacing w:line="360" w:lineRule="auto"/>
        <w:ind w:firstLine="420" w:firstLineChars="200"/>
        <w:outlineLvl w:val="9"/>
        <w:rPr>
          <w:rFonts w:hint="eastAsia" w:ascii="宋体" w:hAnsi="宋体" w:eastAsia="宋体" w:cs="宋体"/>
          <w:bCs/>
          <w:color w:val="auto"/>
          <w:sz w:val="21"/>
          <w:szCs w:val="21"/>
          <w:highlight w:val="none"/>
        </w:rPr>
      </w:pPr>
    </w:p>
    <w:p w14:paraId="5382E286">
      <w:pPr>
        <w:pStyle w:val="112"/>
        <w:spacing w:line="360" w:lineRule="auto"/>
        <w:ind w:firstLine="420" w:firstLineChars="200"/>
        <w:outlineLvl w:val="9"/>
        <w:rPr>
          <w:rFonts w:hint="eastAsia" w:ascii="宋体" w:hAnsi="宋体" w:eastAsia="宋体" w:cs="宋体"/>
          <w:bCs/>
          <w:color w:val="auto"/>
          <w:sz w:val="21"/>
          <w:szCs w:val="21"/>
          <w:highlight w:val="none"/>
        </w:rPr>
      </w:pPr>
    </w:p>
    <w:p w14:paraId="34BD9ECD">
      <w:pPr>
        <w:pStyle w:val="112"/>
        <w:spacing w:line="360" w:lineRule="auto"/>
        <w:ind w:firstLine="420" w:firstLineChars="200"/>
        <w:outlineLvl w:val="9"/>
        <w:rPr>
          <w:rFonts w:hint="eastAsia" w:ascii="宋体" w:hAnsi="宋体" w:eastAsia="宋体" w:cs="宋体"/>
          <w:bCs/>
          <w:color w:val="auto"/>
          <w:sz w:val="21"/>
          <w:szCs w:val="21"/>
          <w:highlight w:val="none"/>
        </w:rPr>
      </w:pPr>
    </w:p>
    <w:p w14:paraId="17C70F68">
      <w:pPr>
        <w:pStyle w:val="112"/>
        <w:spacing w:line="360" w:lineRule="auto"/>
        <w:ind w:firstLine="420" w:firstLineChars="200"/>
        <w:outlineLvl w:val="9"/>
        <w:rPr>
          <w:rFonts w:hint="eastAsia" w:ascii="宋体" w:hAnsi="宋体" w:eastAsia="宋体" w:cs="宋体"/>
          <w:bCs/>
          <w:color w:val="auto"/>
          <w:sz w:val="21"/>
          <w:szCs w:val="21"/>
          <w:highlight w:val="none"/>
        </w:rPr>
      </w:pPr>
    </w:p>
    <w:p w14:paraId="591C1830">
      <w:pPr>
        <w:pStyle w:val="112"/>
        <w:spacing w:line="360" w:lineRule="auto"/>
        <w:ind w:firstLine="420" w:firstLineChars="200"/>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（五）签证流程说明</w:t>
      </w:r>
    </w:p>
    <w:p w14:paraId="3EDF156E">
      <w:pPr>
        <w:pStyle w:val="112"/>
        <w:spacing w:line="360" w:lineRule="auto"/>
        <w:ind w:firstLine="420" w:firstLineChars="200"/>
        <w:outlineLvl w:val="9"/>
        <w:rPr>
          <w:rFonts w:hint="eastAsia" w:ascii="宋体" w:hAnsi="宋体" w:eastAsia="宋体" w:cs="宋体"/>
          <w:bCs/>
          <w:snapToGrid w:val="0"/>
          <w:color w:val="auto"/>
          <w:sz w:val="21"/>
          <w:szCs w:val="21"/>
          <w:highlight w:val="none"/>
        </w:rPr>
      </w:pPr>
      <w:r>
        <w:rPr>
          <w:rFonts w:hint="eastAsia" w:ascii="宋体" w:hAnsi="宋体" w:eastAsia="宋体" w:cs="宋体"/>
          <w:bCs/>
          <w:snapToGrid w:val="0"/>
          <w:color w:val="auto"/>
          <w:sz w:val="21"/>
          <w:szCs w:val="21"/>
          <w:highlight w:val="none"/>
        </w:rPr>
        <w:t>1.所有签证事前在明源系统中进行预审批，预审批阶段附施工单位成本估算；预审批完成后，方可下发《现场签证指令单及实施确认单》，安排签证施工。签证内容施工完成后，在《现场签证指令单及实施确认单》完成三方签章确认。</w:t>
      </w:r>
    </w:p>
    <w:p w14:paraId="1516EEAA">
      <w:pPr>
        <w:pStyle w:val="112"/>
        <w:spacing w:line="360" w:lineRule="auto"/>
        <w:ind w:firstLine="420" w:firstLineChars="200"/>
        <w:outlineLvl w:val="9"/>
        <w:rPr>
          <w:rFonts w:hint="eastAsia" w:ascii="宋体" w:hAnsi="宋体" w:eastAsia="宋体" w:cs="宋体"/>
          <w:bCs/>
          <w:snapToGrid w:val="0"/>
          <w:color w:val="auto"/>
          <w:sz w:val="21"/>
          <w:szCs w:val="21"/>
          <w:highlight w:val="none"/>
        </w:rPr>
      </w:pPr>
      <w:r>
        <w:rPr>
          <w:rFonts w:hint="eastAsia" w:ascii="宋体" w:hAnsi="宋体" w:eastAsia="宋体" w:cs="宋体"/>
          <w:bCs/>
          <w:snapToGrid w:val="0"/>
          <w:color w:val="auto"/>
          <w:sz w:val="21"/>
          <w:szCs w:val="21"/>
          <w:highlight w:val="none"/>
        </w:rPr>
        <w:t>2.签证办理的时间要求：签证内容发生完成7天内完成《现场签证指令单及实施确认单》→《现场签证指令单及实施确认单》三方签字确认后5天内报送《工程签证确认单》（过期不予受理）→监理及项目部在施工单位送达72小时内审批完成并上传线上明源系统→工程管理部48小时内签署完意见→成本管理部48小时内签署完意见→成本分管领导48小时内审批完意见→项目总或项目分管领导、总经理48小时审批完意见→项目部签字盖章→返回施工单位。</w:t>
      </w:r>
    </w:p>
    <w:p w14:paraId="71E9599B">
      <w:pPr>
        <w:pStyle w:val="112"/>
        <w:spacing w:line="360" w:lineRule="auto"/>
        <w:ind w:firstLine="420" w:firstLineChars="200"/>
        <w:outlineLvl w:val="9"/>
        <w:rPr>
          <w:rFonts w:hint="eastAsia" w:ascii="宋体" w:hAnsi="宋体" w:eastAsia="宋体" w:cs="宋体"/>
          <w:bCs/>
          <w:snapToGrid w:val="0"/>
          <w:color w:val="auto"/>
          <w:sz w:val="21"/>
          <w:szCs w:val="21"/>
          <w:highlight w:val="none"/>
        </w:rPr>
      </w:pPr>
      <w:r>
        <w:rPr>
          <w:rFonts w:hint="eastAsia" w:ascii="宋体" w:hAnsi="宋体" w:eastAsia="宋体" w:cs="宋体"/>
          <w:bCs/>
          <w:snapToGrid w:val="0"/>
          <w:color w:val="auto"/>
          <w:sz w:val="21"/>
          <w:szCs w:val="21"/>
          <w:highlight w:val="none"/>
        </w:rPr>
        <w:t>3.签证工程内容施工过程中，项目部工程师需及时进行检查、验收并记录原始记录凭证；原始记录凭证必须由两名项目工程师当天签署完毕，并在企业微信施工日志中上传当天凭证及施工照片；人工、机械签证必须按天办理，人工、机械数量必须完全对应；工程管理部审核时需对原始记录凭证逐份核查确认，线上日志中未提交及后补凭证，一律不予认可。</w:t>
      </w:r>
    </w:p>
    <w:p w14:paraId="5A2B399B">
      <w:pPr>
        <w:pStyle w:val="112"/>
        <w:spacing w:line="360" w:lineRule="auto"/>
        <w:ind w:firstLine="420" w:firstLineChars="200"/>
        <w:outlineLvl w:val="9"/>
        <w:rPr>
          <w:rFonts w:hint="eastAsia" w:ascii="宋体" w:hAnsi="宋体" w:eastAsia="宋体" w:cs="宋体"/>
          <w:bCs/>
          <w:snapToGrid w:val="0"/>
          <w:color w:val="auto"/>
          <w:sz w:val="21"/>
          <w:szCs w:val="21"/>
          <w:highlight w:val="none"/>
        </w:rPr>
      </w:pPr>
      <w:r>
        <w:rPr>
          <w:rFonts w:hint="eastAsia" w:ascii="宋体" w:hAnsi="宋体" w:eastAsia="宋体" w:cs="宋体"/>
          <w:bCs/>
          <w:snapToGrid w:val="0"/>
          <w:color w:val="auto"/>
          <w:sz w:val="21"/>
          <w:szCs w:val="21"/>
          <w:highlight w:val="none"/>
        </w:rPr>
        <w:t>4.对变更引起的签证，只能办理拆改所造成的费用，前期施工及后期新增的费用不得申报；现场应及时办理签证，并在签证中明确以下内容：描述设计变更下发时现场的实际施工现状；如现场已施工至设计变更涉及部位，签证中应明确描述设计变更单编号，变更引起的拆除部位及范围；同时项目部在变更实施前组织总师办、成本管理部三方对“现场现状”及“已施工需要拆除的范围和工程量”进行现场核实确认，并对“拆除的材料重复利用率”进行明确，核实结果纳入“现场签证工程量确认单”。</w:t>
      </w:r>
    </w:p>
    <w:p w14:paraId="5902C051">
      <w:pPr>
        <w:pStyle w:val="112"/>
        <w:spacing w:line="360" w:lineRule="auto"/>
        <w:ind w:firstLine="420" w:firstLineChars="200"/>
        <w:outlineLvl w:val="9"/>
        <w:rPr>
          <w:rFonts w:hint="eastAsia" w:ascii="宋体" w:hAnsi="宋体" w:eastAsia="宋体" w:cs="宋体"/>
          <w:bCs/>
          <w:snapToGrid w:val="0"/>
          <w:color w:val="auto"/>
          <w:sz w:val="21"/>
          <w:szCs w:val="21"/>
          <w:highlight w:val="none"/>
        </w:rPr>
      </w:pPr>
      <w:r>
        <w:rPr>
          <w:rFonts w:hint="eastAsia" w:ascii="宋体" w:hAnsi="宋体" w:eastAsia="宋体" w:cs="宋体"/>
          <w:bCs/>
          <w:snapToGrid w:val="0"/>
          <w:color w:val="auto"/>
          <w:sz w:val="21"/>
          <w:szCs w:val="21"/>
          <w:highlight w:val="none"/>
        </w:rPr>
        <w:t>5.在竣工图上可计算的项目，严禁办理签证；对于合同已明确责任主体，零星工程无法计量的，可办理工程量确认签证，不得以施工措施难度大为由办理人工签证。</w:t>
      </w:r>
    </w:p>
    <w:p w14:paraId="0E697D90">
      <w:pPr>
        <w:pStyle w:val="112"/>
        <w:spacing w:line="360" w:lineRule="auto"/>
        <w:ind w:firstLine="420" w:firstLineChars="200"/>
        <w:outlineLvl w:val="9"/>
        <w:rPr>
          <w:rFonts w:hint="eastAsia" w:ascii="宋体" w:hAnsi="宋体" w:eastAsia="宋体" w:cs="宋体"/>
          <w:bCs/>
          <w:snapToGrid w:val="0"/>
          <w:color w:val="auto"/>
          <w:sz w:val="21"/>
          <w:szCs w:val="21"/>
          <w:highlight w:val="none"/>
        </w:rPr>
      </w:pPr>
      <w:r>
        <w:rPr>
          <w:rFonts w:hint="eastAsia" w:ascii="宋体" w:hAnsi="宋体" w:eastAsia="宋体" w:cs="宋体"/>
          <w:bCs/>
          <w:snapToGrid w:val="0"/>
          <w:color w:val="auto"/>
          <w:sz w:val="21"/>
          <w:szCs w:val="21"/>
          <w:highlight w:val="none"/>
        </w:rPr>
        <w:t>6.完工确认：施工方提交的工程签证完整资料经监理及项目部签字确认后，由项目部内勤发起线上预审批及完工确认流程，工程管理部对签证的资料完整性、真实性、合理性（现场管理类）进行审核，成本管理部对签证事项的合规性、合理性（合同、清单类）进行审核。</w:t>
      </w:r>
    </w:p>
    <w:p w14:paraId="4FBE2971">
      <w:pPr>
        <w:pStyle w:val="112"/>
        <w:spacing w:line="360" w:lineRule="auto"/>
        <w:ind w:firstLine="420" w:firstLineChars="200"/>
        <w:outlineLvl w:val="9"/>
        <w:rPr>
          <w:rFonts w:hint="eastAsia" w:ascii="宋体" w:hAnsi="宋体" w:eastAsia="宋体" w:cs="宋体"/>
          <w:bCs/>
          <w:snapToGrid w:val="0"/>
          <w:color w:val="auto"/>
          <w:sz w:val="21"/>
          <w:szCs w:val="21"/>
          <w:highlight w:val="none"/>
        </w:rPr>
      </w:pPr>
      <w:r>
        <w:rPr>
          <w:rFonts w:hint="eastAsia" w:ascii="宋体" w:hAnsi="宋体" w:eastAsia="宋体" w:cs="宋体"/>
          <w:bCs/>
          <w:snapToGrid w:val="0"/>
          <w:color w:val="auto"/>
          <w:sz w:val="21"/>
          <w:szCs w:val="21"/>
          <w:highlight w:val="none"/>
        </w:rPr>
        <w:t>7.同一合同、同一事由办理两次以上签证，且后续仍可能发生该内容，应由项目部、招标采供部、成本管理部组织商讨解决办法报请工程管理委员会审议。</w:t>
      </w:r>
    </w:p>
    <w:p w14:paraId="7FACA65B">
      <w:pPr>
        <w:pStyle w:val="74"/>
        <w:widowControl/>
        <w:tabs>
          <w:tab w:val="left" w:pos="993"/>
        </w:tabs>
        <w:spacing w:line="360" w:lineRule="auto"/>
        <w:ind w:left="210" w:right="-1" w:firstLine="640"/>
        <w:contextualSpacing/>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五、变更、签证产生的无效成本管理</w:t>
      </w:r>
    </w:p>
    <w:p w14:paraId="33D38023">
      <w:pPr>
        <w:pStyle w:val="112"/>
        <w:spacing w:line="360" w:lineRule="auto"/>
        <w:ind w:firstLine="420" w:firstLineChars="200"/>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（一）无效成本的定义</w:t>
      </w:r>
    </w:p>
    <w:p w14:paraId="2549FF68">
      <w:pPr>
        <w:pStyle w:val="74"/>
        <w:widowControl/>
        <w:tabs>
          <w:tab w:val="left" w:pos="993"/>
        </w:tabs>
        <w:spacing w:line="360" w:lineRule="auto"/>
        <w:ind w:left="210" w:right="-1" w:firstLine="640"/>
        <w:contextualSpacing/>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无效成本指房地产项目实施过程中产生的对形成产品、提升价值、促进营销没有作用，无法获得客户认同和补偿，属于费用浪费的成本。</w:t>
      </w:r>
    </w:p>
    <w:p w14:paraId="4B109E00">
      <w:pPr>
        <w:pStyle w:val="74"/>
        <w:widowControl/>
        <w:tabs>
          <w:tab w:val="left" w:pos="993"/>
        </w:tabs>
        <w:spacing w:line="360" w:lineRule="auto"/>
        <w:ind w:left="210" w:right="-1" w:firstLine="640"/>
        <w:contextualSpacing/>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无效成本不仅仅是表面呈现的浪费，如反复拆改，图纸错、漏、碰、缺等，也包括由于工作失误带来的决策浪费、机会成本增加等等。</w:t>
      </w:r>
    </w:p>
    <w:p w14:paraId="59D2B743">
      <w:pPr>
        <w:pStyle w:val="74"/>
        <w:widowControl/>
        <w:tabs>
          <w:tab w:val="left" w:pos="993"/>
        </w:tabs>
        <w:spacing w:line="360" w:lineRule="auto"/>
        <w:ind w:left="210" w:right="-1" w:firstLine="640"/>
        <w:contextualSpacing/>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对设计变更和现场签证产生的无效成本进行管理，如不可避免发生，尽可能将无效成本控制在最低限度内。</w:t>
      </w:r>
    </w:p>
    <w:p w14:paraId="56724BC0">
      <w:pPr>
        <w:pStyle w:val="112"/>
        <w:spacing w:line="360" w:lineRule="auto"/>
        <w:ind w:firstLine="420" w:firstLineChars="200"/>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（二）无效成本的分类</w:t>
      </w:r>
    </w:p>
    <w:p w14:paraId="60D61B0B">
      <w:pPr>
        <w:pStyle w:val="74"/>
        <w:widowControl/>
        <w:tabs>
          <w:tab w:val="left" w:pos="993"/>
        </w:tabs>
        <w:spacing w:line="360" w:lineRule="auto"/>
        <w:ind w:left="210" w:right="-1" w:firstLine="640"/>
        <w:contextualSpacing/>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无效成本包括但不限于下表所列内容：</w:t>
      </w:r>
    </w:p>
    <w:tbl>
      <w:tblPr>
        <w:tblStyle w:val="5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1066"/>
        <w:gridCol w:w="2894"/>
        <w:gridCol w:w="4220"/>
      </w:tblGrid>
      <w:tr w14:paraId="167C0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880" w:type="dxa"/>
            <w:vAlign w:val="center"/>
          </w:tcPr>
          <w:p w14:paraId="2BC0A9E4">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作业环节</w:t>
            </w:r>
          </w:p>
        </w:tc>
        <w:tc>
          <w:tcPr>
            <w:tcW w:w="1066" w:type="dxa"/>
            <w:vAlign w:val="center"/>
          </w:tcPr>
          <w:p w14:paraId="6B5CD52F">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责任人</w:t>
            </w:r>
          </w:p>
        </w:tc>
        <w:tc>
          <w:tcPr>
            <w:tcW w:w="2894" w:type="dxa"/>
            <w:vAlign w:val="center"/>
          </w:tcPr>
          <w:p w14:paraId="0BA366D3">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产生原因</w:t>
            </w:r>
          </w:p>
        </w:tc>
        <w:tc>
          <w:tcPr>
            <w:tcW w:w="4220" w:type="dxa"/>
            <w:vAlign w:val="center"/>
          </w:tcPr>
          <w:p w14:paraId="56964B53">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现象表现</w:t>
            </w:r>
          </w:p>
        </w:tc>
      </w:tr>
      <w:tr w14:paraId="3F39E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restart"/>
            <w:vAlign w:val="center"/>
          </w:tcPr>
          <w:p w14:paraId="0484E559">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营销</w:t>
            </w:r>
          </w:p>
        </w:tc>
        <w:tc>
          <w:tcPr>
            <w:tcW w:w="1066" w:type="dxa"/>
            <w:vMerge w:val="restart"/>
            <w:vAlign w:val="center"/>
          </w:tcPr>
          <w:p w14:paraId="207C5454">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营销策划部</w:t>
            </w:r>
          </w:p>
        </w:tc>
        <w:tc>
          <w:tcPr>
            <w:tcW w:w="2894" w:type="dxa"/>
            <w:vAlign w:val="center"/>
          </w:tcPr>
          <w:p w14:paraId="06DBE90F">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定位需求变更</w:t>
            </w:r>
          </w:p>
        </w:tc>
        <w:tc>
          <w:tcPr>
            <w:tcW w:w="4220" w:type="dxa"/>
            <w:vAlign w:val="center"/>
          </w:tcPr>
          <w:p w14:paraId="0B3D29C9">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对市场或客户定位需求变更，对已确认或实施的方案进行调整产生的设计及施工费用；</w:t>
            </w:r>
          </w:p>
        </w:tc>
      </w:tr>
      <w:tr w14:paraId="4318F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continue"/>
          </w:tcPr>
          <w:p w14:paraId="287AF12D">
            <w:pPr>
              <w:pStyle w:val="74"/>
              <w:keepNext w:val="0"/>
              <w:keepLines w:val="0"/>
              <w:widowControl/>
              <w:suppressLineNumbers w:val="0"/>
              <w:tabs>
                <w:tab w:val="left" w:pos="993"/>
              </w:tabs>
              <w:spacing w:before="0" w:beforeAutospacing="0" w:after="0" w:afterAutospacing="0" w:line="360" w:lineRule="auto"/>
              <w:ind w:right="-1"/>
              <w:contextualSpacing/>
              <w:jc w:val="left"/>
              <w:outlineLvl w:val="9"/>
              <w:rPr>
                <w:rFonts w:hint="eastAsia" w:ascii="宋体" w:hAnsi="宋体" w:eastAsia="宋体" w:cs="宋体"/>
                <w:color w:val="auto"/>
                <w:sz w:val="21"/>
                <w:szCs w:val="21"/>
                <w:highlight w:val="none"/>
              </w:rPr>
            </w:pPr>
          </w:p>
        </w:tc>
        <w:tc>
          <w:tcPr>
            <w:tcW w:w="1066" w:type="dxa"/>
            <w:vMerge w:val="continue"/>
          </w:tcPr>
          <w:p w14:paraId="3CEA88DA">
            <w:pPr>
              <w:pStyle w:val="74"/>
              <w:keepNext w:val="0"/>
              <w:keepLines w:val="0"/>
              <w:widowControl/>
              <w:suppressLineNumbers w:val="0"/>
              <w:tabs>
                <w:tab w:val="left" w:pos="993"/>
              </w:tabs>
              <w:spacing w:before="0" w:beforeAutospacing="0" w:after="0" w:afterAutospacing="0" w:line="360" w:lineRule="auto"/>
              <w:ind w:right="-1"/>
              <w:contextualSpacing/>
              <w:jc w:val="left"/>
              <w:outlineLvl w:val="9"/>
              <w:rPr>
                <w:rFonts w:hint="eastAsia" w:ascii="宋体" w:hAnsi="宋体" w:eastAsia="宋体" w:cs="宋体"/>
                <w:color w:val="auto"/>
                <w:sz w:val="21"/>
                <w:szCs w:val="21"/>
                <w:highlight w:val="none"/>
              </w:rPr>
            </w:pPr>
          </w:p>
        </w:tc>
        <w:tc>
          <w:tcPr>
            <w:tcW w:w="2894" w:type="dxa"/>
            <w:vAlign w:val="center"/>
          </w:tcPr>
          <w:p w14:paraId="4F4EB537">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交付标准不清晰</w:t>
            </w:r>
          </w:p>
        </w:tc>
        <w:tc>
          <w:tcPr>
            <w:tcW w:w="4220" w:type="dxa"/>
            <w:vAlign w:val="center"/>
          </w:tcPr>
          <w:p w14:paraId="59DE2187">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交付标准不清晰，后期明确而产生的整改或返工费用</w:t>
            </w:r>
          </w:p>
        </w:tc>
      </w:tr>
      <w:tr w14:paraId="2C85B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continue"/>
          </w:tcPr>
          <w:p w14:paraId="2F56FE6F">
            <w:pPr>
              <w:pStyle w:val="74"/>
              <w:keepNext w:val="0"/>
              <w:keepLines w:val="0"/>
              <w:widowControl/>
              <w:suppressLineNumbers w:val="0"/>
              <w:tabs>
                <w:tab w:val="left" w:pos="993"/>
              </w:tabs>
              <w:spacing w:before="0" w:beforeAutospacing="0" w:after="0" w:afterAutospacing="0" w:line="360" w:lineRule="auto"/>
              <w:ind w:right="-1"/>
              <w:contextualSpacing/>
              <w:jc w:val="left"/>
              <w:outlineLvl w:val="9"/>
              <w:rPr>
                <w:rFonts w:hint="eastAsia" w:ascii="宋体" w:hAnsi="宋体" w:eastAsia="宋体" w:cs="宋体"/>
                <w:color w:val="auto"/>
                <w:sz w:val="21"/>
                <w:szCs w:val="21"/>
                <w:highlight w:val="none"/>
              </w:rPr>
            </w:pPr>
          </w:p>
        </w:tc>
        <w:tc>
          <w:tcPr>
            <w:tcW w:w="1066" w:type="dxa"/>
            <w:vMerge w:val="continue"/>
          </w:tcPr>
          <w:p w14:paraId="083A2445">
            <w:pPr>
              <w:pStyle w:val="74"/>
              <w:keepNext w:val="0"/>
              <w:keepLines w:val="0"/>
              <w:widowControl/>
              <w:suppressLineNumbers w:val="0"/>
              <w:tabs>
                <w:tab w:val="left" w:pos="993"/>
              </w:tabs>
              <w:spacing w:before="0" w:beforeAutospacing="0" w:after="0" w:afterAutospacing="0" w:line="360" w:lineRule="auto"/>
              <w:ind w:right="-1"/>
              <w:contextualSpacing/>
              <w:jc w:val="left"/>
              <w:outlineLvl w:val="9"/>
              <w:rPr>
                <w:rFonts w:hint="eastAsia" w:ascii="宋体" w:hAnsi="宋体" w:eastAsia="宋体" w:cs="宋体"/>
                <w:color w:val="auto"/>
                <w:sz w:val="21"/>
                <w:szCs w:val="21"/>
                <w:highlight w:val="none"/>
              </w:rPr>
            </w:pPr>
          </w:p>
        </w:tc>
        <w:tc>
          <w:tcPr>
            <w:tcW w:w="2894" w:type="dxa"/>
            <w:vAlign w:val="center"/>
          </w:tcPr>
          <w:p w14:paraId="728EA3D5">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销售承诺、销售文件与交付标准不符</w:t>
            </w:r>
          </w:p>
        </w:tc>
        <w:tc>
          <w:tcPr>
            <w:tcW w:w="4220" w:type="dxa"/>
            <w:vAlign w:val="center"/>
          </w:tcPr>
          <w:p w14:paraId="7D990578">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引起的变更、补救等费用</w:t>
            </w:r>
          </w:p>
        </w:tc>
      </w:tr>
      <w:tr w14:paraId="5C805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continue"/>
          </w:tcPr>
          <w:p w14:paraId="724C38DA">
            <w:pPr>
              <w:pStyle w:val="74"/>
              <w:keepNext w:val="0"/>
              <w:keepLines w:val="0"/>
              <w:widowControl/>
              <w:suppressLineNumbers w:val="0"/>
              <w:tabs>
                <w:tab w:val="left" w:pos="993"/>
              </w:tabs>
              <w:spacing w:before="0" w:beforeAutospacing="0" w:after="0" w:afterAutospacing="0" w:line="360" w:lineRule="auto"/>
              <w:ind w:right="-1"/>
              <w:contextualSpacing/>
              <w:jc w:val="left"/>
              <w:outlineLvl w:val="9"/>
              <w:rPr>
                <w:rFonts w:hint="eastAsia" w:ascii="宋体" w:hAnsi="宋体" w:eastAsia="宋体" w:cs="宋体"/>
                <w:color w:val="auto"/>
                <w:sz w:val="21"/>
                <w:szCs w:val="21"/>
                <w:highlight w:val="none"/>
              </w:rPr>
            </w:pPr>
          </w:p>
        </w:tc>
        <w:tc>
          <w:tcPr>
            <w:tcW w:w="1066" w:type="dxa"/>
            <w:vMerge w:val="continue"/>
          </w:tcPr>
          <w:p w14:paraId="494D5228">
            <w:pPr>
              <w:pStyle w:val="74"/>
              <w:keepNext w:val="0"/>
              <w:keepLines w:val="0"/>
              <w:widowControl/>
              <w:suppressLineNumbers w:val="0"/>
              <w:tabs>
                <w:tab w:val="left" w:pos="993"/>
              </w:tabs>
              <w:spacing w:before="0" w:beforeAutospacing="0" w:after="0" w:afterAutospacing="0" w:line="360" w:lineRule="auto"/>
              <w:ind w:right="-1"/>
              <w:contextualSpacing/>
              <w:jc w:val="left"/>
              <w:outlineLvl w:val="9"/>
              <w:rPr>
                <w:rFonts w:hint="eastAsia" w:ascii="宋体" w:hAnsi="宋体" w:eastAsia="宋体" w:cs="宋体"/>
                <w:color w:val="auto"/>
                <w:sz w:val="21"/>
                <w:szCs w:val="21"/>
                <w:highlight w:val="none"/>
              </w:rPr>
            </w:pPr>
          </w:p>
        </w:tc>
        <w:tc>
          <w:tcPr>
            <w:tcW w:w="2894" w:type="dxa"/>
            <w:vAlign w:val="center"/>
          </w:tcPr>
          <w:p w14:paraId="5B5E19CD">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销售过程中改变房屋布局或用途</w:t>
            </w:r>
          </w:p>
        </w:tc>
        <w:tc>
          <w:tcPr>
            <w:tcW w:w="4220" w:type="dxa"/>
            <w:vAlign w:val="center"/>
          </w:tcPr>
          <w:p w14:paraId="67FA63BC">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产生的拆除与重建费用</w:t>
            </w:r>
          </w:p>
        </w:tc>
      </w:tr>
      <w:tr w14:paraId="33383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restart"/>
            <w:vAlign w:val="center"/>
          </w:tcPr>
          <w:p w14:paraId="48A23FFE">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设计</w:t>
            </w:r>
          </w:p>
        </w:tc>
        <w:tc>
          <w:tcPr>
            <w:tcW w:w="1066" w:type="dxa"/>
            <w:vMerge w:val="restart"/>
            <w:vAlign w:val="center"/>
          </w:tcPr>
          <w:p w14:paraId="3AE71C55">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总师办</w:t>
            </w:r>
          </w:p>
        </w:tc>
        <w:tc>
          <w:tcPr>
            <w:tcW w:w="2894" w:type="dxa"/>
            <w:vAlign w:val="center"/>
          </w:tcPr>
          <w:p w14:paraId="506C8DDE">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设计与现行的规范、标准不符</w:t>
            </w:r>
          </w:p>
        </w:tc>
        <w:tc>
          <w:tcPr>
            <w:tcW w:w="4220" w:type="dxa"/>
            <w:vAlign w:val="center"/>
          </w:tcPr>
          <w:p w14:paraId="4386A754">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设计与现行的规范、标准不符而产生整改、返工、赶工或索赔费用</w:t>
            </w:r>
          </w:p>
        </w:tc>
      </w:tr>
      <w:tr w14:paraId="1FDD4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continue"/>
          </w:tcPr>
          <w:p w14:paraId="5E09D644">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1066" w:type="dxa"/>
            <w:vMerge w:val="continue"/>
          </w:tcPr>
          <w:p w14:paraId="527F8DB7">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2894" w:type="dxa"/>
            <w:vAlign w:val="center"/>
          </w:tcPr>
          <w:p w14:paraId="4E76E33A">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各专业设计图纸矛盾、错、漏、碰、缺，各专业未结合建筑现状；</w:t>
            </w:r>
          </w:p>
        </w:tc>
        <w:tc>
          <w:tcPr>
            <w:tcW w:w="4220" w:type="dxa"/>
            <w:vAlign w:val="center"/>
          </w:tcPr>
          <w:p w14:paraId="7FB726ED">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各专业图纸设计矛盾，产生的重复设计、拆改、返工、后期加固补强等费用；</w:t>
            </w:r>
            <w:r>
              <w:rPr>
                <w:rFonts w:hint="eastAsia" w:ascii="宋体" w:hAnsi="宋体" w:eastAsia="宋体" w:cs="宋体"/>
                <w:color w:val="auto"/>
                <w:sz w:val="21"/>
                <w:szCs w:val="21"/>
                <w:highlight w:val="none"/>
              </w:rPr>
              <w:br w:type="textWrapping"/>
            </w:r>
            <w:r>
              <w:rPr>
                <w:rFonts w:hint="eastAsia" w:ascii="宋体" w:hAnsi="宋体" w:eastAsia="宋体" w:cs="宋体"/>
                <w:color w:val="auto"/>
                <w:sz w:val="21"/>
                <w:szCs w:val="21"/>
                <w:highlight w:val="none"/>
              </w:rPr>
              <w:t>施工图纸及变更下达不及时、不全，施工中产生赶工费、窝工费、停工费等；</w:t>
            </w:r>
            <w:r>
              <w:rPr>
                <w:rFonts w:hint="eastAsia" w:ascii="宋体" w:hAnsi="宋体" w:eastAsia="宋体" w:cs="宋体"/>
                <w:color w:val="auto"/>
                <w:sz w:val="21"/>
                <w:szCs w:val="21"/>
                <w:highlight w:val="none"/>
              </w:rPr>
              <w:br w:type="textWrapping"/>
            </w:r>
            <w:r>
              <w:rPr>
                <w:rFonts w:hint="eastAsia" w:ascii="宋体" w:hAnsi="宋体" w:eastAsia="宋体" w:cs="宋体"/>
                <w:color w:val="auto"/>
                <w:sz w:val="21"/>
                <w:szCs w:val="21"/>
                <w:highlight w:val="none"/>
              </w:rPr>
              <w:t>设计内容描述不清晰或错误，变更产生整改、返工、索赔等费用；</w:t>
            </w:r>
          </w:p>
          <w:p w14:paraId="5DAD5C53">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各专业未结合建筑现状，未充分利用已施工部分而增加的费用；</w:t>
            </w:r>
          </w:p>
        </w:tc>
      </w:tr>
      <w:tr w14:paraId="75ED4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continue"/>
          </w:tcPr>
          <w:p w14:paraId="173DE712">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1066" w:type="dxa"/>
            <w:vMerge w:val="continue"/>
          </w:tcPr>
          <w:p w14:paraId="4AE18141">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2894" w:type="dxa"/>
            <w:vAlign w:val="center"/>
          </w:tcPr>
          <w:p w14:paraId="626617FC">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设计、使用功能缺陷</w:t>
            </w:r>
          </w:p>
        </w:tc>
        <w:tc>
          <w:tcPr>
            <w:tcW w:w="4220" w:type="dxa"/>
            <w:vAlign w:val="center"/>
          </w:tcPr>
          <w:p w14:paraId="45E77CCC">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业主回访、集中交付中提出的产品功能设计、使用缺陷导致的整改、返工、索赔费用</w:t>
            </w:r>
          </w:p>
        </w:tc>
      </w:tr>
      <w:tr w14:paraId="180EF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continue"/>
          </w:tcPr>
          <w:p w14:paraId="73B7E404">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1066" w:type="dxa"/>
            <w:vMerge w:val="continue"/>
          </w:tcPr>
          <w:p w14:paraId="2C32FAD5">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2894" w:type="dxa"/>
            <w:vAlign w:val="center"/>
          </w:tcPr>
          <w:p w14:paraId="124A6F49">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设计深度不够，二次深化设计滞后</w:t>
            </w:r>
          </w:p>
        </w:tc>
        <w:tc>
          <w:tcPr>
            <w:tcW w:w="4220" w:type="dxa"/>
            <w:vAlign w:val="center"/>
          </w:tcPr>
          <w:p w14:paraId="3135C658">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设计深度不够、节点做法不明确，二次深化设计滞后，产生的现场拆改、合同外不充分竞争、增加的费用；</w:t>
            </w:r>
          </w:p>
        </w:tc>
      </w:tr>
      <w:tr w14:paraId="17905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continue"/>
          </w:tcPr>
          <w:p w14:paraId="43061787">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1066" w:type="dxa"/>
            <w:vMerge w:val="continue"/>
          </w:tcPr>
          <w:p w14:paraId="7095D4CF">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2894" w:type="dxa"/>
            <w:vAlign w:val="center"/>
          </w:tcPr>
          <w:p w14:paraId="33CE686E">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示范区、样板区定位、策划方案定稿未发生变更，呈现效果与定稿方案偏差较大</w:t>
            </w:r>
          </w:p>
        </w:tc>
        <w:tc>
          <w:tcPr>
            <w:tcW w:w="4220" w:type="dxa"/>
            <w:vAlign w:val="center"/>
          </w:tcPr>
          <w:p w14:paraId="577E0E44">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示范区、样板区定位、策划方案定稿未发生变更，呈现效果与定稿方案偏差较大，建成后发生的返工、重建费用；</w:t>
            </w:r>
          </w:p>
        </w:tc>
      </w:tr>
      <w:tr w14:paraId="0F63F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continue"/>
          </w:tcPr>
          <w:p w14:paraId="26B4D5DF">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1066" w:type="dxa"/>
            <w:vMerge w:val="continue"/>
          </w:tcPr>
          <w:p w14:paraId="3EC446E2">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2894" w:type="dxa"/>
            <w:vAlign w:val="center"/>
          </w:tcPr>
          <w:p w14:paraId="597BE352">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样板房与大区设计不匹配</w:t>
            </w:r>
          </w:p>
        </w:tc>
        <w:tc>
          <w:tcPr>
            <w:tcW w:w="4220" w:type="dxa"/>
            <w:vAlign w:val="center"/>
          </w:tcPr>
          <w:p w14:paraId="3B7025F5">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样板房评审调整后(样板房评审在大区施工之前)，大区图纸仍与样板房不匹配，造成大区批量拆改、返工费用；</w:t>
            </w:r>
          </w:p>
        </w:tc>
      </w:tr>
      <w:tr w14:paraId="5F871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restart"/>
            <w:vAlign w:val="center"/>
          </w:tcPr>
          <w:p w14:paraId="7884F928">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招标</w:t>
            </w:r>
          </w:p>
        </w:tc>
        <w:tc>
          <w:tcPr>
            <w:tcW w:w="1066" w:type="dxa"/>
            <w:vAlign w:val="center"/>
          </w:tcPr>
          <w:p w14:paraId="1204F460">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成本管理部</w:t>
            </w:r>
          </w:p>
        </w:tc>
        <w:tc>
          <w:tcPr>
            <w:tcW w:w="2894" w:type="dxa"/>
            <w:vAlign w:val="center"/>
          </w:tcPr>
          <w:p w14:paraId="0EB8311E">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工程量清单漏项</w:t>
            </w:r>
          </w:p>
        </w:tc>
        <w:tc>
          <w:tcPr>
            <w:tcW w:w="4220" w:type="dxa"/>
            <w:vAlign w:val="center"/>
          </w:tcPr>
          <w:p w14:paraId="772AC5A7">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招标范围内图纸设计清晰招标清单漏项，合同外不充分竞争增加的费用</w:t>
            </w:r>
          </w:p>
        </w:tc>
      </w:tr>
      <w:tr w14:paraId="6A6C4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continue"/>
            <w:vAlign w:val="center"/>
          </w:tcPr>
          <w:p w14:paraId="7536EA7F">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1066" w:type="dxa"/>
            <w:vAlign w:val="center"/>
          </w:tcPr>
          <w:p w14:paraId="2D5336CD">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招标采供部</w:t>
            </w:r>
          </w:p>
        </w:tc>
        <w:tc>
          <w:tcPr>
            <w:tcW w:w="2894" w:type="dxa"/>
            <w:vAlign w:val="center"/>
          </w:tcPr>
          <w:p w14:paraId="5885BDBA">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招标文件、合同范围不清晰、施工界面划分不清、合同条款不严谨</w:t>
            </w:r>
          </w:p>
        </w:tc>
        <w:tc>
          <w:tcPr>
            <w:tcW w:w="4220" w:type="dxa"/>
            <w:vAlign w:val="center"/>
          </w:tcPr>
          <w:p w14:paraId="08480ACF">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招文、合同范围不清晰、施工界面划分不清、条款不严谨有争议，引起的不充分竞争增加的费用或索赔；</w:t>
            </w:r>
          </w:p>
        </w:tc>
      </w:tr>
      <w:tr w14:paraId="0DF68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restart"/>
            <w:vAlign w:val="center"/>
          </w:tcPr>
          <w:p w14:paraId="4C186A8D">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施工</w:t>
            </w:r>
          </w:p>
        </w:tc>
        <w:tc>
          <w:tcPr>
            <w:tcW w:w="1066" w:type="dxa"/>
            <w:vMerge w:val="restart"/>
            <w:vAlign w:val="center"/>
          </w:tcPr>
          <w:p w14:paraId="1EC50288">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项目部</w:t>
            </w:r>
          </w:p>
        </w:tc>
        <w:tc>
          <w:tcPr>
            <w:tcW w:w="2894" w:type="dxa"/>
            <w:vAlign w:val="center"/>
          </w:tcPr>
          <w:p w14:paraId="356610C6">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成品保护不到位</w:t>
            </w:r>
          </w:p>
        </w:tc>
        <w:tc>
          <w:tcPr>
            <w:tcW w:w="4220" w:type="dxa"/>
            <w:vAlign w:val="center"/>
          </w:tcPr>
          <w:p w14:paraId="338A2B64">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成品保护不到位无责任单位的整改、返工费用；</w:t>
            </w:r>
          </w:p>
        </w:tc>
      </w:tr>
      <w:tr w14:paraId="27010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continue"/>
          </w:tcPr>
          <w:p w14:paraId="25674FD3">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1066" w:type="dxa"/>
            <w:vMerge w:val="continue"/>
          </w:tcPr>
          <w:p w14:paraId="02D09D9D">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2894" w:type="dxa"/>
            <w:vAlign w:val="center"/>
          </w:tcPr>
          <w:p w14:paraId="32590603">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工程质量不符合要求</w:t>
            </w:r>
          </w:p>
        </w:tc>
        <w:tc>
          <w:tcPr>
            <w:tcW w:w="4220" w:type="dxa"/>
            <w:vAlign w:val="center"/>
          </w:tcPr>
          <w:p w14:paraId="260C91CA">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施工质量把控不严，出现工程质量问题产生的整改、返工、索赔费用</w:t>
            </w:r>
          </w:p>
        </w:tc>
      </w:tr>
      <w:tr w14:paraId="18363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continue"/>
          </w:tcPr>
          <w:p w14:paraId="632AECD1">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1066" w:type="dxa"/>
            <w:vMerge w:val="continue"/>
          </w:tcPr>
          <w:p w14:paraId="28E057BB">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2894" w:type="dxa"/>
            <w:vAlign w:val="center"/>
          </w:tcPr>
          <w:p w14:paraId="6FB48258">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施工计划、施工流水不合理</w:t>
            </w:r>
          </w:p>
        </w:tc>
        <w:tc>
          <w:tcPr>
            <w:tcW w:w="4220" w:type="dxa"/>
            <w:vAlign w:val="center"/>
          </w:tcPr>
          <w:p w14:paraId="58C540BB">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抢工、窝工、交叉施工；现场临电不到位，长期使用柴油发电机；现场道路、临建安排不合理；非关键线路抢工等产生的挪位、措施费或多承担的施工费用</w:t>
            </w:r>
          </w:p>
        </w:tc>
      </w:tr>
      <w:tr w14:paraId="1C4F7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continue"/>
          </w:tcPr>
          <w:p w14:paraId="68B496D6">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1066" w:type="dxa"/>
            <w:vMerge w:val="continue"/>
          </w:tcPr>
          <w:p w14:paraId="5E58213B">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2894" w:type="dxa"/>
            <w:vAlign w:val="center"/>
          </w:tcPr>
          <w:p w14:paraId="0C95C7D3">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施工界面调整</w:t>
            </w:r>
          </w:p>
        </w:tc>
        <w:tc>
          <w:tcPr>
            <w:tcW w:w="4220" w:type="dxa"/>
            <w:vAlign w:val="center"/>
          </w:tcPr>
          <w:p w14:paraId="04F4E874">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跨合同施工界面调整产生的措施费或多承担的施工费用；</w:t>
            </w:r>
          </w:p>
        </w:tc>
      </w:tr>
      <w:tr w14:paraId="65E85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vMerge w:val="continue"/>
          </w:tcPr>
          <w:p w14:paraId="74E420BC">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1066" w:type="dxa"/>
            <w:vMerge w:val="continue"/>
          </w:tcPr>
          <w:p w14:paraId="5DF1367F">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p>
        </w:tc>
        <w:tc>
          <w:tcPr>
            <w:tcW w:w="2894" w:type="dxa"/>
            <w:vAlign w:val="center"/>
          </w:tcPr>
          <w:p w14:paraId="6558D60F">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应扣款但未扣的费用</w:t>
            </w:r>
          </w:p>
        </w:tc>
        <w:tc>
          <w:tcPr>
            <w:tcW w:w="4220" w:type="dxa"/>
            <w:vAlign w:val="center"/>
          </w:tcPr>
          <w:p w14:paraId="0C918364">
            <w:pPr>
              <w:keepNext w:val="0"/>
              <w:keepLines w:val="0"/>
              <w:widowControl/>
              <w:suppressLineNumbers w:val="0"/>
              <w:spacing w:before="0" w:beforeAutospacing="0" w:after="0" w:afterAutospacing="0" w:line="360" w:lineRule="auto"/>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无责任扣款单位的质量缺陷整改费用；水、电费未完全分摊；无责任单位赔偿的偷盗损失等；</w:t>
            </w:r>
          </w:p>
        </w:tc>
      </w:tr>
    </w:tbl>
    <w:p w14:paraId="0966FA81">
      <w:pPr>
        <w:pStyle w:val="112"/>
        <w:numPr>
          <w:ilvl w:val="0"/>
          <w:numId w:val="6"/>
        </w:numPr>
        <w:spacing w:line="360" w:lineRule="auto"/>
        <w:ind w:firstLine="420" w:firstLineChars="200"/>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无效成本判定原则</w:t>
      </w:r>
    </w:p>
    <w:p w14:paraId="65E315E6">
      <w:pPr>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1.罚款类无效成本以实际缴纳的金额或确认的金额计入；</w:t>
      </w:r>
    </w:p>
    <w:p w14:paraId="175B12AA">
      <w:pPr>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2.赔偿类无效成本以双方认可的金额计入，如未达成一致以报公司批准的预估金额计入，协商一致且经公司最终审批完成的，按审批金额计入；</w:t>
      </w:r>
    </w:p>
    <w:p w14:paraId="15D42A37">
      <w:pPr>
        <w:spacing w:line="360" w:lineRule="auto"/>
        <w:ind w:firstLine="420" w:firstLineChars="200"/>
        <w:outlineLvl w:val="9"/>
        <w:rPr>
          <w:rFonts w:hint="eastAsia" w:ascii="宋体" w:hAnsi="宋体" w:eastAsia="宋体" w:cs="宋体"/>
          <w:bCs/>
          <w:color w:val="auto"/>
          <w:sz w:val="21"/>
          <w:szCs w:val="21"/>
          <w:highlight w:val="none"/>
        </w:rPr>
      </w:pPr>
      <w:r>
        <w:rPr>
          <w:rFonts w:hint="eastAsia" w:ascii="宋体" w:hAnsi="宋体" w:eastAsia="宋体" w:cs="宋体"/>
          <w:color w:val="auto"/>
          <w:sz w:val="21"/>
          <w:szCs w:val="21"/>
          <w:highlight w:val="none"/>
        </w:rPr>
        <w:t>3.变更、签证产生无效成本的，若变更签证还未实施的，按预估金额计入;若施工完成且结算完成后，以结算金额替换原预估金额计入。</w:t>
      </w:r>
    </w:p>
    <w:p w14:paraId="6751167B">
      <w:pPr>
        <w:pStyle w:val="112"/>
        <w:numPr>
          <w:ilvl w:val="0"/>
          <w:numId w:val="6"/>
        </w:numPr>
        <w:spacing w:line="360" w:lineRule="auto"/>
        <w:ind w:firstLine="420" w:firstLineChars="200"/>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无效成本的管理</w:t>
      </w:r>
    </w:p>
    <w:p w14:paraId="75534B33">
      <w:pPr>
        <w:pStyle w:val="74"/>
        <w:widowControl/>
        <w:tabs>
          <w:tab w:val="left" w:pos="993"/>
        </w:tabs>
        <w:spacing w:line="360" w:lineRule="auto"/>
        <w:ind w:left="210" w:right="-1" w:firstLine="640"/>
        <w:contextualSpacing/>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成本管理部作为无效成本的管理部门，对无效成本产生的原因分析，分类统计整理无效成本台账。</w:t>
      </w:r>
    </w:p>
    <w:p w14:paraId="2BD3C338">
      <w:pPr>
        <w:pStyle w:val="74"/>
        <w:widowControl/>
        <w:tabs>
          <w:tab w:val="left" w:pos="993"/>
        </w:tabs>
        <w:spacing w:line="360" w:lineRule="auto"/>
        <w:ind w:left="210" w:right="-1" w:firstLine="640"/>
        <w:contextualSpacing/>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各项目（标段）竣工备案后所发起的变更造成的成本增加归集为无效成本。各项目（标段）集中交付30天后所发起的签证造成的成本增加归集为无效成本。</w:t>
      </w:r>
    </w:p>
    <w:p w14:paraId="50F92EDB">
      <w:pPr>
        <w:pStyle w:val="74"/>
        <w:widowControl/>
        <w:tabs>
          <w:tab w:val="left" w:pos="993"/>
        </w:tabs>
        <w:spacing w:line="360" w:lineRule="auto"/>
        <w:ind w:left="210" w:right="-1" w:firstLine="640"/>
        <w:contextualSpacing/>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成本管理部每季度对各项目新增的工程类变更、签证进行梳理和测算，并按上表将变更、签证产生的无效成本归类，并将台账反馈至相关部门，若责任部门对无效成本界定有异议的，提交工程管理委员会裁定，最终结果记入相关部门年度计划任务书考核。</w:t>
      </w:r>
    </w:p>
    <w:p w14:paraId="57683D10">
      <w:pPr>
        <w:pStyle w:val="74"/>
        <w:widowControl/>
        <w:tabs>
          <w:tab w:val="left" w:pos="993"/>
        </w:tabs>
        <w:spacing w:line="360" w:lineRule="auto"/>
        <w:ind w:left="210" w:right="-1" w:firstLine="640"/>
        <w:contextualSpacing/>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工程竣工结算完成后，成本管理部提炼前期发生的无效成本数据，进行统计分析，建立无效成本案例库，并反馈业务实施部门，业务实施部门提出工作改进建议，并定期对无效成本进行自查，用于指导后期工作。</w:t>
      </w:r>
    </w:p>
    <w:p w14:paraId="7D2A13C7">
      <w:pPr>
        <w:pStyle w:val="112"/>
        <w:spacing w:line="360" w:lineRule="auto"/>
        <w:ind w:firstLine="420" w:firstLineChars="200"/>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五、附则</w:t>
      </w:r>
    </w:p>
    <w:p w14:paraId="6D2D2769">
      <w:pPr>
        <w:widowControl/>
        <w:spacing w:line="360" w:lineRule="auto"/>
        <w:ind w:firstLine="420" w:firstLineChars="2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1.本管理办法由工程管理部、成本管理部负责解释。</w:t>
      </w:r>
    </w:p>
    <w:p w14:paraId="2971676B">
      <w:pPr>
        <w:widowControl/>
        <w:spacing w:line="360" w:lineRule="auto"/>
        <w:ind w:firstLine="420" w:firstLineChars="2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2.本管理办法适用于经发地产及全资子公司、代管公司。</w:t>
      </w:r>
    </w:p>
    <w:p w14:paraId="3C62059A">
      <w:pPr>
        <w:widowControl/>
        <w:spacing w:line="360" w:lineRule="auto"/>
        <w:ind w:firstLine="420" w:firstLineChars="2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3.本管理办法自正式印发之日起执行，原制度规定与本管理办法不一致的，以本办法为准。</w:t>
      </w:r>
    </w:p>
    <w:p w14:paraId="4D032B39">
      <w:pPr>
        <w:widowControl/>
        <w:spacing w:line="360" w:lineRule="auto"/>
        <w:jc w:val="left"/>
        <w:outlineLvl w:val="9"/>
        <w:rPr>
          <w:rFonts w:hint="eastAsia" w:ascii="宋体" w:hAnsi="宋体" w:eastAsia="宋体" w:cs="宋体"/>
          <w:color w:val="auto"/>
          <w:kern w:val="0"/>
          <w:sz w:val="21"/>
          <w:szCs w:val="21"/>
          <w:highlight w:val="none"/>
        </w:rPr>
      </w:pPr>
    </w:p>
    <w:p w14:paraId="2B4AD566">
      <w:pPr>
        <w:widowControl/>
        <w:spacing w:line="360" w:lineRule="auto"/>
        <w:ind w:firstLine="420" w:firstLineChars="2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附件：1.设计变更、现场签证预审批情况说明</w:t>
      </w:r>
    </w:p>
    <w:p w14:paraId="5D9D5FCA">
      <w:pPr>
        <w:widowControl/>
        <w:spacing w:line="360" w:lineRule="auto"/>
        <w:ind w:firstLine="1050" w:firstLineChars="5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2.现场签证、设计变更预审批表</w:t>
      </w:r>
    </w:p>
    <w:p w14:paraId="785F7E8F">
      <w:pPr>
        <w:widowControl/>
        <w:spacing w:line="360" w:lineRule="auto"/>
        <w:ind w:firstLine="1050" w:firstLineChars="5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3.现场签证指令单及实施确认单</w:t>
      </w:r>
    </w:p>
    <w:p w14:paraId="678ADD2C">
      <w:pPr>
        <w:widowControl/>
        <w:spacing w:line="360" w:lineRule="auto"/>
        <w:ind w:firstLine="1050" w:firstLineChars="5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4.现场签证完工确认审批表</w:t>
      </w:r>
    </w:p>
    <w:p w14:paraId="176E9D2E">
      <w:pPr>
        <w:widowControl/>
        <w:spacing w:line="360" w:lineRule="auto"/>
        <w:ind w:firstLine="1050" w:firstLineChars="5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5.工程签证确认单</w:t>
      </w:r>
    </w:p>
    <w:p w14:paraId="637F544E">
      <w:pPr>
        <w:widowControl/>
        <w:spacing w:line="360" w:lineRule="auto"/>
        <w:ind w:firstLine="1050" w:firstLineChars="5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6.工程量汇总清单</w:t>
      </w:r>
    </w:p>
    <w:p w14:paraId="2E1E19EF">
      <w:pPr>
        <w:widowControl/>
        <w:spacing w:line="360" w:lineRule="auto"/>
        <w:ind w:firstLine="1050" w:firstLineChars="5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7.签证台班明细</w:t>
      </w:r>
    </w:p>
    <w:p w14:paraId="54883EA3">
      <w:pPr>
        <w:widowControl/>
        <w:spacing w:line="360" w:lineRule="auto"/>
        <w:ind w:firstLine="1050" w:firstLineChars="5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8.原始凭证记录及工程签证的填写要求</w:t>
      </w:r>
    </w:p>
    <w:p w14:paraId="7D9FAF52">
      <w:pPr>
        <w:widowControl/>
        <w:spacing w:line="360" w:lineRule="auto"/>
        <w:ind w:firstLine="1050" w:firstLineChars="5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9.紧急变更审批单</w:t>
      </w:r>
    </w:p>
    <w:p w14:paraId="6B2BA634">
      <w:pPr>
        <w:widowControl/>
        <w:spacing w:line="360" w:lineRule="auto"/>
        <w:ind w:firstLine="1050" w:firstLineChars="5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10.现场紧急签证工程审批表</w:t>
      </w:r>
    </w:p>
    <w:p w14:paraId="1554B37E">
      <w:pPr>
        <w:widowControl/>
        <w:spacing w:line="360" w:lineRule="auto"/>
        <w:ind w:firstLine="1050" w:firstLineChars="5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11.转扣签证办理指引</w:t>
      </w:r>
    </w:p>
    <w:p w14:paraId="07D7A720">
      <w:pPr>
        <w:widowControl/>
        <w:spacing w:line="360" w:lineRule="auto"/>
        <w:ind w:firstLine="1050" w:firstLineChars="5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12.变更与签证系统操作指南</w:t>
      </w:r>
    </w:p>
    <w:p w14:paraId="42D7CE2A">
      <w:pPr>
        <w:widowControl/>
        <w:spacing w:line="360" w:lineRule="auto"/>
        <w:ind w:firstLine="1050" w:firstLineChars="500"/>
        <w:jc w:val="left"/>
        <w:outlineLvl w:val="9"/>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13.设计变更台账</w:t>
      </w:r>
    </w:p>
    <w:p w14:paraId="58F9B8CC">
      <w:pPr>
        <w:widowControl/>
        <w:spacing w:line="360" w:lineRule="auto"/>
        <w:ind w:firstLine="420" w:firstLineChars="200"/>
        <w:jc w:val="left"/>
        <w:outlineLvl w:val="9"/>
        <w:rPr>
          <w:rFonts w:hint="default" w:ascii="宋体" w:hAnsi="宋体" w:eastAsia="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注：附件1-13表格内容由发包人提供单子版</w:t>
      </w:r>
    </w:p>
    <w:p w14:paraId="02008CF8">
      <w:pPr>
        <w:widowControl/>
        <w:spacing w:line="360" w:lineRule="auto"/>
        <w:ind w:firstLine="420" w:firstLineChars="200"/>
        <w:jc w:val="left"/>
        <w:outlineLvl w:val="9"/>
        <w:rPr>
          <w:rFonts w:hint="eastAsia" w:ascii="宋体" w:hAnsi="宋体" w:eastAsia="宋体" w:cs="宋体"/>
          <w:color w:val="auto"/>
          <w:kern w:val="0"/>
          <w:sz w:val="21"/>
          <w:szCs w:val="21"/>
          <w:highlight w:val="none"/>
        </w:rPr>
      </w:pPr>
    </w:p>
    <w:p w14:paraId="72F71CDE">
      <w:pPr>
        <w:widowControl/>
        <w:spacing w:line="360" w:lineRule="auto"/>
        <w:ind w:firstLine="420" w:firstLineChars="200"/>
        <w:jc w:val="left"/>
        <w:outlineLvl w:val="9"/>
        <w:rPr>
          <w:rFonts w:hint="eastAsia" w:ascii="宋体" w:hAnsi="宋体" w:eastAsia="宋体" w:cs="宋体"/>
          <w:color w:val="auto"/>
          <w:kern w:val="0"/>
          <w:sz w:val="21"/>
          <w:szCs w:val="21"/>
          <w:highlight w:val="none"/>
        </w:rPr>
      </w:pPr>
    </w:p>
    <w:p w14:paraId="47817699">
      <w:pPr>
        <w:widowControl/>
        <w:spacing w:line="360" w:lineRule="auto"/>
        <w:ind w:firstLine="420" w:firstLineChars="200"/>
        <w:jc w:val="left"/>
        <w:outlineLvl w:val="9"/>
        <w:rPr>
          <w:rFonts w:hint="eastAsia" w:ascii="宋体" w:hAnsi="宋体" w:eastAsia="宋体" w:cs="宋体"/>
          <w:color w:val="auto"/>
          <w:kern w:val="0"/>
          <w:sz w:val="21"/>
          <w:szCs w:val="21"/>
          <w:highlight w:val="none"/>
        </w:rPr>
      </w:pPr>
    </w:p>
    <w:p w14:paraId="34D9323D">
      <w:pPr>
        <w:widowControl/>
        <w:spacing w:line="360" w:lineRule="auto"/>
        <w:ind w:firstLine="420" w:firstLineChars="200"/>
        <w:jc w:val="left"/>
        <w:outlineLvl w:val="9"/>
        <w:rPr>
          <w:rFonts w:hint="eastAsia" w:ascii="宋体" w:hAnsi="宋体" w:eastAsia="宋体" w:cs="宋体"/>
          <w:color w:val="auto"/>
          <w:kern w:val="0"/>
          <w:sz w:val="21"/>
          <w:szCs w:val="21"/>
          <w:highlight w:val="none"/>
        </w:rPr>
        <w:sectPr>
          <w:pgSz w:w="11906" w:h="16838"/>
          <w:pgMar w:top="2098" w:right="1474" w:bottom="1985" w:left="1588" w:header="851" w:footer="1020" w:gutter="0"/>
          <w:pgBorders>
            <w:top w:val="none" w:sz="0" w:space="0"/>
            <w:left w:val="none" w:sz="0" w:space="0"/>
            <w:bottom w:val="none" w:sz="0" w:space="0"/>
            <w:right w:val="none" w:sz="0" w:space="0"/>
          </w:pgBorders>
          <w:pgNumType w:fmt="numberInDash"/>
          <w:cols w:space="425" w:num="1"/>
          <w:titlePg/>
          <w:docGrid w:type="lines" w:linePitch="381" w:charSpace="0"/>
        </w:sectPr>
      </w:pPr>
    </w:p>
    <w:p w14:paraId="35914BFB">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附件十</w:t>
      </w:r>
      <w:r>
        <w:rPr>
          <w:rFonts w:hint="eastAsia" w:cs="宋体" w:asciiTheme="minorEastAsia" w:hAnsiTheme="minorEastAsia" w:eastAsiaTheme="minorEastAsia"/>
          <w:color w:val="auto"/>
          <w:szCs w:val="21"/>
          <w:highlight w:val="none"/>
          <w:lang w:val="en-US" w:eastAsia="zh-CN"/>
        </w:rPr>
        <w:t>二</w:t>
      </w:r>
      <w:r>
        <w:rPr>
          <w:rFonts w:hint="eastAsia" w:cs="宋体" w:asciiTheme="minorEastAsia" w:hAnsiTheme="minorEastAsia" w:eastAsiaTheme="minorEastAsia"/>
          <w:color w:val="auto"/>
          <w:szCs w:val="21"/>
          <w:highlight w:val="none"/>
        </w:rPr>
        <w:t>：</w:t>
      </w:r>
    </w:p>
    <w:p w14:paraId="41EBE3FD">
      <w:pPr>
        <w:snapToGrid w:val="0"/>
        <w:spacing w:line="360" w:lineRule="auto"/>
        <w:ind w:firstLine="643"/>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首次会议制度</w:t>
      </w:r>
    </w:p>
    <w:p w14:paraId="212703AA">
      <w:pPr>
        <w:widowControl/>
        <w:tabs>
          <w:tab w:val="left" w:pos="720"/>
        </w:tabs>
        <w:adjustRightInd w:val="0"/>
        <w:snapToGrid w:val="0"/>
        <w:spacing w:line="360" w:lineRule="auto"/>
        <w:ind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一、工程项目首次会议，应在总包单位和监理单位进场后</w:t>
      </w:r>
      <w:r>
        <w:rPr>
          <w:rFonts w:cs="宋体" w:asciiTheme="minorEastAsia" w:hAnsiTheme="minorEastAsia" w:eastAsiaTheme="minorEastAsia"/>
          <w:color w:val="auto"/>
          <w:szCs w:val="21"/>
          <w:highlight w:val="none"/>
        </w:rPr>
        <w:t>15个工作日内召开，会议由发包人项目部总经理主持，项目部相关人员、监理部全体人员、施工单位管理人员（项目经理、项目副经理、现场总负责、技术总负责）参加。</w:t>
      </w:r>
    </w:p>
    <w:p w14:paraId="0A6151E6">
      <w:pPr>
        <w:widowControl/>
        <w:tabs>
          <w:tab w:val="left" w:pos="720"/>
        </w:tabs>
        <w:adjustRightInd w:val="0"/>
        <w:snapToGrid w:val="0"/>
        <w:spacing w:line="360" w:lineRule="auto"/>
        <w:ind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二、首次会议纪要由项目监理部整理完成，在会后</w:t>
      </w:r>
      <w:r>
        <w:rPr>
          <w:rFonts w:cs="宋体" w:asciiTheme="minorEastAsia" w:hAnsiTheme="minorEastAsia" w:eastAsiaTheme="minorEastAsia"/>
          <w:color w:val="auto"/>
          <w:szCs w:val="21"/>
          <w:highlight w:val="none"/>
        </w:rPr>
        <w:t>2个工作日内发送各单位。</w:t>
      </w:r>
    </w:p>
    <w:p w14:paraId="12CEA973">
      <w:pPr>
        <w:widowControl/>
        <w:tabs>
          <w:tab w:val="left" w:pos="720"/>
        </w:tabs>
        <w:adjustRightInd w:val="0"/>
        <w:snapToGrid w:val="0"/>
        <w:spacing w:line="360" w:lineRule="auto"/>
        <w:ind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三、首次会议纪要格式规定如下：</w:t>
      </w:r>
    </w:p>
    <w:p w14:paraId="73D82FBC">
      <w:pPr>
        <w:adjustRightInd w:val="0"/>
        <w:snapToGrid w:val="0"/>
        <w:spacing w:line="360" w:lineRule="auto"/>
        <w:ind w:firstLine="48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XX项目首次会议纪要</w:t>
      </w:r>
    </w:p>
    <w:p w14:paraId="15636C5E">
      <w:pPr>
        <w:adjustRightInd w:val="0"/>
        <w:snapToGrid w:val="0"/>
        <w:spacing w:line="360" w:lineRule="auto"/>
        <w:ind w:firstLine="480"/>
        <w:jc w:val="center"/>
        <w:outlineLvl w:val="9"/>
        <w:rPr>
          <w:rFonts w:cs="宋体" w:asciiTheme="minorEastAsia" w:hAnsiTheme="minorEastAsia" w:eastAsiaTheme="minorEastAsia"/>
          <w:color w:val="auto"/>
          <w:szCs w:val="21"/>
          <w:highlight w:val="none"/>
        </w:rPr>
      </w:pPr>
    </w:p>
    <w:p w14:paraId="6BDD589D">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时间：年月日时</w:t>
      </w:r>
    </w:p>
    <w:p w14:paraId="5AA6D0E8">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地点：</w:t>
      </w:r>
    </w:p>
    <w:p w14:paraId="5DB3AFA2">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主持人：</w:t>
      </w:r>
    </w:p>
    <w:p w14:paraId="16F74F85">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参会人员：</w:t>
      </w:r>
    </w:p>
    <w:p w14:paraId="42EE68B8">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缺席人员：</w:t>
      </w:r>
      <w:r>
        <w:rPr>
          <w:rFonts w:cs="宋体" w:asciiTheme="minorEastAsia" w:hAnsiTheme="minorEastAsia" w:eastAsiaTheme="minorEastAsia"/>
          <w:color w:val="auto"/>
          <w:szCs w:val="21"/>
          <w:highlight w:val="none"/>
        </w:rPr>
        <w:t>(无人员缺席的可以不出现该项)</w:t>
      </w:r>
    </w:p>
    <w:p w14:paraId="7DB48E92">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会议内容：</w:t>
      </w:r>
    </w:p>
    <w:p w14:paraId="75EDA6B7">
      <w:pPr>
        <w:widowControl/>
        <w:numPr>
          <w:ilvl w:val="0"/>
          <w:numId w:val="7"/>
        </w:numPr>
        <w:adjustRightInd w:val="0"/>
        <w:snapToGrid w:val="0"/>
        <w:spacing w:line="360" w:lineRule="auto"/>
        <w:ind w:left="0"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各单位介绍本单位参与项目人员</w:t>
      </w:r>
    </w:p>
    <w:p w14:paraId="1EB6591D">
      <w:pPr>
        <w:widowControl/>
        <w:numPr>
          <w:ilvl w:val="0"/>
          <w:numId w:val="7"/>
        </w:numPr>
        <w:adjustRightInd w:val="0"/>
        <w:snapToGrid w:val="0"/>
        <w:spacing w:line="360" w:lineRule="auto"/>
        <w:ind w:left="0"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项目部总经理介绍开工准备情况。</w:t>
      </w:r>
    </w:p>
    <w:p w14:paraId="4884828A">
      <w:pPr>
        <w:widowControl/>
        <w:numPr>
          <w:ilvl w:val="0"/>
          <w:numId w:val="7"/>
        </w:numPr>
        <w:adjustRightInd w:val="0"/>
        <w:snapToGrid w:val="0"/>
        <w:spacing w:line="360" w:lineRule="auto"/>
        <w:ind w:left="0"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项目部总经理对我公司“泰山行动”的具体要求进行讲解。</w:t>
      </w:r>
    </w:p>
    <w:p w14:paraId="4BC09E74">
      <w:pPr>
        <w:widowControl/>
        <w:numPr>
          <w:ilvl w:val="0"/>
          <w:numId w:val="7"/>
        </w:numPr>
        <w:adjustRightInd w:val="0"/>
        <w:snapToGrid w:val="0"/>
        <w:spacing w:line="360" w:lineRule="auto"/>
        <w:ind w:left="0"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项目部总经理对本项目施工区域进行划分。</w:t>
      </w:r>
    </w:p>
    <w:p w14:paraId="6EF9C0EE">
      <w:pPr>
        <w:widowControl/>
        <w:numPr>
          <w:ilvl w:val="0"/>
          <w:numId w:val="7"/>
        </w:numPr>
        <w:tabs>
          <w:tab w:val="left" w:pos="1260"/>
          <w:tab w:val="clear" w:pos="840"/>
        </w:tabs>
        <w:adjustRightInd w:val="0"/>
        <w:snapToGrid w:val="0"/>
        <w:spacing w:line="360" w:lineRule="auto"/>
        <w:ind w:left="0"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监理单位提出项目管理要求，并确定本项目监理例会时间、地点，并明确参会纪律。</w:t>
      </w:r>
    </w:p>
    <w:p w14:paraId="5183F821">
      <w:pPr>
        <w:widowControl/>
        <w:numPr>
          <w:ilvl w:val="0"/>
          <w:numId w:val="7"/>
        </w:numPr>
        <w:tabs>
          <w:tab w:val="left" w:pos="1260"/>
          <w:tab w:val="clear" w:pos="840"/>
        </w:tabs>
        <w:adjustRightInd w:val="0"/>
        <w:snapToGrid w:val="0"/>
        <w:spacing w:line="360" w:lineRule="auto"/>
        <w:ind w:left="0"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对施工单位、监理单位考核奖惩规定介绍。</w:t>
      </w:r>
    </w:p>
    <w:p w14:paraId="3715D7AC">
      <w:pPr>
        <w:widowControl/>
        <w:numPr>
          <w:ilvl w:val="0"/>
          <w:numId w:val="7"/>
        </w:numPr>
        <w:tabs>
          <w:tab w:val="left" w:pos="1260"/>
          <w:tab w:val="clear" w:pos="840"/>
        </w:tabs>
        <w:adjustRightInd w:val="0"/>
        <w:snapToGrid w:val="0"/>
        <w:spacing w:line="360" w:lineRule="auto"/>
        <w:ind w:left="0"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施工单位介绍开工准备情况。</w:t>
      </w:r>
    </w:p>
    <w:p w14:paraId="3373B55A">
      <w:pPr>
        <w:widowControl/>
        <w:numPr>
          <w:ilvl w:val="0"/>
          <w:numId w:val="7"/>
        </w:numPr>
        <w:adjustRightInd w:val="0"/>
        <w:snapToGrid w:val="0"/>
        <w:spacing w:line="360" w:lineRule="auto"/>
        <w:ind w:left="0"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明确以下事项：</w:t>
      </w:r>
    </w:p>
    <w:p w14:paraId="4A432F20">
      <w:pPr>
        <w:widowControl/>
        <w:numPr>
          <w:ilvl w:val="2"/>
          <w:numId w:val="7"/>
        </w:numPr>
        <w:tabs>
          <w:tab w:val="left" w:pos="1260"/>
          <w:tab w:val="clear" w:pos="1680"/>
        </w:tabs>
        <w:adjustRightInd w:val="0"/>
        <w:snapToGrid w:val="0"/>
        <w:spacing w:line="360" w:lineRule="auto"/>
        <w:ind w:left="0"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施工单位和监理单位进场前</w:t>
      </w:r>
      <w:r>
        <w:rPr>
          <w:rFonts w:cs="宋体" w:asciiTheme="minorEastAsia" w:hAnsiTheme="minorEastAsia" w:eastAsiaTheme="minorEastAsia"/>
          <w:color w:val="auto"/>
          <w:szCs w:val="21"/>
          <w:highlight w:val="none"/>
        </w:rPr>
        <w:t>10个工作日内，应向项目部报送人员配置表。</w:t>
      </w:r>
    </w:p>
    <w:p w14:paraId="6EBF064C">
      <w:pPr>
        <w:widowControl/>
        <w:numPr>
          <w:ilvl w:val="2"/>
          <w:numId w:val="7"/>
        </w:numPr>
        <w:tabs>
          <w:tab w:val="left" w:pos="1260"/>
          <w:tab w:val="clear" w:pos="1680"/>
        </w:tabs>
        <w:adjustRightInd w:val="0"/>
        <w:snapToGrid w:val="0"/>
        <w:spacing w:line="360" w:lineRule="auto"/>
        <w:ind w:left="0"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开工报告审批完成后</w:t>
      </w:r>
      <w:r>
        <w:rPr>
          <w:rFonts w:cs="宋体" w:asciiTheme="minorEastAsia" w:hAnsiTheme="minorEastAsia" w:eastAsiaTheme="minorEastAsia"/>
          <w:color w:val="auto"/>
          <w:szCs w:val="21"/>
          <w:highlight w:val="none"/>
        </w:rPr>
        <w:t>5个工作日内，施工单位和监理单位应向项目部报送施工组织设计。</w:t>
      </w:r>
    </w:p>
    <w:p w14:paraId="7A8EF082">
      <w:pPr>
        <w:widowControl/>
        <w:numPr>
          <w:ilvl w:val="2"/>
          <w:numId w:val="7"/>
        </w:numPr>
        <w:tabs>
          <w:tab w:val="left" w:pos="1260"/>
          <w:tab w:val="clear" w:pos="1680"/>
        </w:tabs>
        <w:adjustRightInd w:val="0"/>
        <w:snapToGrid w:val="0"/>
        <w:spacing w:line="360" w:lineRule="auto"/>
        <w:ind w:left="0"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每月施工单位和监理单位按要求应报送以下数据：</w:t>
      </w:r>
    </w:p>
    <w:p w14:paraId="083A5734">
      <w:pPr>
        <w:pStyle w:val="74"/>
        <w:widowControl/>
        <w:numPr>
          <w:ilvl w:val="0"/>
          <w:numId w:val="8"/>
        </w:numPr>
        <w:adjustRightInd w:val="0"/>
        <w:snapToGrid w:val="0"/>
        <w:spacing w:line="360" w:lineRule="auto"/>
        <w:ind w:firstLine="480"/>
        <w:jc w:val="left"/>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月进度计划（含设计、采购、施工）</w:t>
      </w:r>
      <w:r>
        <w:rPr>
          <w:rFonts w:asciiTheme="minorEastAsia" w:hAnsiTheme="minorEastAsia" w:eastAsiaTheme="minorEastAsia"/>
          <w:color w:val="auto"/>
          <w:szCs w:val="21"/>
          <w:highlight w:val="none"/>
        </w:rPr>
        <w:t>20</w:t>
      </w:r>
      <w:r>
        <w:rPr>
          <w:rFonts w:hint="eastAsia" w:asciiTheme="minorEastAsia" w:hAnsiTheme="minorEastAsia" w:eastAsiaTheme="minorEastAsia"/>
          <w:color w:val="auto"/>
          <w:szCs w:val="21"/>
          <w:highlight w:val="none"/>
        </w:rPr>
        <w:t>日前报下月进度计划</w:t>
      </w:r>
    </w:p>
    <w:p w14:paraId="2CB3AD3C">
      <w:pPr>
        <w:pStyle w:val="74"/>
        <w:widowControl/>
        <w:numPr>
          <w:ilvl w:val="0"/>
          <w:numId w:val="8"/>
        </w:numPr>
        <w:adjustRightInd w:val="0"/>
        <w:snapToGrid w:val="0"/>
        <w:spacing w:line="360" w:lineRule="auto"/>
        <w:ind w:firstLine="480"/>
        <w:jc w:val="left"/>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材料计划</w:t>
      </w:r>
      <w:r>
        <w:rPr>
          <w:rFonts w:asciiTheme="minorEastAsia" w:hAnsiTheme="minorEastAsia" w:eastAsiaTheme="minorEastAsia"/>
          <w:color w:val="auto"/>
          <w:szCs w:val="21"/>
          <w:highlight w:val="none"/>
        </w:rPr>
        <w:t xml:space="preserve">                   10</w:t>
      </w:r>
      <w:r>
        <w:rPr>
          <w:rFonts w:hint="eastAsia" w:asciiTheme="minorEastAsia" w:hAnsiTheme="minorEastAsia" w:eastAsiaTheme="minorEastAsia"/>
          <w:color w:val="auto"/>
          <w:szCs w:val="21"/>
          <w:highlight w:val="none"/>
        </w:rPr>
        <w:t>日前报下下月材料计划</w:t>
      </w:r>
    </w:p>
    <w:p w14:paraId="59547CAC">
      <w:pPr>
        <w:pStyle w:val="74"/>
        <w:widowControl/>
        <w:numPr>
          <w:ilvl w:val="0"/>
          <w:numId w:val="8"/>
        </w:numPr>
        <w:adjustRightInd w:val="0"/>
        <w:snapToGrid w:val="0"/>
        <w:spacing w:line="360" w:lineRule="auto"/>
        <w:ind w:firstLine="480"/>
        <w:jc w:val="left"/>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 xml:space="preserve">监理月报                  </w:t>
      </w:r>
      <w:r>
        <w:rPr>
          <w:rFonts w:asciiTheme="minorEastAsia" w:hAnsiTheme="minorEastAsia" w:eastAsiaTheme="minorEastAsia"/>
          <w:color w:val="auto"/>
          <w:szCs w:val="21"/>
          <w:highlight w:val="none"/>
        </w:rPr>
        <w:t>30</w:t>
      </w:r>
      <w:r>
        <w:rPr>
          <w:rFonts w:hint="eastAsia" w:asciiTheme="minorEastAsia" w:hAnsiTheme="minorEastAsia" w:eastAsiaTheme="minorEastAsia"/>
          <w:color w:val="auto"/>
          <w:szCs w:val="21"/>
          <w:highlight w:val="none"/>
        </w:rPr>
        <w:t>日报本月监理月报</w:t>
      </w:r>
    </w:p>
    <w:p w14:paraId="3223263E">
      <w:pPr>
        <w:pStyle w:val="74"/>
        <w:widowControl/>
        <w:numPr>
          <w:ilvl w:val="0"/>
          <w:numId w:val="8"/>
        </w:numPr>
        <w:adjustRightInd w:val="0"/>
        <w:snapToGrid w:val="0"/>
        <w:spacing w:line="360" w:lineRule="auto"/>
        <w:ind w:firstLine="480"/>
        <w:jc w:val="left"/>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 xml:space="preserve">优秀监理工程师评选        </w:t>
      </w:r>
      <w:r>
        <w:rPr>
          <w:rFonts w:asciiTheme="minorEastAsia" w:hAnsiTheme="minorEastAsia" w:eastAsiaTheme="minorEastAsia"/>
          <w:color w:val="auto"/>
          <w:szCs w:val="21"/>
          <w:highlight w:val="none"/>
        </w:rPr>
        <w:t>30</w:t>
      </w:r>
      <w:r>
        <w:rPr>
          <w:rFonts w:hint="eastAsia" w:asciiTheme="minorEastAsia" w:hAnsiTheme="minorEastAsia" w:eastAsiaTheme="minorEastAsia"/>
          <w:color w:val="auto"/>
          <w:szCs w:val="21"/>
          <w:highlight w:val="none"/>
        </w:rPr>
        <w:t>日报本月优秀监理人员</w:t>
      </w:r>
    </w:p>
    <w:p w14:paraId="5264EAD1">
      <w:pPr>
        <w:pStyle w:val="74"/>
        <w:widowControl/>
        <w:numPr>
          <w:ilvl w:val="0"/>
          <w:numId w:val="8"/>
        </w:numPr>
        <w:adjustRightInd w:val="0"/>
        <w:snapToGrid w:val="0"/>
        <w:spacing w:line="360" w:lineRule="auto"/>
        <w:ind w:firstLine="480"/>
        <w:jc w:val="left"/>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月工程款支付申请</w:t>
      </w:r>
    </w:p>
    <w:p w14:paraId="71084611">
      <w:pPr>
        <w:pStyle w:val="74"/>
        <w:widowControl/>
        <w:adjustRightInd w:val="0"/>
        <w:snapToGrid w:val="0"/>
        <w:spacing w:line="360" w:lineRule="auto"/>
        <w:ind w:left="1320" w:firstLine="0"/>
        <w:jc w:val="left"/>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施工单位</w:t>
      </w:r>
      <w:r>
        <w:rPr>
          <w:rFonts w:asciiTheme="minorEastAsia" w:hAnsiTheme="minorEastAsia" w:eastAsiaTheme="minorEastAsia"/>
          <w:color w:val="auto"/>
          <w:szCs w:val="21"/>
          <w:highlight w:val="none"/>
        </w:rPr>
        <w:t>15</w:t>
      </w:r>
      <w:r>
        <w:rPr>
          <w:rFonts w:hint="eastAsia" w:asciiTheme="minorEastAsia" w:hAnsiTheme="minorEastAsia" w:eastAsiaTheme="minorEastAsia"/>
          <w:color w:val="auto"/>
          <w:szCs w:val="21"/>
          <w:highlight w:val="none"/>
        </w:rPr>
        <w:t>日前报上月</w:t>
      </w:r>
      <w:r>
        <w:rPr>
          <w:rFonts w:asciiTheme="minorEastAsia" w:hAnsiTheme="minorEastAsia" w:eastAsiaTheme="minorEastAsia"/>
          <w:color w:val="auto"/>
          <w:szCs w:val="21"/>
          <w:highlight w:val="none"/>
        </w:rPr>
        <w:t>15</w:t>
      </w:r>
      <w:r>
        <w:rPr>
          <w:rFonts w:hint="eastAsia" w:asciiTheme="minorEastAsia" w:hAnsiTheme="minorEastAsia" w:eastAsiaTheme="minorEastAsia"/>
          <w:color w:val="auto"/>
          <w:szCs w:val="21"/>
          <w:highlight w:val="none"/>
        </w:rPr>
        <w:t>日至本月</w:t>
      </w:r>
      <w:r>
        <w:rPr>
          <w:rFonts w:asciiTheme="minorEastAsia" w:hAnsiTheme="minorEastAsia" w:eastAsiaTheme="minorEastAsia"/>
          <w:color w:val="auto"/>
          <w:szCs w:val="21"/>
          <w:highlight w:val="none"/>
        </w:rPr>
        <w:t>15</w:t>
      </w:r>
      <w:r>
        <w:rPr>
          <w:rFonts w:hint="eastAsia" w:asciiTheme="minorEastAsia" w:hAnsiTheme="minorEastAsia" w:eastAsiaTheme="minorEastAsia"/>
          <w:color w:val="auto"/>
          <w:szCs w:val="21"/>
          <w:highlight w:val="none"/>
        </w:rPr>
        <w:t>日完成工程量给监理；监理</w:t>
      </w:r>
      <w:r>
        <w:rPr>
          <w:rFonts w:asciiTheme="minorEastAsia" w:hAnsiTheme="minorEastAsia" w:eastAsiaTheme="minorEastAsia"/>
          <w:color w:val="auto"/>
          <w:szCs w:val="21"/>
          <w:highlight w:val="none"/>
        </w:rPr>
        <w:t>20</w:t>
      </w:r>
      <w:r>
        <w:rPr>
          <w:rFonts w:hint="eastAsia" w:asciiTheme="minorEastAsia" w:hAnsiTheme="minorEastAsia" w:eastAsiaTheme="minorEastAsia"/>
          <w:color w:val="auto"/>
          <w:szCs w:val="21"/>
          <w:highlight w:val="none"/>
        </w:rPr>
        <w:t>日审核完提交项目部；项目部</w:t>
      </w:r>
      <w:r>
        <w:rPr>
          <w:rFonts w:asciiTheme="minorEastAsia" w:hAnsiTheme="minorEastAsia" w:eastAsiaTheme="minorEastAsia"/>
          <w:color w:val="auto"/>
          <w:szCs w:val="21"/>
          <w:highlight w:val="none"/>
        </w:rPr>
        <w:t>23</w:t>
      </w:r>
      <w:r>
        <w:rPr>
          <w:rFonts w:hint="eastAsia" w:asciiTheme="minorEastAsia" w:hAnsiTheme="minorEastAsia" w:eastAsiaTheme="minorEastAsia"/>
          <w:color w:val="auto"/>
          <w:szCs w:val="21"/>
          <w:highlight w:val="none"/>
        </w:rPr>
        <w:t>日提交成本管理部；成本管理部</w:t>
      </w:r>
      <w:r>
        <w:rPr>
          <w:rFonts w:asciiTheme="minorEastAsia" w:hAnsiTheme="minorEastAsia" w:eastAsiaTheme="minorEastAsia"/>
          <w:color w:val="auto"/>
          <w:szCs w:val="21"/>
          <w:highlight w:val="none"/>
        </w:rPr>
        <w:t>28</w:t>
      </w:r>
      <w:r>
        <w:rPr>
          <w:rFonts w:hint="eastAsia" w:asciiTheme="minorEastAsia" w:hAnsiTheme="minorEastAsia" w:eastAsiaTheme="minorEastAsia"/>
          <w:color w:val="auto"/>
          <w:szCs w:val="21"/>
          <w:highlight w:val="none"/>
        </w:rPr>
        <w:t>日审核完提交财务部。</w:t>
      </w:r>
    </w:p>
    <w:p w14:paraId="3A65E923">
      <w:pPr>
        <w:adjustRightInd w:val="0"/>
        <w:snapToGrid w:val="0"/>
        <w:spacing w:line="360" w:lineRule="auto"/>
        <w:ind w:firstLine="480"/>
        <w:jc w:val="righ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   XX项目XX监理部</w:t>
      </w:r>
    </w:p>
    <w:p w14:paraId="7F300DC5">
      <w:pPr>
        <w:adjustRightInd w:val="0"/>
        <w:snapToGrid w:val="0"/>
        <w:spacing w:line="360" w:lineRule="auto"/>
        <w:ind w:firstLine="480"/>
        <w:jc w:val="righ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r>
        <w:rPr>
          <w:rFonts w:cs="宋体" w:asciiTheme="minorEastAsia" w:hAnsiTheme="minorEastAsia" w:eastAsiaTheme="minorEastAsia"/>
          <w:color w:val="auto"/>
          <w:szCs w:val="21"/>
          <w:highlight w:val="none"/>
        </w:rPr>
        <w:br w:type="page"/>
      </w:r>
    </w:p>
    <w:p w14:paraId="7EF6828D">
      <w:pP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附件十</w:t>
      </w:r>
      <w:r>
        <w:rPr>
          <w:rFonts w:hint="eastAsia" w:cs="宋体" w:asciiTheme="minorEastAsia" w:hAnsiTheme="minorEastAsia" w:eastAsiaTheme="minorEastAsia"/>
          <w:color w:val="auto"/>
          <w:szCs w:val="21"/>
          <w:highlight w:val="none"/>
          <w:lang w:val="en-US" w:eastAsia="zh-CN"/>
        </w:rPr>
        <w:t>三</w:t>
      </w:r>
      <w:r>
        <w:rPr>
          <w:rFonts w:hint="eastAsia" w:cs="宋体" w:asciiTheme="minorEastAsia" w:hAnsiTheme="minorEastAsia" w:eastAsiaTheme="minorEastAsia"/>
          <w:color w:val="auto"/>
          <w:szCs w:val="21"/>
          <w:highlight w:val="none"/>
        </w:rPr>
        <w:t>：</w:t>
      </w:r>
    </w:p>
    <w:p w14:paraId="516FCDD5">
      <w:pPr>
        <w:snapToGrid w:val="0"/>
        <w:spacing w:line="360" w:lineRule="auto"/>
        <w:ind w:firstLine="643"/>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安全生产及消防安全目标责任书</w:t>
      </w:r>
    </w:p>
    <w:p w14:paraId="0C666104">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lang w:eastAsia="zh-CN"/>
        </w:rPr>
      </w:pPr>
      <w:r>
        <w:rPr>
          <w:rFonts w:hint="eastAsia" w:cs="宋体" w:asciiTheme="minorEastAsia" w:hAnsiTheme="minorEastAsia" w:eastAsiaTheme="minorEastAsia"/>
          <w:color w:val="auto"/>
          <w:szCs w:val="21"/>
          <w:highlight w:val="none"/>
        </w:rPr>
        <w:t>项目名称：</w:t>
      </w:r>
      <w:r>
        <w:rPr>
          <w:rFonts w:hint="eastAsia" w:cs="宋体" w:asciiTheme="minorEastAsia" w:hAnsiTheme="minorEastAsia" w:eastAsiaTheme="minorEastAsia"/>
          <w:b/>
          <w:color w:val="auto"/>
          <w:szCs w:val="21"/>
          <w:highlight w:val="none"/>
          <w:lang w:eastAsia="zh-CN"/>
        </w:rPr>
        <w:t>白桦林观澜项目工程总承包（</w:t>
      </w:r>
      <w:r>
        <w:rPr>
          <w:rFonts w:hint="eastAsia" w:cs="宋体" w:asciiTheme="minorEastAsia" w:hAnsiTheme="minorEastAsia" w:eastAsiaTheme="minorEastAsia"/>
          <w:b/>
          <w:color w:val="auto"/>
          <w:szCs w:val="21"/>
          <w:highlight w:val="none"/>
          <w:lang w:val="en-US" w:eastAsia="zh-CN"/>
        </w:rPr>
        <w:t>EPC</w:t>
      </w:r>
      <w:r>
        <w:rPr>
          <w:rFonts w:hint="eastAsia" w:cs="宋体" w:asciiTheme="minorEastAsia" w:hAnsiTheme="minorEastAsia" w:eastAsiaTheme="minorEastAsia"/>
          <w:b/>
          <w:color w:val="auto"/>
          <w:szCs w:val="21"/>
          <w:highlight w:val="none"/>
          <w:lang w:eastAsia="zh-CN"/>
        </w:rPr>
        <w:t>）</w:t>
      </w:r>
    </w:p>
    <w:p w14:paraId="2B996D3C">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w:t>
      </w:r>
      <w:r>
        <w:rPr>
          <w:rFonts w:hint="eastAsia" w:cs="宋体" w:asciiTheme="minorEastAsia" w:hAnsiTheme="minorEastAsia" w:eastAsiaTheme="minorEastAsia"/>
          <w:color w:val="auto"/>
          <w:szCs w:val="21"/>
          <w:highlight w:val="none"/>
          <w:lang w:eastAsia="zh-CN"/>
        </w:rPr>
        <w:t>西安经发景弘项目开发有限公司</w:t>
      </w:r>
    </w:p>
    <w:p w14:paraId="00117D50">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承包人（乙方，联合体</w:t>
      </w:r>
      <w:r>
        <w:rPr>
          <w:rFonts w:hint="eastAsia" w:cs="宋体" w:asciiTheme="minorEastAsia" w:hAnsiTheme="minorEastAsia" w:eastAsiaTheme="minorEastAsia"/>
          <w:color w:val="auto"/>
          <w:szCs w:val="21"/>
          <w:highlight w:val="none"/>
          <w:lang w:eastAsia="zh-CN"/>
        </w:rPr>
        <w:t>牵头人</w:t>
      </w:r>
      <w:r>
        <w:rPr>
          <w:rFonts w:hint="eastAsia" w:cs="宋体" w:asciiTheme="minorEastAsia" w:hAnsiTheme="minorEastAsia" w:eastAsiaTheme="minorEastAsia"/>
          <w:color w:val="auto"/>
          <w:szCs w:val="21"/>
          <w:highlight w:val="none"/>
        </w:rPr>
        <w:t>）：中建八局第二建设有限公司</w:t>
      </w:r>
    </w:p>
    <w:p w14:paraId="15BDC806">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承包人（乙方，联合体成员）：中建八局(陕西)建设科技有限公司</w:t>
      </w:r>
    </w:p>
    <w:p w14:paraId="1D959146">
      <w:pPr>
        <w:adjustRightInd w:val="0"/>
        <w:snapToGrid w:val="0"/>
        <w:spacing w:line="360" w:lineRule="auto"/>
        <w:ind w:firstLine="48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承包人（乙方，联合体成员）：中国建筑西北设计研究院有限公司</w:t>
      </w:r>
    </w:p>
    <w:p w14:paraId="32EFADE9">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一、工程概况：</w:t>
      </w:r>
    </w:p>
    <w:p w14:paraId="3A7BB506">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lang w:eastAsia="zh-CN"/>
        </w:rPr>
      </w:pPr>
      <w:r>
        <w:rPr>
          <w:rFonts w:cs="宋体" w:asciiTheme="minorEastAsia" w:hAnsiTheme="minorEastAsia" w:eastAsiaTheme="minorEastAsia"/>
          <w:color w:val="auto"/>
          <w:szCs w:val="21"/>
          <w:highlight w:val="none"/>
        </w:rPr>
        <w:t>1、工程名称：</w:t>
      </w:r>
      <w:r>
        <w:rPr>
          <w:rFonts w:hint="eastAsia" w:cs="宋体" w:asciiTheme="minorEastAsia" w:hAnsiTheme="minorEastAsia" w:eastAsiaTheme="minorEastAsia"/>
          <w:color w:val="auto"/>
          <w:szCs w:val="21"/>
          <w:highlight w:val="none"/>
          <w:u w:val="single"/>
          <w:lang w:eastAsia="zh-CN"/>
        </w:rPr>
        <w:t>白桦林观澜项目工程总承包(EPC)</w:t>
      </w:r>
    </w:p>
    <w:p w14:paraId="522540A1">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lang w:eastAsia="zh-CN"/>
        </w:rPr>
      </w:pPr>
      <w:r>
        <w:rPr>
          <w:rFonts w:cs="宋体" w:asciiTheme="minorEastAsia" w:hAnsiTheme="minorEastAsia" w:eastAsiaTheme="minorEastAsia"/>
          <w:color w:val="auto"/>
          <w:szCs w:val="21"/>
          <w:highlight w:val="none"/>
        </w:rPr>
        <w:t>2、工程地址</w:t>
      </w:r>
      <w:r>
        <w:rPr>
          <w:rFonts w:hint="eastAsia" w:cs="宋体" w:asciiTheme="minorEastAsia" w:hAnsiTheme="minorEastAsia" w:eastAsiaTheme="minorEastAsia"/>
          <w:color w:val="auto"/>
          <w:szCs w:val="21"/>
          <w:highlight w:val="none"/>
          <w:lang w:eastAsia="zh-CN"/>
        </w:rPr>
        <w:t>：</w:t>
      </w:r>
      <w:r>
        <w:rPr>
          <w:rFonts w:hint="eastAsia" w:cs="宋体" w:asciiTheme="minorEastAsia" w:hAnsiTheme="minorEastAsia" w:eastAsiaTheme="minorEastAsia"/>
          <w:color w:val="auto"/>
          <w:szCs w:val="21"/>
          <w:highlight w:val="none"/>
          <w:u w:val="single"/>
        </w:rPr>
        <w:t>本项目位于</w:t>
      </w:r>
      <w:r>
        <w:rPr>
          <w:rFonts w:hint="eastAsia" w:ascii="宋体" w:hAnsi="宋体"/>
          <w:color w:val="auto"/>
          <w:szCs w:val="21"/>
          <w:highlight w:val="none"/>
          <w:u w:val="single"/>
        </w:rPr>
        <w:t>西安市经济技术开发区高铁新城明光路以东，元朔路以北</w:t>
      </w:r>
      <w:r>
        <w:rPr>
          <w:rFonts w:hint="eastAsia" w:ascii="宋体" w:hAnsi="宋体"/>
          <w:color w:val="auto"/>
          <w:szCs w:val="21"/>
          <w:highlight w:val="none"/>
          <w:u w:val="single"/>
          <w:lang w:eastAsia="zh-CN"/>
        </w:rPr>
        <w:t>。</w:t>
      </w:r>
    </w:p>
    <w:p w14:paraId="21767DD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3、工程范围和内容：</w:t>
      </w:r>
      <w:r>
        <w:rPr>
          <w:rFonts w:hint="eastAsia" w:cs="宋体" w:asciiTheme="minorEastAsia" w:hAnsiTheme="minorEastAsia" w:eastAsiaTheme="minorEastAsia"/>
          <w:color w:val="auto"/>
          <w:szCs w:val="21"/>
          <w:highlight w:val="none"/>
          <w:lang w:eastAsia="zh-CN"/>
        </w:rPr>
        <w:t>白桦林观澜项目所有工程内容。</w:t>
      </w:r>
    </w:p>
    <w:p w14:paraId="5E984A94">
      <w:pPr>
        <w:adjustRightInd w:val="0"/>
        <w:snapToGrid w:val="0"/>
        <w:spacing w:line="360" w:lineRule="auto"/>
        <w:ind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二、工程项目工期：</w:t>
      </w:r>
      <w:r>
        <w:rPr>
          <w:rFonts w:hint="eastAsia" w:cs="宋体" w:asciiTheme="minorEastAsia" w:hAnsiTheme="minorEastAsia" w:eastAsiaTheme="minorEastAsia"/>
          <w:color w:val="auto"/>
          <w:szCs w:val="21"/>
          <w:highlight w:val="none"/>
          <w:lang w:eastAsia="zh-CN"/>
        </w:rPr>
        <w:t>按合同约定工期执行</w:t>
      </w:r>
      <w:r>
        <w:rPr>
          <w:rFonts w:hint="eastAsia" w:cs="宋体" w:asciiTheme="minorEastAsia" w:hAnsiTheme="minorEastAsia" w:eastAsiaTheme="minorEastAsia"/>
          <w:color w:val="auto"/>
          <w:szCs w:val="21"/>
          <w:highlight w:val="none"/>
        </w:rPr>
        <w:t>，各单体工程</w:t>
      </w:r>
      <w:r>
        <w:rPr>
          <w:rFonts w:cs="宋体" w:asciiTheme="minorEastAsia" w:hAnsiTheme="minorEastAsia" w:eastAsiaTheme="minorEastAsia"/>
          <w:color w:val="auto"/>
          <w:szCs w:val="21"/>
          <w:highlight w:val="none"/>
        </w:rPr>
        <w:t>具体</w:t>
      </w:r>
      <w:r>
        <w:rPr>
          <w:rFonts w:hint="eastAsia" w:cs="宋体" w:asciiTheme="minorEastAsia" w:hAnsiTheme="minorEastAsia" w:eastAsiaTheme="minorEastAsia"/>
          <w:color w:val="auto"/>
          <w:szCs w:val="21"/>
          <w:highlight w:val="none"/>
        </w:rPr>
        <w:t>开工时间</w:t>
      </w:r>
      <w:r>
        <w:rPr>
          <w:rFonts w:cs="宋体" w:asciiTheme="minorEastAsia" w:hAnsiTheme="minorEastAsia" w:eastAsiaTheme="minorEastAsia"/>
          <w:color w:val="auto"/>
          <w:szCs w:val="21"/>
          <w:highlight w:val="none"/>
        </w:rPr>
        <w:t>以发包人开工令为准</w:t>
      </w:r>
      <w:r>
        <w:rPr>
          <w:rFonts w:hint="eastAsia" w:cs="宋体" w:asciiTheme="minorEastAsia" w:hAnsiTheme="minorEastAsia" w:eastAsiaTheme="minorEastAsia"/>
          <w:color w:val="auto"/>
          <w:szCs w:val="21"/>
          <w:highlight w:val="none"/>
        </w:rPr>
        <w:t>。工期总日历天数与上述计划日期计算的工期天数不一致的，以工期总日历天数为准。</w:t>
      </w:r>
    </w:p>
    <w:p w14:paraId="70BFC656">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三、目标责任内容：</w:t>
      </w:r>
    </w:p>
    <w:p w14:paraId="7D9C299E">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（一）安全生产目标：</w:t>
      </w:r>
    </w:p>
    <w:p w14:paraId="67E1737F">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1、本工程项目在施工全过程中因工死亡率为零。</w:t>
      </w:r>
    </w:p>
    <w:p w14:paraId="5F24B94A">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2、本工程项目在施工全过程中因工重伤率为零。</w:t>
      </w:r>
    </w:p>
    <w:p w14:paraId="7172577D">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3、本工程项目在施工全过程中因工负伤率为1%以内。</w:t>
      </w:r>
    </w:p>
    <w:p w14:paraId="18399706">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4、本工程项目在施工全过程中无火灾、食物中毒、环境污染、交通及治安等事故发生。</w:t>
      </w:r>
    </w:p>
    <w:p w14:paraId="19B5CB7F">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5、本工程项目按照</w:t>
      </w:r>
      <w:r>
        <w:rPr>
          <w:rFonts w:hint="eastAsia" w:cs="宋体" w:asciiTheme="minorEastAsia" w:hAnsiTheme="minorEastAsia" w:eastAsiaTheme="minorEastAsia"/>
          <w:color w:val="auto"/>
          <w:szCs w:val="21"/>
          <w:highlight w:val="none"/>
          <w:u w:val="single"/>
        </w:rPr>
        <w:t>陕西省、西安市市级</w:t>
      </w:r>
      <w:r>
        <w:rPr>
          <w:rFonts w:hint="eastAsia" w:cs="宋体" w:asciiTheme="minorEastAsia" w:hAnsiTheme="minorEastAsia" w:eastAsiaTheme="minorEastAsia"/>
          <w:color w:val="auto"/>
          <w:szCs w:val="21"/>
          <w:highlight w:val="none"/>
        </w:rPr>
        <w:t>文明工地标准要求施工。</w:t>
      </w:r>
    </w:p>
    <w:p w14:paraId="06B3204A">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（二）安全生产措施：</w:t>
      </w:r>
    </w:p>
    <w:p w14:paraId="63CF71C6">
      <w:pPr>
        <w:pStyle w:val="74"/>
        <w:adjustRightInd w:val="0"/>
        <w:snapToGrid w:val="0"/>
        <w:spacing w:line="360" w:lineRule="auto"/>
        <w:ind w:left="0" w:firstLine="480"/>
        <w:outlineLvl w:val="9"/>
        <w:rPr>
          <w:rFonts w:asciiTheme="minorEastAsia" w:hAnsiTheme="minorEastAsia" w:eastAsiaTheme="minorEastAsia"/>
          <w:color w:val="auto"/>
          <w:szCs w:val="21"/>
          <w:highlight w:val="none"/>
        </w:rPr>
      </w:pPr>
      <w:r>
        <w:rPr>
          <w:rFonts w:asciiTheme="minorEastAsia" w:hAnsiTheme="minorEastAsia" w:eastAsiaTheme="minorEastAsia"/>
          <w:color w:val="auto"/>
          <w:szCs w:val="21"/>
          <w:highlight w:val="none"/>
        </w:rPr>
        <w:t>1</w:t>
      </w:r>
      <w:r>
        <w:rPr>
          <w:rFonts w:hint="eastAsia" w:asciiTheme="minorEastAsia" w:hAnsiTheme="minorEastAsia" w:eastAsiaTheme="minorEastAsia"/>
          <w:color w:val="auto"/>
          <w:szCs w:val="21"/>
          <w:highlight w:val="none"/>
        </w:rPr>
        <w:t>、承包人必须认真贯彻国家和上级劳动保护、安全生产主管部门颁发的有关安全生产、消防工作的方针、政策、严格执行有关劳动保护法规、条列、规定。</w:t>
      </w:r>
    </w:p>
    <w:p w14:paraId="25340ECB">
      <w:pPr>
        <w:pStyle w:val="74"/>
        <w:adjustRightInd w:val="0"/>
        <w:snapToGrid w:val="0"/>
        <w:spacing w:line="360" w:lineRule="auto"/>
        <w:ind w:left="0" w:firstLine="480"/>
        <w:outlineLvl w:val="9"/>
        <w:rPr>
          <w:rFonts w:asciiTheme="minorEastAsia" w:hAnsiTheme="minorEastAsia" w:eastAsiaTheme="minorEastAsia"/>
          <w:color w:val="auto"/>
          <w:szCs w:val="21"/>
          <w:highlight w:val="none"/>
        </w:rPr>
      </w:pPr>
      <w:r>
        <w:rPr>
          <w:rFonts w:asciiTheme="minorEastAsia" w:hAnsiTheme="minorEastAsia" w:eastAsiaTheme="minorEastAsia"/>
          <w:color w:val="auto"/>
          <w:szCs w:val="21"/>
          <w:highlight w:val="none"/>
        </w:rPr>
        <w:t>2</w:t>
      </w:r>
      <w:r>
        <w:rPr>
          <w:rFonts w:hint="eastAsia" w:asciiTheme="minorEastAsia" w:hAnsiTheme="minorEastAsia" w:eastAsiaTheme="minorEastAsia"/>
          <w:color w:val="auto"/>
          <w:szCs w:val="21"/>
          <w:highlight w:val="none"/>
        </w:rPr>
        <w:t>、承包人必须建立安全管理组织体制，包括分管安全生产的领导，专职安全员：应有各工种安全操作规程，特种作业工人的审证考察考核制度及各级安全生产岗位责任制和定期安全检查制度。</w:t>
      </w:r>
    </w:p>
    <w:p w14:paraId="43A535FF">
      <w:pPr>
        <w:pStyle w:val="22"/>
        <w:adjustRightInd w:val="0"/>
        <w:snapToGrid w:val="0"/>
        <w:spacing w:line="360" w:lineRule="auto"/>
        <w:ind w:firstLine="480"/>
        <w:outlineLvl w:val="9"/>
        <w:rPr>
          <w:rFonts w:asciiTheme="minorEastAsia" w:hAnsiTheme="minorEastAsia" w:eastAsiaTheme="minorEastAsia"/>
          <w:color w:val="auto"/>
          <w:kern w:val="0"/>
          <w:highlight w:val="none"/>
        </w:rPr>
      </w:pPr>
      <w:r>
        <w:rPr>
          <w:rFonts w:asciiTheme="minorEastAsia" w:hAnsiTheme="minorEastAsia" w:eastAsiaTheme="minorEastAsia"/>
          <w:color w:val="auto"/>
          <w:kern w:val="0"/>
          <w:highlight w:val="none"/>
        </w:rPr>
        <w:t>3</w:t>
      </w:r>
      <w:r>
        <w:rPr>
          <w:rFonts w:hint="eastAsia" w:asciiTheme="minorEastAsia" w:hAnsiTheme="minorEastAsia" w:eastAsiaTheme="minorEastAsia"/>
          <w:color w:val="auto"/>
          <w:kern w:val="0"/>
          <w:highlight w:val="none"/>
        </w:rPr>
        <w:t>、承包人必须严格按施工组织设计的要求施工。</w:t>
      </w:r>
    </w:p>
    <w:p w14:paraId="2C0909EC">
      <w:pPr>
        <w:pStyle w:val="22"/>
        <w:adjustRightInd w:val="0"/>
        <w:snapToGrid w:val="0"/>
        <w:spacing w:line="360" w:lineRule="auto"/>
        <w:ind w:firstLine="480"/>
        <w:outlineLvl w:val="9"/>
        <w:rPr>
          <w:rFonts w:asciiTheme="minorEastAsia" w:hAnsiTheme="minorEastAsia" w:eastAsiaTheme="minorEastAsia"/>
          <w:color w:val="auto"/>
          <w:kern w:val="0"/>
          <w:highlight w:val="none"/>
        </w:rPr>
      </w:pPr>
      <w:r>
        <w:rPr>
          <w:rFonts w:asciiTheme="minorEastAsia" w:hAnsiTheme="minorEastAsia" w:eastAsiaTheme="minorEastAsia"/>
          <w:color w:val="auto"/>
          <w:kern w:val="0"/>
          <w:highlight w:val="none"/>
        </w:rPr>
        <w:t>4</w:t>
      </w:r>
      <w:r>
        <w:rPr>
          <w:rFonts w:hint="eastAsia" w:asciiTheme="minorEastAsia" w:hAnsiTheme="minorEastAsia" w:eastAsiaTheme="minorEastAsia"/>
          <w:color w:val="auto"/>
          <w:kern w:val="0"/>
          <w:highlight w:val="none"/>
        </w:rPr>
        <w:t>、承包人应自觉接受发包人的管理，必须认真对本单位职工进行三级安全生产制度及安全技术知识的教育，增强法制观念，提高职工的安全生产意识和自我保护能力，督促职工自觉遵守安全纪律、制度法规。</w:t>
      </w:r>
    </w:p>
    <w:p w14:paraId="263DE773">
      <w:pPr>
        <w:pStyle w:val="74"/>
        <w:adjustRightInd w:val="0"/>
        <w:snapToGrid w:val="0"/>
        <w:spacing w:line="360" w:lineRule="auto"/>
        <w:ind w:left="0" w:firstLine="480"/>
        <w:outlineLvl w:val="9"/>
        <w:rPr>
          <w:rFonts w:asciiTheme="minorEastAsia" w:hAnsiTheme="minorEastAsia" w:eastAsiaTheme="minorEastAsia"/>
          <w:color w:val="auto"/>
          <w:szCs w:val="21"/>
          <w:highlight w:val="none"/>
        </w:rPr>
      </w:pPr>
      <w:r>
        <w:rPr>
          <w:rFonts w:asciiTheme="minorEastAsia" w:hAnsiTheme="minorEastAsia" w:eastAsiaTheme="minorEastAsia"/>
          <w:color w:val="auto"/>
          <w:szCs w:val="21"/>
          <w:highlight w:val="none"/>
        </w:rPr>
        <w:t>5</w:t>
      </w:r>
      <w:r>
        <w:rPr>
          <w:rFonts w:hint="eastAsia" w:asciiTheme="minorEastAsia" w:hAnsiTheme="minorEastAsia" w:eastAsiaTheme="minorEastAsia"/>
          <w:color w:val="auto"/>
          <w:szCs w:val="21"/>
          <w:highlight w:val="none"/>
        </w:rPr>
        <w:t>、施工前，承包人应组织召开班前现场安全生产讲评，宣讲施工中有关设备安全、施工用电安全等规章制度的要求，操作人员必须懂得机械设备的安全操作程序，人人了解用电安全常识。</w:t>
      </w:r>
    </w:p>
    <w:p w14:paraId="67A49F6F">
      <w:pPr>
        <w:pStyle w:val="74"/>
        <w:adjustRightInd w:val="0"/>
        <w:snapToGrid w:val="0"/>
        <w:spacing w:line="360" w:lineRule="auto"/>
        <w:ind w:left="0" w:firstLine="480"/>
        <w:outlineLvl w:val="9"/>
        <w:rPr>
          <w:rFonts w:asciiTheme="minorEastAsia" w:hAnsiTheme="minorEastAsia" w:eastAsiaTheme="minorEastAsia"/>
          <w:color w:val="auto"/>
          <w:szCs w:val="21"/>
          <w:highlight w:val="none"/>
        </w:rPr>
      </w:pPr>
      <w:r>
        <w:rPr>
          <w:rFonts w:asciiTheme="minorEastAsia" w:hAnsiTheme="minorEastAsia" w:eastAsiaTheme="minorEastAsia"/>
          <w:color w:val="auto"/>
          <w:szCs w:val="21"/>
          <w:highlight w:val="none"/>
        </w:rPr>
        <w:t>6</w:t>
      </w:r>
      <w:r>
        <w:rPr>
          <w:rFonts w:hint="eastAsia" w:asciiTheme="minorEastAsia" w:hAnsiTheme="minorEastAsia" w:eastAsiaTheme="minorEastAsia"/>
          <w:color w:val="auto"/>
          <w:szCs w:val="21"/>
          <w:highlight w:val="none"/>
        </w:rPr>
        <w:t>、施工期间发包人指派同志负责联系予以协助督促承包人执行有关安全、防火规定。承包人指派同志负责本工程项目的有关安全、防火工作；承、发包人应经常联系，项目部协助检查工程项目中有关的安全、防火工作，共同预防事故的发生。</w:t>
      </w:r>
    </w:p>
    <w:p w14:paraId="25CD63BE">
      <w:pPr>
        <w:pStyle w:val="74"/>
        <w:adjustRightInd w:val="0"/>
        <w:snapToGrid w:val="0"/>
        <w:spacing w:line="360" w:lineRule="auto"/>
        <w:ind w:left="0" w:firstLine="480"/>
        <w:outlineLvl w:val="9"/>
        <w:rPr>
          <w:rFonts w:asciiTheme="minorEastAsia" w:hAnsiTheme="minorEastAsia" w:eastAsiaTheme="minorEastAsia"/>
          <w:color w:val="auto"/>
          <w:szCs w:val="21"/>
          <w:highlight w:val="none"/>
          <w:lang w:eastAsia="zh-TW"/>
        </w:rPr>
      </w:pPr>
      <w:r>
        <w:rPr>
          <w:rFonts w:asciiTheme="minorEastAsia" w:hAnsiTheme="minorEastAsia" w:eastAsiaTheme="minorEastAsia"/>
          <w:color w:val="auto"/>
          <w:szCs w:val="21"/>
          <w:highlight w:val="none"/>
        </w:rPr>
        <w:t>7</w:t>
      </w:r>
      <w:r>
        <w:rPr>
          <w:rFonts w:hint="eastAsia" w:asciiTheme="minorEastAsia" w:hAnsiTheme="minorEastAsia" w:eastAsiaTheme="minorEastAsia"/>
          <w:color w:val="auto"/>
          <w:szCs w:val="21"/>
          <w:highlight w:val="none"/>
        </w:rPr>
        <w:t>、承包人在施工期间必须严格执行和遵守安全生产、防火管理的各类规定，接受发包人的督促、检查和指导。发包人有协助承包人搞好安全生产、防火管理以及督促定期检查的义务，对于查处隐患，承包人必须限时整改。安全员佩证（袖章）上岗。承包人对施工人员在安全管理方面要有处罚措施。</w:t>
      </w:r>
    </w:p>
    <w:p w14:paraId="4FE18B5C">
      <w:pPr>
        <w:adjustRightInd w:val="0"/>
        <w:snapToGrid w:val="0"/>
        <w:spacing w:line="360" w:lineRule="auto"/>
        <w:ind w:firstLine="480"/>
        <w:outlineLvl w:val="9"/>
        <w:rPr>
          <w:rFonts w:cs="宋体" w:asciiTheme="minorEastAsia" w:hAnsiTheme="minorEastAsia" w:eastAsiaTheme="minorEastAsia"/>
          <w:color w:val="auto"/>
          <w:szCs w:val="21"/>
          <w:highlight w:val="none"/>
          <w:lang w:eastAsia="zh-TW"/>
        </w:rPr>
      </w:pPr>
      <w:r>
        <w:rPr>
          <w:rFonts w:cs="宋体" w:asciiTheme="minorEastAsia" w:hAnsiTheme="minorEastAsia" w:eastAsiaTheme="minorEastAsia"/>
          <w:color w:val="auto"/>
          <w:szCs w:val="21"/>
          <w:highlight w:val="none"/>
        </w:rPr>
        <w:t>8、在生产操作过程中生产工人及管理人员自觉穿戴好安全防护用品。</w:t>
      </w:r>
    </w:p>
    <w:p w14:paraId="2BE39851">
      <w:pPr>
        <w:pStyle w:val="74"/>
        <w:adjustRightInd w:val="0"/>
        <w:snapToGrid w:val="0"/>
        <w:spacing w:line="360" w:lineRule="auto"/>
        <w:ind w:left="0" w:firstLine="480"/>
        <w:outlineLvl w:val="9"/>
        <w:rPr>
          <w:rFonts w:asciiTheme="minorEastAsia" w:hAnsiTheme="minorEastAsia" w:eastAsiaTheme="minorEastAsia"/>
          <w:snapToGrid w:val="0"/>
          <w:color w:val="auto"/>
          <w:spacing w:val="-6"/>
          <w:kern w:val="28"/>
          <w:sz w:val="21"/>
          <w:szCs w:val="21"/>
          <w:highlight w:val="none"/>
          <w:lang w:eastAsia="zh-TW"/>
        </w:rPr>
      </w:pPr>
      <w:r>
        <w:rPr>
          <w:rFonts w:asciiTheme="minorEastAsia" w:hAnsiTheme="minorEastAsia" w:eastAsiaTheme="minorEastAsia"/>
          <w:color w:val="auto"/>
          <w:szCs w:val="21"/>
          <w:highlight w:val="none"/>
        </w:rPr>
        <w:t>9</w:t>
      </w:r>
      <w:r>
        <w:rPr>
          <w:rFonts w:hint="eastAsia" w:asciiTheme="minorEastAsia" w:hAnsiTheme="minorEastAsia" w:eastAsiaTheme="minorEastAsia"/>
          <w:color w:val="auto"/>
          <w:szCs w:val="21"/>
          <w:highlight w:val="none"/>
        </w:rPr>
        <w:t>、</w:t>
      </w:r>
      <w:r>
        <w:rPr>
          <w:rFonts w:hint="eastAsia" w:asciiTheme="minorEastAsia" w:hAnsiTheme="minorEastAsia" w:eastAsiaTheme="minorEastAsia"/>
          <w:snapToGrid w:val="0"/>
          <w:color w:val="auto"/>
          <w:spacing w:val="-6"/>
          <w:kern w:val="28"/>
          <w:sz w:val="21"/>
          <w:szCs w:val="21"/>
          <w:highlight w:val="none"/>
        </w:rPr>
        <w:t>承包人所处的施工区域、作业环境、操作设施设备、工具用具等必须认真检查，发现隐患应立即停止施工，并由有关单位落实整改后方准施工。一经施工，就表示该施工单位确认公共场所，作业环境、设施设备、工具用具等符合安全要求和处于安全状态。承包人对施工过程中产生的后果自行负责。</w:t>
      </w:r>
    </w:p>
    <w:p w14:paraId="62C16B2A">
      <w:pPr>
        <w:pStyle w:val="74"/>
        <w:adjustRightInd w:val="0"/>
        <w:snapToGrid w:val="0"/>
        <w:spacing w:line="360" w:lineRule="auto"/>
        <w:ind w:left="0" w:firstLine="480"/>
        <w:outlineLvl w:val="9"/>
        <w:rPr>
          <w:rFonts w:asciiTheme="minorEastAsia" w:hAnsiTheme="minorEastAsia" w:eastAsiaTheme="minorEastAsia"/>
          <w:color w:val="auto"/>
          <w:szCs w:val="21"/>
          <w:highlight w:val="none"/>
          <w:lang w:eastAsia="zh-TW"/>
        </w:rPr>
      </w:pPr>
      <w:r>
        <w:rPr>
          <w:rFonts w:asciiTheme="minorEastAsia" w:hAnsiTheme="minorEastAsia" w:eastAsiaTheme="minorEastAsia"/>
          <w:color w:val="auto"/>
          <w:szCs w:val="21"/>
          <w:highlight w:val="none"/>
        </w:rPr>
        <w:t>10</w:t>
      </w:r>
      <w:r>
        <w:rPr>
          <w:rFonts w:hint="eastAsia" w:asciiTheme="minorEastAsia" w:hAnsiTheme="minorEastAsia" w:eastAsiaTheme="minorEastAsia"/>
          <w:color w:val="auto"/>
          <w:szCs w:val="21"/>
          <w:highlight w:val="none"/>
        </w:rPr>
        <w:t>、做好基坑周边的维护栏杆，防止施工中摔伤事故的发生，搞好各类安全防护措施，在显要位置挂好安全标志和警告牌等不得擅自拆除、更动。如确定需要拆除更动的，必须经工地施工负责人及安全员的同意，并采取必要、可靠的安全措施后方能拆除。任何一方人员，擅自拆除所造成的后果，均由该方人员及其单位负责承担。</w:t>
      </w:r>
    </w:p>
    <w:p w14:paraId="650D7AC4">
      <w:pPr>
        <w:pStyle w:val="74"/>
        <w:adjustRightInd w:val="0"/>
        <w:snapToGrid w:val="0"/>
        <w:spacing w:line="360" w:lineRule="auto"/>
        <w:ind w:left="0" w:firstLine="480"/>
        <w:outlineLvl w:val="9"/>
        <w:rPr>
          <w:rFonts w:asciiTheme="minorEastAsia" w:hAnsiTheme="minorEastAsia" w:eastAsiaTheme="minorEastAsia"/>
          <w:color w:val="auto"/>
          <w:szCs w:val="21"/>
          <w:highlight w:val="none"/>
        </w:rPr>
      </w:pPr>
      <w:r>
        <w:rPr>
          <w:rFonts w:asciiTheme="minorEastAsia" w:hAnsiTheme="minorEastAsia" w:eastAsiaTheme="minorEastAsia"/>
          <w:color w:val="auto"/>
          <w:szCs w:val="21"/>
          <w:highlight w:val="none"/>
        </w:rPr>
        <w:t>11</w:t>
      </w:r>
      <w:r>
        <w:rPr>
          <w:rFonts w:hint="eastAsia" w:asciiTheme="minorEastAsia" w:hAnsiTheme="minorEastAsia" w:eastAsiaTheme="minorEastAsia"/>
          <w:color w:val="auto"/>
          <w:szCs w:val="21"/>
          <w:highlight w:val="none"/>
        </w:rPr>
        <w:t>、特种作业必须执行国家制定的《特种作业人员安全技术培训考核管理办法》，经省、市、地区的特种作业安全技术培训考核站培训考核后持证上岗，并按规定定期审证；中、小型机械的操作人员必须按规定做到“定机定人”和持证操作；起重吊装作业人员必须遵守“十不吊”规定，严禁违章、无证操作；严禁不懂电器、机械设备的人，擅自操作使用电器、机械设备。</w:t>
      </w:r>
    </w:p>
    <w:p w14:paraId="6DC8D933">
      <w:pPr>
        <w:pStyle w:val="74"/>
        <w:adjustRightInd w:val="0"/>
        <w:snapToGrid w:val="0"/>
        <w:spacing w:line="360" w:lineRule="auto"/>
        <w:ind w:left="0" w:firstLine="480"/>
        <w:outlineLvl w:val="9"/>
        <w:rPr>
          <w:rFonts w:asciiTheme="minorEastAsia" w:hAnsiTheme="minorEastAsia" w:eastAsiaTheme="minorEastAsia"/>
          <w:color w:val="auto"/>
          <w:szCs w:val="21"/>
          <w:highlight w:val="none"/>
          <w:lang w:eastAsia="zh-TW"/>
        </w:rPr>
      </w:pPr>
      <w:r>
        <w:rPr>
          <w:rFonts w:asciiTheme="minorEastAsia" w:hAnsiTheme="minorEastAsia" w:eastAsiaTheme="minorEastAsia"/>
          <w:color w:val="auto"/>
          <w:szCs w:val="21"/>
          <w:highlight w:val="none"/>
        </w:rPr>
        <w:t>12</w:t>
      </w:r>
      <w:r>
        <w:rPr>
          <w:rFonts w:hint="eastAsia" w:asciiTheme="minorEastAsia" w:hAnsiTheme="minorEastAsia" w:eastAsiaTheme="minorEastAsia"/>
          <w:color w:val="auto"/>
          <w:szCs w:val="21"/>
          <w:highlight w:val="none"/>
        </w:rPr>
        <w:t>、必须严格执行防火防爆制度，易燃、易爆场所严禁吸烟及动用明火。消防器材不准挪作他用，不准任意玩弄，损坏偷盗。动用明火必须三级动火审批手续，并制定防火监护人员，签发监护工作交底书，落实监护措施。焊工必须持有效证件上岗作业，严禁无证操作。生活区内，严禁使用电炉，严禁使用碘钨灯照明取暖，烘烤衣服。不准私自使用液化石油气。不准私自拉接电线插座，严禁在工地使用花线，不准躺在床上吸烟。</w:t>
      </w:r>
    </w:p>
    <w:p w14:paraId="77AF51B5">
      <w:pPr>
        <w:pStyle w:val="74"/>
        <w:adjustRightInd w:val="0"/>
        <w:snapToGrid w:val="0"/>
        <w:spacing w:line="360" w:lineRule="auto"/>
        <w:ind w:left="0" w:firstLine="480"/>
        <w:outlineLvl w:val="9"/>
        <w:rPr>
          <w:rFonts w:asciiTheme="minorEastAsia" w:hAnsiTheme="minorEastAsia" w:eastAsiaTheme="minorEastAsia"/>
          <w:color w:val="auto"/>
          <w:szCs w:val="21"/>
          <w:highlight w:val="none"/>
          <w:lang w:eastAsia="zh-TW"/>
        </w:rPr>
      </w:pPr>
      <w:r>
        <w:rPr>
          <w:rFonts w:asciiTheme="minorEastAsia" w:hAnsiTheme="minorEastAsia" w:eastAsiaTheme="minorEastAsia"/>
          <w:color w:val="auto"/>
          <w:szCs w:val="21"/>
          <w:highlight w:val="none"/>
        </w:rPr>
        <w:t>13</w:t>
      </w:r>
      <w:r>
        <w:rPr>
          <w:rFonts w:hint="eastAsia" w:asciiTheme="minorEastAsia" w:hAnsiTheme="minorEastAsia" w:eastAsiaTheme="minorEastAsia"/>
          <w:color w:val="auto"/>
          <w:szCs w:val="21"/>
          <w:highlight w:val="none"/>
        </w:rPr>
        <w:t>、承包人需用电气设备，在使用前应先进行检测，如不符合安全规定的应及时整改，整改合格方准使用，违反本规定擅自乱拉电气线路造成后果均由肇事者单位负责。</w:t>
      </w:r>
    </w:p>
    <w:p w14:paraId="07E5F297">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14、遵循先订合同后施工的原则。合同外的施工任务造成的一切后果均由施工者承担。</w:t>
      </w:r>
    </w:p>
    <w:p w14:paraId="73AAA709">
      <w:pPr>
        <w:pStyle w:val="74"/>
        <w:adjustRightInd w:val="0"/>
        <w:snapToGrid w:val="0"/>
        <w:spacing w:line="360" w:lineRule="auto"/>
        <w:ind w:left="0" w:firstLine="480"/>
        <w:outlineLvl w:val="9"/>
        <w:rPr>
          <w:rFonts w:asciiTheme="minorEastAsia" w:hAnsiTheme="minorEastAsia" w:eastAsiaTheme="minorEastAsia"/>
          <w:color w:val="auto"/>
          <w:szCs w:val="21"/>
          <w:highlight w:val="none"/>
          <w:lang w:eastAsia="zh-TW"/>
        </w:rPr>
      </w:pPr>
      <w:r>
        <w:rPr>
          <w:rFonts w:asciiTheme="minorEastAsia" w:hAnsiTheme="minorEastAsia" w:eastAsiaTheme="minorEastAsia"/>
          <w:color w:val="auto"/>
          <w:szCs w:val="21"/>
          <w:highlight w:val="none"/>
        </w:rPr>
        <w:t>15</w:t>
      </w:r>
      <w:r>
        <w:rPr>
          <w:rFonts w:hint="eastAsia" w:asciiTheme="minorEastAsia" w:hAnsiTheme="minorEastAsia" w:eastAsiaTheme="minorEastAsia"/>
          <w:color w:val="auto"/>
          <w:szCs w:val="21"/>
          <w:highlight w:val="none"/>
        </w:rPr>
        <w:t>、承、发包双方在施工中，应注意地下管线及高低压架空线路的保护，防止事故发生。发包人对地下管线和障碍物及高低压架空线应详细交底。承包人应贯彻交底要求，如遇有不良情况，应及时向发包人和有关部门联系，采取保护措施。</w:t>
      </w:r>
    </w:p>
    <w:p w14:paraId="08C8C231">
      <w:pPr>
        <w:pStyle w:val="74"/>
        <w:adjustRightInd w:val="0"/>
        <w:snapToGrid w:val="0"/>
        <w:spacing w:line="360" w:lineRule="auto"/>
        <w:ind w:left="0" w:firstLine="480"/>
        <w:outlineLvl w:val="9"/>
        <w:rPr>
          <w:rFonts w:asciiTheme="minorEastAsia" w:hAnsiTheme="minorEastAsia" w:eastAsiaTheme="minorEastAsia"/>
          <w:color w:val="auto"/>
          <w:szCs w:val="21"/>
          <w:highlight w:val="none"/>
        </w:rPr>
      </w:pPr>
      <w:r>
        <w:rPr>
          <w:rFonts w:asciiTheme="minorEastAsia" w:hAnsiTheme="minorEastAsia" w:eastAsiaTheme="minorEastAsia"/>
          <w:color w:val="auto"/>
          <w:szCs w:val="21"/>
          <w:highlight w:val="none"/>
        </w:rPr>
        <w:t>16</w:t>
      </w:r>
      <w:r>
        <w:rPr>
          <w:rFonts w:hint="eastAsia" w:asciiTheme="minorEastAsia" w:hAnsiTheme="minorEastAsia" w:eastAsiaTheme="minorEastAsia"/>
          <w:color w:val="auto"/>
          <w:szCs w:val="21"/>
          <w:highlight w:val="none"/>
        </w:rPr>
        <w:t>、承包人在签订建筑施工合同后，应自觉的向暂住地的公安派出所办理暂住登记手续，并向西安经济技术开发区劳动局劳动保护监督部门办理施工登记手续。</w:t>
      </w:r>
    </w:p>
    <w:p w14:paraId="49FB1D8A">
      <w:pPr>
        <w:pStyle w:val="74"/>
        <w:adjustRightInd w:val="0"/>
        <w:snapToGrid w:val="0"/>
        <w:spacing w:line="360" w:lineRule="auto"/>
        <w:ind w:left="0" w:firstLine="480"/>
        <w:outlineLvl w:val="9"/>
        <w:rPr>
          <w:rFonts w:asciiTheme="minorEastAsia" w:hAnsiTheme="minorEastAsia" w:eastAsiaTheme="minorEastAsia"/>
          <w:color w:val="auto"/>
          <w:szCs w:val="21"/>
          <w:highlight w:val="none"/>
        </w:rPr>
      </w:pPr>
      <w:r>
        <w:rPr>
          <w:rFonts w:asciiTheme="minorEastAsia" w:hAnsiTheme="minorEastAsia" w:eastAsiaTheme="minorEastAsia"/>
          <w:color w:val="auto"/>
          <w:szCs w:val="21"/>
          <w:highlight w:val="none"/>
        </w:rPr>
        <w:t>17</w:t>
      </w:r>
      <w:r>
        <w:rPr>
          <w:rFonts w:hint="eastAsia" w:asciiTheme="minorEastAsia" w:hAnsiTheme="minorEastAsia" w:eastAsiaTheme="minorEastAsia"/>
          <w:color w:val="auto"/>
          <w:szCs w:val="21"/>
          <w:highlight w:val="none"/>
        </w:rPr>
        <w:t>、贯彻谁施工谁负责安全的原则，承包人人员在施工期间，造成伤亡、火警、火灾、机械等事故（包括由承包人责任造成发包人、他方人员、行人等），发包人有协助紧急抢救伤员的义务，承包人负责在规定时间内上报事故，不得瞒报、漏报，承包人负责经济赔偿及善后处理。</w:t>
      </w:r>
    </w:p>
    <w:p w14:paraId="2AE19A10">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18、安全检查应形成制度，日检、周评、每月大检查。</w:t>
      </w:r>
    </w:p>
    <w:p w14:paraId="1C48B5C7">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19、承包人项目经理对本工程项目（合同工作内容范围内）的安全生产负全面责任。</w:t>
      </w:r>
    </w:p>
    <w:p w14:paraId="19CB2299">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（三）安全生产奖惩：执行合同及公司安全管理办法中的有关规定。</w:t>
      </w:r>
    </w:p>
    <w:p w14:paraId="04A0D690">
      <w:pPr>
        <w:adjustRightInd w:val="0"/>
        <w:snapToGrid w:val="0"/>
        <w:spacing w:line="360" w:lineRule="auto"/>
        <w:ind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szCs w:val="21"/>
          <w:highlight w:val="none"/>
        </w:rPr>
        <w:t>本协议经双方签字盖章后即日生效，协议作为合同的附件。</w:t>
      </w:r>
    </w:p>
    <w:p w14:paraId="44CAAD4B">
      <w:pPr>
        <w:keepNext w:val="0"/>
        <w:keepLines w:val="0"/>
        <w:pageBreakBefore w:val="0"/>
        <w:widowControl w:val="0"/>
        <w:kinsoku/>
        <w:wordWrap/>
        <w:overflowPunct/>
        <w:topLinePunct w:val="0"/>
        <w:autoSpaceDE/>
        <w:autoSpaceDN/>
        <w:bidi w:val="0"/>
        <w:adjustRightInd w:val="0"/>
        <w:snapToGrid w:val="0"/>
        <w:spacing w:line="300" w:lineRule="exact"/>
        <w:ind w:firstLine="482"/>
        <w:textAlignment w:val="auto"/>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发包人：（盖章）</w:t>
      </w:r>
      <w:r>
        <w:rPr>
          <w:rFonts w:hint="eastAsia" w:cs="宋体" w:asciiTheme="minorEastAsia" w:hAnsiTheme="minorEastAsia" w:eastAsiaTheme="minorEastAsia"/>
          <w:color w:val="auto"/>
          <w:kern w:val="0"/>
          <w:szCs w:val="21"/>
          <w:highlight w:val="none"/>
          <w:lang w:val="en-US" w:eastAsia="zh-CN"/>
        </w:rPr>
        <w:t xml:space="preserve">                              </w:t>
      </w:r>
      <w:r>
        <w:rPr>
          <w:rFonts w:hint="eastAsia" w:cs="宋体" w:asciiTheme="minorEastAsia" w:hAnsiTheme="minorEastAsia" w:eastAsiaTheme="minorEastAsia"/>
          <w:color w:val="auto"/>
          <w:kern w:val="0"/>
          <w:szCs w:val="21"/>
          <w:highlight w:val="none"/>
        </w:rPr>
        <w:t>承包人</w:t>
      </w:r>
      <w:r>
        <w:rPr>
          <w:rFonts w:hint="eastAsia" w:cs="宋体" w:asciiTheme="minorEastAsia" w:hAnsiTheme="minorEastAsia" w:eastAsiaTheme="minorEastAsia"/>
          <w:color w:val="auto"/>
          <w:kern w:val="0"/>
          <w:szCs w:val="21"/>
          <w:highlight w:val="none"/>
          <w:lang w:eastAsia="zh-CN"/>
        </w:rPr>
        <w:t>（联合体牵头人）</w:t>
      </w:r>
      <w:r>
        <w:rPr>
          <w:rFonts w:hint="eastAsia" w:cs="宋体" w:asciiTheme="minorEastAsia" w:hAnsiTheme="minorEastAsia" w:eastAsiaTheme="minorEastAsia"/>
          <w:color w:val="auto"/>
          <w:kern w:val="0"/>
          <w:szCs w:val="21"/>
          <w:highlight w:val="none"/>
        </w:rPr>
        <w:t>：（盖章）</w:t>
      </w:r>
    </w:p>
    <w:p w14:paraId="430D4BA0">
      <w:pPr>
        <w:keepNext w:val="0"/>
        <w:keepLines w:val="0"/>
        <w:pageBreakBefore w:val="0"/>
        <w:widowControl w:val="0"/>
        <w:kinsoku/>
        <w:wordWrap/>
        <w:overflowPunct/>
        <w:topLinePunct w:val="0"/>
        <w:autoSpaceDE/>
        <w:autoSpaceDN/>
        <w:bidi w:val="0"/>
        <w:adjustRightInd w:val="0"/>
        <w:snapToGrid w:val="0"/>
        <w:spacing w:line="300" w:lineRule="exact"/>
        <w:ind w:firstLine="482"/>
        <w:textAlignment w:val="auto"/>
        <w:outlineLvl w:val="9"/>
        <w:rPr>
          <w:rFonts w:hint="eastAsia"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法定代表人：（盖章）</w:t>
      </w:r>
      <w:r>
        <w:rPr>
          <w:rFonts w:hint="eastAsia" w:cs="宋体" w:asciiTheme="minorEastAsia" w:hAnsiTheme="minorEastAsia" w:eastAsiaTheme="minorEastAsia"/>
          <w:color w:val="auto"/>
          <w:kern w:val="0"/>
          <w:szCs w:val="21"/>
          <w:highlight w:val="none"/>
          <w:lang w:val="en-US" w:eastAsia="zh-CN"/>
        </w:rPr>
        <w:t xml:space="preserve">                          </w:t>
      </w:r>
      <w:r>
        <w:rPr>
          <w:rFonts w:hint="eastAsia" w:cs="宋体" w:asciiTheme="minorEastAsia" w:hAnsiTheme="minorEastAsia" w:eastAsiaTheme="minorEastAsia"/>
          <w:color w:val="auto"/>
          <w:kern w:val="0"/>
          <w:szCs w:val="21"/>
          <w:highlight w:val="none"/>
        </w:rPr>
        <w:t>法定代表人：（盖章）</w:t>
      </w:r>
    </w:p>
    <w:p w14:paraId="1BD339B0">
      <w:pPr>
        <w:keepNext w:val="0"/>
        <w:keepLines w:val="0"/>
        <w:pageBreakBefore w:val="0"/>
        <w:widowControl w:val="0"/>
        <w:kinsoku/>
        <w:wordWrap/>
        <w:overflowPunct/>
        <w:topLinePunct w:val="0"/>
        <w:autoSpaceDE/>
        <w:autoSpaceDN/>
        <w:bidi w:val="0"/>
        <w:adjustRightInd w:val="0"/>
        <w:snapToGrid w:val="0"/>
        <w:spacing w:line="300" w:lineRule="exact"/>
        <w:ind w:firstLine="482"/>
        <w:textAlignment w:val="auto"/>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xml:space="preserve">年  月  日                </w:t>
      </w:r>
      <w:r>
        <w:rPr>
          <w:rFonts w:hint="eastAsia" w:cs="宋体" w:asciiTheme="minorEastAsia" w:hAnsiTheme="minorEastAsia" w:eastAsiaTheme="minorEastAsia"/>
          <w:color w:val="auto"/>
          <w:kern w:val="0"/>
          <w:szCs w:val="21"/>
          <w:highlight w:val="none"/>
          <w:lang w:val="en-US" w:eastAsia="zh-CN"/>
        </w:rPr>
        <w:t xml:space="preserve">              </w:t>
      </w:r>
      <w:r>
        <w:rPr>
          <w:rFonts w:cs="宋体" w:asciiTheme="minorEastAsia" w:hAnsiTheme="minorEastAsia" w:eastAsiaTheme="minorEastAsia"/>
          <w:color w:val="auto"/>
          <w:kern w:val="0"/>
          <w:szCs w:val="21"/>
          <w:highlight w:val="none"/>
        </w:rPr>
        <w:t xml:space="preserve"> </w:t>
      </w:r>
      <w:r>
        <w:rPr>
          <w:rFonts w:hint="eastAsia" w:cs="宋体" w:asciiTheme="minorEastAsia" w:hAnsiTheme="minorEastAsia" w:eastAsiaTheme="minorEastAsia"/>
          <w:color w:val="auto"/>
          <w:kern w:val="0"/>
          <w:szCs w:val="21"/>
          <w:highlight w:val="none"/>
          <w:lang w:val="en-US" w:eastAsia="zh-CN"/>
        </w:rPr>
        <w:t xml:space="preserve">  </w:t>
      </w:r>
      <w:r>
        <w:rPr>
          <w:rFonts w:cs="宋体" w:asciiTheme="minorEastAsia" w:hAnsiTheme="minorEastAsia" w:eastAsiaTheme="minorEastAsia"/>
          <w:color w:val="auto"/>
          <w:kern w:val="0"/>
          <w:szCs w:val="21"/>
          <w:highlight w:val="none"/>
        </w:rPr>
        <w:t xml:space="preserve">   年  月  日</w:t>
      </w:r>
    </w:p>
    <w:p w14:paraId="1BF645B4">
      <w:pPr>
        <w:keepNext w:val="0"/>
        <w:keepLines w:val="0"/>
        <w:pageBreakBefore w:val="0"/>
        <w:widowControl w:val="0"/>
        <w:kinsoku/>
        <w:wordWrap/>
        <w:overflowPunct/>
        <w:topLinePunct w:val="0"/>
        <w:autoSpaceDE/>
        <w:autoSpaceDN/>
        <w:bidi w:val="0"/>
        <w:adjustRightInd w:val="0"/>
        <w:snapToGrid w:val="0"/>
        <w:spacing w:line="300" w:lineRule="exact"/>
        <w:ind w:firstLine="482"/>
        <w:textAlignment w:val="auto"/>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lang w:eastAsia="zh-CN"/>
        </w:rPr>
        <w:t>承包</w:t>
      </w:r>
      <w:r>
        <w:rPr>
          <w:rFonts w:hint="eastAsia" w:cs="宋体" w:asciiTheme="minorEastAsia" w:hAnsiTheme="minorEastAsia" w:eastAsiaTheme="minorEastAsia"/>
          <w:color w:val="auto"/>
          <w:kern w:val="0"/>
          <w:szCs w:val="21"/>
          <w:highlight w:val="none"/>
        </w:rPr>
        <w:t>人</w:t>
      </w:r>
      <w:r>
        <w:rPr>
          <w:rFonts w:hint="eastAsia" w:cs="宋体" w:asciiTheme="minorEastAsia" w:hAnsiTheme="minorEastAsia" w:eastAsiaTheme="minorEastAsia"/>
          <w:color w:val="auto"/>
          <w:kern w:val="0"/>
          <w:szCs w:val="21"/>
          <w:highlight w:val="none"/>
          <w:lang w:eastAsia="zh-CN"/>
        </w:rPr>
        <w:t>（联合体成员）</w:t>
      </w:r>
      <w:r>
        <w:rPr>
          <w:rFonts w:hint="eastAsia" w:cs="宋体" w:asciiTheme="minorEastAsia" w:hAnsiTheme="minorEastAsia" w:eastAsiaTheme="minorEastAsia"/>
          <w:color w:val="auto"/>
          <w:kern w:val="0"/>
          <w:szCs w:val="21"/>
          <w:highlight w:val="none"/>
        </w:rPr>
        <w:t>：（盖章）</w:t>
      </w:r>
      <w:r>
        <w:rPr>
          <w:rFonts w:hint="eastAsia" w:cs="宋体" w:asciiTheme="minorEastAsia" w:hAnsiTheme="minorEastAsia" w:eastAsiaTheme="minorEastAsia"/>
          <w:color w:val="auto"/>
          <w:kern w:val="0"/>
          <w:szCs w:val="21"/>
          <w:highlight w:val="none"/>
          <w:lang w:val="en-US" w:eastAsia="zh-CN"/>
        </w:rPr>
        <w:t xml:space="preserve">                </w:t>
      </w:r>
      <w:r>
        <w:rPr>
          <w:rFonts w:hint="eastAsia" w:cs="宋体" w:asciiTheme="minorEastAsia" w:hAnsiTheme="minorEastAsia" w:eastAsiaTheme="minorEastAsia"/>
          <w:color w:val="auto"/>
          <w:kern w:val="0"/>
          <w:szCs w:val="21"/>
          <w:highlight w:val="none"/>
        </w:rPr>
        <w:t>承包人：</w:t>
      </w:r>
      <w:r>
        <w:rPr>
          <w:rFonts w:hint="eastAsia" w:cs="宋体" w:asciiTheme="minorEastAsia" w:hAnsiTheme="minorEastAsia" w:eastAsiaTheme="minorEastAsia"/>
          <w:color w:val="auto"/>
          <w:kern w:val="0"/>
          <w:szCs w:val="21"/>
          <w:highlight w:val="none"/>
          <w:lang w:eastAsia="zh-CN"/>
        </w:rPr>
        <w:t>（联合体成员）</w:t>
      </w:r>
      <w:r>
        <w:rPr>
          <w:rFonts w:hint="eastAsia" w:cs="宋体" w:asciiTheme="minorEastAsia" w:hAnsiTheme="minorEastAsia" w:eastAsiaTheme="minorEastAsia"/>
          <w:color w:val="auto"/>
          <w:kern w:val="0"/>
          <w:szCs w:val="21"/>
          <w:highlight w:val="none"/>
        </w:rPr>
        <w:t>（盖章）</w:t>
      </w:r>
    </w:p>
    <w:p w14:paraId="3365B97B">
      <w:pPr>
        <w:keepNext w:val="0"/>
        <w:keepLines w:val="0"/>
        <w:pageBreakBefore w:val="0"/>
        <w:widowControl w:val="0"/>
        <w:kinsoku/>
        <w:wordWrap/>
        <w:overflowPunct/>
        <w:topLinePunct w:val="0"/>
        <w:autoSpaceDE/>
        <w:autoSpaceDN/>
        <w:bidi w:val="0"/>
        <w:adjustRightInd w:val="0"/>
        <w:snapToGrid w:val="0"/>
        <w:spacing w:line="300" w:lineRule="exact"/>
        <w:ind w:firstLine="482"/>
        <w:textAlignment w:val="auto"/>
        <w:outlineLvl w:val="9"/>
        <w:rPr>
          <w:rFonts w:hint="eastAsia"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法定代表人：（盖章）</w:t>
      </w:r>
      <w:r>
        <w:rPr>
          <w:rFonts w:hint="eastAsia" w:cs="宋体" w:asciiTheme="minorEastAsia" w:hAnsiTheme="minorEastAsia" w:eastAsiaTheme="minorEastAsia"/>
          <w:color w:val="auto"/>
          <w:kern w:val="0"/>
          <w:szCs w:val="21"/>
          <w:highlight w:val="none"/>
          <w:lang w:val="en-US" w:eastAsia="zh-CN"/>
        </w:rPr>
        <w:t xml:space="preserve">                          </w:t>
      </w:r>
      <w:r>
        <w:rPr>
          <w:rFonts w:hint="eastAsia" w:cs="宋体" w:asciiTheme="minorEastAsia" w:hAnsiTheme="minorEastAsia" w:eastAsiaTheme="minorEastAsia"/>
          <w:color w:val="auto"/>
          <w:kern w:val="0"/>
          <w:szCs w:val="21"/>
          <w:highlight w:val="none"/>
        </w:rPr>
        <w:t>法定代表人：（盖章）</w:t>
      </w:r>
    </w:p>
    <w:p w14:paraId="3A10C51E">
      <w:pPr>
        <w:keepNext w:val="0"/>
        <w:keepLines w:val="0"/>
        <w:pageBreakBefore w:val="0"/>
        <w:widowControl w:val="0"/>
        <w:kinsoku/>
        <w:wordWrap/>
        <w:overflowPunct/>
        <w:topLinePunct w:val="0"/>
        <w:autoSpaceDE/>
        <w:autoSpaceDN/>
        <w:bidi w:val="0"/>
        <w:adjustRightInd w:val="0"/>
        <w:snapToGrid w:val="0"/>
        <w:spacing w:line="300" w:lineRule="exact"/>
        <w:ind w:firstLine="482"/>
        <w:textAlignment w:val="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kern w:val="0"/>
          <w:szCs w:val="21"/>
          <w:highlight w:val="none"/>
        </w:rPr>
        <w:t xml:space="preserve">年  月  日                </w:t>
      </w:r>
      <w:r>
        <w:rPr>
          <w:rFonts w:hint="eastAsia" w:cs="宋体" w:asciiTheme="minorEastAsia" w:hAnsiTheme="minorEastAsia" w:eastAsiaTheme="minorEastAsia"/>
          <w:color w:val="auto"/>
          <w:kern w:val="0"/>
          <w:szCs w:val="21"/>
          <w:highlight w:val="none"/>
          <w:lang w:val="en-US" w:eastAsia="zh-CN"/>
        </w:rPr>
        <w:t xml:space="preserve">              </w:t>
      </w:r>
      <w:r>
        <w:rPr>
          <w:rFonts w:cs="宋体" w:asciiTheme="minorEastAsia" w:hAnsiTheme="minorEastAsia" w:eastAsiaTheme="minorEastAsia"/>
          <w:color w:val="auto"/>
          <w:kern w:val="0"/>
          <w:szCs w:val="21"/>
          <w:highlight w:val="none"/>
        </w:rPr>
        <w:t xml:space="preserve"> </w:t>
      </w:r>
      <w:r>
        <w:rPr>
          <w:rFonts w:hint="eastAsia" w:cs="宋体" w:asciiTheme="minorEastAsia" w:hAnsiTheme="minorEastAsia" w:eastAsiaTheme="minorEastAsia"/>
          <w:color w:val="auto"/>
          <w:kern w:val="0"/>
          <w:szCs w:val="21"/>
          <w:highlight w:val="none"/>
          <w:lang w:val="en-US" w:eastAsia="zh-CN"/>
        </w:rPr>
        <w:t xml:space="preserve">  </w:t>
      </w:r>
      <w:r>
        <w:rPr>
          <w:rFonts w:cs="宋体" w:asciiTheme="minorEastAsia" w:hAnsiTheme="minorEastAsia" w:eastAsiaTheme="minorEastAsia"/>
          <w:color w:val="auto"/>
          <w:kern w:val="0"/>
          <w:szCs w:val="21"/>
          <w:highlight w:val="none"/>
        </w:rPr>
        <w:t xml:space="preserve">   年  月  日</w:t>
      </w:r>
      <w:r>
        <w:rPr>
          <w:rFonts w:cs="宋体" w:asciiTheme="minorEastAsia" w:hAnsiTheme="minorEastAsia" w:eastAsiaTheme="minorEastAsia"/>
          <w:color w:val="auto"/>
          <w:szCs w:val="21"/>
          <w:highlight w:val="none"/>
        </w:rPr>
        <w:br w:type="page"/>
      </w:r>
    </w:p>
    <w:p w14:paraId="3A0904B0">
      <w:pP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附件十</w:t>
      </w:r>
      <w:r>
        <w:rPr>
          <w:rFonts w:hint="eastAsia" w:cs="宋体" w:asciiTheme="minorEastAsia" w:hAnsiTheme="minorEastAsia" w:eastAsiaTheme="minorEastAsia"/>
          <w:color w:val="auto"/>
          <w:szCs w:val="21"/>
          <w:highlight w:val="none"/>
          <w:lang w:val="en-US" w:eastAsia="zh-CN"/>
        </w:rPr>
        <w:t>四</w:t>
      </w:r>
      <w:r>
        <w:rPr>
          <w:rFonts w:hint="eastAsia" w:cs="宋体" w:asciiTheme="minorEastAsia" w:hAnsiTheme="minorEastAsia" w:eastAsiaTheme="minorEastAsia"/>
          <w:color w:val="auto"/>
          <w:szCs w:val="21"/>
          <w:highlight w:val="none"/>
        </w:rPr>
        <w:t>：</w:t>
      </w:r>
    </w:p>
    <w:p w14:paraId="48D929BD">
      <w:pPr>
        <w:snapToGrid w:val="0"/>
        <w:spacing w:line="360" w:lineRule="auto"/>
        <w:ind w:firstLine="643"/>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现场安全文明施工管理条例</w:t>
      </w:r>
    </w:p>
    <w:p w14:paraId="7E6BE446">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1、目的</w:t>
      </w:r>
    </w:p>
    <w:p w14:paraId="32D27344">
      <w:pPr>
        <w:pStyle w:val="23"/>
        <w:ind w:firstLine="480"/>
        <w:outlineLvl w:val="9"/>
        <w:rPr>
          <w:rFonts w:cs="宋体" w:asciiTheme="minorEastAsia" w:hAnsiTheme="minorEastAsia" w:eastAsiaTheme="minorEastAsia"/>
          <w:color w:val="auto"/>
          <w:sz w:val="21"/>
          <w:szCs w:val="21"/>
          <w:highlight w:val="none"/>
        </w:rPr>
      </w:pPr>
      <w:r>
        <w:rPr>
          <w:rFonts w:cs="宋体" w:asciiTheme="minorEastAsia" w:hAnsiTheme="minorEastAsia" w:eastAsiaTheme="minorEastAsia"/>
          <w:color w:val="auto"/>
          <w:sz w:val="21"/>
          <w:szCs w:val="21"/>
          <w:highlight w:val="none"/>
        </w:rPr>
        <w:t>1.1为强化现场安全、文明施工的管理，确保工程建设有序进行，结合国家和省、市有关规定，制定本条例。</w:t>
      </w:r>
    </w:p>
    <w:p w14:paraId="722CB127">
      <w:pPr>
        <w:pStyle w:val="23"/>
        <w:ind w:firstLine="480"/>
        <w:outlineLvl w:val="9"/>
        <w:rPr>
          <w:rFonts w:cs="宋体" w:asciiTheme="minorEastAsia" w:hAnsiTheme="minorEastAsia" w:eastAsiaTheme="minorEastAsia"/>
          <w:color w:val="auto"/>
          <w:sz w:val="21"/>
          <w:szCs w:val="21"/>
          <w:highlight w:val="none"/>
        </w:rPr>
      </w:pPr>
      <w:r>
        <w:rPr>
          <w:rFonts w:cs="宋体" w:asciiTheme="minorEastAsia" w:hAnsiTheme="minorEastAsia" w:eastAsiaTheme="minorEastAsia"/>
          <w:color w:val="auto"/>
          <w:sz w:val="21"/>
          <w:szCs w:val="21"/>
          <w:highlight w:val="none"/>
        </w:rPr>
        <w:t>1.2凡承建</w:t>
      </w:r>
      <w:r>
        <w:rPr>
          <w:rFonts w:hint="eastAsia" w:cs="宋体" w:asciiTheme="minorEastAsia" w:hAnsiTheme="minorEastAsia" w:eastAsiaTheme="minorEastAsia"/>
          <w:bCs/>
          <w:color w:val="auto"/>
          <w:sz w:val="21"/>
          <w:szCs w:val="21"/>
          <w:highlight w:val="none"/>
        </w:rPr>
        <w:t>经发地产</w:t>
      </w:r>
      <w:r>
        <w:rPr>
          <w:rFonts w:hint="eastAsia" w:cs="宋体" w:asciiTheme="minorEastAsia" w:hAnsiTheme="minorEastAsia" w:eastAsiaTheme="minorEastAsia"/>
          <w:color w:val="auto"/>
          <w:sz w:val="21"/>
          <w:szCs w:val="21"/>
          <w:highlight w:val="none"/>
        </w:rPr>
        <w:t>工程项目的单位，均按本条例执行，并以此作为安全文明生产施工相关处罚的依据。</w:t>
      </w:r>
    </w:p>
    <w:p w14:paraId="1B66DCDB">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2、适用范围</w:t>
      </w:r>
    </w:p>
    <w:p w14:paraId="30E31188">
      <w:pPr>
        <w:spacing w:line="360" w:lineRule="auto"/>
        <w:ind w:firstLine="48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适用本公司开发的所有项目的安全管理控制。</w:t>
      </w:r>
    </w:p>
    <w:p w14:paraId="34B94932">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3、职责</w:t>
      </w:r>
    </w:p>
    <w:p w14:paraId="42A94377">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3.1项目部为本条例的实施部门。</w:t>
      </w:r>
    </w:p>
    <w:p w14:paraId="2B3C3A11">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3.2招标采供部负责施工合同的安全条款签订。</w:t>
      </w:r>
    </w:p>
    <w:p w14:paraId="33C0CB3C">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3.3项目部专业工程师负责各专业安全的检查、跟踪整改，并由监理单位依据附表开具扣款单，项目部审核后在当月工程款中扣除。</w:t>
      </w:r>
    </w:p>
    <w:p w14:paraId="368C5F3D">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3.4对扣款金额累计超过1万元或累计扣款4次的承包人，项目部将扣款情况以书面形式通报其所属公司。</w:t>
      </w:r>
    </w:p>
    <w:p w14:paraId="37D6D8CD">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4、控制要求和方法</w:t>
      </w:r>
    </w:p>
    <w:p w14:paraId="0E280753">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4.1控制要求</w:t>
      </w:r>
    </w:p>
    <w:p w14:paraId="538DC0AA">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4.1.1项目部专业工程师负责各分管标段的施工现场安全巡视，检查监理的日常安检记录，协助监理单位督促承包人整改落实。</w:t>
      </w:r>
    </w:p>
    <w:p w14:paraId="5762DAAB">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4.1.2项目部经理负责整个施工现场各标段间安全管理协调工作，并组织各参建单位进行定期安全检查，专项安全检查，季节性和节假日及不定期安全检查。</w:t>
      </w:r>
    </w:p>
    <w:p w14:paraId="58A826E8">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4.2控制方法</w:t>
      </w:r>
    </w:p>
    <w:p w14:paraId="7C50C023">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4.2.1专业工程师负责检查承包人安全机构是否健全，事故应急救援体系（预案、机构、演练）是否完备、项目经理及安全员的资格、安全员数量是否满足规范的要求，核查施工组织设计中安全部分、各分部分项的安全方案及重大安全隐患的专项方案，检查对工人安全交底及进场安全三级教育的记录。</w:t>
      </w:r>
    </w:p>
    <w:p w14:paraId="5F5D7B17">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4.2.2对特种人员的资格进行抽查，特种人员含架子工、电工、电焊工、塔吊指挥员、大型机械的操作工，并检查大型机械日常维护保养记录、定期检修记录。</w:t>
      </w:r>
    </w:p>
    <w:p w14:paraId="4044EB05">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4.2.3对大型机械安装与拆除方案及安装、拆除单位的资质及人员资格的核查。</w:t>
      </w:r>
    </w:p>
    <w:p w14:paraId="4CC33840">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4.2.4对进入施工现场的人员的安全帽佩戴的抽查，对架子工、高空作业的人员安全带佩戴的抽查。</w:t>
      </w:r>
    </w:p>
    <w:p w14:paraId="3AFCFF66">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4.2.5对临边及洞口安全防护、外架搭设及防护进行抽查。</w:t>
      </w:r>
    </w:p>
    <w:p w14:paraId="3D9D522D">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4.2.6对施工现场的临电安全、消防灭火设施的配置及有效性进行抽查。</w:t>
      </w:r>
    </w:p>
    <w:p w14:paraId="46085EC6">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4.2.7检查总包对分包安全生产管理协议的签定与落实。</w:t>
      </w:r>
    </w:p>
    <w:p w14:paraId="3CBFF13C">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4.2.8安全检查的频次：每周定期检查；每月一次专项安全检查；节假日（国庆、春节）安全检查定于放假前完成；季节性安全及不定期安全检查根据现场需要随时确定。</w:t>
      </w:r>
    </w:p>
    <w:p w14:paraId="342F2A55">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4.3管理措施</w:t>
      </w:r>
    </w:p>
    <w:p w14:paraId="693FCC93">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4.3.1专业工程师及监理工程师日常安全检查，发现安全隐患填写《现场安全检查记录》，由监理单位下发《监理通知单》或《扣款单》，并附《现场安全检查记录》。</w:t>
      </w:r>
    </w:p>
    <w:p w14:paraId="5EDD60B8">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4.3.2承包人在接到《监理通知单》和《现场安全检查记录》后，应认真按照规范要求整改，并在《监理通知单》规定的时限内，以书面形式回复专案部和监理部。</w:t>
      </w:r>
    </w:p>
    <w:p w14:paraId="1EC9FF85">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4.3.3在收到承包人书面回复后或监理通知单规定的时限到期后1日内，专业工程师应会同专业监理工程师对现场进行复查，复查的结果应在《现场安全检查记录》中填写。</w:t>
      </w:r>
    </w:p>
    <w:p w14:paraId="263C9F30">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4.3.4发包人及监理单位认为存在重大安全隐患时，由监理单位下达《停工通知单》。</w:t>
      </w:r>
    </w:p>
    <w:p w14:paraId="23798EFF">
      <w:pPr>
        <w:spacing w:line="360" w:lineRule="auto"/>
        <w:ind w:firstLine="48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4.3.5安全隐患的整改及扣款见附表。</w:t>
      </w:r>
    </w:p>
    <w:p w14:paraId="2F35B47F">
      <w:pPr>
        <w:spacing w:line="360" w:lineRule="auto"/>
        <w:ind w:firstLine="48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附表：</w:t>
      </w:r>
      <w:r>
        <w:rPr>
          <w:rFonts w:cs="宋体" w:asciiTheme="minorEastAsia" w:hAnsiTheme="minorEastAsia" w:eastAsiaTheme="minorEastAsia"/>
          <w:bCs/>
          <w:color w:val="auto"/>
          <w:szCs w:val="21"/>
          <w:highlight w:val="none"/>
        </w:rPr>
        <w:t>1、经发地产项目安全检查记录</w:t>
      </w:r>
    </w:p>
    <w:p w14:paraId="573EFCC6">
      <w:pPr>
        <w:spacing w:line="360" w:lineRule="auto"/>
        <w:ind w:firstLine="1050" w:firstLineChars="500"/>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2、经发地产项目安全文明管理实施细则</w:t>
      </w:r>
    </w:p>
    <w:p w14:paraId="1A941B78">
      <w:pPr>
        <w:spacing w:line="360" w:lineRule="auto"/>
        <w:ind w:firstLine="1050" w:firstLineChars="5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bCs/>
          <w:color w:val="auto"/>
          <w:szCs w:val="21"/>
          <w:highlight w:val="none"/>
        </w:rPr>
        <w:t>3、经发地产安全管理扣款单</w:t>
      </w:r>
    </w:p>
    <w:p w14:paraId="2E47E4D1">
      <w:pPr>
        <w:spacing w:line="360" w:lineRule="auto"/>
        <w:ind w:firstLine="482"/>
        <w:jc w:val="center"/>
        <w:outlineLvl w:val="9"/>
        <w:rPr>
          <w:rFonts w:cs="宋体" w:asciiTheme="minorEastAsia" w:hAnsiTheme="minorEastAsia" w:eastAsiaTheme="minorEastAsia"/>
          <w:b/>
          <w:bCs/>
          <w:color w:val="auto"/>
          <w:szCs w:val="21"/>
          <w:highlight w:val="none"/>
        </w:rPr>
      </w:pPr>
      <w:r>
        <w:rPr>
          <w:rFonts w:cs="宋体" w:asciiTheme="minorEastAsia" w:hAnsiTheme="minorEastAsia" w:eastAsiaTheme="minorEastAsia"/>
          <w:b/>
          <w:bCs/>
          <w:color w:val="auto"/>
          <w:szCs w:val="21"/>
          <w:highlight w:val="none"/>
        </w:rPr>
        <w:br w:type="page"/>
      </w:r>
      <w:r>
        <w:rPr>
          <w:rFonts w:hint="eastAsia" w:cs="宋体" w:asciiTheme="minorEastAsia" w:hAnsiTheme="minorEastAsia" w:eastAsiaTheme="minorEastAsia"/>
          <w:b/>
          <w:bCs/>
          <w:color w:val="auto"/>
          <w:szCs w:val="21"/>
          <w:highlight w:val="none"/>
        </w:rPr>
        <w:t>经发地产项目安全检查记录（数据检查）</w:t>
      </w:r>
    </w:p>
    <w:tbl>
      <w:tblPr>
        <w:tblStyle w:val="56"/>
        <w:tblW w:w="97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4"/>
        <w:gridCol w:w="1740"/>
        <w:gridCol w:w="1505"/>
        <w:gridCol w:w="1179"/>
        <w:gridCol w:w="624"/>
        <w:gridCol w:w="2733"/>
        <w:gridCol w:w="1267"/>
      </w:tblGrid>
      <w:tr w14:paraId="1A7D5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664" w:type="dxa"/>
            <w:vAlign w:val="center"/>
          </w:tcPr>
          <w:p w14:paraId="45CC850D">
            <w:pPr>
              <w:keepNext w:val="0"/>
              <w:keepLines w:val="0"/>
              <w:suppressLineNumbers w:val="0"/>
              <w:tabs>
                <w:tab w:val="left" w:pos="315"/>
              </w:tabs>
              <w:spacing w:before="0" w:beforeAutospacing="0" w:after="0" w:afterAutospacing="0" w:line="400" w:lineRule="exact"/>
              <w:ind w:left="0" w:right="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序号</w:t>
            </w:r>
          </w:p>
        </w:tc>
        <w:tc>
          <w:tcPr>
            <w:tcW w:w="3245" w:type="dxa"/>
            <w:gridSpan w:val="2"/>
            <w:vAlign w:val="center"/>
          </w:tcPr>
          <w:p w14:paraId="0E624B75">
            <w:pPr>
              <w:keepNext w:val="0"/>
              <w:keepLines w:val="0"/>
              <w:suppressLineNumbers w:val="0"/>
              <w:tabs>
                <w:tab w:val="left" w:pos="315"/>
              </w:tabs>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检查内容</w:t>
            </w:r>
          </w:p>
        </w:tc>
        <w:tc>
          <w:tcPr>
            <w:tcW w:w="1179" w:type="dxa"/>
            <w:vAlign w:val="center"/>
          </w:tcPr>
          <w:p w14:paraId="592F4B8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检查记录</w:t>
            </w:r>
          </w:p>
        </w:tc>
        <w:tc>
          <w:tcPr>
            <w:tcW w:w="624" w:type="dxa"/>
            <w:vAlign w:val="center"/>
          </w:tcPr>
          <w:p w14:paraId="35EFB9F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序号</w:t>
            </w:r>
          </w:p>
        </w:tc>
        <w:tc>
          <w:tcPr>
            <w:tcW w:w="2733" w:type="dxa"/>
            <w:vAlign w:val="center"/>
          </w:tcPr>
          <w:p w14:paraId="2FD3B94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bCs/>
                <w:color w:val="auto"/>
                <w:szCs w:val="21"/>
                <w:highlight w:val="none"/>
              </w:rPr>
              <w:t>检查内容</w:t>
            </w:r>
          </w:p>
        </w:tc>
        <w:tc>
          <w:tcPr>
            <w:tcW w:w="1267" w:type="dxa"/>
            <w:vAlign w:val="center"/>
          </w:tcPr>
          <w:p w14:paraId="7B412BA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检查记录</w:t>
            </w:r>
          </w:p>
        </w:tc>
      </w:tr>
      <w:tr w14:paraId="126D3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4" w:type="dxa"/>
            <w:vAlign w:val="center"/>
          </w:tcPr>
          <w:p w14:paraId="4C11BE9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w:t>
            </w:r>
          </w:p>
        </w:tc>
        <w:tc>
          <w:tcPr>
            <w:tcW w:w="3245" w:type="dxa"/>
            <w:gridSpan w:val="2"/>
            <w:vAlign w:val="center"/>
          </w:tcPr>
          <w:p w14:paraId="2C3E0E39">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安全教育（日常、三级安全教育培训等）与安全宣传资料不齐全、签字不全</w:t>
            </w:r>
          </w:p>
        </w:tc>
        <w:tc>
          <w:tcPr>
            <w:tcW w:w="1179" w:type="dxa"/>
          </w:tcPr>
          <w:p w14:paraId="25DA8F1B">
            <w:pPr>
              <w:keepNext/>
              <w:keepLines/>
              <w:suppressLineNumbers w:val="0"/>
              <w:spacing w:before="260" w:beforeAutospacing="0" w:after="260" w:afterAutospacing="0" w:line="400" w:lineRule="exact"/>
              <w:ind w:left="0" w:right="0"/>
              <w:outlineLvl w:val="9"/>
              <w:rPr>
                <w:rFonts w:cs="宋体" w:asciiTheme="minorEastAsia" w:hAnsiTheme="minorEastAsia" w:eastAsiaTheme="minorEastAsia"/>
                <w:color w:val="auto"/>
                <w:szCs w:val="21"/>
                <w:highlight w:val="none"/>
              </w:rPr>
            </w:pPr>
          </w:p>
        </w:tc>
        <w:tc>
          <w:tcPr>
            <w:tcW w:w="624" w:type="dxa"/>
            <w:vAlign w:val="center"/>
          </w:tcPr>
          <w:p w14:paraId="4247EFA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6</w:t>
            </w:r>
          </w:p>
        </w:tc>
        <w:tc>
          <w:tcPr>
            <w:tcW w:w="2733" w:type="dxa"/>
            <w:vAlign w:val="center"/>
          </w:tcPr>
          <w:p w14:paraId="414C2726">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大型垂直运输设备及吊具、吊索等日常维护与保养记录不齐全</w:t>
            </w:r>
          </w:p>
        </w:tc>
        <w:tc>
          <w:tcPr>
            <w:tcW w:w="1267" w:type="dxa"/>
          </w:tcPr>
          <w:p w14:paraId="02B601BC">
            <w:pPr>
              <w:keepNext/>
              <w:keepLines/>
              <w:suppressLineNumbers w:val="0"/>
              <w:spacing w:before="260" w:beforeAutospacing="0" w:after="260" w:afterAutospacing="0" w:line="400" w:lineRule="exact"/>
              <w:ind w:left="0" w:right="0"/>
              <w:outlineLvl w:val="9"/>
              <w:rPr>
                <w:rFonts w:cs="宋体" w:asciiTheme="minorEastAsia" w:hAnsiTheme="minorEastAsia" w:eastAsiaTheme="minorEastAsia"/>
                <w:color w:val="auto"/>
                <w:szCs w:val="21"/>
                <w:highlight w:val="none"/>
              </w:rPr>
            </w:pPr>
          </w:p>
        </w:tc>
      </w:tr>
      <w:tr w14:paraId="13B8A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4" w:type="dxa"/>
            <w:vAlign w:val="center"/>
          </w:tcPr>
          <w:p w14:paraId="66E3B72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w:t>
            </w:r>
          </w:p>
        </w:tc>
        <w:tc>
          <w:tcPr>
            <w:tcW w:w="3245" w:type="dxa"/>
            <w:gridSpan w:val="2"/>
            <w:vAlign w:val="center"/>
          </w:tcPr>
          <w:p w14:paraId="4EA57471">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安全检查（日常、节假日、定期检查）、无记录、无整改措施、无回复记录</w:t>
            </w:r>
          </w:p>
        </w:tc>
        <w:tc>
          <w:tcPr>
            <w:tcW w:w="1179" w:type="dxa"/>
          </w:tcPr>
          <w:p w14:paraId="4B3E9705">
            <w:pPr>
              <w:keepNext/>
              <w:keepLines/>
              <w:suppressLineNumbers w:val="0"/>
              <w:spacing w:before="260" w:beforeAutospacing="0" w:after="260" w:afterAutospacing="0" w:line="400" w:lineRule="exact"/>
              <w:ind w:left="0" w:right="0"/>
              <w:outlineLvl w:val="9"/>
              <w:rPr>
                <w:rFonts w:cs="宋体" w:asciiTheme="minorEastAsia" w:hAnsiTheme="minorEastAsia" w:eastAsiaTheme="minorEastAsia"/>
                <w:color w:val="auto"/>
                <w:szCs w:val="21"/>
                <w:highlight w:val="none"/>
              </w:rPr>
            </w:pPr>
          </w:p>
        </w:tc>
        <w:tc>
          <w:tcPr>
            <w:tcW w:w="624" w:type="dxa"/>
            <w:vAlign w:val="center"/>
          </w:tcPr>
          <w:p w14:paraId="55EE74A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7</w:t>
            </w:r>
          </w:p>
        </w:tc>
        <w:tc>
          <w:tcPr>
            <w:tcW w:w="2733" w:type="dxa"/>
            <w:vAlign w:val="center"/>
          </w:tcPr>
          <w:p w14:paraId="7CC43A91">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外架搭设及拆除没有进行专项方案报审或签字盖章手续不齐全。外架搭设完成后，没有相关的验收手续</w:t>
            </w:r>
          </w:p>
        </w:tc>
        <w:tc>
          <w:tcPr>
            <w:tcW w:w="1267" w:type="dxa"/>
          </w:tcPr>
          <w:p w14:paraId="16FE5809">
            <w:pPr>
              <w:keepNext/>
              <w:keepLines/>
              <w:suppressLineNumbers w:val="0"/>
              <w:spacing w:before="260" w:beforeAutospacing="0" w:after="260" w:afterAutospacing="0" w:line="400" w:lineRule="exact"/>
              <w:ind w:left="0" w:right="0"/>
              <w:outlineLvl w:val="9"/>
              <w:rPr>
                <w:rFonts w:cs="宋体" w:asciiTheme="minorEastAsia" w:hAnsiTheme="minorEastAsia" w:eastAsiaTheme="minorEastAsia"/>
                <w:color w:val="auto"/>
                <w:szCs w:val="21"/>
                <w:highlight w:val="none"/>
              </w:rPr>
            </w:pPr>
          </w:p>
        </w:tc>
      </w:tr>
      <w:tr w14:paraId="5E1FB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4" w:type="dxa"/>
            <w:vAlign w:val="center"/>
          </w:tcPr>
          <w:p w14:paraId="12FF8CF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w:t>
            </w:r>
          </w:p>
        </w:tc>
        <w:tc>
          <w:tcPr>
            <w:tcW w:w="3245" w:type="dxa"/>
            <w:gridSpan w:val="2"/>
            <w:vAlign w:val="center"/>
          </w:tcPr>
          <w:p w14:paraId="3D4C236F">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“安全三宝”资料不齐全</w:t>
            </w:r>
          </w:p>
        </w:tc>
        <w:tc>
          <w:tcPr>
            <w:tcW w:w="1179" w:type="dxa"/>
          </w:tcPr>
          <w:p w14:paraId="65CA6454">
            <w:pPr>
              <w:keepNext/>
              <w:keepLines/>
              <w:suppressLineNumbers w:val="0"/>
              <w:spacing w:before="260" w:beforeAutospacing="0" w:after="260" w:afterAutospacing="0" w:line="400" w:lineRule="exact"/>
              <w:ind w:left="0" w:right="0"/>
              <w:outlineLvl w:val="9"/>
              <w:rPr>
                <w:rFonts w:cs="宋体" w:asciiTheme="minorEastAsia" w:hAnsiTheme="minorEastAsia" w:eastAsiaTheme="minorEastAsia"/>
                <w:color w:val="auto"/>
                <w:szCs w:val="21"/>
                <w:highlight w:val="none"/>
              </w:rPr>
            </w:pPr>
          </w:p>
        </w:tc>
        <w:tc>
          <w:tcPr>
            <w:tcW w:w="624" w:type="dxa"/>
            <w:vAlign w:val="center"/>
          </w:tcPr>
          <w:p w14:paraId="18982E1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8</w:t>
            </w:r>
          </w:p>
        </w:tc>
        <w:tc>
          <w:tcPr>
            <w:tcW w:w="2733" w:type="dxa"/>
            <w:vAlign w:val="center"/>
          </w:tcPr>
          <w:p w14:paraId="14BE0919">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事故应急救援体系（预案、机构、演练）没有建立与备案</w:t>
            </w:r>
          </w:p>
        </w:tc>
        <w:tc>
          <w:tcPr>
            <w:tcW w:w="1267" w:type="dxa"/>
          </w:tcPr>
          <w:p w14:paraId="555ADAD1">
            <w:pPr>
              <w:keepNext/>
              <w:keepLines/>
              <w:suppressLineNumbers w:val="0"/>
              <w:spacing w:before="260" w:beforeAutospacing="0" w:after="260" w:afterAutospacing="0" w:line="400" w:lineRule="exact"/>
              <w:ind w:left="0" w:right="0"/>
              <w:outlineLvl w:val="9"/>
              <w:rPr>
                <w:rFonts w:cs="宋体" w:asciiTheme="minorEastAsia" w:hAnsiTheme="minorEastAsia" w:eastAsiaTheme="minorEastAsia"/>
                <w:color w:val="auto"/>
                <w:szCs w:val="21"/>
                <w:highlight w:val="none"/>
              </w:rPr>
            </w:pPr>
          </w:p>
        </w:tc>
      </w:tr>
      <w:tr w14:paraId="79FC1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6" w:hRule="atLeast"/>
          <w:jc w:val="center"/>
        </w:trPr>
        <w:tc>
          <w:tcPr>
            <w:tcW w:w="664" w:type="dxa"/>
            <w:vAlign w:val="center"/>
          </w:tcPr>
          <w:p w14:paraId="72AC623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w:t>
            </w:r>
          </w:p>
        </w:tc>
        <w:tc>
          <w:tcPr>
            <w:tcW w:w="3245" w:type="dxa"/>
            <w:gridSpan w:val="2"/>
            <w:vAlign w:val="center"/>
          </w:tcPr>
          <w:p w14:paraId="3764FEE7">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大型垂直运输设备（塔吊、外用电梯、升降机等）安装没有进行专项方案报审，或签字盖章手续不齐全</w:t>
            </w:r>
          </w:p>
        </w:tc>
        <w:tc>
          <w:tcPr>
            <w:tcW w:w="1179" w:type="dxa"/>
          </w:tcPr>
          <w:p w14:paraId="03463CD9">
            <w:pPr>
              <w:keepNext/>
              <w:keepLines/>
              <w:suppressLineNumbers w:val="0"/>
              <w:spacing w:before="260" w:beforeAutospacing="0" w:after="260" w:afterAutospacing="0" w:line="400" w:lineRule="exact"/>
              <w:ind w:left="0" w:right="0"/>
              <w:outlineLvl w:val="9"/>
              <w:rPr>
                <w:rFonts w:cs="宋体" w:asciiTheme="minorEastAsia" w:hAnsiTheme="minorEastAsia" w:eastAsiaTheme="minorEastAsia"/>
                <w:color w:val="auto"/>
                <w:szCs w:val="21"/>
                <w:highlight w:val="none"/>
              </w:rPr>
            </w:pPr>
          </w:p>
        </w:tc>
        <w:tc>
          <w:tcPr>
            <w:tcW w:w="624" w:type="dxa"/>
            <w:vAlign w:val="center"/>
          </w:tcPr>
          <w:p w14:paraId="088DDC6A">
            <w:pPr>
              <w:keepNext w:val="0"/>
              <w:keepLines w:val="0"/>
              <w:suppressLineNumbers w:val="0"/>
              <w:tabs>
                <w:tab w:val="left" w:pos="315"/>
              </w:tabs>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9</w:t>
            </w:r>
          </w:p>
        </w:tc>
        <w:tc>
          <w:tcPr>
            <w:tcW w:w="2733" w:type="dxa"/>
            <w:vAlign w:val="center"/>
          </w:tcPr>
          <w:p w14:paraId="0B23C657">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分包及分项工程开工前分包单位资质、安全员的证件不全，专业人员无上岗证，安全教育记录不齐全，安全技术交底记录不齐全，没有与总包签订安全责任书</w:t>
            </w:r>
          </w:p>
        </w:tc>
        <w:tc>
          <w:tcPr>
            <w:tcW w:w="1267" w:type="dxa"/>
          </w:tcPr>
          <w:p w14:paraId="19995528">
            <w:pPr>
              <w:keepNext/>
              <w:keepLines/>
              <w:suppressLineNumbers w:val="0"/>
              <w:spacing w:before="260" w:beforeAutospacing="0" w:after="260" w:afterAutospacing="0" w:line="400" w:lineRule="exact"/>
              <w:ind w:left="0" w:right="0"/>
              <w:outlineLvl w:val="9"/>
              <w:rPr>
                <w:rFonts w:cs="宋体" w:asciiTheme="minorEastAsia" w:hAnsiTheme="minorEastAsia" w:eastAsiaTheme="minorEastAsia"/>
                <w:color w:val="auto"/>
                <w:szCs w:val="21"/>
                <w:highlight w:val="none"/>
              </w:rPr>
            </w:pPr>
          </w:p>
        </w:tc>
      </w:tr>
      <w:tr w14:paraId="5AD43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3" w:hRule="atLeast"/>
          <w:jc w:val="center"/>
        </w:trPr>
        <w:tc>
          <w:tcPr>
            <w:tcW w:w="664" w:type="dxa"/>
            <w:vAlign w:val="center"/>
          </w:tcPr>
          <w:p w14:paraId="2B50EC8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5</w:t>
            </w:r>
          </w:p>
        </w:tc>
        <w:tc>
          <w:tcPr>
            <w:tcW w:w="3245" w:type="dxa"/>
            <w:gridSpan w:val="2"/>
            <w:vAlign w:val="center"/>
          </w:tcPr>
          <w:p w14:paraId="7A273761">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大型垂直运输设备拆除前没有到原备案单位履行销户手续，拆除前没有进行专项方案报审</w:t>
            </w:r>
          </w:p>
        </w:tc>
        <w:tc>
          <w:tcPr>
            <w:tcW w:w="1179" w:type="dxa"/>
          </w:tcPr>
          <w:p w14:paraId="0056D3D6">
            <w:pPr>
              <w:keepNext/>
              <w:keepLines/>
              <w:suppressLineNumbers w:val="0"/>
              <w:spacing w:before="260" w:beforeAutospacing="0" w:after="260" w:afterAutospacing="0" w:line="400" w:lineRule="exact"/>
              <w:ind w:left="0" w:right="0"/>
              <w:outlineLvl w:val="9"/>
              <w:rPr>
                <w:rFonts w:cs="宋体" w:asciiTheme="minorEastAsia" w:hAnsiTheme="minorEastAsia" w:eastAsiaTheme="minorEastAsia"/>
                <w:color w:val="auto"/>
                <w:szCs w:val="21"/>
                <w:highlight w:val="none"/>
              </w:rPr>
            </w:pPr>
          </w:p>
        </w:tc>
        <w:tc>
          <w:tcPr>
            <w:tcW w:w="624" w:type="dxa"/>
            <w:vAlign w:val="center"/>
          </w:tcPr>
          <w:p w14:paraId="292B3982">
            <w:pPr>
              <w:keepNext w:val="0"/>
              <w:keepLines w:val="0"/>
              <w:suppressLineNumbers w:val="0"/>
              <w:tabs>
                <w:tab w:val="left" w:pos="315"/>
              </w:tabs>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10</w:t>
            </w:r>
          </w:p>
        </w:tc>
        <w:tc>
          <w:tcPr>
            <w:tcW w:w="2733" w:type="dxa"/>
            <w:vAlign w:val="center"/>
          </w:tcPr>
          <w:p w14:paraId="708A940B">
            <w:pPr>
              <w:keepNext w:val="0"/>
              <w:keepLines w:val="0"/>
              <w:suppressLineNumbers w:val="0"/>
              <w:tabs>
                <w:tab w:val="left" w:pos="315"/>
              </w:tabs>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特种设备作业人员未持证有效证件上岗，或人证不符</w:t>
            </w:r>
          </w:p>
        </w:tc>
        <w:tc>
          <w:tcPr>
            <w:tcW w:w="1267" w:type="dxa"/>
          </w:tcPr>
          <w:p w14:paraId="069DC28A">
            <w:pPr>
              <w:keepNext/>
              <w:keepLines/>
              <w:suppressLineNumbers w:val="0"/>
              <w:spacing w:before="260" w:beforeAutospacing="0" w:after="260" w:afterAutospacing="0" w:line="400" w:lineRule="exact"/>
              <w:ind w:left="0" w:right="0"/>
              <w:outlineLvl w:val="9"/>
              <w:rPr>
                <w:rFonts w:cs="宋体" w:asciiTheme="minorEastAsia" w:hAnsiTheme="minorEastAsia" w:eastAsiaTheme="minorEastAsia"/>
                <w:color w:val="auto"/>
                <w:szCs w:val="21"/>
                <w:highlight w:val="none"/>
              </w:rPr>
            </w:pPr>
          </w:p>
        </w:tc>
      </w:tr>
      <w:tr w14:paraId="7CDC6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5" w:hRule="atLeast"/>
          <w:jc w:val="center"/>
        </w:trPr>
        <w:tc>
          <w:tcPr>
            <w:tcW w:w="2404" w:type="dxa"/>
            <w:gridSpan w:val="2"/>
            <w:vAlign w:val="center"/>
          </w:tcPr>
          <w:p w14:paraId="5CE0225D">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第一次检查确认</w:t>
            </w:r>
          </w:p>
        </w:tc>
        <w:tc>
          <w:tcPr>
            <w:tcW w:w="2684" w:type="dxa"/>
            <w:gridSpan w:val="2"/>
            <w:vAlign w:val="center"/>
          </w:tcPr>
          <w:p w14:paraId="463C53A1">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建设单位：</w:t>
            </w:r>
          </w:p>
        </w:tc>
        <w:tc>
          <w:tcPr>
            <w:tcW w:w="3357" w:type="dxa"/>
            <w:gridSpan w:val="2"/>
            <w:vAlign w:val="center"/>
          </w:tcPr>
          <w:p w14:paraId="633981C6">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监理单位：</w:t>
            </w:r>
          </w:p>
        </w:tc>
        <w:tc>
          <w:tcPr>
            <w:tcW w:w="1267" w:type="dxa"/>
            <w:vAlign w:val="center"/>
          </w:tcPr>
          <w:p w14:paraId="46692326">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w:t>
            </w:r>
          </w:p>
        </w:tc>
      </w:tr>
      <w:tr w14:paraId="7ECE0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2404" w:type="dxa"/>
            <w:gridSpan w:val="2"/>
            <w:vAlign w:val="center"/>
          </w:tcPr>
          <w:p w14:paraId="233BCFC8">
            <w:pPr>
              <w:keepNext w:val="0"/>
              <w:keepLines w:val="0"/>
              <w:suppressLineNumbers w:val="0"/>
              <w:spacing w:before="0" w:beforeAutospacing="0" w:after="0" w:afterAutospacing="0" w:line="400" w:lineRule="exact"/>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复查记录</w:t>
            </w:r>
          </w:p>
        </w:tc>
        <w:tc>
          <w:tcPr>
            <w:tcW w:w="7308" w:type="dxa"/>
            <w:gridSpan w:val="5"/>
            <w:vAlign w:val="center"/>
          </w:tcPr>
          <w:p w14:paraId="4BE4B278">
            <w:pPr>
              <w:keepNext/>
              <w:keepLines/>
              <w:suppressLineNumbers w:val="0"/>
              <w:spacing w:before="260" w:beforeAutospacing="0" w:after="260" w:afterAutospacing="0" w:line="400" w:lineRule="exact"/>
              <w:ind w:left="0" w:right="0"/>
              <w:outlineLvl w:val="9"/>
              <w:rPr>
                <w:rFonts w:cs="宋体" w:asciiTheme="minorEastAsia" w:hAnsiTheme="minorEastAsia" w:eastAsiaTheme="minorEastAsia"/>
                <w:color w:val="auto"/>
                <w:szCs w:val="21"/>
                <w:highlight w:val="none"/>
              </w:rPr>
            </w:pPr>
          </w:p>
          <w:p w14:paraId="4CD79A00">
            <w:pPr>
              <w:keepNext/>
              <w:keepLines/>
              <w:suppressLineNumbers w:val="0"/>
              <w:spacing w:before="260" w:beforeAutospacing="0" w:after="260" w:afterAutospacing="0" w:line="400" w:lineRule="exact"/>
              <w:ind w:left="0" w:right="0"/>
              <w:outlineLvl w:val="9"/>
              <w:rPr>
                <w:rFonts w:cs="宋体" w:asciiTheme="minorEastAsia" w:hAnsiTheme="minorEastAsia" w:eastAsiaTheme="minorEastAsia"/>
                <w:color w:val="auto"/>
                <w:szCs w:val="21"/>
                <w:highlight w:val="none"/>
              </w:rPr>
            </w:pPr>
          </w:p>
        </w:tc>
      </w:tr>
      <w:tr w14:paraId="39FA6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6" w:hRule="atLeast"/>
          <w:jc w:val="center"/>
        </w:trPr>
        <w:tc>
          <w:tcPr>
            <w:tcW w:w="2404" w:type="dxa"/>
            <w:gridSpan w:val="2"/>
            <w:vAlign w:val="center"/>
          </w:tcPr>
          <w:p w14:paraId="79F780FB">
            <w:pPr>
              <w:keepNext w:val="0"/>
              <w:keepLines w:val="0"/>
              <w:suppressLineNumbers w:val="0"/>
              <w:spacing w:before="0" w:beforeAutospacing="0" w:after="0" w:afterAutospacing="0" w:line="400" w:lineRule="exact"/>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复查确认</w:t>
            </w:r>
          </w:p>
        </w:tc>
        <w:tc>
          <w:tcPr>
            <w:tcW w:w="2684" w:type="dxa"/>
            <w:gridSpan w:val="2"/>
            <w:vAlign w:val="center"/>
          </w:tcPr>
          <w:p w14:paraId="67636F72">
            <w:pPr>
              <w:keepNext w:val="0"/>
              <w:keepLines w:val="0"/>
              <w:suppressLineNumbers w:val="0"/>
              <w:spacing w:before="0" w:beforeAutospacing="0" w:after="0" w:afterAutospacing="0" w:line="400" w:lineRule="exact"/>
              <w:ind w:left="24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建设单位：</w:t>
            </w:r>
          </w:p>
        </w:tc>
        <w:tc>
          <w:tcPr>
            <w:tcW w:w="3357" w:type="dxa"/>
            <w:gridSpan w:val="2"/>
            <w:vAlign w:val="center"/>
          </w:tcPr>
          <w:p w14:paraId="47BA2C6F">
            <w:pPr>
              <w:keepNext w:val="0"/>
              <w:keepLines w:val="0"/>
              <w:suppressLineNumbers w:val="0"/>
              <w:spacing w:before="0" w:beforeAutospacing="0" w:after="0" w:afterAutospacing="0" w:line="400" w:lineRule="exact"/>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监理单位：</w:t>
            </w:r>
          </w:p>
        </w:tc>
        <w:tc>
          <w:tcPr>
            <w:tcW w:w="1261" w:type="dxa"/>
            <w:vAlign w:val="center"/>
          </w:tcPr>
          <w:p w14:paraId="3E9A42BF">
            <w:pPr>
              <w:keepNext w:val="0"/>
              <w:keepLines w:val="0"/>
              <w:suppressLineNumbers w:val="0"/>
              <w:spacing w:before="0" w:beforeAutospacing="0" w:after="0" w:afterAutospacing="0" w:line="400" w:lineRule="exact"/>
              <w:ind w:left="0" w:right="0" w:firstLine="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w:t>
            </w:r>
          </w:p>
        </w:tc>
      </w:tr>
    </w:tbl>
    <w:p w14:paraId="663D291E">
      <w:pPr>
        <w:spacing w:line="360" w:lineRule="auto"/>
        <w:ind w:left="240" w:firstLine="480"/>
        <w:outlineLvl w:val="9"/>
        <w:rPr>
          <w:rFonts w:cs="宋体" w:asciiTheme="minorEastAsia" w:hAnsiTheme="minorEastAsia" w:eastAsiaTheme="minorEastAsia"/>
          <w:color w:val="auto"/>
          <w:szCs w:val="21"/>
          <w:highlight w:val="none"/>
        </w:rPr>
      </w:pPr>
    </w:p>
    <w:p w14:paraId="0E6C4286">
      <w:pPr>
        <w:spacing w:line="360" w:lineRule="auto"/>
        <w:ind w:left="240" w:firstLine="480"/>
        <w:jc w:val="center"/>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color w:val="auto"/>
          <w:szCs w:val="21"/>
          <w:highlight w:val="none"/>
        </w:rPr>
        <w:br w:type="page"/>
      </w:r>
      <w:r>
        <w:rPr>
          <w:rFonts w:hint="eastAsia" w:cs="宋体" w:asciiTheme="minorEastAsia" w:hAnsiTheme="minorEastAsia" w:eastAsiaTheme="minorEastAsia"/>
          <w:b/>
          <w:color w:val="auto"/>
          <w:szCs w:val="21"/>
          <w:highlight w:val="none"/>
        </w:rPr>
        <w:t>经发地产项目安全检查记录（现场检查）</w:t>
      </w:r>
    </w:p>
    <w:tbl>
      <w:tblPr>
        <w:tblStyle w:val="56"/>
        <w:tblW w:w="98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1"/>
        <w:gridCol w:w="3194"/>
        <w:gridCol w:w="1080"/>
        <w:gridCol w:w="404"/>
        <w:gridCol w:w="676"/>
        <w:gridCol w:w="2396"/>
        <w:gridCol w:w="124"/>
        <w:gridCol w:w="1260"/>
      </w:tblGrid>
      <w:tr w14:paraId="60321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1" w:type="dxa"/>
            <w:vAlign w:val="center"/>
          </w:tcPr>
          <w:p w14:paraId="147FD51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序</w:t>
            </w:r>
          </w:p>
          <w:p w14:paraId="4D61C75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号</w:t>
            </w:r>
          </w:p>
        </w:tc>
        <w:tc>
          <w:tcPr>
            <w:tcW w:w="3194" w:type="dxa"/>
            <w:vAlign w:val="center"/>
          </w:tcPr>
          <w:p w14:paraId="4EAF1C1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检查内容</w:t>
            </w:r>
          </w:p>
        </w:tc>
        <w:tc>
          <w:tcPr>
            <w:tcW w:w="1484" w:type="dxa"/>
            <w:gridSpan w:val="2"/>
            <w:vAlign w:val="center"/>
          </w:tcPr>
          <w:p w14:paraId="5A293A2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检查记录</w:t>
            </w:r>
          </w:p>
        </w:tc>
        <w:tc>
          <w:tcPr>
            <w:tcW w:w="676" w:type="dxa"/>
            <w:vAlign w:val="center"/>
          </w:tcPr>
          <w:p w14:paraId="51BC2A7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序</w:t>
            </w:r>
          </w:p>
          <w:p w14:paraId="2ABFD04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号</w:t>
            </w:r>
          </w:p>
        </w:tc>
        <w:tc>
          <w:tcPr>
            <w:tcW w:w="2520" w:type="dxa"/>
            <w:gridSpan w:val="2"/>
            <w:vAlign w:val="center"/>
          </w:tcPr>
          <w:p w14:paraId="60038EC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检查内容</w:t>
            </w:r>
          </w:p>
        </w:tc>
        <w:tc>
          <w:tcPr>
            <w:tcW w:w="1260" w:type="dxa"/>
            <w:vAlign w:val="center"/>
          </w:tcPr>
          <w:p w14:paraId="19D4EA2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检查记录</w:t>
            </w:r>
          </w:p>
        </w:tc>
      </w:tr>
      <w:tr w14:paraId="3C932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1" w:type="dxa"/>
            <w:vAlign w:val="center"/>
          </w:tcPr>
          <w:p w14:paraId="7DD31BF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w:t>
            </w:r>
          </w:p>
        </w:tc>
        <w:tc>
          <w:tcPr>
            <w:tcW w:w="3194" w:type="dxa"/>
            <w:vAlign w:val="center"/>
          </w:tcPr>
          <w:p w14:paraId="4A940D1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土方开挖放坡系数不够又未采取支护，坑边未做防护或坑边违规堆料</w:t>
            </w:r>
          </w:p>
        </w:tc>
        <w:tc>
          <w:tcPr>
            <w:tcW w:w="1484" w:type="dxa"/>
            <w:gridSpan w:val="2"/>
          </w:tcPr>
          <w:p w14:paraId="72F8E7BC">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vAlign w:val="center"/>
          </w:tcPr>
          <w:p w14:paraId="46D968D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15</w:t>
            </w:r>
          </w:p>
        </w:tc>
        <w:tc>
          <w:tcPr>
            <w:tcW w:w="2520" w:type="dxa"/>
            <w:gridSpan w:val="2"/>
            <w:vAlign w:val="center"/>
          </w:tcPr>
          <w:p w14:paraId="011C013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施工电梯层门安装、管理不规范、两侧未封堵严密</w:t>
            </w:r>
          </w:p>
        </w:tc>
        <w:tc>
          <w:tcPr>
            <w:tcW w:w="1260" w:type="dxa"/>
          </w:tcPr>
          <w:p w14:paraId="3D1E695F">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9F31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1" w:type="dxa"/>
            <w:vAlign w:val="center"/>
          </w:tcPr>
          <w:p w14:paraId="519E1F6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w:t>
            </w:r>
          </w:p>
        </w:tc>
        <w:tc>
          <w:tcPr>
            <w:tcW w:w="3194" w:type="dxa"/>
            <w:vAlign w:val="center"/>
          </w:tcPr>
          <w:p w14:paraId="3E9869E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基坑上下周边未设排水系统，积水未及时抽排</w:t>
            </w:r>
          </w:p>
        </w:tc>
        <w:tc>
          <w:tcPr>
            <w:tcW w:w="1484" w:type="dxa"/>
            <w:gridSpan w:val="2"/>
          </w:tcPr>
          <w:p w14:paraId="5FC90A7D">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vAlign w:val="center"/>
          </w:tcPr>
          <w:p w14:paraId="67F1A14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16</w:t>
            </w:r>
          </w:p>
        </w:tc>
        <w:tc>
          <w:tcPr>
            <w:tcW w:w="2520" w:type="dxa"/>
            <w:gridSpan w:val="2"/>
            <w:vAlign w:val="center"/>
          </w:tcPr>
          <w:p w14:paraId="108E171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施工电梯运送超长料</w:t>
            </w:r>
          </w:p>
        </w:tc>
        <w:tc>
          <w:tcPr>
            <w:tcW w:w="1260" w:type="dxa"/>
          </w:tcPr>
          <w:p w14:paraId="143B66B9">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FF2A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1" w:type="dxa"/>
            <w:vAlign w:val="center"/>
          </w:tcPr>
          <w:p w14:paraId="59D96E9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w:t>
            </w:r>
          </w:p>
        </w:tc>
        <w:tc>
          <w:tcPr>
            <w:tcW w:w="3194" w:type="dxa"/>
            <w:vAlign w:val="center"/>
          </w:tcPr>
          <w:p w14:paraId="3FD6DCF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现场安全防护设施、机械设备、施工机具防护缺损，管理与使用不规范</w:t>
            </w:r>
          </w:p>
        </w:tc>
        <w:tc>
          <w:tcPr>
            <w:tcW w:w="1484" w:type="dxa"/>
            <w:gridSpan w:val="2"/>
          </w:tcPr>
          <w:p w14:paraId="6CADEBFF">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vAlign w:val="center"/>
          </w:tcPr>
          <w:p w14:paraId="34E17BC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17</w:t>
            </w:r>
          </w:p>
        </w:tc>
        <w:tc>
          <w:tcPr>
            <w:tcW w:w="2520" w:type="dxa"/>
            <w:gridSpan w:val="2"/>
            <w:vAlign w:val="center"/>
          </w:tcPr>
          <w:p w14:paraId="4BD2966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施工脚手架搭设、拆除及使用不规范</w:t>
            </w:r>
          </w:p>
        </w:tc>
        <w:tc>
          <w:tcPr>
            <w:tcW w:w="1260" w:type="dxa"/>
          </w:tcPr>
          <w:p w14:paraId="6BE53A1D">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3CFA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1" w:type="dxa"/>
            <w:vAlign w:val="center"/>
          </w:tcPr>
          <w:p w14:paraId="2AF25F3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w:t>
            </w:r>
          </w:p>
        </w:tc>
        <w:tc>
          <w:tcPr>
            <w:tcW w:w="3194" w:type="dxa"/>
            <w:vAlign w:val="center"/>
          </w:tcPr>
          <w:p w14:paraId="59E42CC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物料堆放不符合安全要求，乙炔、氧气存放、使用不规范</w:t>
            </w:r>
          </w:p>
        </w:tc>
        <w:tc>
          <w:tcPr>
            <w:tcW w:w="1484" w:type="dxa"/>
            <w:gridSpan w:val="2"/>
          </w:tcPr>
          <w:p w14:paraId="39BCF90F">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vAlign w:val="center"/>
          </w:tcPr>
          <w:p w14:paraId="237B52D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18</w:t>
            </w:r>
          </w:p>
        </w:tc>
        <w:tc>
          <w:tcPr>
            <w:tcW w:w="2520" w:type="dxa"/>
            <w:gridSpan w:val="2"/>
            <w:vAlign w:val="center"/>
          </w:tcPr>
          <w:p w14:paraId="72D52A7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脚手架底部和施工作业层未满铺脚手板，未进行固定；未按照规范要求设置踢脚板挂设安全网和密目网</w:t>
            </w:r>
          </w:p>
        </w:tc>
        <w:tc>
          <w:tcPr>
            <w:tcW w:w="1260" w:type="dxa"/>
          </w:tcPr>
          <w:p w14:paraId="6DC6F576">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6CDFF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1" w:type="dxa"/>
            <w:vAlign w:val="center"/>
          </w:tcPr>
          <w:p w14:paraId="0A46399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5</w:t>
            </w:r>
          </w:p>
        </w:tc>
        <w:tc>
          <w:tcPr>
            <w:tcW w:w="3194" w:type="dxa"/>
            <w:vAlign w:val="center"/>
          </w:tcPr>
          <w:p w14:paraId="61A56F8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消防设施不到位</w:t>
            </w:r>
          </w:p>
        </w:tc>
        <w:tc>
          <w:tcPr>
            <w:tcW w:w="1484" w:type="dxa"/>
            <w:gridSpan w:val="2"/>
          </w:tcPr>
          <w:p w14:paraId="058F5DBE">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vAlign w:val="center"/>
          </w:tcPr>
          <w:p w14:paraId="79B434D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19</w:t>
            </w:r>
          </w:p>
        </w:tc>
        <w:tc>
          <w:tcPr>
            <w:tcW w:w="2520" w:type="dxa"/>
            <w:gridSpan w:val="2"/>
            <w:vAlign w:val="center"/>
          </w:tcPr>
          <w:p w14:paraId="085DEC8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脚手架未按规定高出作业层一步架，未按要求设置连墙件拉结</w:t>
            </w:r>
          </w:p>
        </w:tc>
        <w:tc>
          <w:tcPr>
            <w:tcW w:w="1260" w:type="dxa"/>
          </w:tcPr>
          <w:p w14:paraId="6581E3B5">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D9B9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1" w:type="dxa"/>
            <w:vAlign w:val="center"/>
          </w:tcPr>
          <w:p w14:paraId="627A824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6</w:t>
            </w:r>
          </w:p>
        </w:tc>
        <w:tc>
          <w:tcPr>
            <w:tcW w:w="3194" w:type="dxa"/>
            <w:vAlign w:val="center"/>
          </w:tcPr>
          <w:p w14:paraId="5A5B5FB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临时用电未执行三相五线制、三级用电两级保护和“一机、一闸、一箱、一漏”</w:t>
            </w:r>
          </w:p>
        </w:tc>
        <w:tc>
          <w:tcPr>
            <w:tcW w:w="1484" w:type="dxa"/>
            <w:gridSpan w:val="2"/>
          </w:tcPr>
          <w:p w14:paraId="34A211A4">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vAlign w:val="center"/>
          </w:tcPr>
          <w:p w14:paraId="3162CBB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20</w:t>
            </w:r>
          </w:p>
        </w:tc>
        <w:tc>
          <w:tcPr>
            <w:tcW w:w="2520" w:type="dxa"/>
            <w:gridSpan w:val="2"/>
            <w:vAlign w:val="center"/>
          </w:tcPr>
          <w:p w14:paraId="6A08237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内脚手架未设置扫地杆，支撑体系不符合规范要求</w:t>
            </w:r>
          </w:p>
        </w:tc>
        <w:tc>
          <w:tcPr>
            <w:tcW w:w="1260" w:type="dxa"/>
          </w:tcPr>
          <w:p w14:paraId="3B2DFCF3">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008A9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1" w:type="dxa"/>
            <w:vAlign w:val="center"/>
          </w:tcPr>
          <w:p w14:paraId="3375A66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7</w:t>
            </w:r>
          </w:p>
        </w:tc>
        <w:tc>
          <w:tcPr>
            <w:tcW w:w="3194" w:type="dxa"/>
            <w:vAlign w:val="center"/>
          </w:tcPr>
          <w:p w14:paraId="6B03E26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临电私拉乱接、违反用电规程</w:t>
            </w:r>
          </w:p>
        </w:tc>
        <w:tc>
          <w:tcPr>
            <w:tcW w:w="1484" w:type="dxa"/>
            <w:gridSpan w:val="2"/>
          </w:tcPr>
          <w:p w14:paraId="29312201">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vAlign w:val="center"/>
          </w:tcPr>
          <w:p w14:paraId="6229F3C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21</w:t>
            </w:r>
          </w:p>
        </w:tc>
        <w:tc>
          <w:tcPr>
            <w:tcW w:w="2520" w:type="dxa"/>
            <w:gridSpan w:val="2"/>
            <w:vAlign w:val="center"/>
          </w:tcPr>
          <w:p w14:paraId="15BF79A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卸料平台搭设及使用不规范</w:t>
            </w:r>
          </w:p>
        </w:tc>
        <w:tc>
          <w:tcPr>
            <w:tcW w:w="1260" w:type="dxa"/>
          </w:tcPr>
          <w:p w14:paraId="2C7CDA97">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293A4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1" w:type="dxa"/>
            <w:vAlign w:val="center"/>
          </w:tcPr>
          <w:p w14:paraId="5D0B4BF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8</w:t>
            </w:r>
          </w:p>
        </w:tc>
        <w:tc>
          <w:tcPr>
            <w:tcW w:w="3194" w:type="dxa"/>
            <w:vAlign w:val="center"/>
          </w:tcPr>
          <w:p w14:paraId="232A67E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配电箱内有杂物、箱门未按规定上锁</w:t>
            </w:r>
          </w:p>
        </w:tc>
        <w:tc>
          <w:tcPr>
            <w:tcW w:w="1484" w:type="dxa"/>
            <w:gridSpan w:val="2"/>
          </w:tcPr>
          <w:p w14:paraId="238A5530">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vAlign w:val="center"/>
          </w:tcPr>
          <w:p w14:paraId="3370A31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22</w:t>
            </w:r>
          </w:p>
        </w:tc>
        <w:tc>
          <w:tcPr>
            <w:tcW w:w="2520" w:type="dxa"/>
            <w:gridSpan w:val="2"/>
            <w:vAlign w:val="center"/>
          </w:tcPr>
          <w:p w14:paraId="016D8D2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在工作面违规生火</w:t>
            </w:r>
          </w:p>
        </w:tc>
        <w:tc>
          <w:tcPr>
            <w:tcW w:w="1260" w:type="dxa"/>
          </w:tcPr>
          <w:p w14:paraId="4FA6A367">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4E44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1" w:type="dxa"/>
            <w:vAlign w:val="center"/>
          </w:tcPr>
          <w:p w14:paraId="0D16AD1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9</w:t>
            </w:r>
          </w:p>
        </w:tc>
        <w:tc>
          <w:tcPr>
            <w:tcW w:w="3194" w:type="dxa"/>
            <w:vAlign w:val="center"/>
          </w:tcPr>
          <w:p w14:paraId="30CE8C7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机械、钢筋加工、电工、电焊工等违规作业</w:t>
            </w:r>
          </w:p>
        </w:tc>
        <w:tc>
          <w:tcPr>
            <w:tcW w:w="1484" w:type="dxa"/>
            <w:gridSpan w:val="2"/>
          </w:tcPr>
          <w:p w14:paraId="41E6EF37">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vAlign w:val="center"/>
          </w:tcPr>
          <w:p w14:paraId="29447CF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23</w:t>
            </w:r>
          </w:p>
        </w:tc>
        <w:tc>
          <w:tcPr>
            <w:tcW w:w="2520" w:type="dxa"/>
            <w:gridSpan w:val="2"/>
            <w:vAlign w:val="center"/>
          </w:tcPr>
          <w:p w14:paraId="7457F4C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未按规定系安全带</w:t>
            </w:r>
          </w:p>
        </w:tc>
        <w:tc>
          <w:tcPr>
            <w:tcW w:w="1260" w:type="dxa"/>
          </w:tcPr>
          <w:p w14:paraId="1E5DDAB3">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29677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1" w:type="dxa"/>
            <w:vAlign w:val="center"/>
          </w:tcPr>
          <w:p w14:paraId="6821AFA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10</w:t>
            </w:r>
          </w:p>
        </w:tc>
        <w:tc>
          <w:tcPr>
            <w:tcW w:w="3194" w:type="dxa"/>
            <w:vAlign w:val="center"/>
          </w:tcPr>
          <w:p w14:paraId="06B7C7A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施工现场“四口”、“五临边”防护不到位</w:t>
            </w:r>
          </w:p>
        </w:tc>
        <w:tc>
          <w:tcPr>
            <w:tcW w:w="1484" w:type="dxa"/>
            <w:gridSpan w:val="2"/>
          </w:tcPr>
          <w:p w14:paraId="013C6C58">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vAlign w:val="center"/>
          </w:tcPr>
          <w:p w14:paraId="45952DB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24</w:t>
            </w:r>
          </w:p>
        </w:tc>
        <w:tc>
          <w:tcPr>
            <w:tcW w:w="2520" w:type="dxa"/>
            <w:gridSpan w:val="2"/>
          </w:tcPr>
          <w:p w14:paraId="6E0E18E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未戴安全帽，穿拖鞋，带小孩、违规抽烟</w:t>
            </w:r>
          </w:p>
        </w:tc>
        <w:tc>
          <w:tcPr>
            <w:tcW w:w="1260" w:type="dxa"/>
          </w:tcPr>
          <w:p w14:paraId="4C1A3EE0">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F9B7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1" w:type="dxa"/>
            <w:vAlign w:val="center"/>
          </w:tcPr>
          <w:p w14:paraId="137FAAC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11</w:t>
            </w:r>
          </w:p>
        </w:tc>
        <w:tc>
          <w:tcPr>
            <w:tcW w:w="3194" w:type="dxa"/>
            <w:vAlign w:val="center"/>
          </w:tcPr>
          <w:p w14:paraId="586A357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模板、机械等设施拆除前未进行必要的防护</w:t>
            </w:r>
          </w:p>
        </w:tc>
        <w:tc>
          <w:tcPr>
            <w:tcW w:w="1484" w:type="dxa"/>
            <w:gridSpan w:val="2"/>
          </w:tcPr>
          <w:p w14:paraId="5133AE02">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vAlign w:val="center"/>
          </w:tcPr>
          <w:p w14:paraId="0BE11CB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25</w:t>
            </w:r>
          </w:p>
        </w:tc>
        <w:tc>
          <w:tcPr>
            <w:tcW w:w="2520" w:type="dxa"/>
            <w:gridSpan w:val="2"/>
            <w:vAlign w:val="center"/>
          </w:tcPr>
          <w:p w14:paraId="47A62B1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施工现场防暑降温措施不到位</w:t>
            </w:r>
          </w:p>
        </w:tc>
        <w:tc>
          <w:tcPr>
            <w:tcW w:w="1260" w:type="dxa"/>
          </w:tcPr>
          <w:p w14:paraId="632AA794">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F872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1" w:type="dxa"/>
            <w:vAlign w:val="center"/>
          </w:tcPr>
          <w:p w14:paraId="35244B0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12</w:t>
            </w:r>
          </w:p>
        </w:tc>
        <w:tc>
          <w:tcPr>
            <w:tcW w:w="3194" w:type="dxa"/>
            <w:vAlign w:val="center"/>
          </w:tcPr>
          <w:p w14:paraId="7B2021F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大型垂直运输设备、外架搭设与拆除，总包未安排专职安全员到场进行旁站监督，没有设置安全警戒线，安装及拆除人员未持证上岗</w:t>
            </w:r>
          </w:p>
        </w:tc>
        <w:tc>
          <w:tcPr>
            <w:tcW w:w="1484" w:type="dxa"/>
            <w:gridSpan w:val="2"/>
          </w:tcPr>
          <w:p w14:paraId="62BD78DE">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vAlign w:val="center"/>
          </w:tcPr>
          <w:p w14:paraId="6FC65CB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26</w:t>
            </w:r>
          </w:p>
        </w:tc>
        <w:tc>
          <w:tcPr>
            <w:tcW w:w="2520" w:type="dxa"/>
            <w:gridSpan w:val="2"/>
            <w:vAlign w:val="center"/>
          </w:tcPr>
          <w:p w14:paraId="2AE646C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涉及安全问题的《监理通知单》未按时回复</w:t>
            </w:r>
          </w:p>
        </w:tc>
        <w:tc>
          <w:tcPr>
            <w:tcW w:w="1260" w:type="dxa"/>
          </w:tcPr>
          <w:p w14:paraId="5616D2E0">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6D49D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751" w:type="dxa"/>
            <w:vAlign w:val="center"/>
          </w:tcPr>
          <w:p w14:paraId="44AFCBA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13</w:t>
            </w:r>
          </w:p>
        </w:tc>
        <w:tc>
          <w:tcPr>
            <w:tcW w:w="3194" w:type="dxa"/>
            <w:vAlign w:val="center"/>
          </w:tcPr>
          <w:p w14:paraId="2CBC76D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塔吊、外用电梯由不具备资质的安装单位安装，未取得安全检验部门颁发的“准用证”使用；操作人员未持证上岗</w:t>
            </w:r>
          </w:p>
        </w:tc>
        <w:tc>
          <w:tcPr>
            <w:tcW w:w="1484" w:type="dxa"/>
            <w:gridSpan w:val="2"/>
          </w:tcPr>
          <w:p w14:paraId="042F16E8">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vAlign w:val="center"/>
          </w:tcPr>
          <w:p w14:paraId="2DD8367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27</w:t>
            </w:r>
          </w:p>
        </w:tc>
        <w:tc>
          <w:tcPr>
            <w:tcW w:w="2520" w:type="dxa"/>
            <w:gridSpan w:val="2"/>
            <w:vAlign w:val="center"/>
          </w:tcPr>
          <w:p w14:paraId="7AC6EA1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建设方或监理认为的其他安全隐患</w:t>
            </w:r>
          </w:p>
        </w:tc>
        <w:tc>
          <w:tcPr>
            <w:tcW w:w="1260" w:type="dxa"/>
          </w:tcPr>
          <w:p w14:paraId="70532462">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11DC0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751" w:type="dxa"/>
            <w:vAlign w:val="center"/>
          </w:tcPr>
          <w:p w14:paraId="44BA6AE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14</w:t>
            </w:r>
          </w:p>
        </w:tc>
        <w:tc>
          <w:tcPr>
            <w:tcW w:w="3194" w:type="dxa"/>
            <w:vAlign w:val="center"/>
          </w:tcPr>
          <w:p w14:paraId="715F13F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私自改装塔吊吊钩，私自拆除塔吊限位装置</w:t>
            </w:r>
          </w:p>
        </w:tc>
        <w:tc>
          <w:tcPr>
            <w:tcW w:w="1484" w:type="dxa"/>
            <w:gridSpan w:val="2"/>
          </w:tcPr>
          <w:p w14:paraId="4BE3EB7A">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676" w:type="dxa"/>
          </w:tcPr>
          <w:p w14:paraId="79A592D8">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2520" w:type="dxa"/>
            <w:gridSpan w:val="2"/>
          </w:tcPr>
          <w:p w14:paraId="61E786C1">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1260" w:type="dxa"/>
          </w:tcPr>
          <w:p w14:paraId="2B1CAF3F">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74DC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751" w:type="dxa"/>
            <w:vAlign w:val="center"/>
          </w:tcPr>
          <w:p w14:paraId="746DEFD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第一次检查确认</w:t>
            </w:r>
          </w:p>
        </w:tc>
        <w:tc>
          <w:tcPr>
            <w:tcW w:w="4274" w:type="dxa"/>
            <w:gridSpan w:val="2"/>
          </w:tcPr>
          <w:p w14:paraId="01AF037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建设单位：</w:t>
            </w:r>
          </w:p>
        </w:tc>
        <w:tc>
          <w:tcPr>
            <w:tcW w:w="3476" w:type="dxa"/>
            <w:gridSpan w:val="3"/>
          </w:tcPr>
          <w:p w14:paraId="3334688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监理单位：</w:t>
            </w:r>
          </w:p>
        </w:tc>
        <w:tc>
          <w:tcPr>
            <w:tcW w:w="1384" w:type="dxa"/>
            <w:gridSpan w:val="2"/>
          </w:tcPr>
          <w:p w14:paraId="7FCC0A0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施工单位：</w:t>
            </w:r>
          </w:p>
        </w:tc>
      </w:tr>
      <w:tr w14:paraId="7362E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7" w:hRule="atLeast"/>
          <w:jc w:val="center"/>
        </w:trPr>
        <w:tc>
          <w:tcPr>
            <w:tcW w:w="751" w:type="dxa"/>
            <w:vAlign w:val="center"/>
          </w:tcPr>
          <w:p w14:paraId="0B14E0E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复查记录</w:t>
            </w:r>
          </w:p>
        </w:tc>
        <w:tc>
          <w:tcPr>
            <w:tcW w:w="9134" w:type="dxa"/>
            <w:gridSpan w:val="7"/>
          </w:tcPr>
          <w:p w14:paraId="1F72D35F">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AD08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jc w:val="center"/>
        </w:trPr>
        <w:tc>
          <w:tcPr>
            <w:tcW w:w="751" w:type="dxa"/>
            <w:vAlign w:val="center"/>
          </w:tcPr>
          <w:p w14:paraId="1386A9C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复查确认</w:t>
            </w:r>
          </w:p>
        </w:tc>
        <w:tc>
          <w:tcPr>
            <w:tcW w:w="4274" w:type="dxa"/>
            <w:gridSpan w:val="2"/>
          </w:tcPr>
          <w:p w14:paraId="31B256B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建设单位：</w:t>
            </w:r>
          </w:p>
          <w:p w14:paraId="26E66627">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c>
          <w:tcPr>
            <w:tcW w:w="3476" w:type="dxa"/>
            <w:gridSpan w:val="3"/>
          </w:tcPr>
          <w:p w14:paraId="5AF05ED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监理单位：</w:t>
            </w:r>
          </w:p>
        </w:tc>
        <w:tc>
          <w:tcPr>
            <w:tcW w:w="1384" w:type="dxa"/>
            <w:gridSpan w:val="2"/>
          </w:tcPr>
          <w:p w14:paraId="6D21618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施工单位：</w:t>
            </w:r>
          </w:p>
        </w:tc>
      </w:tr>
    </w:tbl>
    <w:p w14:paraId="50550554">
      <w:pPr>
        <w:spacing w:line="360" w:lineRule="auto"/>
        <w:ind w:firstLine="482"/>
        <w:jc w:val="center"/>
        <w:outlineLvl w:val="9"/>
        <w:rPr>
          <w:rFonts w:cs="宋体" w:asciiTheme="minorEastAsia" w:hAnsiTheme="minorEastAsia" w:eastAsiaTheme="minorEastAsia"/>
          <w:b/>
          <w:color w:val="auto"/>
          <w:szCs w:val="21"/>
          <w:highlight w:val="none"/>
        </w:rPr>
      </w:pPr>
    </w:p>
    <w:p w14:paraId="2BF6D77C">
      <w:pPr>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br w:type="page"/>
      </w:r>
    </w:p>
    <w:p w14:paraId="0A3E57B5">
      <w:pPr>
        <w:spacing w:line="360" w:lineRule="auto"/>
        <w:ind w:firstLine="643"/>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经发地产项目安全文明管理实施细则（数据检查）</w:t>
      </w:r>
    </w:p>
    <w:tbl>
      <w:tblPr>
        <w:tblStyle w:val="5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4644"/>
        <w:gridCol w:w="3950"/>
      </w:tblGrid>
      <w:tr w14:paraId="37CA9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17" w:type="dxa"/>
            <w:vAlign w:val="center"/>
          </w:tcPr>
          <w:p w14:paraId="4395403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序号</w:t>
            </w:r>
          </w:p>
        </w:tc>
        <w:tc>
          <w:tcPr>
            <w:tcW w:w="4820" w:type="dxa"/>
          </w:tcPr>
          <w:p w14:paraId="482859D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检查内容</w:t>
            </w:r>
          </w:p>
        </w:tc>
        <w:tc>
          <w:tcPr>
            <w:tcW w:w="4103" w:type="dxa"/>
          </w:tcPr>
          <w:p w14:paraId="09E30F2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扣款办法</w:t>
            </w:r>
          </w:p>
        </w:tc>
      </w:tr>
      <w:tr w14:paraId="46B05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B9CD68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w:t>
            </w:r>
          </w:p>
        </w:tc>
        <w:tc>
          <w:tcPr>
            <w:tcW w:w="4820" w:type="dxa"/>
            <w:vAlign w:val="center"/>
          </w:tcPr>
          <w:p w14:paraId="29D937F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安全教育（日常、三级安全教育培训等）与安全宣传资料不齐全、签字不全</w:t>
            </w:r>
          </w:p>
        </w:tc>
        <w:tc>
          <w:tcPr>
            <w:tcW w:w="4103" w:type="dxa"/>
            <w:vAlign w:val="center"/>
          </w:tcPr>
          <w:p w14:paraId="77EE483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500元</w:t>
            </w:r>
          </w:p>
        </w:tc>
      </w:tr>
      <w:tr w14:paraId="6D34F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406C839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w:t>
            </w:r>
          </w:p>
        </w:tc>
        <w:tc>
          <w:tcPr>
            <w:tcW w:w="4820" w:type="dxa"/>
            <w:vAlign w:val="center"/>
          </w:tcPr>
          <w:p w14:paraId="09A8A76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安全检查（日常、节假日、定期检查）、</w:t>
            </w:r>
          </w:p>
          <w:p w14:paraId="629E108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无记录、无整改措施、无回复记录</w:t>
            </w:r>
          </w:p>
        </w:tc>
        <w:tc>
          <w:tcPr>
            <w:tcW w:w="4103" w:type="dxa"/>
            <w:vAlign w:val="center"/>
          </w:tcPr>
          <w:p w14:paraId="69F98D5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500元</w:t>
            </w:r>
          </w:p>
        </w:tc>
      </w:tr>
      <w:tr w14:paraId="72D82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144425A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w:t>
            </w:r>
          </w:p>
        </w:tc>
        <w:tc>
          <w:tcPr>
            <w:tcW w:w="4820" w:type="dxa"/>
            <w:vAlign w:val="center"/>
          </w:tcPr>
          <w:p w14:paraId="22A801B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“安全三宝”资料不齐全</w:t>
            </w:r>
          </w:p>
        </w:tc>
        <w:tc>
          <w:tcPr>
            <w:tcW w:w="4103" w:type="dxa"/>
            <w:vAlign w:val="center"/>
          </w:tcPr>
          <w:p w14:paraId="13308CD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发现不全，限期整改。发现两次扣款</w:t>
            </w:r>
            <w:r>
              <w:rPr>
                <w:rFonts w:cs="宋体" w:asciiTheme="minorEastAsia" w:hAnsiTheme="minorEastAsia" w:eastAsiaTheme="minorEastAsia"/>
                <w:bCs/>
                <w:color w:val="auto"/>
                <w:szCs w:val="21"/>
                <w:highlight w:val="none"/>
              </w:rPr>
              <w:t>500元</w:t>
            </w:r>
          </w:p>
        </w:tc>
      </w:tr>
      <w:tr w14:paraId="1CF2E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56D1B7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w:t>
            </w:r>
          </w:p>
        </w:tc>
        <w:tc>
          <w:tcPr>
            <w:tcW w:w="4820" w:type="dxa"/>
            <w:vAlign w:val="center"/>
          </w:tcPr>
          <w:p w14:paraId="7E7652A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大型垂直运输设备（塔吊、外用电梯、</w:t>
            </w:r>
          </w:p>
          <w:p w14:paraId="1024BFF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升降机等）安装没有进行专项方案报</w:t>
            </w:r>
          </w:p>
          <w:p w14:paraId="6CD5EB7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审，或签字盖章手续不齐全</w:t>
            </w:r>
          </w:p>
        </w:tc>
        <w:tc>
          <w:tcPr>
            <w:tcW w:w="4103" w:type="dxa"/>
            <w:vAlign w:val="center"/>
          </w:tcPr>
          <w:p w14:paraId="659FB9F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一经发现报审、签字盖章手续不齐全，该作业面立即停工，并扣款</w:t>
            </w:r>
            <w:r>
              <w:rPr>
                <w:rFonts w:cs="宋体" w:asciiTheme="minorEastAsia" w:hAnsiTheme="minorEastAsia" w:eastAsiaTheme="minorEastAsia"/>
                <w:bCs/>
                <w:color w:val="auto"/>
                <w:szCs w:val="21"/>
                <w:highlight w:val="none"/>
              </w:rPr>
              <w:t>1000元</w:t>
            </w:r>
          </w:p>
        </w:tc>
      </w:tr>
      <w:tr w14:paraId="2AC2A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21F153E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5</w:t>
            </w:r>
          </w:p>
        </w:tc>
        <w:tc>
          <w:tcPr>
            <w:tcW w:w="4820" w:type="dxa"/>
            <w:vAlign w:val="center"/>
          </w:tcPr>
          <w:p w14:paraId="3DE683F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大型垂直运输设备拆除前没有到原备</w:t>
            </w:r>
          </w:p>
          <w:p w14:paraId="04D88D5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案单位履行销户手续，拆除前没有进</w:t>
            </w:r>
          </w:p>
          <w:p w14:paraId="0CFF0E6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行专项方案报审</w:t>
            </w:r>
          </w:p>
        </w:tc>
        <w:tc>
          <w:tcPr>
            <w:tcW w:w="4103" w:type="dxa"/>
            <w:vAlign w:val="center"/>
          </w:tcPr>
          <w:p w14:paraId="46EC796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一经发现报审、签字盖章手续不齐全，该作业面立即停工，并扣款</w:t>
            </w:r>
            <w:r>
              <w:rPr>
                <w:rFonts w:cs="宋体" w:asciiTheme="minorEastAsia" w:hAnsiTheme="minorEastAsia" w:eastAsiaTheme="minorEastAsia"/>
                <w:bCs/>
                <w:color w:val="auto"/>
                <w:szCs w:val="21"/>
                <w:highlight w:val="none"/>
              </w:rPr>
              <w:t>1000元</w:t>
            </w:r>
          </w:p>
        </w:tc>
      </w:tr>
      <w:tr w14:paraId="66566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122E168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6</w:t>
            </w:r>
          </w:p>
        </w:tc>
        <w:tc>
          <w:tcPr>
            <w:tcW w:w="4820" w:type="dxa"/>
            <w:vAlign w:val="center"/>
          </w:tcPr>
          <w:p w14:paraId="48A1F19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大型垂直运输设备及吊具、吊索等日</w:t>
            </w:r>
          </w:p>
          <w:p w14:paraId="5812ACB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常维护与保养记录不齐全</w:t>
            </w:r>
          </w:p>
        </w:tc>
        <w:tc>
          <w:tcPr>
            <w:tcW w:w="4103" w:type="dxa"/>
            <w:vAlign w:val="center"/>
          </w:tcPr>
          <w:p w14:paraId="52113CC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500元</w:t>
            </w:r>
          </w:p>
        </w:tc>
      </w:tr>
      <w:tr w14:paraId="0B4EF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8082C0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7</w:t>
            </w:r>
          </w:p>
        </w:tc>
        <w:tc>
          <w:tcPr>
            <w:tcW w:w="4820" w:type="dxa"/>
            <w:vAlign w:val="center"/>
          </w:tcPr>
          <w:p w14:paraId="761276B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外架搭设及拆除没有进行专项方案报</w:t>
            </w:r>
          </w:p>
          <w:p w14:paraId="1E68A19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审或签字盖章手续不齐全。外架搭设</w:t>
            </w:r>
          </w:p>
          <w:p w14:paraId="08C698D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完成后，没有相关的验收手续</w:t>
            </w:r>
          </w:p>
        </w:tc>
        <w:tc>
          <w:tcPr>
            <w:tcW w:w="4103" w:type="dxa"/>
            <w:vAlign w:val="center"/>
          </w:tcPr>
          <w:p w14:paraId="4B5AAB4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一经发现报审、签字盖章手续不齐全，暂停该工作面限期整改，并扣款</w:t>
            </w:r>
            <w:r>
              <w:rPr>
                <w:rFonts w:cs="宋体" w:asciiTheme="minorEastAsia" w:hAnsiTheme="minorEastAsia" w:eastAsiaTheme="minorEastAsia"/>
                <w:bCs/>
                <w:color w:val="auto"/>
                <w:szCs w:val="21"/>
                <w:highlight w:val="none"/>
              </w:rPr>
              <w:t>1000元</w:t>
            </w:r>
          </w:p>
        </w:tc>
      </w:tr>
      <w:tr w14:paraId="7DA54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3F9906F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8</w:t>
            </w:r>
          </w:p>
        </w:tc>
        <w:tc>
          <w:tcPr>
            <w:tcW w:w="4820" w:type="dxa"/>
            <w:vAlign w:val="center"/>
          </w:tcPr>
          <w:p w14:paraId="51B9CB8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事故应急救援体系（预案、机构、演</w:t>
            </w:r>
          </w:p>
          <w:p w14:paraId="74ED219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练）没有建立与备案</w:t>
            </w:r>
          </w:p>
        </w:tc>
        <w:tc>
          <w:tcPr>
            <w:tcW w:w="4103" w:type="dxa"/>
            <w:vAlign w:val="center"/>
          </w:tcPr>
          <w:p w14:paraId="312AE4E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500元</w:t>
            </w:r>
          </w:p>
        </w:tc>
      </w:tr>
      <w:tr w14:paraId="2CAD3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171424D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9</w:t>
            </w:r>
          </w:p>
        </w:tc>
        <w:tc>
          <w:tcPr>
            <w:tcW w:w="4820" w:type="dxa"/>
            <w:vAlign w:val="center"/>
          </w:tcPr>
          <w:p w14:paraId="37B1425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分包单位资质、安全员的证件不全，专业人员无上岗证，安全教育记录不齐全，安全技术交底记录不齐全，没有与总包签订安全责任书</w:t>
            </w:r>
          </w:p>
        </w:tc>
        <w:tc>
          <w:tcPr>
            <w:tcW w:w="4103" w:type="dxa"/>
            <w:vAlign w:val="center"/>
          </w:tcPr>
          <w:p w14:paraId="463D874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1000元。两次</w:t>
            </w:r>
          </w:p>
          <w:p w14:paraId="143862E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以上该作业面立即停工</w:t>
            </w:r>
          </w:p>
        </w:tc>
      </w:tr>
      <w:tr w14:paraId="26842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0C9B012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10</w:t>
            </w:r>
          </w:p>
        </w:tc>
        <w:tc>
          <w:tcPr>
            <w:tcW w:w="4820" w:type="dxa"/>
            <w:vAlign w:val="center"/>
          </w:tcPr>
          <w:p w14:paraId="7B3AF88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特种设备作业人员未持证有效证件上</w:t>
            </w:r>
          </w:p>
          <w:p w14:paraId="2094491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岗或人证不符</w:t>
            </w:r>
          </w:p>
        </w:tc>
        <w:tc>
          <w:tcPr>
            <w:tcW w:w="4103" w:type="dxa"/>
            <w:vAlign w:val="center"/>
          </w:tcPr>
          <w:p w14:paraId="4C68857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500元</w:t>
            </w:r>
          </w:p>
        </w:tc>
      </w:tr>
    </w:tbl>
    <w:p w14:paraId="2D756FBF">
      <w:pPr>
        <w:ind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br w:type="page"/>
      </w:r>
    </w:p>
    <w:p w14:paraId="491B1116">
      <w:pPr>
        <w:spacing w:line="360" w:lineRule="auto"/>
        <w:ind w:firstLine="643"/>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经发地产项目安全文明管理实施细则（现场检查）</w:t>
      </w:r>
    </w:p>
    <w:tbl>
      <w:tblPr>
        <w:tblStyle w:val="5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4915"/>
        <w:gridCol w:w="3679"/>
      </w:tblGrid>
      <w:tr w14:paraId="0ED91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37088F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序号</w:t>
            </w:r>
          </w:p>
        </w:tc>
        <w:tc>
          <w:tcPr>
            <w:tcW w:w="5103" w:type="dxa"/>
          </w:tcPr>
          <w:p w14:paraId="69453F1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检查内容</w:t>
            </w:r>
          </w:p>
        </w:tc>
        <w:tc>
          <w:tcPr>
            <w:tcW w:w="3820" w:type="dxa"/>
          </w:tcPr>
          <w:p w14:paraId="7BC6B3F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扣款办法</w:t>
            </w:r>
          </w:p>
        </w:tc>
      </w:tr>
      <w:tr w14:paraId="60735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2ACDCF5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w:t>
            </w:r>
          </w:p>
        </w:tc>
        <w:tc>
          <w:tcPr>
            <w:tcW w:w="5103" w:type="dxa"/>
            <w:vAlign w:val="center"/>
          </w:tcPr>
          <w:p w14:paraId="5BDE259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土方开挖放坡系数不够又未采取支护，坑边未做防护或坑边违规堆料</w:t>
            </w:r>
          </w:p>
        </w:tc>
        <w:tc>
          <w:tcPr>
            <w:tcW w:w="3820" w:type="dxa"/>
            <w:vAlign w:val="center"/>
          </w:tcPr>
          <w:p w14:paraId="546FC33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发现一次，该作业面立即停工，并扣款</w:t>
            </w:r>
            <w:r>
              <w:rPr>
                <w:rFonts w:cs="宋体" w:asciiTheme="minorEastAsia" w:hAnsiTheme="minorEastAsia" w:eastAsiaTheme="minorEastAsia"/>
                <w:bCs/>
                <w:color w:val="auto"/>
                <w:szCs w:val="21"/>
                <w:highlight w:val="none"/>
              </w:rPr>
              <w:t>500元</w:t>
            </w:r>
          </w:p>
        </w:tc>
      </w:tr>
      <w:tr w14:paraId="27737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2F9C0E5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w:t>
            </w:r>
          </w:p>
        </w:tc>
        <w:tc>
          <w:tcPr>
            <w:tcW w:w="5103" w:type="dxa"/>
            <w:vAlign w:val="center"/>
          </w:tcPr>
          <w:p w14:paraId="3585075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基坑上下周边未设排水系统，积水未及时抽排</w:t>
            </w:r>
          </w:p>
        </w:tc>
        <w:tc>
          <w:tcPr>
            <w:tcW w:w="3820" w:type="dxa"/>
            <w:vAlign w:val="center"/>
          </w:tcPr>
          <w:p w14:paraId="01472D6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1000元</w:t>
            </w:r>
          </w:p>
        </w:tc>
      </w:tr>
      <w:tr w14:paraId="40C1F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2EA24A1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w:t>
            </w:r>
          </w:p>
        </w:tc>
        <w:tc>
          <w:tcPr>
            <w:tcW w:w="5103" w:type="dxa"/>
            <w:vAlign w:val="center"/>
          </w:tcPr>
          <w:p w14:paraId="2B92D90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现场安全防护设施、机械设备、施工机具防护缺损，管理与使用不规范</w:t>
            </w:r>
          </w:p>
        </w:tc>
        <w:tc>
          <w:tcPr>
            <w:tcW w:w="3820" w:type="dxa"/>
            <w:vAlign w:val="center"/>
          </w:tcPr>
          <w:p w14:paraId="75DD30D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发现一次，立即该作业面停工，并扣款</w:t>
            </w:r>
            <w:r>
              <w:rPr>
                <w:rFonts w:cs="宋体" w:asciiTheme="minorEastAsia" w:hAnsiTheme="minorEastAsia" w:eastAsiaTheme="minorEastAsia"/>
                <w:bCs/>
                <w:color w:val="auto"/>
                <w:szCs w:val="21"/>
                <w:highlight w:val="none"/>
              </w:rPr>
              <w:t>1000元</w:t>
            </w:r>
          </w:p>
        </w:tc>
      </w:tr>
      <w:tr w14:paraId="7B50E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7E6CE63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w:t>
            </w:r>
          </w:p>
        </w:tc>
        <w:tc>
          <w:tcPr>
            <w:tcW w:w="5103" w:type="dxa"/>
            <w:vAlign w:val="center"/>
          </w:tcPr>
          <w:p w14:paraId="64438C5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物料堆放不符合安全要求，乙炔、氧气存放、使用不规范</w:t>
            </w:r>
          </w:p>
        </w:tc>
        <w:tc>
          <w:tcPr>
            <w:tcW w:w="3820" w:type="dxa"/>
            <w:vAlign w:val="center"/>
          </w:tcPr>
          <w:p w14:paraId="03A4FFB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1000元</w:t>
            </w:r>
          </w:p>
        </w:tc>
      </w:tr>
      <w:tr w14:paraId="1CD93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2AEF6BF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5</w:t>
            </w:r>
          </w:p>
        </w:tc>
        <w:tc>
          <w:tcPr>
            <w:tcW w:w="5103" w:type="dxa"/>
            <w:vAlign w:val="center"/>
          </w:tcPr>
          <w:p w14:paraId="7AED575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消防设施不到位</w:t>
            </w:r>
          </w:p>
        </w:tc>
        <w:tc>
          <w:tcPr>
            <w:tcW w:w="3820" w:type="dxa"/>
            <w:vAlign w:val="center"/>
          </w:tcPr>
          <w:p w14:paraId="715D975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发现一次，限期整改，并扣款</w:t>
            </w:r>
            <w:r>
              <w:rPr>
                <w:rFonts w:cs="宋体" w:asciiTheme="minorEastAsia" w:hAnsiTheme="minorEastAsia" w:eastAsiaTheme="minorEastAsia"/>
                <w:bCs/>
                <w:color w:val="auto"/>
                <w:szCs w:val="21"/>
                <w:highlight w:val="none"/>
              </w:rPr>
              <w:t>500元。发现两次，罚款1000元</w:t>
            </w:r>
          </w:p>
        </w:tc>
      </w:tr>
      <w:tr w14:paraId="35089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0B00988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6</w:t>
            </w:r>
          </w:p>
        </w:tc>
        <w:tc>
          <w:tcPr>
            <w:tcW w:w="5103" w:type="dxa"/>
            <w:vAlign w:val="center"/>
          </w:tcPr>
          <w:p w14:paraId="2B0584B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临时用电未执行三相五线制、三级用电两级保护和“一机、一闸、一箱、一漏”</w:t>
            </w:r>
          </w:p>
        </w:tc>
        <w:tc>
          <w:tcPr>
            <w:tcW w:w="3820" w:type="dxa"/>
            <w:vAlign w:val="center"/>
          </w:tcPr>
          <w:p w14:paraId="5B67C9B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1000元</w:t>
            </w:r>
          </w:p>
        </w:tc>
      </w:tr>
      <w:tr w14:paraId="4C995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41F986A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7</w:t>
            </w:r>
          </w:p>
        </w:tc>
        <w:tc>
          <w:tcPr>
            <w:tcW w:w="5103" w:type="dxa"/>
            <w:vAlign w:val="center"/>
          </w:tcPr>
          <w:p w14:paraId="5215571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临电私拉乱接、违反用电规程，</w:t>
            </w:r>
          </w:p>
        </w:tc>
        <w:tc>
          <w:tcPr>
            <w:tcW w:w="3820" w:type="dxa"/>
            <w:vAlign w:val="center"/>
          </w:tcPr>
          <w:p w14:paraId="2024597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1000元</w:t>
            </w:r>
          </w:p>
        </w:tc>
      </w:tr>
      <w:tr w14:paraId="0D7AA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4C4E43E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8</w:t>
            </w:r>
          </w:p>
        </w:tc>
        <w:tc>
          <w:tcPr>
            <w:tcW w:w="5103" w:type="dxa"/>
            <w:vAlign w:val="center"/>
          </w:tcPr>
          <w:p w14:paraId="6C64907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配电箱内有杂物、箱门未按规定上锁</w:t>
            </w:r>
          </w:p>
        </w:tc>
        <w:tc>
          <w:tcPr>
            <w:tcW w:w="3820" w:type="dxa"/>
            <w:vAlign w:val="center"/>
          </w:tcPr>
          <w:p w14:paraId="79723E7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500元</w:t>
            </w:r>
          </w:p>
        </w:tc>
      </w:tr>
      <w:tr w14:paraId="6AD0F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448C560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9</w:t>
            </w:r>
          </w:p>
        </w:tc>
        <w:tc>
          <w:tcPr>
            <w:tcW w:w="5103" w:type="dxa"/>
            <w:vAlign w:val="center"/>
          </w:tcPr>
          <w:p w14:paraId="453AD0D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机械、钢筋加工、电工、电焊工等违规作业</w:t>
            </w:r>
          </w:p>
        </w:tc>
        <w:tc>
          <w:tcPr>
            <w:tcW w:w="3820" w:type="dxa"/>
            <w:vAlign w:val="center"/>
          </w:tcPr>
          <w:p w14:paraId="637A798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50元/人</w:t>
            </w:r>
          </w:p>
        </w:tc>
      </w:tr>
      <w:tr w14:paraId="2E0CB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0626011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10</w:t>
            </w:r>
          </w:p>
        </w:tc>
        <w:tc>
          <w:tcPr>
            <w:tcW w:w="5103" w:type="dxa"/>
            <w:vAlign w:val="center"/>
          </w:tcPr>
          <w:p w14:paraId="719744D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施工现场“四口”、“五临边”防护不到位</w:t>
            </w:r>
          </w:p>
        </w:tc>
        <w:tc>
          <w:tcPr>
            <w:tcW w:w="3820" w:type="dxa"/>
            <w:vAlign w:val="center"/>
          </w:tcPr>
          <w:p w14:paraId="22ED0CF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一经发现，该作业面立即停工，并扣款</w:t>
            </w:r>
            <w:r>
              <w:rPr>
                <w:rFonts w:cs="宋体" w:asciiTheme="minorEastAsia" w:hAnsiTheme="minorEastAsia" w:eastAsiaTheme="minorEastAsia"/>
                <w:bCs/>
                <w:color w:val="auto"/>
                <w:szCs w:val="21"/>
                <w:highlight w:val="none"/>
              </w:rPr>
              <w:t>1000元</w:t>
            </w:r>
          </w:p>
        </w:tc>
      </w:tr>
      <w:tr w14:paraId="5F51A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272D8A3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11</w:t>
            </w:r>
          </w:p>
        </w:tc>
        <w:tc>
          <w:tcPr>
            <w:tcW w:w="5103" w:type="dxa"/>
            <w:vAlign w:val="center"/>
          </w:tcPr>
          <w:p w14:paraId="06854A3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模板、机械等设施拆除前未进行必要的防护</w:t>
            </w:r>
          </w:p>
        </w:tc>
        <w:tc>
          <w:tcPr>
            <w:tcW w:w="3820" w:type="dxa"/>
            <w:vAlign w:val="center"/>
          </w:tcPr>
          <w:p w14:paraId="49F5636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发现一次，该作业面立即停工，并扣款</w:t>
            </w:r>
            <w:r>
              <w:rPr>
                <w:rFonts w:cs="宋体" w:asciiTheme="minorEastAsia" w:hAnsiTheme="minorEastAsia" w:eastAsiaTheme="minorEastAsia"/>
                <w:bCs/>
                <w:color w:val="auto"/>
                <w:szCs w:val="21"/>
                <w:highlight w:val="none"/>
              </w:rPr>
              <w:t>500元</w:t>
            </w:r>
          </w:p>
        </w:tc>
      </w:tr>
      <w:tr w14:paraId="621FC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707515E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12</w:t>
            </w:r>
          </w:p>
        </w:tc>
        <w:tc>
          <w:tcPr>
            <w:tcW w:w="5103" w:type="dxa"/>
            <w:vAlign w:val="center"/>
          </w:tcPr>
          <w:p w14:paraId="3A79D5F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大型垂直运输设备、外架搭设与拆除，总包未安排专职安全员到场进行旁站监督，没有设置安全警戒线，安装及拆除人员未持证上岗</w:t>
            </w:r>
          </w:p>
        </w:tc>
        <w:tc>
          <w:tcPr>
            <w:tcW w:w="3820" w:type="dxa"/>
            <w:vAlign w:val="center"/>
          </w:tcPr>
          <w:p w14:paraId="692514B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发现一次，该作业面立即停工，并扣款</w:t>
            </w:r>
            <w:r>
              <w:rPr>
                <w:rFonts w:cs="宋体" w:asciiTheme="minorEastAsia" w:hAnsiTheme="minorEastAsia" w:eastAsiaTheme="minorEastAsia"/>
                <w:bCs/>
                <w:color w:val="auto"/>
                <w:szCs w:val="21"/>
                <w:highlight w:val="none"/>
              </w:rPr>
              <w:t>1000元</w:t>
            </w:r>
          </w:p>
        </w:tc>
      </w:tr>
      <w:tr w14:paraId="02EAD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5227C34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13</w:t>
            </w:r>
          </w:p>
        </w:tc>
        <w:tc>
          <w:tcPr>
            <w:tcW w:w="5103" w:type="dxa"/>
            <w:vAlign w:val="center"/>
          </w:tcPr>
          <w:p w14:paraId="41A86E4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塔吊、外用电梯由不具备资质的单位安装，未取得安全检验部门颁发的“准用证”使用；操作人员未持证上岗</w:t>
            </w:r>
          </w:p>
        </w:tc>
        <w:tc>
          <w:tcPr>
            <w:tcW w:w="3820" w:type="dxa"/>
            <w:vAlign w:val="center"/>
          </w:tcPr>
          <w:p w14:paraId="04DAA42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发现一次，该作业面立即停工，并扣款</w:t>
            </w:r>
            <w:r>
              <w:rPr>
                <w:rFonts w:cs="宋体" w:asciiTheme="minorEastAsia" w:hAnsiTheme="minorEastAsia" w:eastAsiaTheme="minorEastAsia"/>
                <w:bCs/>
                <w:color w:val="auto"/>
                <w:szCs w:val="21"/>
                <w:highlight w:val="none"/>
              </w:rPr>
              <w:t>1000元</w:t>
            </w:r>
          </w:p>
        </w:tc>
      </w:tr>
      <w:tr w14:paraId="37DD0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AB121B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14</w:t>
            </w:r>
          </w:p>
        </w:tc>
        <w:tc>
          <w:tcPr>
            <w:tcW w:w="5103" w:type="dxa"/>
            <w:vAlign w:val="center"/>
          </w:tcPr>
          <w:p w14:paraId="7811602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私自改装塔吊吊钩，私自拆除塔吊限位装置</w:t>
            </w:r>
          </w:p>
        </w:tc>
        <w:tc>
          <w:tcPr>
            <w:tcW w:w="3820" w:type="dxa"/>
            <w:vAlign w:val="center"/>
          </w:tcPr>
          <w:p w14:paraId="61513C9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发现一次，该作业面立即停工，并扣款</w:t>
            </w:r>
            <w:r>
              <w:rPr>
                <w:rFonts w:cs="宋体" w:asciiTheme="minorEastAsia" w:hAnsiTheme="minorEastAsia" w:eastAsiaTheme="minorEastAsia"/>
                <w:bCs/>
                <w:color w:val="auto"/>
                <w:szCs w:val="21"/>
                <w:highlight w:val="none"/>
              </w:rPr>
              <w:t>1000元</w:t>
            </w:r>
          </w:p>
        </w:tc>
      </w:tr>
      <w:tr w14:paraId="087BE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5A31264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15</w:t>
            </w:r>
          </w:p>
        </w:tc>
        <w:tc>
          <w:tcPr>
            <w:tcW w:w="5103" w:type="dxa"/>
            <w:vAlign w:val="center"/>
          </w:tcPr>
          <w:p w14:paraId="7A58B2A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施工电梯层门安装、管理不规范、两侧未封堵严密</w:t>
            </w:r>
          </w:p>
        </w:tc>
        <w:tc>
          <w:tcPr>
            <w:tcW w:w="3820" w:type="dxa"/>
            <w:vAlign w:val="center"/>
          </w:tcPr>
          <w:p w14:paraId="47B48AC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发现一次，立即该作业面停工，并扣款</w:t>
            </w:r>
            <w:r>
              <w:rPr>
                <w:rFonts w:cs="宋体" w:asciiTheme="minorEastAsia" w:hAnsiTheme="minorEastAsia" w:eastAsiaTheme="minorEastAsia"/>
                <w:bCs/>
                <w:color w:val="auto"/>
                <w:szCs w:val="21"/>
                <w:highlight w:val="none"/>
              </w:rPr>
              <w:t>1000元</w:t>
            </w:r>
          </w:p>
        </w:tc>
      </w:tr>
      <w:tr w14:paraId="42EC0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586A93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16</w:t>
            </w:r>
          </w:p>
        </w:tc>
        <w:tc>
          <w:tcPr>
            <w:tcW w:w="5103" w:type="dxa"/>
            <w:vAlign w:val="center"/>
          </w:tcPr>
          <w:p w14:paraId="12AB8F5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施工电梯运送超长料</w:t>
            </w:r>
          </w:p>
        </w:tc>
        <w:tc>
          <w:tcPr>
            <w:tcW w:w="3820" w:type="dxa"/>
            <w:vAlign w:val="center"/>
          </w:tcPr>
          <w:p w14:paraId="1769C2F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发现一次，立即该作业面停工，并扣款</w:t>
            </w:r>
            <w:r>
              <w:rPr>
                <w:rFonts w:cs="宋体" w:asciiTheme="minorEastAsia" w:hAnsiTheme="minorEastAsia" w:eastAsiaTheme="minorEastAsia"/>
                <w:bCs/>
                <w:color w:val="auto"/>
                <w:szCs w:val="21"/>
                <w:highlight w:val="none"/>
              </w:rPr>
              <w:t>1000元</w:t>
            </w:r>
          </w:p>
        </w:tc>
      </w:tr>
      <w:tr w14:paraId="4578F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457F9A5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17</w:t>
            </w:r>
          </w:p>
        </w:tc>
        <w:tc>
          <w:tcPr>
            <w:tcW w:w="5103" w:type="dxa"/>
            <w:vAlign w:val="center"/>
          </w:tcPr>
          <w:p w14:paraId="633384C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施工脚手架搭设、拆除及使用不规范</w:t>
            </w:r>
          </w:p>
        </w:tc>
        <w:tc>
          <w:tcPr>
            <w:tcW w:w="3820" w:type="dxa"/>
            <w:vAlign w:val="center"/>
          </w:tcPr>
          <w:p w14:paraId="68F5A0C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发现一次，该作业面立即停工，并扣款</w:t>
            </w:r>
            <w:r>
              <w:rPr>
                <w:rFonts w:cs="宋体" w:asciiTheme="minorEastAsia" w:hAnsiTheme="minorEastAsia" w:eastAsiaTheme="minorEastAsia"/>
                <w:bCs/>
                <w:color w:val="auto"/>
                <w:szCs w:val="21"/>
                <w:highlight w:val="none"/>
              </w:rPr>
              <w:t>1000元</w:t>
            </w:r>
          </w:p>
        </w:tc>
      </w:tr>
      <w:tr w14:paraId="3DDE0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4E113B4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18</w:t>
            </w:r>
          </w:p>
        </w:tc>
        <w:tc>
          <w:tcPr>
            <w:tcW w:w="5103" w:type="dxa"/>
            <w:vAlign w:val="center"/>
          </w:tcPr>
          <w:p w14:paraId="1DAF80B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脚手架底部和施工作业层未满铺脚手板，未进行固定；未按规范要求设置踢脚板挂设安全网和密目网</w:t>
            </w:r>
          </w:p>
        </w:tc>
        <w:tc>
          <w:tcPr>
            <w:tcW w:w="3820" w:type="dxa"/>
            <w:vAlign w:val="center"/>
          </w:tcPr>
          <w:p w14:paraId="6A5D358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发现一次，该作业面立即停工，并扣款</w:t>
            </w:r>
            <w:r>
              <w:rPr>
                <w:rFonts w:cs="宋体" w:asciiTheme="minorEastAsia" w:hAnsiTheme="minorEastAsia" w:eastAsiaTheme="minorEastAsia"/>
                <w:bCs/>
                <w:color w:val="auto"/>
                <w:szCs w:val="21"/>
                <w:highlight w:val="none"/>
              </w:rPr>
              <w:t>1000元</w:t>
            </w:r>
          </w:p>
        </w:tc>
      </w:tr>
      <w:tr w14:paraId="62784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17F4CBC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19</w:t>
            </w:r>
          </w:p>
        </w:tc>
        <w:tc>
          <w:tcPr>
            <w:tcW w:w="5103" w:type="dxa"/>
            <w:vAlign w:val="center"/>
          </w:tcPr>
          <w:p w14:paraId="1BBECF1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脚手架未按规定高出作业层一步架，未按要求设置连墙件拉结</w:t>
            </w:r>
          </w:p>
        </w:tc>
        <w:tc>
          <w:tcPr>
            <w:tcW w:w="3820" w:type="dxa"/>
            <w:vAlign w:val="center"/>
          </w:tcPr>
          <w:p w14:paraId="2F389F4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发现一次，该作业面立即停工，并扣款</w:t>
            </w:r>
            <w:r>
              <w:rPr>
                <w:rFonts w:cs="宋体" w:asciiTheme="minorEastAsia" w:hAnsiTheme="minorEastAsia" w:eastAsiaTheme="minorEastAsia"/>
                <w:bCs/>
                <w:color w:val="auto"/>
                <w:szCs w:val="21"/>
                <w:highlight w:val="none"/>
              </w:rPr>
              <w:t>1000元</w:t>
            </w:r>
          </w:p>
        </w:tc>
      </w:tr>
      <w:tr w14:paraId="3E752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FA12DA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20</w:t>
            </w:r>
          </w:p>
        </w:tc>
        <w:tc>
          <w:tcPr>
            <w:tcW w:w="5103" w:type="dxa"/>
            <w:vAlign w:val="center"/>
          </w:tcPr>
          <w:p w14:paraId="0AC458A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内脚手架未设置扫地杆，支撑体系不符合规范要求</w:t>
            </w:r>
          </w:p>
        </w:tc>
        <w:tc>
          <w:tcPr>
            <w:tcW w:w="3820" w:type="dxa"/>
            <w:vAlign w:val="center"/>
          </w:tcPr>
          <w:p w14:paraId="0A3E740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发现一次，该作业面立即停工，并扣款</w:t>
            </w:r>
            <w:r>
              <w:rPr>
                <w:rFonts w:cs="宋体" w:asciiTheme="minorEastAsia" w:hAnsiTheme="minorEastAsia" w:eastAsiaTheme="minorEastAsia"/>
                <w:bCs/>
                <w:color w:val="auto"/>
                <w:szCs w:val="21"/>
                <w:highlight w:val="none"/>
              </w:rPr>
              <w:t>1000元</w:t>
            </w:r>
          </w:p>
        </w:tc>
      </w:tr>
      <w:tr w14:paraId="5552D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35E9193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21</w:t>
            </w:r>
          </w:p>
        </w:tc>
        <w:tc>
          <w:tcPr>
            <w:tcW w:w="5103" w:type="dxa"/>
            <w:vAlign w:val="center"/>
          </w:tcPr>
          <w:p w14:paraId="62F757B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卸料平台搭设及使用不规范</w:t>
            </w:r>
          </w:p>
        </w:tc>
        <w:tc>
          <w:tcPr>
            <w:tcW w:w="3820" w:type="dxa"/>
            <w:vAlign w:val="center"/>
          </w:tcPr>
          <w:p w14:paraId="6473F3F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发现一次，立即该作业面停工，并扣款</w:t>
            </w:r>
            <w:r>
              <w:rPr>
                <w:rFonts w:cs="宋体" w:asciiTheme="minorEastAsia" w:hAnsiTheme="minorEastAsia" w:eastAsiaTheme="minorEastAsia"/>
                <w:bCs/>
                <w:color w:val="auto"/>
                <w:szCs w:val="21"/>
                <w:highlight w:val="none"/>
              </w:rPr>
              <w:t>1000元</w:t>
            </w:r>
          </w:p>
        </w:tc>
      </w:tr>
      <w:tr w14:paraId="2F8F5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4745E7D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22</w:t>
            </w:r>
          </w:p>
        </w:tc>
        <w:tc>
          <w:tcPr>
            <w:tcW w:w="5103" w:type="dxa"/>
            <w:vAlign w:val="center"/>
          </w:tcPr>
          <w:p w14:paraId="2C2B39B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在工作面违规生火</w:t>
            </w:r>
          </w:p>
        </w:tc>
        <w:tc>
          <w:tcPr>
            <w:tcW w:w="3820" w:type="dxa"/>
            <w:vAlign w:val="center"/>
          </w:tcPr>
          <w:p w14:paraId="4EC5FDC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500元</w:t>
            </w:r>
          </w:p>
        </w:tc>
      </w:tr>
      <w:tr w14:paraId="3A80C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2CC6333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23</w:t>
            </w:r>
          </w:p>
        </w:tc>
        <w:tc>
          <w:tcPr>
            <w:tcW w:w="5103" w:type="dxa"/>
            <w:vAlign w:val="center"/>
          </w:tcPr>
          <w:p w14:paraId="6DA6EB0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未按规定系安全带</w:t>
            </w:r>
          </w:p>
        </w:tc>
        <w:tc>
          <w:tcPr>
            <w:tcW w:w="3820" w:type="dxa"/>
            <w:vAlign w:val="center"/>
          </w:tcPr>
          <w:p w14:paraId="6D66A87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发现一次，立即该作业面停工，并扣款</w:t>
            </w:r>
            <w:r>
              <w:rPr>
                <w:rFonts w:cs="宋体" w:asciiTheme="minorEastAsia" w:hAnsiTheme="minorEastAsia" w:eastAsiaTheme="minorEastAsia"/>
                <w:bCs/>
                <w:color w:val="auto"/>
                <w:szCs w:val="21"/>
                <w:highlight w:val="none"/>
              </w:rPr>
              <w:t>100元/人</w:t>
            </w:r>
          </w:p>
        </w:tc>
      </w:tr>
      <w:tr w14:paraId="3EF3A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00A118A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24</w:t>
            </w:r>
          </w:p>
        </w:tc>
        <w:tc>
          <w:tcPr>
            <w:tcW w:w="5103" w:type="dxa"/>
            <w:vAlign w:val="center"/>
          </w:tcPr>
          <w:p w14:paraId="114EF1E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未戴安全帽，穿拖鞋，带小孩、违规抽烟</w:t>
            </w:r>
          </w:p>
        </w:tc>
        <w:tc>
          <w:tcPr>
            <w:tcW w:w="3820" w:type="dxa"/>
            <w:vAlign w:val="center"/>
          </w:tcPr>
          <w:p w14:paraId="015A6DE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50元/人</w:t>
            </w:r>
          </w:p>
        </w:tc>
      </w:tr>
      <w:tr w14:paraId="594BB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00047FF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25</w:t>
            </w:r>
          </w:p>
        </w:tc>
        <w:tc>
          <w:tcPr>
            <w:tcW w:w="5103" w:type="dxa"/>
            <w:vAlign w:val="center"/>
          </w:tcPr>
          <w:p w14:paraId="243A598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施工现场防暑降温措施不到位</w:t>
            </w:r>
          </w:p>
        </w:tc>
        <w:tc>
          <w:tcPr>
            <w:tcW w:w="3820" w:type="dxa"/>
            <w:vAlign w:val="center"/>
          </w:tcPr>
          <w:p w14:paraId="081EDCC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500元</w:t>
            </w:r>
          </w:p>
        </w:tc>
      </w:tr>
      <w:tr w14:paraId="6A886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1F09AA3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26</w:t>
            </w:r>
          </w:p>
        </w:tc>
        <w:tc>
          <w:tcPr>
            <w:tcW w:w="5103" w:type="dxa"/>
            <w:vAlign w:val="center"/>
          </w:tcPr>
          <w:p w14:paraId="193D18C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现场存在安全隐患，在收到《监理通知单》在规定的时间内未及时有效整改也未回复</w:t>
            </w:r>
          </w:p>
        </w:tc>
        <w:tc>
          <w:tcPr>
            <w:tcW w:w="3820" w:type="dxa"/>
            <w:vAlign w:val="center"/>
          </w:tcPr>
          <w:p w14:paraId="55E8CEF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w:t>
            </w:r>
            <w:r>
              <w:rPr>
                <w:rFonts w:cs="宋体" w:asciiTheme="minorEastAsia" w:hAnsiTheme="minorEastAsia" w:eastAsiaTheme="minorEastAsia"/>
                <w:bCs/>
                <w:color w:val="auto"/>
                <w:szCs w:val="21"/>
                <w:highlight w:val="none"/>
              </w:rPr>
              <w:t>1000元</w:t>
            </w:r>
          </w:p>
        </w:tc>
      </w:tr>
      <w:tr w14:paraId="08E6E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79A8BC6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27</w:t>
            </w:r>
          </w:p>
        </w:tc>
        <w:tc>
          <w:tcPr>
            <w:tcW w:w="5103" w:type="dxa"/>
            <w:vAlign w:val="center"/>
          </w:tcPr>
          <w:p w14:paraId="0C66FFF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建设方或监理认为的其他安全隐患</w:t>
            </w:r>
          </w:p>
        </w:tc>
        <w:tc>
          <w:tcPr>
            <w:tcW w:w="3820" w:type="dxa"/>
            <w:vAlign w:val="center"/>
          </w:tcPr>
          <w:p w14:paraId="183DE83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发现一次限期整改，发现两次扣款</w:t>
            </w:r>
            <w:r>
              <w:rPr>
                <w:rFonts w:cs="宋体" w:asciiTheme="minorEastAsia" w:hAnsiTheme="minorEastAsia" w:eastAsiaTheme="minorEastAsia"/>
                <w:bCs/>
                <w:color w:val="auto"/>
                <w:szCs w:val="21"/>
                <w:highlight w:val="none"/>
              </w:rPr>
              <w:t>500元</w:t>
            </w:r>
          </w:p>
        </w:tc>
      </w:tr>
      <w:tr w14:paraId="5039B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28047F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28</w:t>
            </w:r>
          </w:p>
        </w:tc>
        <w:tc>
          <w:tcPr>
            <w:tcW w:w="5103" w:type="dxa"/>
            <w:vAlign w:val="center"/>
          </w:tcPr>
          <w:p w14:paraId="2070BD7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从建筑物高处向下流放污水或倾倒建筑垃圾</w:t>
            </w:r>
          </w:p>
        </w:tc>
        <w:tc>
          <w:tcPr>
            <w:tcW w:w="3820" w:type="dxa"/>
            <w:vAlign w:val="center"/>
          </w:tcPr>
          <w:p w14:paraId="56BA6A7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每发现一次承包人按</w:t>
            </w:r>
            <w:r>
              <w:rPr>
                <w:rFonts w:cs="宋体" w:asciiTheme="minorEastAsia" w:hAnsiTheme="minorEastAsia" w:eastAsiaTheme="minorEastAsia"/>
                <w:bCs/>
                <w:color w:val="auto"/>
                <w:szCs w:val="21"/>
                <w:highlight w:val="none"/>
              </w:rPr>
              <w:t>1000元向发包人支付违约金，自第二次起加倍处罚</w:t>
            </w:r>
          </w:p>
        </w:tc>
      </w:tr>
      <w:tr w14:paraId="3A34F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0A145E2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29</w:t>
            </w:r>
          </w:p>
        </w:tc>
        <w:tc>
          <w:tcPr>
            <w:tcW w:w="5103" w:type="dxa"/>
            <w:vAlign w:val="center"/>
          </w:tcPr>
          <w:p w14:paraId="3949422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驶出建筑工地的运输车辆，必须冲洗干净，严禁带泥上路</w:t>
            </w:r>
          </w:p>
        </w:tc>
        <w:tc>
          <w:tcPr>
            <w:tcW w:w="3820" w:type="dxa"/>
            <w:vAlign w:val="center"/>
          </w:tcPr>
          <w:p w14:paraId="7BE543B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每发现一次承包人按</w:t>
            </w:r>
            <w:r>
              <w:rPr>
                <w:rFonts w:cs="宋体" w:asciiTheme="minorEastAsia" w:hAnsiTheme="minorEastAsia" w:eastAsiaTheme="minorEastAsia"/>
                <w:bCs/>
                <w:color w:val="auto"/>
                <w:szCs w:val="21"/>
                <w:highlight w:val="none"/>
              </w:rPr>
              <w:t>1000元向发包人支付违约金</w:t>
            </w:r>
          </w:p>
        </w:tc>
      </w:tr>
      <w:tr w14:paraId="6FB3B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32F70F2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30</w:t>
            </w:r>
          </w:p>
        </w:tc>
        <w:tc>
          <w:tcPr>
            <w:tcW w:w="5103" w:type="dxa"/>
            <w:vAlign w:val="center"/>
          </w:tcPr>
          <w:p w14:paraId="5926BAF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施工过程中，对已完工程没有采取有效成品保护、安全文明防护措施</w:t>
            </w:r>
          </w:p>
        </w:tc>
        <w:tc>
          <w:tcPr>
            <w:tcW w:w="3820" w:type="dxa"/>
            <w:vAlign w:val="center"/>
          </w:tcPr>
          <w:p w14:paraId="3CE5CD7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每发现一次承包人按</w:t>
            </w:r>
            <w:r>
              <w:rPr>
                <w:rFonts w:cs="宋体" w:asciiTheme="minorEastAsia" w:hAnsiTheme="minorEastAsia" w:eastAsiaTheme="minorEastAsia"/>
                <w:bCs/>
                <w:color w:val="auto"/>
                <w:szCs w:val="21"/>
                <w:highlight w:val="none"/>
              </w:rPr>
              <w:t>1000元向发包人支付违约金</w:t>
            </w:r>
          </w:p>
        </w:tc>
      </w:tr>
    </w:tbl>
    <w:p w14:paraId="1661907F">
      <w:pPr>
        <w:spacing w:line="360" w:lineRule="auto"/>
        <w:ind w:firstLine="480"/>
        <w:jc w:val="center"/>
        <w:outlineLvl w:val="9"/>
        <w:rPr>
          <w:rFonts w:cs="宋体" w:asciiTheme="minorEastAsia" w:hAnsiTheme="minorEastAsia" w:eastAsiaTheme="minorEastAsia"/>
          <w:color w:val="auto"/>
          <w:szCs w:val="21"/>
          <w:highlight w:val="none"/>
        </w:rPr>
      </w:pPr>
    </w:p>
    <w:p w14:paraId="5DD9B652">
      <w:pPr>
        <w:ind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br w:type="page"/>
      </w:r>
    </w:p>
    <w:p w14:paraId="794BB179">
      <w:pPr>
        <w:ind w:firstLine="643"/>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b/>
          <w:color w:val="auto"/>
          <w:szCs w:val="21"/>
          <w:highlight w:val="none"/>
        </w:rPr>
        <w:t>经发地产安全管理扣款单</w:t>
      </w:r>
    </w:p>
    <w:p w14:paraId="7F32810D">
      <w:pPr>
        <w:spacing w:line="360" w:lineRule="auto"/>
        <w:ind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时间：年月日</w:t>
      </w:r>
    </w:p>
    <w:tbl>
      <w:tblPr>
        <w:tblStyle w:val="5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4"/>
        <w:gridCol w:w="2678"/>
        <w:gridCol w:w="4642"/>
      </w:tblGrid>
      <w:tr w14:paraId="232F7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8" w:type="dxa"/>
            <w:vAlign w:val="center"/>
          </w:tcPr>
          <w:p w14:paraId="1A86A843">
            <w:pPr>
              <w:keepNext w:val="0"/>
              <w:keepLines w:val="0"/>
              <w:suppressLineNumbers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责任单位</w:t>
            </w:r>
          </w:p>
        </w:tc>
        <w:tc>
          <w:tcPr>
            <w:tcW w:w="7409" w:type="dxa"/>
            <w:gridSpan w:val="2"/>
            <w:vAlign w:val="center"/>
          </w:tcPr>
          <w:p w14:paraId="0498E14A">
            <w:pPr>
              <w:keepNext/>
              <w:keepLines/>
              <w:suppressLineNumbers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48A4E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8" w:type="dxa"/>
            <w:vAlign w:val="center"/>
          </w:tcPr>
          <w:p w14:paraId="68DF2C72">
            <w:pPr>
              <w:keepNext w:val="0"/>
              <w:keepLines w:val="0"/>
              <w:suppressLineNumbers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问题描述</w:t>
            </w:r>
          </w:p>
        </w:tc>
        <w:tc>
          <w:tcPr>
            <w:tcW w:w="7409" w:type="dxa"/>
            <w:gridSpan w:val="2"/>
            <w:vAlign w:val="center"/>
          </w:tcPr>
          <w:p w14:paraId="7C282C20">
            <w:pPr>
              <w:keepNext/>
              <w:keepLines/>
              <w:suppressLineNumbers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p w14:paraId="63854073">
            <w:pPr>
              <w:keepNext/>
              <w:keepLines/>
              <w:suppressLineNumbers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p w14:paraId="7C65C06C">
            <w:pPr>
              <w:keepNext/>
              <w:keepLines/>
              <w:suppressLineNumbers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p w14:paraId="06891D5B">
            <w:pPr>
              <w:keepNext/>
              <w:keepLines/>
              <w:suppressLineNumbers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625BE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8" w:type="dxa"/>
            <w:vAlign w:val="center"/>
          </w:tcPr>
          <w:p w14:paraId="612B9A32">
            <w:pPr>
              <w:keepNext w:val="0"/>
              <w:keepLines w:val="0"/>
              <w:suppressLineNumbers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扣款明细</w:t>
            </w:r>
          </w:p>
        </w:tc>
        <w:tc>
          <w:tcPr>
            <w:tcW w:w="7409" w:type="dxa"/>
            <w:gridSpan w:val="2"/>
            <w:vAlign w:val="center"/>
          </w:tcPr>
          <w:p w14:paraId="105C1ED1">
            <w:pPr>
              <w:keepNext/>
              <w:keepLines/>
              <w:suppressLineNumbers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p w14:paraId="305E64FE">
            <w:pPr>
              <w:keepNext/>
              <w:keepLines/>
              <w:suppressLineNumbers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p w14:paraId="6AD885E3">
            <w:pPr>
              <w:keepNext/>
              <w:keepLines/>
              <w:suppressLineNumbers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18E13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8" w:type="dxa"/>
            <w:vAlign w:val="center"/>
          </w:tcPr>
          <w:p w14:paraId="1BBFCBEB">
            <w:pPr>
              <w:keepNext w:val="0"/>
              <w:keepLines w:val="0"/>
              <w:suppressLineNumbers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扣款金额</w:t>
            </w:r>
          </w:p>
          <w:p w14:paraId="555CB130">
            <w:pPr>
              <w:keepNext w:val="0"/>
              <w:keepLines w:val="0"/>
              <w:suppressLineNumbers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（大写）</w:t>
            </w:r>
          </w:p>
        </w:tc>
        <w:tc>
          <w:tcPr>
            <w:tcW w:w="7409" w:type="dxa"/>
            <w:gridSpan w:val="2"/>
          </w:tcPr>
          <w:p w14:paraId="0C86C1D5">
            <w:pPr>
              <w:keepNext/>
              <w:keepLines/>
              <w:suppressLineNumbers w:val="0"/>
              <w:spacing w:before="340" w:beforeAutospacing="0" w:after="330" w:afterAutospacing="0" w:line="360" w:lineRule="auto"/>
              <w:ind w:left="0" w:right="0" w:firstLine="480"/>
              <w:outlineLvl w:val="9"/>
              <w:rPr>
                <w:rFonts w:cs="宋体" w:asciiTheme="minorEastAsia" w:hAnsiTheme="minorEastAsia" w:eastAsiaTheme="minorEastAsia"/>
                <w:color w:val="auto"/>
                <w:szCs w:val="21"/>
                <w:highlight w:val="none"/>
              </w:rPr>
            </w:pPr>
          </w:p>
          <w:p w14:paraId="279D7D69">
            <w:pPr>
              <w:keepNext/>
              <w:keepLines/>
              <w:suppressLineNumbers w:val="0"/>
              <w:spacing w:before="340" w:beforeAutospacing="0" w:after="330" w:afterAutospacing="0" w:line="360" w:lineRule="auto"/>
              <w:ind w:left="0" w:right="0" w:firstLine="480"/>
              <w:outlineLvl w:val="9"/>
              <w:rPr>
                <w:rFonts w:cs="宋体" w:asciiTheme="minorEastAsia" w:hAnsiTheme="minorEastAsia" w:eastAsiaTheme="minorEastAsia"/>
                <w:color w:val="auto"/>
                <w:szCs w:val="21"/>
                <w:highlight w:val="none"/>
              </w:rPr>
            </w:pPr>
          </w:p>
          <w:p w14:paraId="4CF06F67">
            <w:pPr>
              <w:keepNext/>
              <w:keepLines/>
              <w:suppressLineNumbers w:val="0"/>
              <w:spacing w:before="340" w:beforeAutospacing="0" w:after="330" w:afterAutospacing="0" w:line="360" w:lineRule="auto"/>
              <w:ind w:left="0" w:right="0" w:firstLine="480"/>
              <w:outlineLvl w:val="9"/>
              <w:rPr>
                <w:rFonts w:cs="宋体" w:asciiTheme="minorEastAsia" w:hAnsiTheme="minorEastAsia" w:eastAsiaTheme="minorEastAsia"/>
                <w:color w:val="auto"/>
                <w:szCs w:val="21"/>
                <w:highlight w:val="none"/>
              </w:rPr>
            </w:pPr>
          </w:p>
        </w:tc>
      </w:tr>
      <w:tr w14:paraId="0E0A7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3" w:type="dxa"/>
            <w:gridSpan w:val="2"/>
          </w:tcPr>
          <w:p w14:paraId="5E02A909">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监理单位：</w:t>
            </w:r>
          </w:p>
          <w:p w14:paraId="2B947B29">
            <w:pPr>
              <w:keepNext/>
              <w:keepLines/>
              <w:suppressLineNumbers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2C14B068">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专业监理工程师：</w:t>
            </w:r>
          </w:p>
          <w:p w14:paraId="2C063ACA">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总监理工程师：</w:t>
            </w:r>
          </w:p>
          <w:p w14:paraId="02F77596">
            <w:pPr>
              <w:keepNext/>
              <w:keepLines/>
              <w:suppressLineNumbers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tc>
        <w:tc>
          <w:tcPr>
            <w:tcW w:w="4694" w:type="dxa"/>
          </w:tcPr>
          <w:p w14:paraId="5B1A2BE4">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建设单位：</w:t>
            </w:r>
          </w:p>
          <w:p w14:paraId="678888BA">
            <w:pPr>
              <w:keepNext/>
              <w:keepLines/>
              <w:suppressLineNumbers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7BFF811D">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专业工程师：</w:t>
            </w:r>
          </w:p>
          <w:p w14:paraId="248ED413">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项目部经理：</w:t>
            </w:r>
          </w:p>
        </w:tc>
      </w:tr>
    </w:tbl>
    <w:p w14:paraId="312D7935">
      <w:pPr>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说明：本扣款单</w:t>
      </w:r>
      <w:r>
        <w:rPr>
          <w:rFonts w:cs="宋体" w:asciiTheme="minorEastAsia" w:hAnsiTheme="minorEastAsia" w:eastAsiaTheme="minorEastAsia"/>
          <w:color w:val="auto"/>
          <w:szCs w:val="21"/>
          <w:highlight w:val="none"/>
        </w:rPr>
        <w:t>1式4份，项目部、成本管理部、监理单位、施工单位各持1份。</w:t>
      </w:r>
    </w:p>
    <w:p w14:paraId="1081DF38">
      <w:pPr>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br w:type="page"/>
      </w:r>
    </w:p>
    <w:p w14:paraId="58B50930">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附件十</w:t>
      </w:r>
      <w:r>
        <w:rPr>
          <w:rFonts w:hint="eastAsia" w:cs="宋体" w:asciiTheme="minorEastAsia" w:hAnsiTheme="minorEastAsia" w:eastAsiaTheme="minorEastAsia"/>
          <w:color w:val="auto"/>
          <w:szCs w:val="21"/>
          <w:highlight w:val="none"/>
          <w:lang w:val="en-US" w:eastAsia="zh-CN"/>
        </w:rPr>
        <w:t>五</w:t>
      </w:r>
      <w:r>
        <w:rPr>
          <w:rFonts w:hint="eastAsia" w:cs="宋体" w:asciiTheme="minorEastAsia" w:hAnsiTheme="minorEastAsia" w:eastAsiaTheme="minorEastAsia"/>
          <w:color w:val="auto"/>
          <w:szCs w:val="21"/>
          <w:highlight w:val="none"/>
        </w:rPr>
        <w:t>：</w:t>
      </w:r>
    </w:p>
    <w:p w14:paraId="47488802">
      <w:pPr>
        <w:adjustRightInd w:val="0"/>
        <w:snapToGrid w:val="0"/>
        <w:spacing w:line="360" w:lineRule="auto"/>
        <w:ind w:firstLine="643"/>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现场管理及处罚措施</w:t>
      </w:r>
    </w:p>
    <w:p w14:paraId="3CB79BE6">
      <w:pPr>
        <w:adjustRightInd w:val="0"/>
        <w:snapToGrid w:val="0"/>
        <w:spacing w:line="360" w:lineRule="auto"/>
        <w:ind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一、为有效控制本工程质量，以施工图预算有效金额的1%作为验收专项资金，待承包人达到发包人约定的下列支付条件后再行支付；若承包人达不到约定的交付条件，承包人须整改完成出具整改报告后，发包人支付该项费用。</w:t>
      </w:r>
    </w:p>
    <w:p w14:paraId="7EFC168F">
      <w:pPr>
        <w:adjustRightInd w:val="0"/>
        <w:snapToGrid w:val="0"/>
        <w:spacing w:line="360" w:lineRule="auto"/>
        <w:ind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（1）承包人应达到附件 “样板评审与分户验收管理控制规程”、附件 “实测实量指引”及《建筑工程施工质量验收统一标准GB50300-2013》、《建筑地基工程施工质量验收标准GB50202-2018》、《混凝土结构工程施工质量验收规范GB 50204－2015》、《建筑装饰装修工程质量验收标准GB50210-2018》、《建设工程质量管理条例（国务院令 第279号）》等国家规范与合同文件规定的质量标准（以高标准文件为准）经该项目监理公司及发包人项目部验收通过，合格率达到100％，竣工验收完成后，支付该费用总额的20%；若达不到100%合格率,须在发包人要求的时限内整改完成，出具整改报告后支付该费用。</w:t>
      </w:r>
    </w:p>
    <w:p w14:paraId="0EBFE635">
      <w:pPr>
        <w:adjustRightInd w:val="0"/>
        <w:snapToGrid w:val="0"/>
        <w:spacing w:line="360" w:lineRule="auto"/>
        <w:ind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（2）经发包人委派的工程管理部门验收后，合格率达到100％，支付该费用总额的20%；若达不到100%合格率，须整改完成，出具整改报告后支付该费用。</w:t>
      </w:r>
    </w:p>
    <w:p w14:paraId="22642EA7">
      <w:pPr>
        <w:adjustRightInd w:val="0"/>
        <w:snapToGrid w:val="0"/>
        <w:spacing w:line="360" w:lineRule="auto"/>
        <w:ind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（3）对于交付发包人的验收，若一次性交付合格率≥90％，支付该费用总额的60%；若达不到90%合格率，则扣除该剩余费用的50%，且扣除费用不计入工程结算，不再视为承包人所得。</w:t>
      </w:r>
    </w:p>
    <w:p w14:paraId="2B44A4F0">
      <w:pPr>
        <w:adjustRightInd w:val="0"/>
        <w:snapToGrid w:val="0"/>
        <w:spacing w:line="360" w:lineRule="auto"/>
        <w:ind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另外在工程施工过程中支付进度款需预留</w:t>
      </w:r>
      <w:r>
        <w:rPr>
          <w:rFonts w:hint="eastAsia" w:cs="宋体" w:asciiTheme="minorEastAsia" w:hAnsiTheme="minorEastAsia" w:eastAsiaTheme="minorEastAsia"/>
          <w:color w:val="FF0000"/>
          <w:kern w:val="0"/>
          <w:szCs w:val="21"/>
          <w:highlight w:val="none"/>
        </w:rPr>
        <w:t>450万</w:t>
      </w:r>
      <w:r>
        <w:rPr>
          <w:rFonts w:hint="eastAsia" w:cs="宋体" w:asciiTheme="minorEastAsia" w:hAnsiTheme="minorEastAsia" w:eastAsiaTheme="minorEastAsia"/>
          <w:color w:val="auto"/>
          <w:kern w:val="0"/>
          <w:szCs w:val="21"/>
          <w:highlight w:val="none"/>
        </w:rPr>
        <w:t>元用于消防验收、人防、节能、防雷验收、竣工验收保证金，在各自验收节点完成后相继返还，以上费用的扣留及返还后期签订补充协议具体约定。。</w:t>
      </w:r>
    </w:p>
    <w:p w14:paraId="184C09D9">
      <w:pPr>
        <w:widowControl/>
        <w:spacing w:line="360" w:lineRule="auto"/>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二、项目节点考核评分办法</w:t>
      </w:r>
    </w:p>
    <w:p w14:paraId="108E9B41">
      <w:pPr>
        <w:spacing w:line="360" w:lineRule="auto"/>
        <w:ind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为了进一步完善考核机制，加强现场质量安全管理，项目节点考核办法如下：</w:t>
      </w:r>
    </w:p>
    <w:p w14:paraId="42426429">
      <w:pPr>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除交付物业、交付业主节点外，其余各节点考核得分分为两部分：一部分为按照《土建/水暖/电气考核办法》、《户内验收表》、《屋面/公共部分装修/地下室/公建部分验收表》及《车库验收表》打分所得分值（占最终考核得分的60%）；一部分为建设单位工程管理部在某节点考核周期内日常抽查质量、安全及内业等出现问题的数量及状态、频率，以及出现问题后整改的及时性、封闭率等得分值（占最终考核得分的40%，其中数量及状态占10%、频率占10%、问题后整改的及时性占10%、封闭率占10%）。</w:t>
      </w:r>
    </w:p>
    <w:p w14:paraId="21888646">
      <w:pPr>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即：某节点考核得分</w:t>
      </w:r>
      <w:r>
        <w:rPr>
          <w:rFonts w:cs="宋体" w:asciiTheme="minorEastAsia" w:hAnsiTheme="minorEastAsia" w:eastAsiaTheme="minorEastAsia"/>
          <w:color w:val="auto"/>
          <w:szCs w:val="21"/>
          <w:highlight w:val="none"/>
        </w:rPr>
        <w:t>=节点考核分数×60%+日常检查分数×40%。</w:t>
      </w:r>
    </w:p>
    <w:p w14:paraId="0F52232D">
      <w:pPr>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在某节点考核周期内建设单位工程管理部按照现场实际施工情况对质量、安全、工艺标准、内业等进行抽查，检查标准以设计图纸、施工合同、现行施工规范、验收标准以及公司质量体系文件等为依据，对检查出的问题按照公司明源系统流程要求建设单位项目部整改，并将此作为该节点考核扣分依据。</w:t>
      </w:r>
    </w:p>
    <w:p w14:paraId="2291A18F">
      <w:pPr>
        <w:spacing w:line="360" w:lineRule="auto"/>
        <w:ind w:firstLine="420" w:firstLineChars="20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3、在某节点考核周期内建设单位工程管理部日常抽查质量、安全及内业等出现问题的扣分标准按照《建设单位工程管理部日常检查考核办法》执行。</w:t>
      </w:r>
    </w:p>
    <w:p w14:paraId="67839085">
      <w:pPr>
        <w:spacing w:line="200" w:lineRule="exact"/>
        <w:ind w:left="420" w:hanging="420" w:hangingChars="200"/>
        <w:outlineLvl w:val="9"/>
        <w:rPr>
          <w:rFonts w:cs="宋体" w:asciiTheme="minorEastAsia" w:hAnsiTheme="minorEastAsia" w:eastAsiaTheme="minorEastAsia"/>
          <w:color w:val="auto"/>
          <w:szCs w:val="21"/>
          <w:highlight w:val="none"/>
        </w:rPr>
      </w:pPr>
    </w:p>
    <w:p w14:paraId="2B290299">
      <w:pPr>
        <w:jc w:val="center"/>
        <w:outlineLvl w:val="9"/>
        <w:rPr>
          <w:rFonts w:hint="eastAsia" w:cs="宋体" w:asciiTheme="minorEastAsia" w:hAnsiTheme="minorEastAsia" w:eastAsiaTheme="minorEastAsia"/>
          <w:b/>
          <w:color w:val="auto"/>
          <w:szCs w:val="21"/>
          <w:highlight w:val="none"/>
        </w:rPr>
      </w:pPr>
    </w:p>
    <w:p w14:paraId="335EB997">
      <w:pPr>
        <w:jc w:val="center"/>
        <w:outlineLvl w:val="9"/>
        <w:rPr>
          <w:rFonts w:hint="eastAsia" w:cs="宋体" w:asciiTheme="minorEastAsia" w:hAnsiTheme="minorEastAsia" w:eastAsiaTheme="minorEastAsia"/>
          <w:b/>
          <w:color w:val="auto"/>
          <w:szCs w:val="21"/>
          <w:highlight w:val="none"/>
        </w:rPr>
        <w:sectPr>
          <w:headerReference r:id="rId7" w:type="default"/>
          <w:footerReference r:id="rId8" w:type="default"/>
          <w:pgSz w:w="11900" w:h="16838"/>
          <w:pgMar w:top="1134" w:right="1361" w:bottom="1134" w:left="1361" w:header="567" w:footer="567" w:gutter="0"/>
          <w:pgBorders>
            <w:top w:val="none" w:sz="0" w:space="0"/>
            <w:left w:val="none" w:sz="0" w:space="0"/>
            <w:bottom w:val="none" w:sz="0" w:space="0"/>
            <w:right w:val="none" w:sz="0" w:space="0"/>
          </w:pgBorders>
          <w:cols w:space="720" w:num="1"/>
          <w:docGrid w:linePitch="286" w:charSpace="0"/>
        </w:sectPr>
      </w:pPr>
    </w:p>
    <w:p w14:paraId="10655238">
      <w:pPr>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建设单位工程管理部日常检查考核办法</w:t>
      </w:r>
    </w:p>
    <w:p w14:paraId="5F197FF0">
      <w:pPr>
        <w:spacing w:line="360" w:lineRule="auto"/>
        <w:jc w:val="left"/>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1.目的：</w:t>
      </w:r>
    </w:p>
    <w:p w14:paraId="7A2B146B">
      <w:pPr>
        <w:spacing w:line="360" w:lineRule="auto"/>
        <w:ind w:firstLine="420" w:firstLineChars="200"/>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为了进一步完善公司的考核机制，加强现场质量安全管理，督促项目部工程管理人员重视日常管理工作，提高认识和责任心，减少工程施工过程中一些问题的反复出现，特制订《工程管理部日常检查考核办法》，以提高项目部的管理水平和工程质量。</w:t>
      </w:r>
    </w:p>
    <w:p w14:paraId="2739BFA7">
      <w:pPr>
        <w:spacing w:line="360" w:lineRule="auto"/>
        <w:jc w:val="left"/>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 xml:space="preserve">2.职责： </w:t>
      </w:r>
    </w:p>
    <w:p w14:paraId="2DA1F3F5">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2.1工程管理部负责对各项目进行日常检查或考核，并对发现的问题按照相关要求进行扣分处罚。</w:t>
      </w:r>
    </w:p>
    <w:p w14:paraId="53F8091B">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2.2项目部负责现场工程的施工管理，对工程管理部或其它职能部门发现的内业问题、质量问题、安全问题及时进行整改，并负责制定相应的预防控制措施。</w:t>
      </w:r>
    </w:p>
    <w:p w14:paraId="568B00B4">
      <w:pPr>
        <w:spacing w:line="360" w:lineRule="auto"/>
        <w:jc w:val="left"/>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3.考核办法：</w:t>
      </w:r>
    </w:p>
    <w:p w14:paraId="44A1EE3E">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 1检查的频发问题包括质量问题、安全、文明施工问题及内业管理等方面，具体分类详见附表1（但不局限于附表所列的问题）。</w:t>
      </w:r>
    </w:p>
    <w:p w14:paraId="428B84D2">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 2楼栋内质量问题以楼栋为单位进行界定；室外质量问题以标段为单位进行界定；安全及现场文明施工问题以标段为单位进行界；相关部门（办公室、企管部、销售分公司、C2B小组等）检查发现问题以标段为单位进行界定；内业问题以个人为单位进行界定。</w:t>
      </w:r>
    </w:p>
    <w:p w14:paraId="0EEF10D8">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3.3在某个节点考核周期内，质量问题按照专业分工对相应分管工程师进行扣分；安全问题不分专业，按照标段对全部分管工程师同时扣分（楼栋安全问题计入楼栋该节点进行扣分，室外安全及现场文明施工问题计入考核周期最近的某栋楼进行扣分，若某标段同时有几个节点进行考核，选取一个考核节点进行扣分）；内业问题按专业工程师个人进行扣分。</w:t>
      </w:r>
    </w:p>
    <w:p w14:paraId="351F57D5">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3.4频发性问题的判定： </w:t>
      </w:r>
    </w:p>
    <w:p w14:paraId="73E76060">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3.4.1工程管理部在某个节点考核周期内检查发现问题（具体问题详见附表1）第二次以上出现时；</w:t>
      </w:r>
    </w:p>
    <w:p w14:paraId="1AB5EBDA">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3.4.2相关部门检查发现的问题再次出现时。</w:t>
      </w:r>
    </w:p>
    <w:p w14:paraId="339B0648">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3.5在检查中发现问题后，工程管理部及时与项目部进行沟通，并将发现的问题告知项目部。</w:t>
      </w:r>
    </w:p>
    <w:p w14:paraId="5700A87F">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3.6项目部在接到工程管理部的问题通知后，及时安排施工单位、监理单位对存在问题进行复查，制定相应的预防控制措施，并对相同部位或其它楼栋相同部位可能出现的类似问题进行全面的检查。</w:t>
      </w:r>
    </w:p>
    <w:p w14:paraId="23D2A471">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3.7工程管理部日常检查发现问题（频发性问题）或相关部门检查发现频发性问题，作为该项目（楼栋）某节点考核分数扣分依据之一，若项目部对扣分原因或分值存在异议，无法达成共识时，报由主管领导进行裁定。</w:t>
      </w:r>
    </w:p>
    <w:p w14:paraId="602F1AB7">
      <w:pPr>
        <w:spacing w:line="360" w:lineRule="auto"/>
        <w:jc w:val="left"/>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w:t>4日常检查扣分标准及要求：</w:t>
      </w:r>
    </w:p>
    <w:p w14:paraId="1DE5B4ED">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4.1工程管理部在日常检查过程中发现问题时：</w:t>
      </w:r>
    </w:p>
    <w:p w14:paraId="56ED7CB7">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4.1.1项目部已经发现且正在组织整改，下道工序没有开始施工，工程管理部仅对该问题记录并上传明源系统，按照公司流程要求复查封闭，不扣分；</w:t>
      </w:r>
    </w:p>
    <w:p w14:paraId="39481797">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4.1.2项目部已经发现且开始组织整改，但下道工序已经开始施工，工程管理部对该问题记录并上传明源系统，按照公司流程要求复查封闭，每问题扣0.5分；</w:t>
      </w:r>
    </w:p>
    <w:p w14:paraId="67400384">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4.1.3项目部没有发现且下道工序已经开始施工，工程管理部对该问题记录并上传明源系统，按照公司流程要求复查封闭，每问题扣1分。</w:t>
      </w:r>
    </w:p>
    <w:p w14:paraId="01750070">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4.2工程管理部在日常检查过程中发现的问题若违反强制性条文规定，每问题扣1分。</w:t>
      </w:r>
    </w:p>
    <w:p w14:paraId="07AA407E">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4.3工程管理部在日常检查过程中发现问题通知项目部后，项目部及时安排施工单位、监理单位对存在问题进行复查整改，制定相应的预防控制措施；工程管理部在规定的整改期限内复查，若整改符合要求不扣分，不符合要求扣0.5分，若没有整改扣1分。</w:t>
      </w:r>
    </w:p>
    <w:p w14:paraId="32D93356">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4.4问题封闭率是指每个月的月末统计上月检查问题整改完成后在明源系统内回复封闭情况；最后一次问题封闭率在该考核节点完成时间后推30天时进行。最终的问题封闭率分数为：节点或季度考核期间各月问题封闭率的平均值。</w:t>
      </w:r>
    </w:p>
    <w:p w14:paraId="28548C0B">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4.5工程管理部检查发现的频发性问题，第二次出现时可扣</w:t>
      </w:r>
      <w:r>
        <w:rPr>
          <w:rFonts w:cs="宋体" w:asciiTheme="minorEastAsia" w:hAnsiTheme="minorEastAsia" w:eastAsiaTheme="minorEastAsia"/>
          <w:b/>
          <w:color w:val="auto"/>
          <w:szCs w:val="21"/>
          <w:highlight w:val="none"/>
        </w:rPr>
        <w:t>0.5</w:t>
      </w:r>
      <w:r>
        <w:rPr>
          <w:rFonts w:hint="eastAsia" w:cs="宋体" w:asciiTheme="minorEastAsia" w:hAnsiTheme="minorEastAsia" w:eastAsiaTheme="minorEastAsia"/>
          <w:color w:val="auto"/>
          <w:szCs w:val="21"/>
          <w:highlight w:val="none"/>
        </w:rPr>
        <w:t>分，第三次出现时扣</w:t>
      </w:r>
      <w:r>
        <w:rPr>
          <w:rFonts w:cs="宋体" w:asciiTheme="minorEastAsia" w:hAnsiTheme="minorEastAsia" w:eastAsiaTheme="minorEastAsia"/>
          <w:color w:val="auto"/>
          <w:szCs w:val="21"/>
          <w:highlight w:val="none"/>
        </w:rPr>
        <w:t>1分，第四次以上出现时扣3分。</w:t>
      </w:r>
    </w:p>
    <w:p w14:paraId="125331DE">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4.6相关政府职能部门、上级主管部门检查时出现频发性问题，扣除节点考核分数2分。</w:t>
      </w:r>
    </w:p>
    <w:p w14:paraId="4003A85C">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4.7对因质量、安全、频发性问题受到上级主管部门通报批评、媒体曝光等影响公司声誉时，扣除节点考核分数</w:t>
      </w:r>
      <w:r>
        <w:rPr>
          <w:rFonts w:cs="宋体" w:asciiTheme="minorEastAsia" w:hAnsiTheme="minorEastAsia" w:eastAsiaTheme="minorEastAsia"/>
          <w:b/>
          <w:color w:val="auto"/>
          <w:szCs w:val="21"/>
          <w:highlight w:val="none"/>
        </w:rPr>
        <w:t>5</w:t>
      </w:r>
      <w:r>
        <w:rPr>
          <w:rFonts w:hint="eastAsia" w:cs="宋体" w:asciiTheme="minorEastAsia" w:hAnsiTheme="minorEastAsia" w:eastAsiaTheme="minorEastAsia"/>
          <w:color w:val="auto"/>
          <w:szCs w:val="21"/>
          <w:highlight w:val="none"/>
        </w:rPr>
        <w:t>分。</w:t>
      </w:r>
    </w:p>
    <w:p w14:paraId="53F21232">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4.8工程管理部检查发现的问题以《工程质量/安全抽查记录表》形式上传明源系统，并在“存在问题及整改要求”一栏注明整改期限、对问题的判定和扣分情况；项目部在规定的期限内整改完成后及时通知工程管理部到现场复查，同时上传整改记录、图片等资料到明源系统，在限期整改日期后一周内完成明源系统相关流程，工程管理部根据实际验证情况进行闭合归档，并依据整改的及时性和问题封闭率等情况在“整改结果工程管理部验证情况”一栏内注明扣分情况。</w:t>
      </w:r>
    </w:p>
    <w:p w14:paraId="7D011F7D">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4.9 上述日常检查考核办法，针对现场质量安全检查发现的问题而进行的处罚措施，以建设单位项目部按建设单位工程管理部扣除的考核分数为依据，每分按照2000元标准对施工单位进行罚款处罚。 </w:t>
      </w:r>
    </w:p>
    <w:p w14:paraId="36EBF113">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5.0 </w:t>
      </w:r>
      <w:r>
        <w:rPr>
          <w:rFonts w:hint="eastAsia" w:cs="宋体" w:asciiTheme="minorEastAsia" w:hAnsiTheme="minorEastAsia" w:eastAsiaTheme="minorEastAsia"/>
          <w:color w:val="auto"/>
          <w:szCs w:val="21"/>
          <w:highlight w:val="none"/>
        </w:rPr>
        <w:t>该考核办法只针对建设单位工程管理部对现场项目部考核所产生的罚款。</w:t>
      </w:r>
    </w:p>
    <w:p w14:paraId="487CCA28">
      <w:pPr>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5.1 </w:t>
      </w:r>
      <w:r>
        <w:rPr>
          <w:rFonts w:hint="eastAsia" w:cs="宋体" w:asciiTheme="minorEastAsia" w:hAnsiTheme="minorEastAsia" w:eastAsiaTheme="minorEastAsia"/>
          <w:color w:val="auto"/>
          <w:szCs w:val="21"/>
          <w:highlight w:val="none"/>
        </w:rPr>
        <w:t>凡在该项目建设周期内，建设单位工程管理部针对现场所产生的各类管理、考核及处罚标准，建设单位项目部均要按现行标准对施工单位进行管理、考核及处罚。</w:t>
      </w:r>
    </w:p>
    <w:p w14:paraId="74A458DE">
      <w:pPr>
        <w:jc w:val="left"/>
        <w:outlineLvl w:val="9"/>
        <w:rPr>
          <w:rFonts w:hint="eastAsia" w:cs="宋体" w:asciiTheme="minorEastAsia" w:hAnsiTheme="minorEastAsia" w:eastAsiaTheme="minorEastAsia"/>
          <w:color w:val="auto"/>
          <w:szCs w:val="21"/>
          <w:highlight w:val="none"/>
        </w:rPr>
        <w:sectPr>
          <w:pgSz w:w="11900" w:h="16838"/>
          <w:pgMar w:top="1134" w:right="1361" w:bottom="1134" w:left="1361" w:header="567" w:footer="567" w:gutter="0"/>
          <w:pgBorders>
            <w:top w:val="none" w:sz="0" w:space="0"/>
            <w:left w:val="none" w:sz="0" w:space="0"/>
            <w:bottom w:val="none" w:sz="0" w:space="0"/>
            <w:right w:val="none" w:sz="0" w:space="0"/>
          </w:pgBorders>
          <w:cols w:space="720" w:num="1"/>
          <w:docGrid w:linePitch="286" w:charSpace="0"/>
        </w:sectPr>
      </w:pPr>
    </w:p>
    <w:p w14:paraId="42AEAE21">
      <w:pPr>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w:t>
      </w:r>
    </w:p>
    <w:p w14:paraId="4B3EEBFD">
      <w:pPr>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b/>
          <w:color w:val="auto"/>
          <w:szCs w:val="21"/>
          <w:highlight w:val="none"/>
        </w:rPr>
        <w:t>频发性问题汇总表</w:t>
      </w:r>
    </w:p>
    <w:p w14:paraId="26D11AB6">
      <w:pPr>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1）、质量方面：</w:t>
      </w:r>
    </w:p>
    <w:tbl>
      <w:tblPr>
        <w:tblStyle w:val="56"/>
        <w:tblW w:w="94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4"/>
        <w:gridCol w:w="7070"/>
        <w:gridCol w:w="1658"/>
      </w:tblGrid>
      <w:tr w14:paraId="2E6BC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714" w:type="dxa"/>
            <w:vAlign w:val="center"/>
          </w:tcPr>
          <w:p w14:paraId="1D3529A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序号</w:t>
            </w:r>
          </w:p>
        </w:tc>
        <w:tc>
          <w:tcPr>
            <w:tcW w:w="7070" w:type="dxa"/>
            <w:vAlign w:val="center"/>
          </w:tcPr>
          <w:p w14:paraId="4E632CE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频发性问题</w:t>
            </w:r>
          </w:p>
        </w:tc>
        <w:tc>
          <w:tcPr>
            <w:tcW w:w="1658" w:type="dxa"/>
            <w:vAlign w:val="center"/>
          </w:tcPr>
          <w:p w14:paraId="5F256DB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备注</w:t>
            </w:r>
          </w:p>
        </w:tc>
      </w:tr>
      <w:tr w14:paraId="29D44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0FFB84D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w:t>
            </w:r>
          </w:p>
        </w:tc>
        <w:tc>
          <w:tcPr>
            <w:tcW w:w="7070" w:type="dxa"/>
            <w:vAlign w:val="center"/>
          </w:tcPr>
          <w:p w14:paraId="5AC500E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地下室（或车库）外墙止水带安装不符合要求</w:t>
            </w:r>
          </w:p>
        </w:tc>
        <w:tc>
          <w:tcPr>
            <w:tcW w:w="1658" w:type="dxa"/>
            <w:vAlign w:val="center"/>
          </w:tcPr>
          <w:p w14:paraId="0E983A3C">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5E37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4649B99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w:t>
            </w:r>
          </w:p>
        </w:tc>
        <w:tc>
          <w:tcPr>
            <w:tcW w:w="7070" w:type="dxa"/>
            <w:vAlign w:val="center"/>
          </w:tcPr>
          <w:p w14:paraId="6F71BC8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地下室（或车库）底板防水不符合要求</w:t>
            </w:r>
          </w:p>
        </w:tc>
        <w:tc>
          <w:tcPr>
            <w:tcW w:w="1658" w:type="dxa"/>
            <w:vAlign w:val="center"/>
          </w:tcPr>
          <w:p w14:paraId="2100F657">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2591C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492117E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w:t>
            </w:r>
          </w:p>
        </w:tc>
        <w:tc>
          <w:tcPr>
            <w:tcW w:w="7070" w:type="dxa"/>
            <w:vAlign w:val="center"/>
          </w:tcPr>
          <w:p w14:paraId="359AAC5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地下室（或车库）后浇带细部处理措施不符合要求</w:t>
            </w:r>
          </w:p>
        </w:tc>
        <w:tc>
          <w:tcPr>
            <w:tcW w:w="1658" w:type="dxa"/>
            <w:vAlign w:val="center"/>
          </w:tcPr>
          <w:p w14:paraId="7DCFB19D">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0BC8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52FC939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w:t>
            </w:r>
          </w:p>
        </w:tc>
        <w:tc>
          <w:tcPr>
            <w:tcW w:w="7070" w:type="dxa"/>
            <w:vAlign w:val="center"/>
          </w:tcPr>
          <w:p w14:paraId="2C762DD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地下室（或车库）外墙防水质量不符合要求</w:t>
            </w:r>
          </w:p>
        </w:tc>
        <w:tc>
          <w:tcPr>
            <w:tcW w:w="1658" w:type="dxa"/>
            <w:vAlign w:val="center"/>
          </w:tcPr>
          <w:p w14:paraId="744FAFF8">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2C967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03025C4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5</w:t>
            </w:r>
          </w:p>
        </w:tc>
        <w:tc>
          <w:tcPr>
            <w:tcW w:w="7070" w:type="dxa"/>
            <w:vAlign w:val="center"/>
          </w:tcPr>
          <w:p w14:paraId="110126E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地下室（或车库）室内外回填土质量不符合要求</w:t>
            </w:r>
          </w:p>
        </w:tc>
        <w:tc>
          <w:tcPr>
            <w:tcW w:w="1658" w:type="dxa"/>
            <w:vAlign w:val="center"/>
          </w:tcPr>
          <w:p w14:paraId="4B001575">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2128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093CA44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6</w:t>
            </w:r>
          </w:p>
        </w:tc>
        <w:tc>
          <w:tcPr>
            <w:tcW w:w="7070" w:type="dxa"/>
            <w:vAlign w:val="center"/>
          </w:tcPr>
          <w:p w14:paraId="7B2EC36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外墙螺栓孔洞封堵不符合要求</w:t>
            </w:r>
          </w:p>
        </w:tc>
        <w:tc>
          <w:tcPr>
            <w:tcW w:w="1658" w:type="dxa"/>
            <w:vAlign w:val="center"/>
          </w:tcPr>
          <w:p w14:paraId="4CF0CDB0">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4B679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07B4392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7</w:t>
            </w:r>
          </w:p>
        </w:tc>
        <w:tc>
          <w:tcPr>
            <w:tcW w:w="7070" w:type="dxa"/>
            <w:vAlign w:val="center"/>
          </w:tcPr>
          <w:p w14:paraId="7C5F9C0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主体实测实量偏差与标准相差较大或合格率较低</w:t>
            </w:r>
          </w:p>
        </w:tc>
        <w:tc>
          <w:tcPr>
            <w:tcW w:w="1658" w:type="dxa"/>
            <w:vAlign w:val="center"/>
          </w:tcPr>
          <w:p w14:paraId="613CD437">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B0F8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4C070A4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8</w:t>
            </w:r>
          </w:p>
        </w:tc>
        <w:tc>
          <w:tcPr>
            <w:tcW w:w="7070" w:type="dxa"/>
            <w:vAlign w:val="center"/>
          </w:tcPr>
          <w:p w14:paraId="14F7372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砌体墙体拉结筋使用不符合要求</w:t>
            </w:r>
          </w:p>
        </w:tc>
        <w:tc>
          <w:tcPr>
            <w:tcW w:w="1658" w:type="dxa"/>
            <w:vAlign w:val="center"/>
          </w:tcPr>
          <w:p w14:paraId="40A6DD69">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5D6D1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36E816D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9</w:t>
            </w:r>
          </w:p>
        </w:tc>
        <w:tc>
          <w:tcPr>
            <w:tcW w:w="7070" w:type="dxa"/>
            <w:vAlign w:val="center"/>
          </w:tcPr>
          <w:p w14:paraId="6CF4CA3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砌体排砖（通缝、门窗洞口未使用相关措施等）不符合要求</w:t>
            </w:r>
          </w:p>
        </w:tc>
        <w:tc>
          <w:tcPr>
            <w:tcW w:w="1658" w:type="dxa"/>
            <w:vAlign w:val="center"/>
          </w:tcPr>
          <w:p w14:paraId="2842B853">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8682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06867BA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10</w:t>
            </w:r>
          </w:p>
        </w:tc>
        <w:tc>
          <w:tcPr>
            <w:tcW w:w="7070" w:type="dxa"/>
            <w:vAlign w:val="center"/>
          </w:tcPr>
          <w:p w14:paraId="5B1053A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砌体顶部细部处理不符合要求</w:t>
            </w:r>
          </w:p>
        </w:tc>
        <w:tc>
          <w:tcPr>
            <w:tcW w:w="1658" w:type="dxa"/>
            <w:vAlign w:val="center"/>
          </w:tcPr>
          <w:p w14:paraId="59E84F00">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40517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2419136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11</w:t>
            </w:r>
          </w:p>
        </w:tc>
        <w:tc>
          <w:tcPr>
            <w:tcW w:w="7070" w:type="dxa"/>
            <w:vAlign w:val="center"/>
          </w:tcPr>
          <w:p w14:paraId="653A350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预留洞口尺寸偏差较大</w:t>
            </w:r>
          </w:p>
        </w:tc>
        <w:tc>
          <w:tcPr>
            <w:tcW w:w="1658" w:type="dxa"/>
            <w:vAlign w:val="center"/>
          </w:tcPr>
          <w:p w14:paraId="5AB24642">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28CF8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3C71489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12</w:t>
            </w:r>
          </w:p>
        </w:tc>
        <w:tc>
          <w:tcPr>
            <w:tcW w:w="7070" w:type="dxa"/>
            <w:vAlign w:val="center"/>
          </w:tcPr>
          <w:p w14:paraId="333BADC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抹灰基础交接处抗裂措施不符合要求</w:t>
            </w:r>
          </w:p>
        </w:tc>
        <w:tc>
          <w:tcPr>
            <w:tcW w:w="1658" w:type="dxa"/>
            <w:vAlign w:val="center"/>
          </w:tcPr>
          <w:p w14:paraId="306B945C">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B468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05BD33D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13</w:t>
            </w:r>
          </w:p>
        </w:tc>
        <w:tc>
          <w:tcPr>
            <w:tcW w:w="7070" w:type="dxa"/>
            <w:vAlign w:val="center"/>
          </w:tcPr>
          <w:p w14:paraId="3D26B77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抹灰墙面有起砂现象</w:t>
            </w:r>
          </w:p>
        </w:tc>
        <w:tc>
          <w:tcPr>
            <w:tcW w:w="1658" w:type="dxa"/>
            <w:vAlign w:val="center"/>
          </w:tcPr>
          <w:p w14:paraId="7E1020A8">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04C79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5AB75E2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14</w:t>
            </w:r>
          </w:p>
        </w:tc>
        <w:tc>
          <w:tcPr>
            <w:tcW w:w="7070" w:type="dxa"/>
            <w:vAlign w:val="center"/>
          </w:tcPr>
          <w:p w14:paraId="6B2A52F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抹灰墙面存在空鼓或裂缝现象</w:t>
            </w:r>
          </w:p>
        </w:tc>
        <w:tc>
          <w:tcPr>
            <w:tcW w:w="1658" w:type="dxa"/>
            <w:vAlign w:val="center"/>
          </w:tcPr>
          <w:p w14:paraId="35E8D905">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5057F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37FE36C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15</w:t>
            </w:r>
          </w:p>
        </w:tc>
        <w:tc>
          <w:tcPr>
            <w:tcW w:w="7070" w:type="dxa"/>
            <w:vAlign w:val="center"/>
          </w:tcPr>
          <w:p w14:paraId="24C7988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抹灰后实测实量偏差与标准相差较大或合格率低于</w:t>
            </w:r>
            <w:r>
              <w:rPr>
                <w:rFonts w:cs="宋体" w:asciiTheme="minorEastAsia" w:hAnsiTheme="minorEastAsia" w:eastAsiaTheme="minorEastAsia"/>
                <w:bCs/>
                <w:color w:val="auto"/>
                <w:szCs w:val="21"/>
                <w:highlight w:val="none"/>
              </w:rPr>
              <w:t>85%</w:t>
            </w:r>
          </w:p>
        </w:tc>
        <w:tc>
          <w:tcPr>
            <w:tcW w:w="1658" w:type="dxa"/>
            <w:vAlign w:val="center"/>
          </w:tcPr>
          <w:p w14:paraId="5FE50E5D">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5B17E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152ECE3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16</w:t>
            </w:r>
          </w:p>
        </w:tc>
        <w:tc>
          <w:tcPr>
            <w:tcW w:w="7070" w:type="dxa"/>
            <w:vAlign w:val="center"/>
          </w:tcPr>
          <w:p w14:paraId="246B103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窗口收口外高内低（厨卫间除外）；窗框底部排水孔被堵住（收口、打胶等原因）</w:t>
            </w:r>
          </w:p>
        </w:tc>
        <w:tc>
          <w:tcPr>
            <w:tcW w:w="1658" w:type="dxa"/>
            <w:vAlign w:val="center"/>
          </w:tcPr>
          <w:p w14:paraId="30415E37">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518F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457C56D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17</w:t>
            </w:r>
          </w:p>
        </w:tc>
        <w:tc>
          <w:tcPr>
            <w:tcW w:w="7070" w:type="dxa"/>
            <w:vAlign w:val="center"/>
          </w:tcPr>
          <w:p w14:paraId="7BFC2AF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外窗框安装（固定方式、固定件的数量及位置、发泡剂的饱满程度等）不符合要求</w:t>
            </w:r>
          </w:p>
        </w:tc>
        <w:tc>
          <w:tcPr>
            <w:tcW w:w="1658" w:type="dxa"/>
            <w:vAlign w:val="center"/>
          </w:tcPr>
          <w:p w14:paraId="0CA0FAAA">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127ED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76EEF71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18</w:t>
            </w:r>
          </w:p>
        </w:tc>
        <w:tc>
          <w:tcPr>
            <w:tcW w:w="7070" w:type="dxa"/>
            <w:vAlign w:val="center"/>
          </w:tcPr>
          <w:p w14:paraId="5CDE12C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窗外口胶（材质、不连续或有大面积的开口现象等）不符合要求</w:t>
            </w:r>
          </w:p>
        </w:tc>
        <w:tc>
          <w:tcPr>
            <w:tcW w:w="1658" w:type="dxa"/>
            <w:vAlign w:val="center"/>
          </w:tcPr>
          <w:p w14:paraId="3B988E80">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2B584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33E08F9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19</w:t>
            </w:r>
          </w:p>
        </w:tc>
        <w:tc>
          <w:tcPr>
            <w:tcW w:w="7070" w:type="dxa"/>
            <w:vAlign w:val="center"/>
          </w:tcPr>
          <w:p w14:paraId="69F1F09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地面垫层出现不规则裂缝、起砂现象</w:t>
            </w:r>
          </w:p>
        </w:tc>
        <w:tc>
          <w:tcPr>
            <w:tcW w:w="1658" w:type="dxa"/>
            <w:vAlign w:val="center"/>
          </w:tcPr>
          <w:p w14:paraId="630FE2FD">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A5B7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6DCEFE5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20</w:t>
            </w:r>
          </w:p>
        </w:tc>
        <w:tc>
          <w:tcPr>
            <w:tcW w:w="7070" w:type="dxa"/>
            <w:vAlign w:val="center"/>
          </w:tcPr>
          <w:p w14:paraId="0ACFC36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厨卫间管道吊洞不符合要求</w:t>
            </w:r>
          </w:p>
        </w:tc>
        <w:tc>
          <w:tcPr>
            <w:tcW w:w="1658" w:type="dxa"/>
            <w:vAlign w:val="center"/>
          </w:tcPr>
          <w:p w14:paraId="649789BD">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420D7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03172CC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21</w:t>
            </w:r>
          </w:p>
        </w:tc>
        <w:tc>
          <w:tcPr>
            <w:tcW w:w="7070" w:type="dxa"/>
            <w:vAlign w:val="center"/>
          </w:tcPr>
          <w:p w14:paraId="25E9C7D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厨卫间防水厚度不符合要求</w:t>
            </w:r>
          </w:p>
        </w:tc>
        <w:tc>
          <w:tcPr>
            <w:tcW w:w="1658" w:type="dxa"/>
            <w:vAlign w:val="center"/>
          </w:tcPr>
          <w:p w14:paraId="58CB501C">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FA9D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1" w:hRule="atLeast"/>
          <w:jc w:val="center"/>
        </w:trPr>
        <w:tc>
          <w:tcPr>
            <w:tcW w:w="714" w:type="dxa"/>
            <w:vAlign w:val="center"/>
          </w:tcPr>
          <w:p w14:paraId="2E04C31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22</w:t>
            </w:r>
          </w:p>
        </w:tc>
        <w:tc>
          <w:tcPr>
            <w:tcW w:w="7070" w:type="dxa"/>
            <w:vAlign w:val="center"/>
          </w:tcPr>
          <w:p w14:paraId="5020EDC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外墙保温排板、粘接面积不符合要求</w:t>
            </w:r>
          </w:p>
        </w:tc>
        <w:tc>
          <w:tcPr>
            <w:tcW w:w="1658" w:type="dxa"/>
            <w:vAlign w:val="center"/>
          </w:tcPr>
          <w:p w14:paraId="64CC7ACC">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4D0C5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704E25B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23</w:t>
            </w:r>
          </w:p>
        </w:tc>
        <w:tc>
          <w:tcPr>
            <w:tcW w:w="7070" w:type="dxa"/>
            <w:vAlign w:val="center"/>
          </w:tcPr>
          <w:p w14:paraId="0212925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外墙保温锚固件的数量不符合要求</w:t>
            </w:r>
          </w:p>
        </w:tc>
        <w:tc>
          <w:tcPr>
            <w:tcW w:w="1658" w:type="dxa"/>
            <w:vAlign w:val="center"/>
          </w:tcPr>
          <w:p w14:paraId="4D4B1CB8">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2BF59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40D9607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24</w:t>
            </w:r>
          </w:p>
        </w:tc>
        <w:tc>
          <w:tcPr>
            <w:tcW w:w="7070" w:type="dxa"/>
            <w:vAlign w:val="center"/>
          </w:tcPr>
          <w:p w14:paraId="246EBEA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外墙保温抗裂砂浆的厚度，等不符合要求</w:t>
            </w:r>
          </w:p>
        </w:tc>
        <w:tc>
          <w:tcPr>
            <w:tcW w:w="1658" w:type="dxa"/>
            <w:vAlign w:val="center"/>
          </w:tcPr>
          <w:p w14:paraId="0963CD5F">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419AD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083F623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25</w:t>
            </w:r>
          </w:p>
        </w:tc>
        <w:tc>
          <w:tcPr>
            <w:tcW w:w="7070" w:type="dxa"/>
            <w:vAlign w:val="center"/>
          </w:tcPr>
          <w:p w14:paraId="71A66B1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外墙涂料的厚度不符合要求</w:t>
            </w:r>
          </w:p>
        </w:tc>
        <w:tc>
          <w:tcPr>
            <w:tcW w:w="1658" w:type="dxa"/>
            <w:vAlign w:val="center"/>
          </w:tcPr>
          <w:p w14:paraId="71236CD9">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6962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5441770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26</w:t>
            </w:r>
          </w:p>
        </w:tc>
        <w:tc>
          <w:tcPr>
            <w:tcW w:w="7070" w:type="dxa"/>
            <w:vAlign w:val="center"/>
          </w:tcPr>
          <w:p w14:paraId="0FAB6F5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屋面防水质量不符合要求</w:t>
            </w:r>
          </w:p>
        </w:tc>
        <w:tc>
          <w:tcPr>
            <w:tcW w:w="1658" w:type="dxa"/>
            <w:vAlign w:val="center"/>
          </w:tcPr>
          <w:p w14:paraId="40A8CC20">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2F60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61F9A90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27</w:t>
            </w:r>
          </w:p>
        </w:tc>
        <w:tc>
          <w:tcPr>
            <w:tcW w:w="7070" w:type="dxa"/>
            <w:vAlign w:val="center"/>
          </w:tcPr>
          <w:p w14:paraId="56E9865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出屋面管道根部细部处理不符合要求</w:t>
            </w:r>
          </w:p>
        </w:tc>
        <w:tc>
          <w:tcPr>
            <w:tcW w:w="1658" w:type="dxa"/>
            <w:vAlign w:val="center"/>
          </w:tcPr>
          <w:p w14:paraId="5752CD3C">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F7DC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30C36BA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28</w:t>
            </w:r>
          </w:p>
        </w:tc>
        <w:tc>
          <w:tcPr>
            <w:tcW w:w="7070" w:type="dxa"/>
            <w:vAlign w:val="center"/>
          </w:tcPr>
          <w:p w14:paraId="76FA827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屋面出现渗漏现象</w:t>
            </w:r>
          </w:p>
        </w:tc>
        <w:tc>
          <w:tcPr>
            <w:tcW w:w="1658" w:type="dxa"/>
            <w:vAlign w:val="center"/>
          </w:tcPr>
          <w:p w14:paraId="7B711D54">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F06A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1" w:hRule="atLeast"/>
          <w:jc w:val="center"/>
        </w:trPr>
        <w:tc>
          <w:tcPr>
            <w:tcW w:w="714" w:type="dxa"/>
            <w:vAlign w:val="center"/>
          </w:tcPr>
          <w:p w14:paraId="4EF1003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29</w:t>
            </w:r>
          </w:p>
        </w:tc>
        <w:tc>
          <w:tcPr>
            <w:tcW w:w="7070" w:type="dxa"/>
            <w:vAlign w:val="center"/>
          </w:tcPr>
          <w:p w14:paraId="26C2910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公共部分装修墙砖出现较大面积的空鼓现象</w:t>
            </w:r>
          </w:p>
        </w:tc>
        <w:tc>
          <w:tcPr>
            <w:tcW w:w="1658" w:type="dxa"/>
            <w:vAlign w:val="center"/>
          </w:tcPr>
          <w:p w14:paraId="5BA0AD86">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2D3D4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2D38138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30</w:t>
            </w:r>
          </w:p>
        </w:tc>
        <w:tc>
          <w:tcPr>
            <w:tcW w:w="7070" w:type="dxa"/>
            <w:vAlign w:val="center"/>
          </w:tcPr>
          <w:p w14:paraId="29C0186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主体预留、预埋位置及尺寸不符合要求</w:t>
            </w:r>
          </w:p>
        </w:tc>
        <w:tc>
          <w:tcPr>
            <w:tcW w:w="1658" w:type="dxa"/>
            <w:vAlign w:val="center"/>
          </w:tcPr>
          <w:p w14:paraId="5B070FD7">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B9E2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7B8562B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31</w:t>
            </w:r>
          </w:p>
        </w:tc>
        <w:tc>
          <w:tcPr>
            <w:tcW w:w="7070" w:type="dxa"/>
            <w:vAlign w:val="center"/>
          </w:tcPr>
          <w:p w14:paraId="5B5A726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开关距门边距离不符合要求</w:t>
            </w:r>
          </w:p>
        </w:tc>
        <w:tc>
          <w:tcPr>
            <w:tcW w:w="1658" w:type="dxa"/>
            <w:vAlign w:val="center"/>
          </w:tcPr>
          <w:p w14:paraId="73FA5F96">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0AA07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2332288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32</w:t>
            </w:r>
          </w:p>
        </w:tc>
        <w:tc>
          <w:tcPr>
            <w:tcW w:w="7070" w:type="dxa"/>
            <w:vAlign w:val="center"/>
          </w:tcPr>
          <w:p w14:paraId="3AC1A68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室内同一墙面插座高低不平</w:t>
            </w:r>
          </w:p>
        </w:tc>
        <w:tc>
          <w:tcPr>
            <w:tcW w:w="1658" w:type="dxa"/>
            <w:vAlign w:val="center"/>
          </w:tcPr>
          <w:p w14:paraId="32730E2B">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61617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11496E4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33</w:t>
            </w:r>
          </w:p>
        </w:tc>
        <w:tc>
          <w:tcPr>
            <w:tcW w:w="7070" w:type="dxa"/>
            <w:vAlign w:val="center"/>
          </w:tcPr>
          <w:p w14:paraId="6B04B00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卫生间排水立管“</w:t>
            </w:r>
            <w:r>
              <w:rPr>
                <w:rFonts w:cs="宋体" w:asciiTheme="minorEastAsia" w:hAnsiTheme="minorEastAsia" w:eastAsiaTheme="minorEastAsia"/>
                <w:bCs/>
                <w:color w:val="auto"/>
                <w:szCs w:val="21"/>
                <w:highlight w:val="none"/>
              </w:rPr>
              <w:t>H”型管装反</w:t>
            </w:r>
          </w:p>
        </w:tc>
        <w:tc>
          <w:tcPr>
            <w:tcW w:w="1658" w:type="dxa"/>
            <w:vAlign w:val="center"/>
          </w:tcPr>
          <w:p w14:paraId="04BB179C">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5D24F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020299B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34</w:t>
            </w:r>
          </w:p>
        </w:tc>
        <w:tc>
          <w:tcPr>
            <w:tcW w:w="7070" w:type="dxa"/>
            <w:vAlign w:val="center"/>
          </w:tcPr>
          <w:p w14:paraId="2D59C57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厨卫间给水支管冷热水位置装反</w:t>
            </w:r>
          </w:p>
        </w:tc>
        <w:tc>
          <w:tcPr>
            <w:tcW w:w="1658" w:type="dxa"/>
            <w:vAlign w:val="center"/>
          </w:tcPr>
          <w:p w14:paraId="699654A6">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164A5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45865A4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35</w:t>
            </w:r>
          </w:p>
        </w:tc>
        <w:tc>
          <w:tcPr>
            <w:tcW w:w="7070" w:type="dxa"/>
            <w:vAlign w:val="center"/>
          </w:tcPr>
          <w:p w14:paraId="2DC33C4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排水支管坡向、水距、支架间距不符合要求</w:t>
            </w:r>
          </w:p>
        </w:tc>
        <w:tc>
          <w:tcPr>
            <w:tcW w:w="1658" w:type="dxa"/>
            <w:vAlign w:val="center"/>
          </w:tcPr>
          <w:p w14:paraId="27E23956">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1B67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633E47C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36</w:t>
            </w:r>
          </w:p>
        </w:tc>
        <w:tc>
          <w:tcPr>
            <w:tcW w:w="7070" w:type="dxa"/>
            <w:vAlign w:val="center"/>
          </w:tcPr>
          <w:p w14:paraId="3112795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地埋管管卡间距不符合要求，直管段有多余接头</w:t>
            </w:r>
          </w:p>
        </w:tc>
        <w:tc>
          <w:tcPr>
            <w:tcW w:w="1658" w:type="dxa"/>
            <w:vAlign w:val="center"/>
          </w:tcPr>
          <w:p w14:paraId="65676EE7">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2163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1FA06F0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37</w:t>
            </w:r>
          </w:p>
        </w:tc>
        <w:tc>
          <w:tcPr>
            <w:tcW w:w="7070" w:type="dxa"/>
            <w:vAlign w:val="center"/>
          </w:tcPr>
          <w:p w14:paraId="0B546D4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空调洞位置不符合要求，外高内低，外侧有排水立管遮挡</w:t>
            </w:r>
          </w:p>
        </w:tc>
        <w:tc>
          <w:tcPr>
            <w:tcW w:w="1658" w:type="dxa"/>
            <w:vAlign w:val="center"/>
          </w:tcPr>
          <w:p w14:paraId="70F7C267">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64C0A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791EB01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38</w:t>
            </w:r>
          </w:p>
        </w:tc>
        <w:tc>
          <w:tcPr>
            <w:tcW w:w="7070" w:type="dxa"/>
            <w:vAlign w:val="center"/>
          </w:tcPr>
          <w:p w14:paraId="2F25EA6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电气插座与天然气管道间距不符合要求</w:t>
            </w:r>
          </w:p>
        </w:tc>
        <w:tc>
          <w:tcPr>
            <w:tcW w:w="1658" w:type="dxa"/>
            <w:vAlign w:val="center"/>
          </w:tcPr>
          <w:p w14:paraId="18B80AF2">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50654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5A35211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39</w:t>
            </w:r>
          </w:p>
        </w:tc>
        <w:tc>
          <w:tcPr>
            <w:tcW w:w="7070" w:type="dxa"/>
            <w:vAlign w:val="center"/>
          </w:tcPr>
          <w:p w14:paraId="6F66BBB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管道井及消防立管管道支架防锈处理不符合要求</w:t>
            </w:r>
          </w:p>
        </w:tc>
        <w:tc>
          <w:tcPr>
            <w:tcW w:w="1658" w:type="dxa"/>
            <w:vAlign w:val="center"/>
          </w:tcPr>
          <w:p w14:paraId="7B480997">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1262B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282E687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40</w:t>
            </w:r>
          </w:p>
        </w:tc>
        <w:tc>
          <w:tcPr>
            <w:tcW w:w="7070" w:type="dxa"/>
            <w:vAlign w:val="center"/>
          </w:tcPr>
          <w:p w14:paraId="0F3B699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屋面通气管道高度、垂直度符合要求</w:t>
            </w:r>
          </w:p>
        </w:tc>
        <w:tc>
          <w:tcPr>
            <w:tcW w:w="1658" w:type="dxa"/>
            <w:vAlign w:val="center"/>
          </w:tcPr>
          <w:p w14:paraId="3B37333E">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27787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486C5D5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41</w:t>
            </w:r>
          </w:p>
        </w:tc>
        <w:tc>
          <w:tcPr>
            <w:tcW w:w="7070" w:type="dxa"/>
            <w:vAlign w:val="center"/>
          </w:tcPr>
          <w:p w14:paraId="2EC0A7A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屋面套管高度符合要求</w:t>
            </w:r>
          </w:p>
        </w:tc>
        <w:tc>
          <w:tcPr>
            <w:tcW w:w="1658" w:type="dxa"/>
            <w:vAlign w:val="center"/>
          </w:tcPr>
          <w:p w14:paraId="28F4DFB6">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602A1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5889096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42</w:t>
            </w:r>
          </w:p>
        </w:tc>
        <w:tc>
          <w:tcPr>
            <w:tcW w:w="7070" w:type="dxa"/>
            <w:vAlign w:val="center"/>
          </w:tcPr>
          <w:p w14:paraId="6B79C28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屋面避雷带支架间距、支架焊接牢固及防锈处理符合要求</w:t>
            </w:r>
          </w:p>
        </w:tc>
        <w:tc>
          <w:tcPr>
            <w:tcW w:w="1658" w:type="dxa"/>
            <w:vAlign w:val="center"/>
          </w:tcPr>
          <w:p w14:paraId="1C0286D4">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43053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714" w:type="dxa"/>
            <w:vAlign w:val="center"/>
          </w:tcPr>
          <w:p w14:paraId="31C1767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43</w:t>
            </w:r>
          </w:p>
        </w:tc>
        <w:tc>
          <w:tcPr>
            <w:tcW w:w="7070" w:type="dxa"/>
            <w:vAlign w:val="center"/>
          </w:tcPr>
          <w:p w14:paraId="161602E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排水立管阻火圈不齐全、不牢固</w:t>
            </w:r>
          </w:p>
        </w:tc>
        <w:tc>
          <w:tcPr>
            <w:tcW w:w="1658" w:type="dxa"/>
            <w:vAlign w:val="center"/>
          </w:tcPr>
          <w:p w14:paraId="2A1492D7">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3326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6C395E2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44</w:t>
            </w:r>
          </w:p>
        </w:tc>
        <w:tc>
          <w:tcPr>
            <w:tcW w:w="7070" w:type="dxa"/>
            <w:vAlign w:val="center"/>
          </w:tcPr>
          <w:p w14:paraId="6B499C0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地埋管、钢丝网有外露现象</w:t>
            </w:r>
          </w:p>
        </w:tc>
        <w:tc>
          <w:tcPr>
            <w:tcW w:w="1658" w:type="dxa"/>
            <w:vAlign w:val="center"/>
          </w:tcPr>
          <w:p w14:paraId="10682FA3">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4233E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02F0F09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45</w:t>
            </w:r>
          </w:p>
        </w:tc>
        <w:tc>
          <w:tcPr>
            <w:tcW w:w="7070" w:type="dxa"/>
            <w:vAlign w:val="center"/>
          </w:tcPr>
          <w:p w14:paraId="39829AA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散热器支架安装不牢固，表面有掉漆现象</w:t>
            </w:r>
          </w:p>
        </w:tc>
        <w:tc>
          <w:tcPr>
            <w:tcW w:w="1658" w:type="dxa"/>
            <w:vAlign w:val="center"/>
          </w:tcPr>
          <w:p w14:paraId="2F81583A">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13279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3B977AB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46</w:t>
            </w:r>
          </w:p>
        </w:tc>
        <w:tc>
          <w:tcPr>
            <w:tcW w:w="7070" w:type="dxa"/>
            <w:vAlign w:val="center"/>
          </w:tcPr>
          <w:p w14:paraId="72B7E72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车库管道及阀门有漏水、漏气现象</w:t>
            </w:r>
          </w:p>
        </w:tc>
        <w:tc>
          <w:tcPr>
            <w:tcW w:w="1658" w:type="dxa"/>
            <w:vAlign w:val="center"/>
          </w:tcPr>
          <w:p w14:paraId="205FEE62">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1D11E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7C897CF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47</w:t>
            </w:r>
          </w:p>
        </w:tc>
        <w:tc>
          <w:tcPr>
            <w:tcW w:w="7070" w:type="dxa"/>
            <w:vAlign w:val="center"/>
          </w:tcPr>
          <w:p w14:paraId="2C3A8EA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车库管道、阀门、支架有锈蚀现象</w:t>
            </w:r>
          </w:p>
        </w:tc>
        <w:tc>
          <w:tcPr>
            <w:tcW w:w="1658" w:type="dxa"/>
            <w:vAlign w:val="center"/>
          </w:tcPr>
          <w:p w14:paraId="3CBB0B31">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561D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6AB4BC6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48</w:t>
            </w:r>
          </w:p>
        </w:tc>
        <w:tc>
          <w:tcPr>
            <w:tcW w:w="7070" w:type="dxa"/>
            <w:vAlign w:val="center"/>
          </w:tcPr>
          <w:p w14:paraId="03B9BD2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绿化地形下沉、不饱满、不顺滑</w:t>
            </w:r>
          </w:p>
        </w:tc>
        <w:tc>
          <w:tcPr>
            <w:tcW w:w="1658" w:type="dxa"/>
            <w:vAlign w:val="center"/>
          </w:tcPr>
          <w:p w14:paraId="7DCD993A">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1614C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1981040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49</w:t>
            </w:r>
          </w:p>
        </w:tc>
        <w:tc>
          <w:tcPr>
            <w:tcW w:w="7070" w:type="dxa"/>
            <w:vAlign w:val="center"/>
          </w:tcPr>
          <w:p w14:paraId="5D3461D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灌木丛中有垃圾、杂物、大块土块、杂草等，土壤板结</w:t>
            </w:r>
          </w:p>
        </w:tc>
        <w:tc>
          <w:tcPr>
            <w:tcW w:w="1658" w:type="dxa"/>
            <w:vAlign w:val="center"/>
          </w:tcPr>
          <w:p w14:paraId="5B4815B7">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04800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359C20F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50</w:t>
            </w:r>
          </w:p>
        </w:tc>
        <w:tc>
          <w:tcPr>
            <w:tcW w:w="7070" w:type="dxa"/>
            <w:vAlign w:val="center"/>
          </w:tcPr>
          <w:p w14:paraId="6826949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检查井井盖缺失，井内垃圾未清理，井周边绿化处理不到位</w:t>
            </w:r>
          </w:p>
        </w:tc>
        <w:tc>
          <w:tcPr>
            <w:tcW w:w="1658" w:type="dxa"/>
            <w:vAlign w:val="center"/>
          </w:tcPr>
          <w:p w14:paraId="341DC341">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0B982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11B0436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51</w:t>
            </w:r>
          </w:p>
        </w:tc>
        <w:tc>
          <w:tcPr>
            <w:tcW w:w="7070" w:type="dxa"/>
            <w:vAlign w:val="center"/>
          </w:tcPr>
          <w:p w14:paraId="13BC47E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硬质面层有空鼓、开裂，表面污染的水泥砂浆未清理干净</w:t>
            </w:r>
          </w:p>
        </w:tc>
        <w:tc>
          <w:tcPr>
            <w:tcW w:w="1658" w:type="dxa"/>
            <w:vAlign w:val="center"/>
          </w:tcPr>
          <w:p w14:paraId="011EC0E6">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4690D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378C509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52</w:t>
            </w:r>
          </w:p>
        </w:tc>
        <w:tc>
          <w:tcPr>
            <w:tcW w:w="7070" w:type="dxa"/>
            <w:vAlign w:val="center"/>
          </w:tcPr>
          <w:p w14:paraId="2369E4E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道牙、平石在转角处未切成扇形、缝隙过宽，用水泥砂浆修补</w:t>
            </w:r>
          </w:p>
        </w:tc>
        <w:tc>
          <w:tcPr>
            <w:tcW w:w="1658" w:type="dxa"/>
            <w:vAlign w:val="center"/>
          </w:tcPr>
          <w:p w14:paraId="79D333BA">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48455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6A5336B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53</w:t>
            </w:r>
          </w:p>
        </w:tc>
        <w:tc>
          <w:tcPr>
            <w:tcW w:w="7070" w:type="dxa"/>
            <w:vAlign w:val="center"/>
          </w:tcPr>
          <w:p w14:paraId="2466F67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绿化中路灯、监控等基础外露</w:t>
            </w:r>
          </w:p>
        </w:tc>
        <w:tc>
          <w:tcPr>
            <w:tcW w:w="1658" w:type="dxa"/>
            <w:vAlign w:val="center"/>
          </w:tcPr>
          <w:p w14:paraId="7B8597EA">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51BA0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714" w:type="dxa"/>
            <w:vAlign w:val="center"/>
          </w:tcPr>
          <w:p w14:paraId="0ECEC02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54</w:t>
            </w:r>
          </w:p>
        </w:tc>
        <w:tc>
          <w:tcPr>
            <w:tcW w:w="7070" w:type="dxa"/>
            <w:vAlign w:val="center"/>
          </w:tcPr>
          <w:p w14:paraId="6827698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停车位有下沉现象、积水</w:t>
            </w:r>
          </w:p>
        </w:tc>
        <w:tc>
          <w:tcPr>
            <w:tcW w:w="1658" w:type="dxa"/>
            <w:vAlign w:val="center"/>
          </w:tcPr>
          <w:p w14:paraId="09F9931D">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1AC7A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714" w:type="dxa"/>
            <w:vAlign w:val="center"/>
          </w:tcPr>
          <w:p w14:paraId="3684293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55</w:t>
            </w:r>
          </w:p>
        </w:tc>
        <w:tc>
          <w:tcPr>
            <w:tcW w:w="7070" w:type="dxa"/>
            <w:vAlign w:val="center"/>
          </w:tcPr>
          <w:p w14:paraId="5F74AFA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绿化浇灌取水点水表及阀门有有缺失、损坏，有漏水现象</w:t>
            </w:r>
          </w:p>
        </w:tc>
        <w:tc>
          <w:tcPr>
            <w:tcW w:w="1658" w:type="dxa"/>
            <w:vAlign w:val="center"/>
          </w:tcPr>
          <w:p w14:paraId="0CA54C89">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bl>
    <w:p w14:paraId="4622AD9C">
      <w:pPr>
        <w:outlineLvl w:val="9"/>
        <w:rPr>
          <w:rFonts w:hint="eastAsia" w:cs="宋体" w:asciiTheme="minorEastAsia" w:hAnsiTheme="minorEastAsia" w:eastAsiaTheme="minorEastAsia"/>
          <w:color w:val="auto"/>
          <w:szCs w:val="21"/>
          <w:highlight w:val="none"/>
        </w:rPr>
      </w:pPr>
    </w:p>
    <w:p w14:paraId="2AC6883D">
      <w:pP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2）、安全及文明施工方面：</w:t>
      </w:r>
    </w:p>
    <w:tbl>
      <w:tblPr>
        <w:tblStyle w:val="56"/>
        <w:tblW w:w="92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7088"/>
        <w:gridCol w:w="1417"/>
      </w:tblGrid>
      <w:tr w14:paraId="05B8C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709" w:type="dxa"/>
            <w:vAlign w:val="center"/>
          </w:tcPr>
          <w:p w14:paraId="20ABF560">
            <w:pPr>
              <w:keepNext w:val="0"/>
              <w:keepLines w:val="0"/>
              <w:suppressLineNumbers w:val="0"/>
              <w:spacing w:before="0" w:beforeAutospacing="0" w:after="0" w:afterAutospacing="0"/>
              <w:ind w:left="-283" w:leftChars="-135" w:right="0" w:firstLine="212" w:firstLineChars="101"/>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序号</w:t>
            </w:r>
          </w:p>
        </w:tc>
        <w:tc>
          <w:tcPr>
            <w:tcW w:w="7088" w:type="dxa"/>
            <w:vAlign w:val="center"/>
          </w:tcPr>
          <w:p w14:paraId="1A30F768">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频发性问题</w:t>
            </w:r>
          </w:p>
        </w:tc>
        <w:tc>
          <w:tcPr>
            <w:tcW w:w="1417" w:type="dxa"/>
            <w:vAlign w:val="center"/>
          </w:tcPr>
          <w:p w14:paraId="1C8AEF0B">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备注</w:t>
            </w:r>
          </w:p>
        </w:tc>
      </w:tr>
      <w:tr w14:paraId="0D91F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5440F29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w:t>
            </w:r>
          </w:p>
        </w:tc>
        <w:tc>
          <w:tcPr>
            <w:tcW w:w="7088" w:type="dxa"/>
            <w:vAlign w:val="center"/>
          </w:tcPr>
          <w:p w14:paraId="51865FB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施工现场人员未带安全帽</w:t>
            </w:r>
          </w:p>
        </w:tc>
        <w:tc>
          <w:tcPr>
            <w:tcW w:w="1417" w:type="dxa"/>
            <w:vAlign w:val="center"/>
          </w:tcPr>
          <w:p w14:paraId="40C131FB">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4A38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27EB29B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w:t>
            </w:r>
          </w:p>
        </w:tc>
        <w:tc>
          <w:tcPr>
            <w:tcW w:w="7088" w:type="dxa"/>
            <w:vAlign w:val="center"/>
          </w:tcPr>
          <w:p w14:paraId="6E613CB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高空作业人员未带安全带</w:t>
            </w:r>
          </w:p>
        </w:tc>
        <w:tc>
          <w:tcPr>
            <w:tcW w:w="1417" w:type="dxa"/>
            <w:vAlign w:val="center"/>
          </w:tcPr>
          <w:p w14:paraId="1D352F4E">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02DE5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4DF5E14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w:t>
            </w:r>
          </w:p>
        </w:tc>
        <w:tc>
          <w:tcPr>
            <w:tcW w:w="7088" w:type="dxa"/>
            <w:vAlign w:val="center"/>
          </w:tcPr>
          <w:p w14:paraId="0CE5FD9D">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临边洞口防护措施不到位</w:t>
            </w:r>
          </w:p>
        </w:tc>
        <w:tc>
          <w:tcPr>
            <w:tcW w:w="1417" w:type="dxa"/>
            <w:vAlign w:val="center"/>
          </w:tcPr>
          <w:p w14:paraId="6245085F">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48ABD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21FD3FA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w:t>
            </w:r>
          </w:p>
        </w:tc>
        <w:tc>
          <w:tcPr>
            <w:tcW w:w="7088" w:type="dxa"/>
            <w:vAlign w:val="center"/>
          </w:tcPr>
          <w:p w14:paraId="62CA3A79">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基坑周边防护措施不到位</w:t>
            </w:r>
          </w:p>
        </w:tc>
        <w:tc>
          <w:tcPr>
            <w:tcW w:w="1417" w:type="dxa"/>
            <w:vAlign w:val="center"/>
          </w:tcPr>
          <w:p w14:paraId="6FFCCA03">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18963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2F68A4A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5</w:t>
            </w:r>
          </w:p>
        </w:tc>
        <w:tc>
          <w:tcPr>
            <w:tcW w:w="7088" w:type="dxa"/>
            <w:vAlign w:val="center"/>
          </w:tcPr>
          <w:p w14:paraId="14E15A1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施工现场灭火器设置不到位，灭火器存在未年检或存在失效现象</w:t>
            </w:r>
          </w:p>
        </w:tc>
        <w:tc>
          <w:tcPr>
            <w:tcW w:w="1417" w:type="dxa"/>
            <w:vAlign w:val="center"/>
          </w:tcPr>
          <w:p w14:paraId="05246301">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5B96C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481E7AE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6</w:t>
            </w:r>
          </w:p>
        </w:tc>
        <w:tc>
          <w:tcPr>
            <w:tcW w:w="7088" w:type="dxa"/>
            <w:vAlign w:val="center"/>
          </w:tcPr>
          <w:p w14:paraId="1F457C3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临时用电配电箱管理不到位（巡检不及时、私拉乱接等）</w:t>
            </w:r>
          </w:p>
        </w:tc>
        <w:tc>
          <w:tcPr>
            <w:tcW w:w="1417" w:type="dxa"/>
            <w:vAlign w:val="center"/>
          </w:tcPr>
          <w:p w14:paraId="3F1B4D72">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26BE6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3D8C674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7</w:t>
            </w:r>
          </w:p>
        </w:tc>
        <w:tc>
          <w:tcPr>
            <w:tcW w:w="7088" w:type="dxa"/>
            <w:vAlign w:val="center"/>
          </w:tcPr>
          <w:p w14:paraId="55D33F8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临时用电电缆敷设不符合要求</w:t>
            </w:r>
          </w:p>
        </w:tc>
        <w:tc>
          <w:tcPr>
            <w:tcW w:w="1417" w:type="dxa"/>
            <w:vAlign w:val="center"/>
          </w:tcPr>
          <w:p w14:paraId="47801C0C">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28094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3B3EADE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8</w:t>
            </w:r>
          </w:p>
        </w:tc>
        <w:tc>
          <w:tcPr>
            <w:tcW w:w="7088" w:type="dxa"/>
            <w:vAlign w:val="center"/>
          </w:tcPr>
          <w:p w14:paraId="171A7485">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外脚手架搭设及防护措施不到位</w:t>
            </w:r>
          </w:p>
        </w:tc>
        <w:tc>
          <w:tcPr>
            <w:tcW w:w="1417" w:type="dxa"/>
            <w:vAlign w:val="center"/>
          </w:tcPr>
          <w:p w14:paraId="4C098F82">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9A5B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355B765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9</w:t>
            </w:r>
          </w:p>
        </w:tc>
        <w:tc>
          <w:tcPr>
            <w:tcW w:w="7088" w:type="dxa"/>
            <w:vAlign w:val="center"/>
          </w:tcPr>
          <w:p w14:paraId="7237710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卸料平台的固定方式不规范，使用有超载现象</w:t>
            </w:r>
          </w:p>
        </w:tc>
        <w:tc>
          <w:tcPr>
            <w:tcW w:w="1417" w:type="dxa"/>
            <w:vAlign w:val="center"/>
          </w:tcPr>
          <w:p w14:paraId="5BFA858A">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78F2B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6011DA0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10</w:t>
            </w:r>
          </w:p>
        </w:tc>
        <w:tc>
          <w:tcPr>
            <w:tcW w:w="7088" w:type="dxa"/>
            <w:vAlign w:val="center"/>
          </w:tcPr>
          <w:p w14:paraId="4CA0E393">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施工电梯的操作人员无证件，年检过期</w:t>
            </w:r>
          </w:p>
        </w:tc>
        <w:tc>
          <w:tcPr>
            <w:tcW w:w="1417" w:type="dxa"/>
            <w:vAlign w:val="center"/>
          </w:tcPr>
          <w:p w14:paraId="32207563">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6CC48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58DAD8B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11</w:t>
            </w:r>
          </w:p>
        </w:tc>
        <w:tc>
          <w:tcPr>
            <w:tcW w:w="7088" w:type="dxa"/>
            <w:vAlign w:val="center"/>
          </w:tcPr>
          <w:p w14:paraId="191708B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吊蓝防护措施使用不规范</w:t>
            </w:r>
          </w:p>
        </w:tc>
        <w:tc>
          <w:tcPr>
            <w:tcW w:w="1417" w:type="dxa"/>
            <w:vAlign w:val="center"/>
          </w:tcPr>
          <w:p w14:paraId="53CB0C91">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0050D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7CE9367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12</w:t>
            </w:r>
          </w:p>
        </w:tc>
        <w:tc>
          <w:tcPr>
            <w:tcW w:w="7088" w:type="dxa"/>
            <w:vAlign w:val="center"/>
          </w:tcPr>
          <w:p w14:paraId="2D446D5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乙炔、氧气等使用不规范</w:t>
            </w:r>
          </w:p>
        </w:tc>
        <w:tc>
          <w:tcPr>
            <w:tcW w:w="1417" w:type="dxa"/>
            <w:vAlign w:val="center"/>
          </w:tcPr>
          <w:p w14:paraId="331653F8">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92E9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7A4E5BE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13</w:t>
            </w:r>
          </w:p>
        </w:tc>
        <w:tc>
          <w:tcPr>
            <w:tcW w:w="7088" w:type="dxa"/>
            <w:vAlign w:val="center"/>
          </w:tcPr>
          <w:p w14:paraId="7BF9616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施工用机械防护措施不到位</w:t>
            </w:r>
          </w:p>
        </w:tc>
        <w:tc>
          <w:tcPr>
            <w:tcW w:w="1417" w:type="dxa"/>
            <w:vAlign w:val="center"/>
          </w:tcPr>
          <w:p w14:paraId="7564AC18">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5F51D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63F1429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14</w:t>
            </w:r>
          </w:p>
        </w:tc>
        <w:tc>
          <w:tcPr>
            <w:tcW w:w="7088" w:type="dxa"/>
            <w:vAlign w:val="center"/>
          </w:tcPr>
          <w:p w14:paraId="11D4B9A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现场物料堆放混乱</w:t>
            </w:r>
          </w:p>
        </w:tc>
        <w:tc>
          <w:tcPr>
            <w:tcW w:w="1417" w:type="dxa"/>
            <w:vAlign w:val="center"/>
          </w:tcPr>
          <w:p w14:paraId="6D59E5A8">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bl>
    <w:p w14:paraId="50064132">
      <w:pPr>
        <w:ind w:left="142"/>
        <w:outlineLvl w:val="9"/>
        <w:rPr>
          <w:rFonts w:hint="eastAsia" w:cs="宋体" w:asciiTheme="minorEastAsia" w:hAnsiTheme="minorEastAsia" w:eastAsiaTheme="minorEastAsia"/>
          <w:color w:val="auto"/>
          <w:szCs w:val="21"/>
          <w:highlight w:val="none"/>
        </w:rPr>
      </w:pPr>
    </w:p>
    <w:p w14:paraId="19BE45B7">
      <w:pPr>
        <w:ind w:left="142"/>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3）、内业方面：</w:t>
      </w:r>
    </w:p>
    <w:tbl>
      <w:tblPr>
        <w:tblStyle w:val="56"/>
        <w:tblW w:w="949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7088"/>
        <w:gridCol w:w="1701"/>
      </w:tblGrid>
      <w:tr w14:paraId="34566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709" w:type="dxa"/>
            <w:vAlign w:val="center"/>
          </w:tcPr>
          <w:p w14:paraId="2162D99F">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序号</w:t>
            </w:r>
          </w:p>
        </w:tc>
        <w:tc>
          <w:tcPr>
            <w:tcW w:w="7088" w:type="dxa"/>
            <w:vAlign w:val="center"/>
          </w:tcPr>
          <w:p w14:paraId="0B88171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频发性问题</w:t>
            </w:r>
          </w:p>
        </w:tc>
        <w:tc>
          <w:tcPr>
            <w:tcW w:w="1701" w:type="dxa"/>
            <w:vAlign w:val="center"/>
          </w:tcPr>
          <w:p w14:paraId="70A5BAA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备注</w:t>
            </w:r>
          </w:p>
        </w:tc>
      </w:tr>
      <w:tr w14:paraId="32042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5720717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w:t>
            </w:r>
          </w:p>
        </w:tc>
        <w:tc>
          <w:tcPr>
            <w:tcW w:w="7088" w:type="dxa"/>
            <w:vAlign w:val="center"/>
          </w:tcPr>
          <w:p w14:paraId="637AE10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施工组织设计没有在要求期限内审核完成并存档</w:t>
            </w:r>
          </w:p>
        </w:tc>
        <w:tc>
          <w:tcPr>
            <w:tcW w:w="1701" w:type="dxa"/>
            <w:vAlign w:val="center"/>
          </w:tcPr>
          <w:p w14:paraId="12B6A90C">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417EA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5DC330D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w:t>
            </w:r>
          </w:p>
        </w:tc>
        <w:tc>
          <w:tcPr>
            <w:tcW w:w="7088" w:type="dxa"/>
            <w:vAlign w:val="center"/>
          </w:tcPr>
          <w:p w14:paraId="0E9DD048">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监理规划没有在要求期限内审核完成并存档</w:t>
            </w:r>
          </w:p>
        </w:tc>
        <w:tc>
          <w:tcPr>
            <w:tcW w:w="1701" w:type="dxa"/>
            <w:vAlign w:val="center"/>
          </w:tcPr>
          <w:p w14:paraId="77FDB96B">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6587C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0254C91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w:t>
            </w:r>
          </w:p>
        </w:tc>
        <w:tc>
          <w:tcPr>
            <w:tcW w:w="7088" w:type="dxa"/>
            <w:vAlign w:val="center"/>
          </w:tcPr>
          <w:p w14:paraId="719D43B6">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施工图纸版本不正确，内容不齐全</w:t>
            </w:r>
          </w:p>
        </w:tc>
        <w:tc>
          <w:tcPr>
            <w:tcW w:w="1701" w:type="dxa"/>
            <w:vAlign w:val="center"/>
          </w:tcPr>
          <w:p w14:paraId="21280389">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5F482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58A6C5E7">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w:t>
            </w:r>
          </w:p>
        </w:tc>
        <w:tc>
          <w:tcPr>
            <w:tcW w:w="7088" w:type="dxa"/>
            <w:vAlign w:val="center"/>
          </w:tcPr>
          <w:p w14:paraId="69BE4C64">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设计变更是否及时评审，现状描述及评审意见是否清晰明确</w:t>
            </w:r>
          </w:p>
        </w:tc>
        <w:tc>
          <w:tcPr>
            <w:tcW w:w="1701" w:type="dxa"/>
            <w:vAlign w:val="center"/>
          </w:tcPr>
          <w:p w14:paraId="79004E92">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5EC1E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7163DBA0">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5</w:t>
            </w:r>
          </w:p>
        </w:tc>
        <w:tc>
          <w:tcPr>
            <w:tcW w:w="7088" w:type="dxa"/>
            <w:vAlign w:val="center"/>
          </w:tcPr>
          <w:p w14:paraId="2BF3C6D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没有建立变更台账，变更没有标注或者标注不符合要求</w:t>
            </w:r>
          </w:p>
        </w:tc>
        <w:tc>
          <w:tcPr>
            <w:tcW w:w="1701" w:type="dxa"/>
            <w:vAlign w:val="center"/>
          </w:tcPr>
          <w:p w14:paraId="2B2CE10B">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025EF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9" w:type="dxa"/>
            <w:vAlign w:val="center"/>
          </w:tcPr>
          <w:p w14:paraId="0FDEA22A">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6</w:t>
            </w:r>
          </w:p>
        </w:tc>
        <w:tc>
          <w:tcPr>
            <w:tcW w:w="7088" w:type="dxa"/>
            <w:vAlign w:val="center"/>
          </w:tcPr>
          <w:p w14:paraId="2048B6EC">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工程签证审核不及时</w:t>
            </w:r>
          </w:p>
        </w:tc>
        <w:tc>
          <w:tcPr>
            <w:tcW w:w="1701" w:type="dxa"/>
            <w:vAlign w:val="center"/>
          </w:tcPr>
          <w:p w14:paraId="7DCA4508">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275FA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34437972">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7</w:t>
            </w:r>
          </w:p>
        </w:tc>
        <w:tc>
          <w:tcPr>
            <w:tcW w:w="7088" w:type="dxa"/>
            <w:vAlign w:val="center"/>
          </w:tcPr>
          <w:p w14:paraId="5EB45C2B">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施工日志填写不及时、不完整，记录问题没有闭合，不可追溯</w:t>
            </w:r>
          </w:p>
        </w:tc>
        <w:tc>
          <w:tcPr>
            <w:tcW w:w="1701" w:type="dxa"/>
            <w:vAlign w:val="center"/>
          </w:tcPr>
          <w:p w14:paraId="107F9D7E">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r w14:paraId="33208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14:paraId="0AF2875E">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8</w:t>
            </w:r>
          </w:p>
        </w:tc>
        <w:tc>
          <w:tcPr>
            <w:tcW w:w="7088" w:type="dxa"/>
            <w:vAlign w:val="center"/>
          </w:tcPr>
          <w:p w14:paraId="093F19F1">
            <w:pPr>
              <w:keepNext w:val="0"/>
              <w:keepLines w:val="0"/>
              <w:suppressLineNumbers w:val="0"/>
              <w:spacing w:before="0" w:beforeAutospacing="0" w:after="0" w:afterAutospacing="0" w:line="400" w:lineRule="exact"/>
              <w:ind w:left="0" w:right="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每月对图纸和变更进行一次讨论学习记录是否齐全</w:t>
            </w:r>
          </w:p>
        </w:tc>
        <w:tc>
          <w:tcPr>
            <w:tcW w:w="1701" w:type="dxa"/>
            <w:vAlign w:val="center"/>
          </w:tcPr>
          <w:p w14:paraId="097F7FA2">
            <w:pPr>
              <w:keepNext/>
              <w:keepLines/>
              <w:suppressLineNumbers w:val="0"/>
              <w:spacing w:before="340" w:beforeAutospacing="0" w:after="330" w:afterAutospacing="0" w:line="400" w:lineRule="exact"/>
              <w:ind w:left="0" w:right="0"/>
              <w:jc w:val="center"/>
              <w:outlineLvl w:val="9"/>
              <w:rPr>
                <w:rFonts w:cs="宋体" w:asciiTheme="minorEastAsia" w:hAnsiTheme="minorEastAsia" w:eastAsiaTheme="minorEastAsia"/>
                <w:bCs/>
                <w:color w:val="auto"/>
                <w:szCs w:val="21"/>
                <w:highlight w:val="none"/>
              </w:rPr>
            </w:pPr>
          </w:p>
        </w:tc>
      </w:tr>
    </w:tbl>
    <w:p w14:paraId="24E0C382">
      <w:pPr>
        <w:spacing w:line="360" w:lineRule="auto"/>
        <w:jc w:val="left"/>
        <w:outlineLvl w:val="9"/>
        <w:rPr>
          <w:rFonts w:cs="宋体" w:asciiTheme="minorEastAsia" w:hAnsiTheme="minorEastAsia" w:eastAsiaTheme="minorEastAsia"/>
          <w:color w:val="auto"/>
          <w:szCs w:val="21"/>
          <w:highlight w:val="none"/>
        </w:rPr>
      </w:pPr>
    </w:p>
    <w:p w14:paraId="011159AD">
      <w:pPr>
        <w:widowControl/>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三、现场管理及处罚措施</w:t>
      </w:r>
    </w:p>
    <w:p w14:paraId="38E1C890">
      <w:pPr>
        <w:spacing w:line="400" w:lineRule="exac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①浇捣令未经监理签字认可即浇捣砼，每发生一次承包人向发包人缴纳违约金</w:t>
      </w:r>
      <w:r>
        <w:rPr>
          <w:rFonts w:cs="宋体" w:asciiTheme="minorEastAsia" w:hAnsiTheme="minorEastAsia" w:eastAsiaTheme="minorEastAsia"/>
          <w:color w:val="auto"/>
          <w:szCs w:val="21"/>
          <w:highlight w:val="none"/>
        </w:rPr>
        <w:t>3000元；</w:t>
      </w:r>
    </w:p>
    <w:p w14:paraId="16B878DC">
      <w:pPr>
        <w:spacing w:line="400" w:lineRule="exac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②任一部位砼缺陷未经监理或发包人检查同意，私自修补，每发生一次承包人向发包人缴纳违约金</w:t>
      </w:r>
      <w:r>
        <w:rPr>
          <w:rFonts w:cs="宋体" w:asciiTheme="minorEastAsia" w:hAnsiTheme="minorEastAsia" w:eastAsiaTheme="minorEastAsia"/>
          <w:color w:val="auto"/>
          <w:szCs w:val="21"/>
          <w:highlight w:val="none"/>
        </w:rPr>
        <w:t>3000元；</w:t>
      </w:r>
    </w:p>
    <w:p w14:paraId="18F96D4B">
      <w:pPr>
        <w:spacing w:line="400" w:lineRule="exac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③未经监理签字认可就拆模，每发生一次承包人向发包人缴纳违约金</w:t>
      </w:r>
      <w:r>
        <w:rPr>
          <w:rFonts w:cs="宋体" w:asciiTheme="minorEastAsia" w:hAnsiTheme="minorEastAsia" w:eastAsiaTheme="minorEastAsia"/>
          <w:color w:val="auto"/>
          <w:szCs w:val="21"/>
          <w:highlight w:val="none"/>
        </w:rPr>
        <w:t>3000元；</w:t>
      </w:r>
    </w:p>
    <w:p w14:paraId="09F41972">
      <w:pPr>
        <w:spacing w:line="400" w:lineRule="exac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④墙体拉结筋未经监理或发包人签认就开始砌筑墙体或在砌筑墙体过程中拉结筋遭人为破坏，每发生一次承包人向发包人缴纳违约金</w:t>
      </w:r>
      <w:r>
        <w:rPr>
          <w:rFonts w:cs="宋体" w:asciiTheme="minorEastAsia" w:hAnsiTheme="minorEastAsia" w:eastAsiaTheme="minorEastAsia"/>
          <w:color w:val="auto"/>
          <w:szCs w:val="21"/>
          <w:highlight w:val="none"/>
        </w:rPr>
        <w:t>3000元；</w:t>
      </w:r>
    </w:p>
    <w:p w14:paraId="4BC804A3">
      <w:pPr>
        <w:spacing w:line="400" w:lineRule="exac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⑤外墙面穿墙孔洞修补未经监理或发包人签认就开始找平粉刷，每发生一次承包人向发包人缴纳违约金</w:t>
      </w:r>
      <w:r>
        <w:rPr>
          <w:rFonts w:cs="宋体" w:asciiTheme="minorEastAsia" w:hAnsiTheme="minorEastAsia" w:eastAsiaTheme="minorEastAsia"/>
          <w:color w:val="auto"/>
          <w:szCs w:val="21"/>
          <w:highlight w:val="none"/>
        </w:rPr>
        <w:t>3000元；</w:t>
      </w:r>
    </w:p>
    <w:p w14:paraId="7CEE477F">
      <w:pPr>
        <w:spacing w:line="400" w:lineRule="exac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⑥在未经监理或发包人同意的情况下，管线没有预埋就先砌筑墙体，造成后期墙体、楼板结构大面积凿槽，除凿槽费用由承包人承担外，每幢每层承包人向发包人缴纳违约金</w:t>
      </w:r>
      <w:r>
        <w:rPr>
          <w:rFonts w:cs="宋体" w:asciiTheme="minorEastAsia" w:hAnsiTheme="minorEastAsia" w:eastAsiaTheme="minorEastAsia"/>
          <w:color w:val="auto"/>
          <w:szCs w:val="21"/>
          <w:highlight w:val="none"/>
        </w:rPr>
        <w:t>3000元；</w:t>
      </w:r>
    </w:p>
    <w:p w14:paraId="347291CF">
      <w:pPr>
        <w:spacing w:line="400" w:lineRule="exac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⑦材料进场先施工后报验，每发生一次罚款承包人向发包人缴纳违约金</w:t>
      </w:r>
      <w:r>
        <w:rPr>
          <w:rFonts w:cs="宋体" w:asciiTheme="minorEastAsia" w:hAnsiTheme="minorEastAsia" w:eastAsiaTheme="minorEastAsia"/>
          <w:color w:val="auto"/>
          <w:szCs w:val="21"/>
          <w:highlight w:val="none"/>
        </w:rPr>
        <w:t>3000元；</w:t>
      </w:r>
    </w:p>
    <w:p w14:paraId="37336B07">
      <w:pPr>
        <w:spacing w:line="400" w:lineRule="exac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⑧隐蔽工程不报验先隐蔽，每出现一次承包人向发包人缴纳违约金</w:t>
      </w:r>
      <w:r>
        <w:rPr>
          <w:rFonts w:cs="宋体" w:asciiTheme="minorEastAsia" w:hAnsiTheme="minorEastAsia" w:eastAsiaTheme="minorEastAsia"/>
          <w:color w:val="auto"/>
          <w:szCs w:val="21"/>
          <w:highlight w:val="none"/>
        </w:rPr>
        <w:t>3000元；</w:t>
      </w:r>
    </w:p>
    <w:p w14:paraId="31217ED6">
      <w:pPr>
        <w:spacing w:line="400" w:lineRule="exac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⑨将不合格产品或未经发包人事先认可的材料用在工程上的，除承包人无偿更换或整改外，每发现一次承包人向发包人缴纳违约金</w:t>
      </w:r>
      <w:r>
        <w:rPr>
          <w:rFonts w:cs="宋体" w:asciiTheme="minorEastAsia" w:hAnsiTheme="minorEastAsia" w:eastAsiaTheme="minorEastAsia"/>
          <w:color w:val="auto"/>
          <w:szCs w:val="21"/>
          <w:highlight w:val="none"/>
        </w:rPr>
        <w:t>5000元。</w:t>
      </w:r>
    </w:p>
    <w:p w14:paraId="2A642CD2">
      <w:pPr>
        <w:spacing w:line="400" w:lineRule="exac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⑩工程施工过程中，属于合同范围的工作内容，承包人必须按发包人的要求施工，不得以任何理由拒绝施工。如承包人不按发包人要求施工，发包人有权另外安排其它单位施工，按发包人确认的市场价直接从承包人工程款中扣除，由此造成的工期延误及其他损失由承包人负责。</w:t>
      </w:r>
    </w:p>
    <w:p w14:paraId="520B5E0B">
      <w:pPr>
        <w:spacing w:line="400" w:lineRule="exac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⑾工程竣工验收并达到合同验收条件，承包人应在竣工验收并移交物业前一周撤场，并将所有承包范围内的卫生清理干净，每推迟一天承包人应向发包人支付违约金</w:t>
      </w:r>
      <w:r>
        <w:rPr>
          <w:rFonts w:cs="宋体" w:asciiTheme="minorEastAsia" w:hAnsiTheme="minorEastAsia" w:eastAsiaTheme="minorEastAsia"/>
          <w:color w:val="auto"/>
          <w:szCs w:val="21"/>
          <w:highlight w:val="none"/>
        </w:rPr>
        <w:t>3000元。</w:t>
      </w:r>
    </w:p>
    <w:p w14:paraId="23A78DD9">
      <w:pPr>
        <w:spacing w:line="400" w:lineRule="exac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⑿在室外总体工程施工过程中，若承包人临建、临时设施、材料加工场地及堆放场地等影响室外总体施工，承包人应按发包人要求无条件拆除并移交场地，每拖延一天向发包人缴纳违约金</w:t>
      </w:r>
      <w:r>
        <w:rPr>
          <w:rFonts w:cs="宋体" w:asciiTheme="minorEastAsia" w:hAnsiTheme="minorEastAsia" w:eastAsiaTheme="minorEastAsia"/>
          <w:color w:val="auto"/>
          <w:szCs w:val="21"/>
          <w:highlight w:val="none"/>
        </w:rPr>
        <w:t>3000元。</w:t>
      </w:r>
    </w:p>
    <w:p w14:paraId="16DF4995">
      <w:pPr>
        <w:spacing w:line="400" w:lineRule="exac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(13)属于专业分包工程，承包人应按发包人要求及时移交工作面，每拖延一天向发包人缴纳违约金3000元。若因承包人自身原因，导致后续工程无法正常开工，造成的工期延误及损失由承包人全部承担。</w:t>
      </w:r>
    </w:p>
    <w:p w14:paraId="786578A2">
      <w:pPr>
        <w:spacing w:line="400" w:lineRule="exac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r>
        <w:rPr>
          <w:rFonts w:cs="宋体" w:asciiTheme="minorEastAsia" w:hAnsiTheme="minorEastAsia" w:eastAsiaTheme="minorEastAsia"/>
          <w:color w:val="auto"/>
          <w:szCs w:val="21"/>
          <w:highlight w:val="none"/>
        </w:rPr>
        <w:t>14）承包人应按合同约定的“毛坯房样板间评审和分户验收工作规程”、“工序质量跟踪卡与实测实量制度”、“装修工程管理及验收规程”、“景观工程管理及验收规程”及国家标准、施工规范等进行现场管理，发包人在日常检查过程中发现反复出现同样的安全及质量等问题，同类问题第二次出现时，承包人应向发包人支付3000元/类·次违约金，第三次出现时，承包人应向发包人支付5000元/类·次违约金。</w:t>
      </w:r>
    </w:p>
    <w:p w14:paraId="54DFD21D">
      <w:pPr>
        <w:widowControl/>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br w:type="page"/>
      </w:r>
    </w:p>
    <w:p w14:paraId="01BA80DF">
      <w:pPr>
        <w:adjustRightInd w:val="0"/>
        <w:snapToGrid w:val="0"/>
        <w:spacing w:line="360" w:lineRule="auto"/>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附件十</w:t>
      </w:r>
      <w:r>
        <w:rPr>
          <w:rFonts w:hint="eastAsia" w:ascii="宋体" w:hAnsi="宋体" w:eastAsia="宋体" w:cs="宋体"/>
          <w:color w:val="auto"/>
          <w:sz w:val="21"/>
          <w:szCs w:val="21"/>
          <w:highlight w:val="none"/>
          <w:lang w:val="en-US" w:eastAsia="zh-CN"/>
        </w:rPr>
        <w:t>六</w:t>
      </w:r>
      <w:r>
        <w:rPr>
          <w:rFonts w:hint="eastAsia" w:ascii="宋体" w:hAnsi="宋体" w:eastAsia="宋体" w:cs="宋体"/>
          <w:color w:val="auto"/>
          <w:sz w:val="21"/>
          <w:szCs w:val="21"/>
          <w:highlight w:val="none"/>
        </w:rPr>
        <w:t>：</w:t>
      </w:r>
    </w:p>
    <w:p w14:paraId="7543FE7D">
      <w:pPr>
        <w:spacing w:line="560" w:lineRule="exact"/>
        <w:jc w:val="center"/>
        <w:rPr>
          <w:rFonts w:hint="eastAsia" w:ascii="方正小标宋简体" w:hAnsi="方正小标宋简体" w:eastAsia="方正小标宋简体" w:cs="方正小标宋简体"/>
          <w:color w:val="auto"/>
          <w:sz w:val="24"/>
          <w:szCs w:val="24"/>
          <w:highlight w:val="none"/>
          <w:lang w:eastAsia="zh-CN"/>
        </w:rPr>
      </w:pPr>
      <w:r>
        <w:rPr>
          <w:rFonts w:hint="eastAsia" w:ascii="方正小标宋简体" w:hAnsi="方正小标宋简体" w:eastAsia="方正小标宋简体" w:cs="方正小标宋简体"/>
          <w:color w:val="auto"/>
          <w:sz w:val="24"/>
          <w:szCs w:val="24"/>
          <w:highlight w:val="none"/>
          <w:lang w:eastAsia="zh-CN"/>
        </w:rPr>
        <w:t>工程材料设备管理办法</w:t>
      </w:r>
    </w:p>
    <w:p w14:paraId="2ED6D199">
      <w:pPr>
        <w:adjustRightInd w:val="0"/>
        <w:snapToGrid w:val="0"/>
        <w:spacing w:line="360" w:lineRule="auto"/>
        <w:jc w:val="center"/>
        <w:rPr>
          <w:rFonts w:hint="eastAsia" w:ascii="楷体_GB2312" w:hAnsi="楷体_GB2312" w:eastAsia="楷体_GB2312" w:cs="楷体_GB2312"/>
          <w:color w:val="auto"/>
          <w:sz w:val="24"/>
          <w:szCs w:val="24"/>
          <w:highlight w:val="none"/>
          <w:lang w:eastAsia="zh-CN"/>
        </w:rPr>
      </w:pPr>
      <w:r>
        <w:rPr>
          <w:rFonts w:hint="eastAsia" w:ascii="楷体_GB2312" w:hAnsi="楷体_GB2312" w:eastAsia="楷体_GB2312" w:cs="楷体_GB2312"/>
          <w:color w:val="auto"/>
          <w:sz w:val="24"/>
          <w:szCs w:val="24"/>
          <w:highlight w:val="none"/>
          <w:lang w:eastAsia="zh-CN"/>
        </w:rPr>
        <w:t>（2024年</w:t>
      </w:r>
      <w:r>
        <w:rPr>
          <w:rFonts w:hint="eastAsia" w:ascii="宋体" w:hAnsi="宋体" w:cs="宋体"/>
          <w:color w:val="auto"/>
          <w:sz w:val="24"/>
          <w:szCs w:val="24"/>
          <w:highlight w:val="none"/>
          <w:lang w:eastAsia="zh-CN"/>
        </w:rPr>
        <w:t>9</w:t>
      </w:r>
      <w:r>
        <w:rPr>
          <w:rFonts w:hint="eastAsia" w:ascii="楷体_GB2312" w:hAnsi="楷体_GB2312" w:eastAsia="楷体_GB2312" w:cs="楷体_GB2312"/>
          <w:color w:val="auto"/>
          <w:sz w:val="24"/>
          <w:szCs w:val="24"/>
          <w:highlight w:val="none"/>
          <w:lang w:eastAsia="zh-CN"/>
        </w:rPr>
        <w:t>月修订）</w:t>
      </w:r>
    </w:p>
    <w:p w14:paraId="3DA5EA58">
      <w:pPr>
        <w:widowControl w:val="0"/>
        <w:adjustRightInd w:val="0"/>
        <w:snapToGrid w:val="0"/>
        <w:spacing w:line="360" w:lineRule="auto"/>
        <w:jc w:val="center"/>
        <w:rPr>
          <w:rFonts w:hint="eastAsia" w:ascii="方正小标宋简体" w:hAnsi="方正小标宋简体" w:eastAsia="方正小标宋简体" w:cs="方正小标宋简体"/>
          <w:color w:val="auto"/>
          <w:sz w:val="28"/>
          <w:szCs w:val="28"/>
          <w:highlight w:val="none"/>
          <w:lang w:eastAsia="zh-CN"/>
        </w:rPr>
      </w:pPr>
    </w:p>
    <w:p w14:paraId="2F066AB9">
      <w:pPr>
        <w:widowControl w:val="0"/>
        <w:kinsoku w:val="0"/>
        <w:overflowPunct w:val="0"/>
        <w:autoSpaceDE w:val="0"/>
        <w:autoSpaceDN w:val="0"/>
        <w:adjustRightInd w:val="0"/>
        <w:snapToGrid w:val="0"/>
        <w:spacing w:line="360" w:lineRule="auto"/>
        <w:rPr>
          <w:rFonts w:hint="eastAsia" w:ascii="黑体" w:hAnsi="黑体" w:eastAsia="黑体" w:cs="黑体"/>
          <w:bCs/>
          <w:color w:val="auto"/>
          <w:sz w:val="24"/>
          <w:szCs w:val="24"/>
          <w:highlight w:val="none"/>
          <w:lang w:eastAsia="zh-CN"/>
        </w:rPr>
      </w:pPr>
      <w:r>
        <w:rPr>
          <w:rFonts w:hint="eastAsia" w:ascii="黑体" w:hAnsi="黑体" w:eastAsia="黑体" w:cs="黑体"/>
          <w:bCs/>
          <w:color w:val="auto"/>
          <w:sz w:val="24"/>
          <w:szCs w:val="24"/>
          <w:highlight w:val="none"/>
          <w:lang w:eastAsia="zh-CN"/>
        </w:rPr>
        <w:t>一、目的</w:t>
      </w:r>
    </w:p>
    <w:p w14:paraId="28E3ACE9">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为了保障公司各项目的材料设备质量，并规范材料设备在计划、封样、认质认价和进场验收等环节的流程，特制定本管理办法。</w:t>
      </w:r>
    </w:p>
    <w:p w14:paraId="44763FB9">
      <w:pPr>
        <w:widowControl w:val="0"/>
        <w:kinsoku w:val="0"/>
        <w:overflowPunct w:val="0"/>
        <w:autoSpaceDE w:val="0"/>
        <w:autoSpaceDN w:val="0"/>
        <w:adjustRightInd w:val="0"/>
        <w:snapToGrid w:val="0"/>
        <w:spacing w:line="360" w:lineRule="auto"/>
        <w:rPr>
          <w:rFonts w:hint="eastAsia" w:ascii="黑体" w:hAnsi="黑体" w:eastAsia="黑体" w:cs="黑体"/>
          <w:bCs/>
          <w:color w:val="auto"/>
          <w:sz w:val="24"/>
          <w:szCs w:val="24"/>
          <w:highlight w:val="none"/>
          <w:lang w:eastAsia="zh-CN"/>
        </w:rPr>
      </w:pPr>
      <w:r>
        <w:rPr>
          <w:rFonts w:hint="eastAsia" w:ascii="黑体" w:hAnsi="黑体" w:eastAsia="黑体" w:cs="黑体"/>
          <w:bCs/>
          <w:color w:val="auto"/>
          <w:sz w:val="24"/>
          <w:szCs w:val="24"/>
          <w:highlight w:val="none"/>
          <w:lang w:eastAsia="zh-CN"/>
        </w:rPr>
        <w:t>二、适用范围</w:t>
      </w:r>
    </w:p>
    <w:p w14:paraId="2CF5E1AF">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本管理办法适用于公司所有项目甲供、乙供材料设备。</w:t>
      </w:r>
    </w:p>
    <w:p w14:paraId="67C19D05">
      <w:pPr>
        <w:widowControl w:val="0"/>
        <w:kinsoku w:val="0"/>
        <w:overflowPunct w:val="0"/>
        <w:autoSpaceDE w:val="0"/>
        <w:autoSpaceDN w:val="0"/>
        <w:adjustRightInd w:val="0"/>
        <w:snapToGrid w:val="0"/>
        <w:spacing w:line="360" w:lineRule="auto"/>
        <w:rPr>
          <w:rFonts w:hint="eastAsia" w:ascii="黑体" w:hAnsi="黑体" w:eastAsia="黑体" w:cs="黑体"/>
          <w:bCs/>
          <w:color w:val="auto"/>
          <w:sz w:val="24"/>
          <w:szCs w:val="24"/>
          <w:highlight w:val="none"/>
          <w:lang w:eastAsia="zh-CN"/>
        </w:rPr>
      </w:pPr>
      <w:r>
        <w:rPr>
          <w:rFonts w:hint="eastAsia" w:ascii="黑体" w:hAnsi="黑体" w:eastAsia="黑体" w:cs="黑体"/>
          <w:bCs/>
          <w:color w:val="auto"/>
          <w:sz w:val="24"/>
          <w:szCs w:val="24"/>
          <w:highlight w:val="none"/>
          <w:lang w:eastAsia="zh-CN"/>
        </w:rPr>
        <w:t>三、职责</w:t>
      </w:r>
    </w:p>
    <w:p w14:paraId="4056244E">
      <w:pPr>
        <w:widowControl w:val="0"/>
        <w:kinsoku w:val="0"/>
        <w:overflowPunct w:val="0"/>
        <w:autoSpaceDE w:val="0"/>
        <w:autoSpaceDN w:val="0"/>
        <w:adjustRightInd w:val="0"/>
        <w:snapToGrid w:val="0"/>
        <w:spacing w:line="360" w:lineRule="auto"/>
        <w:ind w:firstLine="480" w:firstLineChars="200"/>
        <w:rPr>
          <w:rFonts w:hint="eastAsia" w:ascii="楷体_GB2312" w:hAnsi="楷体_GB2312" w:eastAsia="楷体_GB2312" w:cs="楷体_GB2312"/>
          <w:color w:val="auto"/>
          <w:sz w:val="24"/>
          <w:szCs w:val="24"/>
          <w:highlight w:val="none"/>
          <w:lang w:eastAsia="zh-CN"/>
        </w:rPr>
      </w:pPr>
      <w:r>
        <w:rPr>
          <w:rFonts w:hint="eastAsia" w:ascii="楷体_GB2312" w:hAnsi="楷体_GB2312" w:eastAsia="楷体_GB2312" w:cs="楷体_GB2312"/>
          <w:color w:val="auto"/>
          <w:sz w:val="24"/>
          <w:szCs w:val="24"/>
          <w:highlight w:val="none"/>
          <w:lang w:eastAsia="zh-CN"/>
        </w:rPr>
        <w:t>（一）项目部</w:t>
      </w:r>
    </w:p>
    <w:p w14:paraId="3C772623">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1.负责编制下年度材料设备进场计划。</w:t>
      </w:r>
    </w:p>
    <w:p w14:paraId="4E30E6F0">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2.负责一般材料设备的封样、认质和进场验收工作。</w:t>
      </w:r>
    </w:p>
    <w:p w14:paraId="13F24D44">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3.负责非观感类重要材料设备的封样工作。</w:t>
      </w:r>
    </w:p>
    <w:p w14:paraId="64A0F67D">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4.负责组织观感类重要材料设备现场打样、封样工作。</w:t>
      </w:r>
    </w:p>
    <w:p w14:paraId="2005635B">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5.负责组织重要材料设备和大型设备的进场验收工作。</w:t>
      </w:r>
    </w:p>
    <w:p w14:paraId="489002B6">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pacing w:val="-5"/>
          <w:sz w:val="24"/>
          <w:szCs w:val="24"/>
          <w:highlight w:val="none"/>
          <w:lang w:eastAsia="zh-CN"/>
        </w:rPr>
      </w:pPr>
      <w:r>
        <w:rPr>
          <w:rFonts w:hint="eastAsia" w:ascii="仿宋_GB2312" w:hAnsi="仿宋_GB2312" w:eastAsia="仿宋_GB2312" w:cs="仿宋_GB2312"/>
          <w:color w:val="auto"/>
          <w:sz w:val="24"/>
          <w:szCs w:val="24"/>
          <w:highlight w:val="none"/>
          <w:lang w:eastAsia="zh-CN"/>
        </w:rPr>
        <w:t>6.</w:t>
      </w:r>
      <w:r>
        <w:rPr>
          <w:rFonts w:hint="eastAsia" w:ascii="仿宋_GB2312" w:hAnsi="仿宋_GB2312" w:eastAsia="仿宋_GB2312" w:cs="仿宋_GB2312"/>
          <w:color w:val="auto"/>
          <w:spacing w:val="-5"/>
          <w:sz w:val="24"/>
          <w:szCs w:val="24"/>
          <w:highlight w:val="none"/>
          <w:lang w:eastAsia="zh-CN"/>
        </w:rPr>
        <w:t>参与施工过程中材料设备使用情况的跟踪与核查。</w:t>
      </w:r>
    </w:p>
    <w:p w14:paraId="60C462E7">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7.负责施工封样样品的管理。</w:t>
      </w:r>
    </w:p>
    <w:p w14:paraId="2E0B7994">
      <w:pPr>
        <w:widowControl w:val="0"/>
        <w:kinsoku w:val="0"/>
        <w:overflowPunct w:val="0"/>
        <w:autoSpaceDE w:val="0"/>
        <w:autoSpaceDN w:val="0"/>
        <w:adjustRightInd w:val="0"/>
        <w:snapToGrid w:val="0"/>
        <w:spacing w:line="360" w:lineRule="auto"/>
        <w:ind w:firstLine="480" w:firstLineChars="200"/>
        <w:rPr>
          <w:rFonts w:hint="eastAsia" w:ascii="楷体_GB2312" w:hAnsi="楷体_GB2312" w:eastAsia="楷体_GB2312" w:cs="楷体_GB2312"/>
          <w:color w:val="auto"/>
          <w:sz w:val="24"/>
          <w:szCs w:val="24"/>
          <w:highlight w:val="none"/>
          <w:lang w:eastAsia="zh-CN"/>
        </w:rPr>
      </w:pPr>
      <w:r>
        <w:rPr>
          <w:rFonts w:hint="eastAsia" w:ascii="楷体_GB2312" w:hAnsi="楷体_GB2312" w:eastAsia="楷体_GB2312" w:cs="楷体_GB2312"/>
          <w:color w:val="auto"/>
          <w:sz w:val="24"/>
          <w:szCs w:val="24"/>
          <w:highlight w:val="none"/>
          <w:lang w:eastAsia="zh-CN"/>
        </w:rPr>
        <w:t>（二）招标采供部</w:t>
      </w:r>
    </w:p>
    <w:p w14:paraId="130229DF">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1.负责编制年度材料设备招标计划及相应招标工作。</w:t>
      </w:r>
    </w:p>
    <w:p w14:paraId="697AAE02">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2.负责重要材料设备、大型设备的认质工作。</w:t>
      </w:r>
    </w:p>
    <w:p w14:paraId="23618D8A">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3.参与首批甲供、暂定价材料设备和大型设备的进场验收工作。</w:t>
      </w:r>
    </w:p>
    <w:p w14:paraId="73BE5453">
      <w:pPr>
        <w:widowControl w:val="0"/>
        <w:kinsoku w:val="0"/>
        <w:overflowPunct w:val="0"/>
        <w:autoSpaceDE w:val="0"/>
        <w:autoSpaceDN w:val="0"/>
        <w:adjustRightInd w:val="0"/>
        <w:snapToGrid w:val="0"/>
        <w:spacing w:line="360" w:lineRule="auto"/>
        <w:ind w:firstLine="480" w:firstLineChars="200"/>
        <w:rPr>
          <w:rFonts w:hint="eastAsia" w:ascii="楷体_GB2312" w:hAnsi="楷体_GB2312" w:eastAsia="楷体_GB2312" w:cs="楷体_GB2312"/>
          <w:color w:val="auto"/>
          <w:sz w:val="24"/>
          <w:szCs w:val="24"/>
          <w:highlight w:val="none"/>
          <w:lang w:eastAsia="zh-CN"/>
        </w:rPr>
      </w:pPr>
      <w:r>
        <w:rPr>
          <w:rFonts w:hint="eastAsia" w:ascii="楷体_GB2312" w:hAnsi="楷体_GB2312" w:eastAsia="楷体_GB2312" w:cs="楷体_GB2312"/>
          <w:color w:val="auto"/>
          <w:sz w:val="24"/>
          <w:szCs w:val="24"/>
          <w:highlight w:val="none"/>
          <w:lang w:eastAsia="zh-CN"/>
        </w:rPr>
        <w:t>（三）总师办</w:t>
      </w:r>
    </w:p>
    <w:p w14:paraId="38FFB1A9">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1.负责编制材料设备技术要求。</w:t>
      </w:r>
    </w:p>
    <w:p w14:paraId="332B1521">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2.负责观感类重要材料设备的设计封样、二次封样确认工作。</w:t>
      </w:r>
    </w:p>
    <w:p w14:paraId="0794A518">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3.负责设计封样样品的保管。</w:t>
      </w:r>
    </w:p>
    <w:p w14:paraId="6365B668">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4.参与首批观感类重要材料设备和大型设备的进场验收工作。</w:t>
      </w:r>
    </w:p>
    <w:p w14:paraId="0C6A9D09">
      <w:pPr>
        <w:widowControl w:val="0"/>
        <w:kinsoku w:val="0"/>
        <w:overflowPunct w:val="0"/>
        <w:autoSpaceDE w:val="0"/>
        <w:autoSpaceDN w:val="0"/>
        <w:adjustRightInd w:val="0"/>
        <w:snapToGrid w:val="0"/>
        <w:spacing w:line="360" w:lineRule="auto"/>
        <w:ind w:firstLine="480" w:firstLineChars="200"/>
        <w:rPr>
          <w:rFonts w:hint="eastAsia" w:ascii="楷体_GB2312" w:hAnsi="楷体_GB2312" w:eastAsia="楷体_GB2312" w:cs="楷体_GB2312"/>
          <w:color w:val="auto"/>
          <w:sz w:val="24"/>
          <w:szCs w:val="24"/>
          <w:highlight w:val="none"/>
          <w:lang w:eastAsia="zh-CN"/>
        </w:rPr>
      </w:pPr>
      <w:r>
        <w:rPr>
          <w:rFonts w:hint="eastAsia" w:ascii="楷体_GB2312" w:hAnsi="楷体_GB2312" w:eastAsia="楷体_GB2312" w:cs="楷体_GB2312"/>
          <w:color w:val="auto"/>
          <w:sz w:val="24"/>
          <w:szCs w:val="24"/>
          <w:highlight w:val="none"/>
          <w:lang w:eastAsia="zh-CN"/>
        </w:rPr>
        <w:t>（四）工程管理部</w:t>
      </w:r>
    </w:p>
    <w:p w14:paraId="6DC1352B">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1.参与首批</w:t>
      </w:r>
      <w:r>
        <w:rPr>
          <w:rFonts w:hint="eastAsia" w:ascii="仿宋_GB2312" w:hAnsi="仿宋_GB2312" w:eastAsia="仿宋_GB2312" w:cs="仿宋_GB2312"/>
          <w:b/>
          <w:color w:val="auto"/>
          <w:sz w:val="24"/>
          <w:szCs w:val="24"/>
          <w:highlight w:val="none"/>
          <w:lang w:eastAsia="zh-CN"/>
        </w:rPr>
        <w:t>非</w:t>
      </w:r>
      <w:r>
        <w:rPr>
          <w:rFonts w:hint="eastAsia" w:ascii="仿宋_GB2312" w:hAnsi="仿宋_GB2312" w:eastAsia="仿宋_GB2312" w:cs="仿宋_GB2312"/>
          <w:color w:val="auto"/>
          <w:sz w:val="24"/>
          <w:szCs w:val="24"/>
          <w:highlight w:val="none"/>
          <w:lang w:eastAsia="zh-CN"/>
        </w:rPr>
        <w:t>观感类重要材料设备和大型设备的进场验收工作。</w:t>
      </w:r>
    </w:p>
    <w:p w14:paraId="4FB4C068">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2.负责对项目材料设备管理工作进行定期检查，并跟踪落实整改。</w:t>
      </w:r>
    </w:p>
    <w:p w14:paraId="47C9CAB8">
      <w:pPr>
        <w:widowControl w:val="0"/>
        <w:kinsoku w:val="0"/>
        <w:overflowPunct w:val="0"/>
        <w:autoSpaceDE w:val="0"/>
        <w:autoSpaceDN w:val="0"/>
        <w:adjustRightInd w:val="0"/>
        <w:snapToGrid w:val="0"/>
        <w:spacing w:line="360" w:lineRule="auto"/>
        <w:rPr>
          <w:rFonts w:hint="eastAsia" w:ascii="黑体" w:hAnsi="黑体" w:eastAsia="黑体" w:cs="黑体"/>
          <w:bCs/>
          <w:color w:val="auto"/>
          <w:sz w:val="24"/>
          <w:szCs w:val="24"/>
          <w:highlight w:val="none"/>
          <w:lang w:eastAsia="zh-CN"/>
        </w:rPr>
      </w:pPr>
      <w:r>
        <w:rPr>
          <w:rFonts w:hint="eastAsia" w:ascii="黑体" w:hAnsi="黑体" w:eastAsia="黑体" w:cs="黑体"/>
          <w:bCs/>
          <w:color w:val="auto"/>
          <w:sz w:val="24"/>
          <w:szCs w:val="24"/>
          <w:highlight w:val="none"/>
          <w:lang w:eastAsia="zh-CN"/>
        </w:rPr>
        <w:t>四、材料设备分类</w:t>
      </w:r>
    </w:p>
    <w:p w14:paraId="2CEDA2DA">
      <w:pPr>
        <w:widowControl w:val="0"/>
        <w:kinsoku w:val="0"/>
        <w:overflowPunct w:val="0"/>
        <w:autoSpaceDE w:val="0"/>
        <w:autoSpaceDN w:val="0"/>
        <w:adjustRightInd w:val="0"/>
        <w:snapToGrid w:val="0"/>
        <w:spacing w:line="360" w:lineRule="auto"/>
        <w:rPr>
          <w:rFonts w:hint="eastAsia" w:ascii="仿宋_GB2312" w:hAnsi="仿宋_GB2312" w:eastAsia="仿宋_GB2312" w:cs="仿宋_GB2312"/>
          <w:bCs/>
          <w:color w:val="auto"/>
          <w:sz w:val="24"/>
          <w:szCs w:val="24"/>
          <w:highlight w:val="none"/>
          <w:lang w:eastAsia="zh-CN"/>
        </w:rPr>
      </w:pPr>
      <w:r>
        <w:rPr>
          <w:color w:val="auto"/>
          <w:sz w:val="24"/>
          <w:szCs w:val="24"/>
          <w:highlight w:val="none"/>
        </w:rPr>
        <w:fldChar w:fldCharType="begin"/>
      </w:r>
      <w:r>
        <w:rPr>
          <w:color w:val="auto"/>
          <w:sz w:val="24"/>
          <w:szCs w:val="24"/>
          <w:highlight w:val="none"/>
        </w:rPr>
        <w:instrText xml:space="preserve"> INCLUDEPICTURE "E:\\backup\\Documents\\Tencent Files\\171855952\\nt_qq\\nt_data\\Pic\\2024-09\\Ori\\78ffd45c3232cfb1aee25dd925ac1d32.png" \* MERGEFORMATINET </w:instrText>
      </w:r>
      <w:r>
        <w:rPr>
          <w:color w:val="auto"/>
          <w:sz w:val="24"/>
          <w:szCs w:val="24"/>
          <w:highlight w:val="none"/>
        </w:rPr>
        <w:fldChar w:fldCharType="separate"/>
      </w:r>
      <w:r>
        <w:rPr>
          <w:color w:val="auto"/>
          <w:sz w:val="24"/>
          <w:szCs w:val="24"/>
          <w:highlight w:val="none"/>
        </w:rPr>
        <w:drawing>
          <wp:inline distT="0" distB="0" distL="114300" distR="114300">
            <wp:extent cx="5804535" cy="2235835"/>
            <wp:effectExtent l="0" t="0" r="5715" b="12065"/>
            <wp:docPr id="12" name="图片 2" descr="78ffd45c3232cfb1aee25dd925ac1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78ffd45c3232cfb1aee25dd925ac1d32"/>
                    <pic:cNvPicPr>
                      <a:picLocks noChangeAspect="1"/>
                    </pic:cNvPicPr>
                  </pic:nvPicPr>
                  <pic:blipFill>
                    <a:blip r:embed="rId32"/>
                    <a:stretch>
                      <a:fillRect/>
                    </a:stretch>
                  </pic:blipFill>
                  <pic:spPr>
                    <a:xfrm>
                      <a:off x="0" y="0"/>
                      <a:ext cx="5804535" cy="2235835"/>
                    </a:xfrm>
                    <a:prstGeom prst="rect">
                      <a:avLst/>
                    </a:prstGeom>
                    <a:noFill/>
                    <a:ln>
                      <a:noFill/>
                    </a:ln>
                  </pic:spPr>
                </pic:pic>
              </a:graphicData>
            </a:graphic>
          </wp:inline>
        </w:drawing>
      </w:r>
      <w:r>
        <w:rPr>
          <w:color w:val="auto"/>
          <w:sz w:val="24"/>
          <w:szCs w:val="24"/>
          <w:highlight w:val="none"/>
        </w:rPr>
        <w:fldChar w:fldCharType="end"/>
      </w:r>
    </w:p>
    <w:p w14:paraId="6973CCD8">
      <w:pPr>
        <w:widowControl w:val="0"/>
        <w:kinsoku w:val="0"/>
        <w:overflowPunct w:val="0"/>
        <w:autoSpaceDE w:val="0"/>
        <w:autoSpaceDN w:val="0"/>
        <w:adjustRightInd w:val="0"/>
        <w:snapToGrid w:val="0"/>
        <w:spacing w:line="360" w:lineRule="auto"/>
        <w:rPr>
          <w:rFonts w:hint="eastAsia" w:ascii="黑体" w:hAnsi="黑体" w:eastAsia="黑体" w:cs="黑体"/>
          <w:bCs/>
          <w:color w:val="auto"/>
          <w:sz w:val="24"/>
          <w:szCs w:val="24"/>
          <w:highlight w:val="none"/>
          <w:lang w:eastAsia="zh-CN"/>
        </w:rPr>
      </w:pPr>
      <w:r>
        <w:rPr>
          <w:rFonts w:hint="eastAsia" w:ascii="黑体" w:hAnsi="黑体" w:eastAsia="黑体" w:cs="黑体"/>
          <w:bCs/>
          <w:color w:val="auto"/>
          <w:sz w:val="24"/>
          <w:szCs w:val="24"/>
          <w:highlight w:val="none"/>
          <w:lang w:eastAsia="zh-CN"/>
        </w:rPr>
        <w:t>五、材料设备的管理流程</w:t>
      </w:r>
    </w:p>
    <w:p w14:paraId="2956D816">
      <w:pPr>
        <w:widowControl w:val="0"/>
        <w:kinsoku w:val="0"/>
        <w:overflowPunct w:val="0"/>
        <w:autoSpaceDE w:val="0"/>
        <w:autoSpaceDN w:val="0"/>
        <w:adjustRightInd w:val="0"/>
        <w:snapToGrid w:val="0"/>
        <w:spacing w:line="360" w:lineRule="auto"/>
        <w:rPr>
          <w:rFonts w:hint="eastAsia" w:ascii="黑体" w:hAnsi="黑体" w:eastAsia="黑体" w:cs="黑体"/>
          <w:bCs/>
          <w:color w:val="auto"/>
          <w:sz w:val="24"/>
          <w:szCs w:val="24"/>
          <w:highlight w:val="none"/>
          <w:lang w:eastAsia="zh-CN"/>
        </w:rPr>
      </w:pPr>
      <w:r>
        <w:rPr>
          <w:rFonts w:hint="eastAsia" w:ascii="黑体" w:hAnsi="黑体" w:eastAsia="黑体" w:cs="黑体"/>
          <w:bCs/>
          <w:color w:val="auto"/>
          <w:sz w:val="24"/>
          <w:szCs w:val="24"/>
          <w:highlight w:val="none"/>
          <w:lang w:eastAsia="zh-CN"/>
        </w:rPr>
        <w:t xml:space="preserve">    </w:t>
      </w:r>
      <w:r>
        <w:rPr>
          <w:rFonts w:hint="eastAsia" w:ascii="仿宋_GB2312" w:hAnsi="仿宋_GB2312" w:eastAsia="仿宋_GB2312" w:cs="仿宋_GB2312"/>
          <w:color w:val="auto"/>
          <w:sz w:val="24"/>
          <w:szCs w:val="24"/>
          <w:highlight w:val="none"/>
          <w:lang w:eastAsia="zh-CN"/>
        </w:rPr>
        <w:t>（一）材料设备进场前合同交底</w:t>
      </w:r>
    </w:p>
    <w:p w14:paraId="4D71D4EF">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总分包合同签订后，合同中涉及甲供、乙供的材料设备，在总分包合同签订15日内，由项目工程PM组织建设单位项目管理人员、监理及总分包单位召开合同交底会议，并形成相关记录存档。</w:t>
      </w:r>
    </w:p>
    <w:p w14:paraId="60EE2D08">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（二）材料封样管理</w:t>
      </w:r>
    </w:p>
    <w:p w14:paraId="506CFCB6">
      <w:pPr>
        <w:widowControl w:val="0"/>
        <w:kinsoku w:val="0"/>
        <w:overflowPunct w:val="0"/>
        <w:autoSpaceDE w:val="0"/>
        <w:autoSpaceDN w:val="0"/>
        <w:adjustRightInd w:val="0"/>
        <w:snapToGrid w:val="0"/>
        <w:spacing w:line="360" w:lineRule="auto"/>
        <w:ind w:firstLine="480" w:firstLineChars="200"/>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1.材料设备样板送样形式及范围：包括实物、实物小样、图片资料，具体见《材料封样形式及送审报验资料明细要求》。</w:t>
      </w:r>
    </w:p>
    <w:p w14:paraId="29BC29AF">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设计封样：在招标工作开始前，总师办需出招标图纸，同时提供实物封样（个别材料如灯具、电器设备等可图片+规格参数代替实物），并以实物展板的形式移交给招标采供部，移交样品应由设计经办人签字确认。</w:t>
      </w:r>
    </w:p>
    <w:p w14:paraId="49466C46">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3.施工封样：总包及各类分包工程所涉及的乙供材料设备，均由施工单位提供施工封样样板，并办理封样手续。</w:t>
      </w:r>
    </w:p>
    <w:p w14:paraId="605457FC">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4.材料设备封样手续</w:t>
      </w:r>
    </w:p>
    <w:p w14:paraId="4EE2F384">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（1）每一个样品对应一个独立的《材料设备封样单》，每个封样单上必须注明样品的型号、规格、厂家及品牌、产地、使用部位等。</w:t>
      </w:r>
    </w:p>
    <w:p w14:paraId="7D0F80FD">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（2）材料封样及认质部门</w:t>
      </w:r>
    </w:p>
    <w:tbl>
      <w:tblPr>
        <w:tblStyle w:val="56"/>
        <w:tblW w:w="10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1276"/>
        <w:gridCol w:w="1016"/>
        <w:gridCol w:w="1046"/>
        <w:gridCol w:w="1056"/>
        <w:gridCol w:w="4967"/>
      </w:tblGrid>
      <w:tr w14:paraId="0F181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22" w:type="dxa"/>
            <w:gridSpan w:val="2"/>
            <w:noWrap w:val="0"/>
            <w:vAlign w:val="center"/>
          </w:tcPr>
          <w:p w14:paraId="73CB8030">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b/>
                <w:color w:val="auto"/>
                <w:sz w:val="24"/>
                <w:szCs w:val="24"/>
                <w:highlight w:val="none"/>
                <w:lang w:eastAsia="zh-CN"/>
              </w:rPr>
            </w:pPr>
            <w:r>
              <w:rPr>
                <w:rFonts w:hint="eastAsia" w:ascii="华文仿宋" w:hAnsi="华文仿宋" w:eastAsia="华文仿宋" w:cs="仿宋_GB2312"/>
                <w:b/>
                <w:color w:val="auto"/>
                <w:sz w:val="24"/>
                <w:szCs w:val="24"/>
                <w:highlight w:val="none"/>
                <w:lang w:eastAsia="zh-CN"/>
              </w:rPr>
              <w:t>材料分类</w:t>
            </w:r>
          </w:p>
        </w:tc>
        <w:tc>
          <w:tcPr>
            <w:tcW w:w="1016" w:type="dxa"/>
            <w:noWrap w:val="0"/>
            <w:vAlign w:val="center"/>
          </w:tcPr>
          <w:p w14:paraId="5BCC226C">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b/>
                <w:color w:val="auto"/>
                <w:sz w:val="24"/>
                <w:szCs w:val="24"/>
                <w:highlight w:val="none"/>
                <w:lang w:eastAsia="zh-CN"/>
              </w:rPr>
            </w:pPr>
            <w:r>
              <w:rPr>
                <w:rFonts w:hint="eastAsia" w:ascii="华文仿宋" w:hAnsi="华文仿宋" w:eastAsia="华文仿宋" w:cs="仿宋_GB2312"/>
                <w:b/>
                <w:color w:val="auto"/>
                <w:sz w:val="24"/>
                <w:szCs w:val="24"/>
                <w:highlight w:val="none"/>
                <w:lang w:eastAsia="zh-CN"/>
              </w:rPr>
              <w:t>设计封样部门</w:t>
            </w:r>
          </w:p>
        </w:tc>
        <w:tc>
          <w:tcPr>
            <w:tcW w:w="1046" w:type="dxa"/>
            <w:noWrap w:val="0"/>
            <w:vAlign w:val="center"/>
          </w:tcPr>
          <w:p w14:paraId="0DA1FF4C">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b/>
                <w:color w:val="auto"/>
                <w:sz w:val="24"/>
                <w:szCs w:val="24"/>
                <w:highlight w:val="none"/>
                <w:lang w:eastAsia="zh-CN"/>
              </w:rPr>
            </w:pPr>
            <w:r>
              <w:rPr>
                <w:rFonts w:hint="eastAsia" w:ascii="华文仿宋" w:hAnsi="华文仿宋" w:eastAsia="华文仿宋" w:cs="仿宋_GB2312"/>
                <w:b/>
                <w:color w:val="auto"/>
                <w:sz w:val="24"/>
                <w:szCs w:val="24"/>
                <w:highlight w:val="none"/>
                <w:lang w:eastAsia="zh-CN"/>
              </w:rPr>
              <w:t>施工封样部门</w:t>
            </w:r>
          </w:p>
        </w:tc>
        <w:tc>
          <w:tcPr>
            <w:tcW w:w="1056" w:type="dxa"/>
            <w:noWrap w:val="0"/>
            <w:vAlign w:val="center"/>
          </w:tcPr>
          <w:p w14:paraId="323C42AF">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b/>
                <w:color w:val="auto"/>
                <w:sz w:val="24"/>
                <w:szCs w:val="24"/>
                <w:highlight w:val="none"/>
                <w:lang w:eastAsia="zh-CN"/>
              </w:rPr>
            </w:pPr>
            <w:r>
              <w:rPr>
                <w:rFonts w:hint="eastAsia" w:ascii="华文仿宋" w:hAnsi="华文仿宋" w:eastAsia="华文仿宋" w:cs="仿宋_GB2312"/>
                <w:b/>
                <w:color w:val="auto"/>
                <w:sz w:val="24"/>
                <w:szCs w:val="24"/>
                <w:highlight w:val="none"/>
                <w:lang w:eastAsia="zh-CN"/>
              </w:rPr>
              <w:t>认质部门</w:t>
            </w:r>
          </w:p>
        </w:tc>
        <w:tc>
          <w:tcPr>
            <w:tcW w:w="4967" w:type="dxa"/>
            <w:noWrap w:val="0"/>
            <w:vAlign w:val="center"/>
          </w:tcPr>
          <w:p w14:paraId="7C9382A7">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b/>
                <w:color w:val="auto"/>
                <w:sz w:val="24"/>
                <w:szCs w:val="24"/>
                <w:highlight w:val="none"/>
                <w:lang w:eastAsia="zh-CN"/>
              </w:rPr>
            </w:pPr>
            <w:r>
              <w:rPr>
                <w:rFonts w:hint="eastAsia" w:ascii="华文仿宋" w:hAnsi="华文仿宋" w:eastAsia="华文仿宋" w:cs="仿宋_GB2312"/>
                <w:b/>
                <w:color w:val="auto"/>
                <w:sz w:val="24"/>
                <w:szCs w:val="24"/>
                <w:highlight w:val="none"/>
                <w:lang w:eastAsia="zh-CN"/>
              </w:rPr>
              <w:t>品类</w:t>
            </w:r>
          </w:p>
        </w:tc>
      </w:tr>
      <w:tr w14:paraId="4AA43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22" w:type="dxa"/>
            <w:gridSpan w:val="2"/>
            <w:noWrap w:val="0"/>
            <w:vAlign w:val="center"/>
          </w:tcPr>
          <w:p w14:paraId="048AB467">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一般材料设备</w:t>
            </w:r>
          </w:p>
        </w:tc>
        <w:tc>
          <w:tcPr>
            <w:tcW w:w="1016" w:type="dxa"/>
            <w:noWrap w:val="0"/>
            <w:vAlign w:val="center"/>
          </w:tcPr>
          <w:p w14:paraId="521F0BF6">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w:t>
            </w:r>
          </w:p>
        </w:tc>
        <w:tc>
          <w:tcPr>
            <w:tcW w:w="1046" w:type="dxa"/>
            <w:noWrap w:val="0"/>
            <w:vAlign w:val="center"/>
          </w:tcPr>
          <w:p w14:paraId="3DCE29AE">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项目部</w:t>
            </w:r>
          </w:p>
        </w:tc>
        <w:tc>
          <w:tcPr>
            <w:tcW w:w="1056" w:type="dxa"/>
            <w:noWrap w:val="0"/>
            <w:vAlign w:val="center"/>
          </w:tcPr>
          <w:p w14:paraId="5FFF928A">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项目部</w:t>
            </w:r>
          </w:p>
        </w:tc>
        <w:tc>
          <w:tcPr>
            <w:tcW w:w="4967" w:type="dxa"/>
            <w:noWrap w:val="0"/>
            <w:vAlign w:val="center"/>
          </w:tcPr>
          <w:p w14:paraId="5B095D8F">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除重要材料设备、大型设备外，其他均为一般性材料设备</w:t>
            </w:r>
          </w:p>
        </w:tc>
      </w:tr>
      <w:tr w14:paraId="1DE9A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2" w:hRule="atLeast"/>
          <w:jc w:val="center"/>
        </w:trPr>
        <w:tc>
          <w:tcPr>
            <w:tcW w:w="746" w:type="dxa"/>
            <w:vMerge w:val="restart"/>
            <w:noWrap w:val="0"/>
            <w:vAlign w:val="center"/>
          </w:tcPr>
          <w:p w14:paraId="7F4B4B62">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观感类重要材</w:t>
            </w:r>
          </w:p>
          <w:p w14:paraId="595A30C8">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料设备</w:t>
            </w:r>
          </w:p>
        </w:tc>
        <w:tc>
          <w:tcPr>
            <w:tcW w:w="1276" w:type="dxa"/>
            <w:noWrap w:val="0"/>
            <w:vAlign w:val="center"/>
          </w:tcPr>
          <w:p w14:paraId="6E7601F5">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不需要现场打样观感类</w:t>
            </w:r>
          </w:p>
        </w:tc>
        <w:tc>
          <w:tcPr>
            <w:tcW w:w="1016" w:type="dxa"/>
            <w:vMerge w:val="restart"/>
            <w:noWrap w:val="0"/>
            <w:vAlign w:val="center"/>
          </w:tcPr>
          <w:p w14:paraId="731F0F03">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总师办</w:t>
            </w:r>
          </w:p>
        </w:tc>
        <w:tc>
          <w:tcPr>
            <w:tcW w:w="1046" w:type="dxa"/>
            <w:vMerge w:val="restart"/>
            <w:noWrap w:val="0"/>
            <w:vAlign w:val="center"/>
          </w:tcPr>
          <w:p w14:paraId="11E2B873">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项目部</w:t>
            </w:r>
          </w:p>
        </w:tc>
        <w:tc>
          <w:tcPr>
            <w:tcW w:w="1056" w:type="dxa"/>
            <w:vMerge w:val="restart"/>
            <w:noWrap w:val="0"/>
            <w:vAlign w:val="center"/>
          </w:tcPr>
          <w:p w14:paraId="732D5E23">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招标</w:t>
            </w:r>
          </w:p>
          <w:p w14:paraId="71191A4F">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采供部</w:t>
            </w:r>
          </w:p>
        </w:tc>
        <w:tc>
          <w:tcPr>
            <w:tcW w:w="4967" w:type="dxa"/>
            <w:noWrap w:val="0"/>
            <w:vAlign w:val="center"/>
          </w:tcPr>
          <w:p w14:paraId="774FA20D">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地板、瓷砖、壁纸、洁具、五金、电器、灯具（精装）、开关插座（精装）、淋浴屏、室内木门及装饰墙板、柜体、家具、室内石材、室内涂料、自动门、单元门、入户门、防火门、铝型材、铝合金门窗、塑钢门窗、儿童玩具、运动器械、特形或重要苗木（不认质）、景观灯具、泛光照明灯具、景观面层材料等</w:t>
            </w:r>
          </w:p>
        </w:tc>
      </w:tr>
      <w:tr w14:paraId="43C1A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6" w:type="dxa"/>
            <w:vMerge w:val="continue"/>
            <w:noWrap w:val="0"/>
            <w:vAlign w:val="center"/>
          </w:tcPr>
          <w:p w14:paraId="0105C4BC">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p>
        </w:tc>
        <w:tc>
          <w:tcPr>
            <w:tcW w:w="1276" w:type="dxa"/>
            <w:noWrap w:val="0"/>
            <w:vAlign w:val="center"/>
          </w:tcPr>
          <w:p w14:paraId="1422A56C">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需要现场打样观感类</w:t>
            </w:r>
          </w:p>
        </w:tc>
        <w:tc>
          <w:tcPr>
            <w:tcW w:w="1016" w:type="dxa"/>
            <w:vMerge w:val="continue"/>
            <w:noWrap w:val="0"/>
            <w:vAlign w:val="center"/>
          </w:tcPr>
          <w:p w14:paraId="363D53D3">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p>
        </w:tc>
        <w:tc>
          <w:tcPr>
            <w:tcW w:w="1046" w:type="dxa"/>
            <w:vMerge w:val="continue"/>
            <w:noWrap w:val="0"/>
            <w:vAlign w:val="center"/>
          </w:tcPr>
          <w:p w14:paraId="0A400623">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p>
        </w:tc>
        <w:tc>
          <w:tcPr>
            <w:tcW w:w="1056" w:type="dxa"/>
            <w:vMerge w:val="continue"/>
            <w:noWrap w:val="0"/>
            <w:vAlign w:val="center"/>
          </w:tcPr>
          <w:p w14:paraId="44729F53">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p>
        </w:tc>
        <w:tc>
          <w:tcPr>
            <w:tcW w:w="4967" w:type="dxa"/>
            <w:noWrap w:val="0"/>
            <w:vAlign w:val="center"/>
          </w:tcPr>
          <w:p w14:paraId="761F6242">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外墙石材、外墙涂料、一体板、玻璃（玻璃幕墙）、铝单板、不锈钢水波纹板、金属瓦屋面、车库地坪等</w:t>
            </w:r>
          </w:p>
        </w:tc>
      </w:tr>
      <w:tr w14:paraId="61E84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22" w:type="dxa"/>
            <w:gridSpan w:val="2"/>
            <w:noWrap w:val="0"/>
            <w:vAlign w:val="center"/>
          </w:tcPr>
          <w:p w14:paraId="0CE4DFCC">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非观感类重要材料设备</w:t>
            </w:r>
          </w:p>
        </w:tc>
        <w:tc>
          <w:tcPr>
            <w:tcW w:w="1016" w:type="dxa"/>
            <w:noWrap w:val="0"/>
            <w:vAlign w:val="center"/>
          </w:tcPr>
          <w:p w14:paraId="1E3B68A7">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w:t>
            </w:r>
          </w:p>
        </w:tc>
        <w:tc>
          <w:tcPr>
            <w:tcW w:w="1046" w:type="dxa"/>
            <w:noWrap w:val="0"/>
            <w:vAlign w:val="center"/>
          </w:tcPr>
          <w:p w14:paraId="07CA8AE4">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项目部</w:t>
            </w:r>
          </w:p>
        </w:tc>
        <w:tc>
          <w:tcPr>
            <w:tcW w:w="1056" w:type="dxa"/>
            <w:noWrap w:val="0"/>
            <w:vAlign w:val="center"/>
          </w:tcPr>
          <w:p w14:paraId="51D5782E">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招标</w:t>
            </w:r>
          </w:p>
          <w:p w14:paraId="4BA62692">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采供部</w:t>
            </w:r>
          </w:p>
        </w:tc>
        <w:tc>
          <w:tcPr>
            <w:tcW w:w="4967" w:type="dxa"/>
            <w:noWrap w:val="0"/>
            <w:vAlign w:val="center"/>
          </w:tcPr>
          <w:p w14:paraId="273745CB">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防火材料、防水材料、保温材料、新风系统、中央空调（VRV）、电线电缆、母线槽、配电箱（含元器件）、消防应急灯具、水灭火系统（泵、阀门）、气体灭火系统、消防报警系统、泵类、阀门类、水表、热量表、太阳能热水器、视频安防监控系统、门禁管理控制系统、人行道闸系统、停车场管理系统、五恒系统(设备、管道)等</w:t>
            </w:r>
          </w:p>
        </w:tc>
      </w:tr>
      <w:tr w14:paraId="796FB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22" w:type="dxa"/>
            <w:gridSpan w:val="2"/>
            <w:noWrap w:val="0"/>
            <w:vAlign w:val="center"/>
          </w:tcPr>
          <w:p w14:paraId="60823FBE">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大型设备</w:t>
            </w:r>
          </w:p>
        </w:tc>
        <w:tc>
          <w:tcPr>
            <w:tcW w:w="1016" w:type="dxa"/>
            <w:noWrap w:val="0"/>
            <w:vAlign w:val="center"/>
          </w:tcPr>
          <w:p w14:paraId="3C053E9A">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总师办提供设备参数</w:t>
            </w:r>
          </w:p>
        </w:tc>
        <w:tc>
          <w:tcPr>
            <w:tcW w:w="1046" w:type="dxa"/>
            <w:noWrap w:val="0"/>
            <w:vAlign w:val="center"/>
          </w:tcPr>
          <w:p w14:paraId="7B71804E">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w:t>
            </w:r>
          </w:p>
        </w:tc>
        <w:tc>
          <w:tcPr>
            <w:tcW w:w="1056" w:type="dxa"/>
            <w:noWrap w:val="0"/>
            <w:vAlign w:val="center"/>
          </w:tcPr>
          <w:p w14:paraId="3BEC6502">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招标</w:t>
            </w:r>
          </w:p>
          <w:p w14:paraId="2BDF584F">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采供部</w:t>
            </w:r>
          </w:p>
        </w:tc>
        <w:tc>
          <w:tcPr>
            <w:tcW w:w="4967" w:type="dxa"/>
            <w:noWrap w:val="0"/>
            <w:vAlign w:val="center"/>
          </w:tcPr>
          <w:p w14:paraId="05412A44">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ascii="华文仿宋" w:hAnsi="华文仿宋" w:eastAsia="华文仿宋" w:cs="仿宋_GB2312"/>
                <w:color w:val="auto"/>
                <w:sz w:val="24"/>
                <w:szCs w:val="24"/>
                <w:highlight w:val="none"/>
                <w:lang w:eastAsia="zh-CN"/>
              </w:rPr>
            </w:pPr>
            <w:r>
              <w:rPr>
                <w:rFonts w:hint="eastAsia" w:ascii="华文仿宋" w:hAnsi="华文仿宋" w:eastAsia="华文仿宋" w:cs="仿宋_GB2312"/>
                <w:color w:val="auto"/>
                <w:sz w:val="24"/>
                <w:szCs w:val="24"/>
                <w:highlight w:val="none"/>
                <w:lang w:eastAsia="zh-CN"/>
              </w:rPr>
              <w:t>电梯、中央空调、发电机组、机械车位等</w:t>
            </w:r>
          </w:p>
        </w:tc>
      </w:tr>
    </w:tbl>
    <w:p w14:paraId="0438B399">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（3）对于不便封存的样品，订货前由供货厂家提供样品照片，负责部门保留小样或样品的部件。</w:t>
      </w:r>
    </w:p>
    <w:p w14:paraId="28298C43">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（4）招标前需要封样的材料设备，由总师办负责设计封样，招标采供部配合送样，招标完成后由项目部负责组织供货单位或施工单位送样，由总师办二次确认封样。并在封样确认单上明确使用部位。</w:t>
      </w:r>
    </w:p>
    <w:p w14:paraId="40A2EAF4">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5）同一类材料如果因为使用部位等原因封样有差异时，总师办应在招标前以联系单形式将该材料的封样、技术标准和安装要求发送给招标采供部、成本管理部和项目部。对于同一项目分批次或分期招标进场的同一种外立面观感性材料（如玻璃等），在后续招标前由招标采供部牵头，总师办配合明确后续招标材料具体技术参数，应同第一次进场材料的技术参数一致，该批材料招标完成后，总师办应牵头、项目部配合现场再次定样并封样。对于同一项目分批次或分期招标进场的同一种外立面观感性材料（如玻璃等），在每次材料供应商明确后，招标采供部负责协调该供应商承诺后续材料在同等商务条件下涨跌幅度符合市场波动幅度。</w:t>
      </w:r>
    </w:p>
    <w:p w14:paraId="585B71B7">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5.样板存放：</w:t>
      </w:r>
    </w:p>
    <w:p w14:paraId="2820E6AB">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项目部负责按《材料封样台账模板》建立甲、乙供材封样台账。各项目需现场设置材料样板间，方便项目工程师对进场的甲、乙供材的重要材料进行验收，材料样板间由项目派专门管理，并建立材料样板入库、借出、归还台帐，由工程管理部每月进行检查。封样材料需将材料规格、颜色、厂家等信息标识清楚。</w:t>
      </w:r>
    </w:p>
    <w:p w14:paraId="0A897B5D">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（三）计划管理</w:t>
      </w:r>
    </w:p>
    <w:p w14:paraId="6E53458E">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1.项目部每年年底前编制甲供、暂定价材料设备需求计划并报送招标采供部。</w:t>
      </w:r>
    </w:p>
    <w:p w14:paraId="67B66468">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2.招标采供部根据项目部所报甲供、暂定价材料设备需求计划编制年度材料设备招标计划。</w:t>
      </w:r>
    </w:p>
    <w:p w14:paraId="4371E3F0">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3.总师办须在材料设备招标前2个月将材料设备技术要求以书面及电子邮件形式发送招标采供部。</w:t>
      </w:r>
    </w:p>
    <w:p w14:paraId="4DA162ED">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4. 甲供、暂定价材料设备至少在进场前3个月启动招标，大型设备至少在进场前6个月启动招标。</w:t>
      </w:r>
    </w:p>
    <w:p w14:paraId="5B105279">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5.需要认质认价的材料设备，项目部须提前30天将审核通过的“认质认价报审表”和材料样品报送招标采供部。材料设备收到认质单或认质认价单后，认质工作应在10个工作日内完成，材料设备认质认价应在30个工作日内完成。</w:t>
      </w:r>
    </w:p>
    <w:p w14:paraId="6585E4BD">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6.对于观感类重要材料设备，项目部督促施工单位于收到中标通知书之日起15个工作日内送样。</w:t>
      </w:r>
    </w:p>
    <w:p w14:paraId="65B3F6D1">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（四）认质认价管理</w:t>
      </w:r>
    </w:p>
    <w:p w14:paraId="2CCEBF07">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1.一般材料设备的认质工作由项目部负责，未经认质不得进场使用。</w:t>
      </w:r>
    </w:p>
    <w:p w14:paraId="1CC3F515">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2.重要材料设备、大型设备的认质工作由招标采供部负责，未经认质不得进场使用。</w:t>
      </w:r>
    </w:p>
    <w:p w14:paraId="541BCF01">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3.施工合同内有材料设备参考品牌范围，施工单位所供材料设备在投标时已标明品牌规格，且在参考品牌范围内的：</w:t>
      </w:r>
    </w:p>
    <w:p w14:paraId="63ACC994">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（1）若供货时不发生变更则无需认质。</w:t>
      </w:r>
    </w:p>
    <w:p w14:paraId="56A4BCA9">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（2）若供货时申请变更成参考品牌范围内其它品牌规格，须经建设单位认质后方可进场使用。</w:t>
      </w:r>
    </w:p>
    <w:p w14:paraId="2EFEDC30">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（3）若供货时申请变更成参考品牌范围以外其它品牌规格，按以下办法处理：</w:t>
      </w:r>
    </w:p>
    <w:p w14:paraId="56B22554">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①详细说明参考品牌范围内所有品牌不能使用的原因，以工作联系单的形式报送建设单位项目部，并将拟供新品牌的材料设备生产厂家资质、检验报告、样品等报送建设单位项目部。</w:t>
      </w:r>
    </w:p>
    <w:p w14:paraId="684F2C27">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②项目部牵头上工程管理委员会同意后按认质认价流程报送招标采供部。</w:t>
      </w:r>
    </w:p>
    <w:p w14:paraId="458E0A4E">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③招标采重新进行认质认价，按“原品牌与变更后品牌同期市场价格差价”调整结算。</w:t>
      </w:r>
    </w:p>
    <w:p w14:paraId="71963FAB">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4.施工合同内未约定材料设备参考品牌范围，但项目部认为需要认质的，该材料设备应在进场前由项目部认质，未经认质不得进场使用。</w:t>
      </w:r>
    </w:p>
    <w:p w14:paraId="0D301777">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（五）进场验收管理</w:t>
      </w:r>
    </w:p>
    <w:p w14:paraId="237D941B">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1.材料设备验收管理</w:t>
      </w:r>
    </w:p>
    <w:p w14:paraId="6834056F">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（1）甲供、暂定价材料设备到达现场24小时前，供应商通知项目部和招标采供部做好接货准备，材料设备到施工现场后，项目部组织施工单位必须在30分钟内开始卸货，4小时内将材料设备卸完。</w:t>
      </w:r>
    </w:p>
    <w:p w14:paraId="0271A8C4">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一般材料设备进场由项目部负责验收；甲供、暂定价材料设备首批进场由项目部组织招标采供部验收，其余批次进场由项目部负责验收；观感类重要材料设备首批进场由项目部组织总师办验收，其余批次进场由项目部负责验收；非观感类重要材料设备首批进场由项目部组织工程管理部验收，其余批次进场由项目部负责验收；大型设备首批进场由项目部组织总师办、招标采供部、工程管理部共同验收，其余批次进场由项目部负责验收。</w:t>
      </w:r>
    </w:p>
    <w:p w14:paraId="211446BD">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3）进场材料设备应符合供货或施工合同、招标文件、投标文件、施工图纸及相关规范要求和质量标准，材料设备到场应随车携带相关质量证明文件和检测报告，并与所封样品一致,对不符合要求或经验收不合格材料设备拒绝使用，清理出场。</w:t>
      </w:r>
    </w:p>
    <w:p w14:paraId="1329E45C">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（4）验收依据：国家规范、设计要求、封样样品、合同要求。</w:t>
      </w:r>
    </w:p>
    <w:p w14:paraId="6222838E">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（5）材料设备进场后，监理单位负责组织项目部、施工单位、供货单位等相关部门共同参与按验收标准和封样样板进场验收，同时留下验收影像资料。</w:t>
      </w:r>
    </w:p>
    <w:p w14:paraId="7EA7D695">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（6）甲供材料设备验收合格后，参与验收的各方线下会签对应该批次材料的《材料设备供货验收清单》，一式五联，供货单位、收货单位、监理单位、项目部、招标采供部签字盖章后各执一份。</w:t>
      </w:r>
    </w:p>
    <w:p w14:paraId="1C8E8DD4">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（7）验收合格后的甲供材料设备供（包括配件、辅材、合格证、检测报告、说明书等）直接移交给施工单位负责保管。</w:t>
      </w:r>
    </w:p>
    <w:p w14:paraId="0359339A">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（8）施工现场所有材料设备进场后均应使用“明源移动质检”进行报验验收。</w:t>
      </w:r>
    </w:p>
    <w:p w14:paraId="74733B62">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2.材料设备现场复试与送样</w:t>
      </w:r>
    </w:p>
    <w:p w14:paraId="208E5A6B">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施工单位根据当地规范要求负责材料设备现场复试、送检工作。监理单位鉴证取样员全程参与材料的复试送检。</w:t>
      </w:r>
    </w:p>
    <w:p w14:paraId="1C4E5767">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3.工程职能季度抽检</w:t>
      </w:r>
    </w:p>
    <w:p w14:paraId="07761D42">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工程管理部须每季度对各项目各标段现场材料设备不定期抽检。检查核实的内容：材料设备进场计划落实；材料设备与封样一致性；材料设备性能规格；材料设备复试频率、材料设备台账管理、材料设备堆放与保管等。并形成相关检查记录存档。</w:t>
      </w:r>
    </w:p>
    <w:p w14:paraId="52A6596C">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4.第三方飞检</w:t>
      </w:r>
    </w:p>
    <w:p w14:paraId="68E42A7B">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由工程管理部负责在季度第三方过程评估体系中增加对材料设备的检查项，各项目部必须配合第三方材料飞检工作，若发现瞒报或不配合情况对项目部进行通报批评。对检查发现的问题材料，项目部需按要求退场。</w:t>
      </w:r>
    </w:p>
    <w:p w14:paraId="59543474">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5.材料设备退场管理</w:t>
      </w:r>
    </w:p>
    <w:p w14:paraId="0D5B3EFA">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（1）对于进场验收不合格的材料设备，不予接收直接退回给供货单位，并要求其在规定时间内重新送货。</w:t>
      </w:r>
    </w:p>
    <w:p w14:paraId="07D2AEC1">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对于已进场但现场复试检测不合格的材料设备，监理单位负责进行相应退货处理，项目部督促。如退货材料设备，需填写《现场材料退货单》，相关材料设备验收证明文件作废，若是甲供材料设备，同时要求其在规定时间内重新送货。</w:t>
      </w:r>
    </w:p>
    <w:p w14:paraId="1D1CA0BB">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（3）材料设备退场过程，监理单位人员需现场见证，并留有相关影像记录。若因材料设备退场而延误工期，则需根据合同办理相关索赔。</w:t>
      </w:r>
    </w:p>
    <w:p w14:paraId="790F9650">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 xml:space="preserve">6.材料设备进场验收分类及检查重点如下： </w:t>
      </w:r>
    </w:p>
    <w:tbl>
      <w:tblPr>
        <w:tblStyle w:val="56"/>
        <w:tblW w:w="9781"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2240"/>
        <w:gridCol w:w="2154"/>
        <w:gridCol w:w="2268"/>
        <w:gridCol w:w="2268"/>
      </w:tblGrid>
      <w:tr w14:paraId="38E93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851" w:type="dxa"/>
            <w:noWrap w:val="0"/>
            <w:vAlign w:val="center"/>
          </w:tcPr>
          <w:p w14:paraId="6B5C3305">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b/>
                <w:bCs/>
                <w:color w:val="auto"/>
                <w:sz w:val="24"/>
                <w:szCs w:val="24"/>
                <w:highlight w:val="none"/>
                <w:lang w:eastAsia="zh-CN"/>
              </w:rPr>
            </w:pPr>
            <w:r>
              <w:rPr>
                <w:rFonts w:hint="eastAsia" w:ascii="华文仿宋" w:hAnsi="华文仿宋" w:eastAsia="华文仿宋" w:cs="宋体"/>
                <w:b/>
                <w:bCs/>
                <w:color w:val="auto"/>
                <w:sz w:val="24"/>
                <w:szCs w:val="24"/>
                <w:highlight w:val="none"/>
                <w:lang w:eastAsia="zh-CN"/>
              </w:rPr>
              <w:t>类型</w:t>
            </w:r>
          </w:p>
        </w:tc>
        <w:tc>
          <w:tcPr>
            <w:tcW w:w="2240" w:type="dxa"/>
            <w:noWrap w:val="0"/>
            <w:vAlign w:val="center"/>
          </w:tcPr>
          <w:p w14:paraId="33241C28">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b/>
                <w:bCs/>
                <w:color w:val="auto"/>
                <w:sz w:val="24"/>
                <w:szCs w:val="24"/>
                <w:highlight w:val="none"/>
                <w:lang w:eastAsia="zh-CN"/>
              </w:rPr>
            </w:pPr>
            <w:r>
              <w:rPr>
                <w:rFonts w:hint="eastAsia" w:ascii="华文仿宋" w:hAnsi="华文仿宋" w:eastAsia="华文仿宋" w:cs="宋体"/>
                <w:b/>
                <w:bCs/>
                <w:color w:val="auto"/>
                <w:sz w:val="24"/>
                <w:szCs w:val="24"/>
                <w:highlight w:val="none"/>
                <w:lang w:eastAsia="zh-CN"/>
              </w:rPr>
              <w:t>一般</w:t>
            </w:r>
          </w:p>
          <w:p w14:paraId="07F60EED">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b/>
                <w:bCs/>
                <w:color w:val="auto"/>
                <w:sz w:val="24"/>
                <w:szCs w:val="24"/>
                <w:highlight w:val="none"/>
                <w:lang w:eastAsia="zh-CN"/>
              </w:rPr>
            </w:pPr>
            <w:r>
              <w:rPr>
                <w:rFonts w:hint="eastAsia" w:ascii="华文仿宋" w:hAnsi="华文仿宋" w:eastAsia="华文仿宋" w:cs="宋体"/>
                <w:b/>
                <w:bCs/>
                <w:color w:val="auto"/>
                <w:sz w:val="24"/>
                <w:szCs w:val="24"/>
                <w:highlight w:val="none"/>
                <w:lang w:eastAsia="zh-CN"/>
              </w:rPr>
              <w:t>材料设备</w:t>
            </w:r>
          </w:p>
        </w:tc>
        <w:tc>
          <w:tcPr>
            <w:tcW w:w="2154" w:type="dxa"/>
            <w:noWrap w:val="0"/>
            <w:vAlign w:val="center"/>
          </w:tcPr>
          <w:p w14:paraId="3A771D1C">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b/>
                <w:bCs/>
                <w:color w:val="auto"/>
                <w:sz w:val="24"/>
                <w:szCs w:val="24"/>
                <w:highlight w:val="none"/>
                <w:lang w:eastAsia="zh-CN"/>
              </w:rPr>
            </w:pPr>
            <w:r>
              <w:rPr>
                <w:rFonts w:hint="eastAsia" w:ascii="华文仿宋" w:hAnsi="华文仿宋" w:eastAsia="华文仿宋" w:cs="宋体"/>
                <w:b/>
                <w:bCs/>
                <w:color w:val="auto"/>
                <w:sz w:val="24"/>
                <w:szCs w:val="24"/>
                <w:highlight w:val="none"/>
                <w:lang w:eastAsia="zh-CN"/>
              </w:rPr>
              <w:t>非观感类</w:t>
            </w:r>
          </w:p>
          <w:p w14:paraId="5E9F872E">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b/>
                <w:bCs/>
                <w:color w:val="auto"/>
                <w:sz w:val="24"/>
                <w:szCs w:val="24"/>
                <w:highlight w:val="none"/>
                <w:lang w:eastAsia="zh-CN"/>
              </w:rPr>
            </w:pPr>
            <w:r>
              <w:rPr>
                <w:rFonts w:hint="eastAsia" w:ascii="华文仿宋" w:hAnsi="华文仿宋" w:eastAsia="华文仿宋" w:cs="宋体"/>
                <w:b/>
                <w:bCs/>
                <w:color w:val="auto"/>
                <w:sz w:val="24"/>
                <w:szCs w:val="24"/>
                <w:highlight w:val="none"/>
                <w:lang w:eastAsia="zh-CN"/>
              </w:rPr>
              <w:t>重要材料设备</w:t>
            </w:r>
          </w:p>
        </w:tc>
        <w:tc>
          <w:tcPr>
            <w:tcW w:w="2268" w:type="dxa"/>
            <w:noWrap w:val="0"/>
            <w:vAlign w:val="center"/>
          </w:tcPr>
          <w:p w14:paraId="439A3E89">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b/>
                <w:bCs/>
                <w:color w:val="auto"/>
                <w:sz w:val="24"/>
                <w:szCs w:val="24"/>
                <w:highlight w:val="none"/>
                <w:lang w:eastAsia="zh-CN"/>
              </w:rPr>
            </w:pPr>
            <w:r>
              <w:rPr>
                <w:rFonts w:hint="eastAsia" w:ascii="华文仿宋" w:hAnsi="华文仿宋" w:eastAsia="华文仿宋" w:cs="宋体"/>
                <w:b/>
                <w:bCs/>
                <w:color w:val="auto"/>
                <w:sz w:val="24"/>
                <w:szCs w:val="24"/>
                <w:highlight w:val="none"/>
                <w:lang w:eastAsia="zh-CN"/>
              </w:rPr>
              <w:t>观感类</w:t>
            </w:r>
          </w:p>
          <w:p w14:paraId="22EF08B1">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b/>
                <w:bCs/>
                <w:color w:val="auto"/>
                <w:sz w:val="24"/>
                <w:szCs w:val="24"/>
                <w:highlight w:val="none"/>
                <w:lang w:eastAsia="zh-CN"/>
              </w:rPr>
            </w:pPr>
            <w:r>
              <w:rPr>
                <w:rFonts w:hint="eastAsia" w:ascii="华文仿宋" w:hAnsi="华文仿宋" w:eastAsia="华文仿宋" w:cs="宋体"/>
                <w:b/>
                <w:bCs/>
                <w:color w:val="auto"/>
                <w:sz w:val="24"/>
                <w:szCs w:val="24"/>
                <w:highlight w:val="none"/>
                <w:lang w:eastAsia="zh-CN"/>
              </w:rPr>
              <w:t>重要材料设备</w:t>
            </w:r>
          </w:p>
        </w:tc>
        <w:tc>
          <w:tcPr>
            <w:tcW w:w="2268" w:type="dxa"/>
            <w:noWrap w:val="0"/>
            <w:vAlign w:val="center"/>
          </w:tcPr>
          <w:p w14:paraId="37BCF52B">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b/>
                <w:bCs/>
                <w:color w:val="auto"/>
                <w:sz w:val="24"/>
                <w:szCs w:val="24"/>
                <w:highlight w:val="none"/>
                <w:lang w:eastAsia="zh-CN"/>
              </w:rPr>
            </w:pPr>
            <w:r>
              <w:rPr>
                <w:rFonts w:hint="eastAsia" w:ascii="华文仿宋" w:hAnsi="华文仿宋" w:eastAsia="华文仿宋" w:cs="宋体"/>
                <w:b/>
                <w:bCs/>
                <w:color w:val="auto"/>
                <w:sz w:val="24"/>
                <w:szCs w:val="24"/>
                <w:highlight w:val="none"/>
                <w:lang w:eastAsia="zh-CN"/>
              </w:rPr>
              <w:t>大型设备</w:t>
            </w:r>
          </w:p>
        </w:tc>
      </w:tr>
      <w:tr w14:paraId="09880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851" w:type="dxa"/>
            <w:noWrap w:val="0"/>
            <w:vAlign w:val="center"/>
          </w:tcPr>
          <w:p w14:paraId="76696956">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b/>
                <w:bCs/>
                <w:color w:val="auto"/>
                <w:sz w:val="24"/>
                <w:szCs w:val="24"/>
                <w:highlight w:val="none"/>
                <w:lang w:eastAsia="zh-CN"/>
              </w:rPr>
            </w:pPr>
            <w:r>
              <w:rPr>
                <w:rFonts w:hint="eastAsia" w:ascii="华文仿宋" w:hAnsi="华文仿宋" w:eastAsia="华文仿宋" w:cs="宋体"/>
                <w:b/>
                <w:bCs/>
                <w:color w:val="auto"/>
                <w:sz w:val="24"/>
                <w:szCs w:val="24"/>
                <w:highlight w:val="none"/>
                <w:lang w:eastAsia="zh-CN"/>
              </w:rPr>
              <w:t>主要品类</w:t>
            </w:r>
          </w:p>
        </w:tc>
        <w:tc>
          <w:tcPr>
            <w:tcW w:w="2240" w:type="dxa"/>
            <w:noWrap w:val="0"/>
            <w:vAlign w:val="center"/>
          </w:tcPr>
          <w:p w14:paraId="61B7BFF1">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color w:val="auto"/>
                <w:sz w:val="24"/>
                <w:szCs w:val="24"/>
                <w:highlight w:val="none"/>
                <w:lang w:eastAsia="zh-CN"/>
              </w:rPr>
            </w:pPr>
            <w:r>
              <w:rPr>
                <w:rFonts w:hint="eastAsia" w:ascii="华文仿宋" w:hAnsi="华文仿宋" w:eastAsia="华文仿宋" w:cs="宋体"/>
                <w:color w:val="auto"/>
                <w:sz w:val="24"/>
                <w:szCs w:val="24"/>
                <w:highlight w:val="none"/>
                <w:lang w:eastAsia="zh-CN"/>
              </w:rPr>
              <w:t>除重要材料设备和大型设备外，其他均为一般材料设备</w:t>
            </w:r>
          </w:p>
        </w:tc>
        <w:tc>
          <w:tcPr>
            <w:tcW w:w="2154" w:type="dxa"/>
            <w:noWrap w:val="0"/>
            <w:vAlign w:val="center"/>
          </w:tcPr>
          <w:p w14:paraId="77F5AF29">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color w:val="auto"/>
                <w:sz w:val="24"/>
                <w:szCs w:val="24"/>
                <w:highlight w:val="none"/>
                <w:lang w:eastAsia="zh-CN"/>
              </w:rPr>
            </w:pPr>
            <w:r>
              <w:rPr>
                <w:rFonts w:hint="eastAsia" w:ascii="华文仿宋" w:hAnsi="华文仿宋" w:eastAsia="华文仿宋" w:cs="宋体"/>
                <w:color w:val="auto"/>
                <w:sz w:val="24"/>
                <w:szCs w:val="24"/>
                <w:highlight w:val="none"/>
                <w:lang w:eastAsia="zh-CN"/>
              </w:rPr>
              <w:t>详见品类分类</w:t>
            </w:r>
          </w:p>
        </w:tc>
        <w:tc>
          <w:tcPr>
            <w:tcW w:w="2268" w:type="dxa"/>
            <w:noWrap w:val="0"/>
            <w:vAlign w:val="center"/>
          </w:tcPr>
          <w:p w14:paraId="5560DD33">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color w:val="auto"/>
                <w:sz w:val="24"/>
                <w:szCs w:val="24"/>
                <w:highlight w:val="none"/>
                <w:lang w:eastAsia="zh-CN"/>
              </w:rPr>
            </w:pPr>
            <w:r>
              <w:rPr>
                <w:rFonts w:hint="eastAsia" w:ascii="华文仿宋" w:hAnsi="华文仿宋" w:eastAsia="华文仿宋" w:cs="宋体"/>
                <w:color w:val="auto"/>
                <w:sz w:val="24"/>
                <w:szCs w:val="24"/>
                <w:highlight w:val="none"/>
                <w:lang w:eastAsia="zh-CN"/>
              </w:rPr>
              <w:t>详见品类分类</w:t>
            </w:r>
          </w:p>
        </w:tc>
        <w:tc>
          <w:tcPr>
            <w:tcW w:w="2268" w:type="dxa"/>
            <w:noWrap w:val="0"/>
            <w:vAlign w:val="center"/>
          </w:tcPr>
          <w:p w14:paraId="5834D670">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color w:val="auto"/>
                <w:sz w:val="24"/>
                <w:szCs w:val="24"/>
                <w:highlight w:val="none"/>
                <w:lang w:eastAsia="zh-CN"/>
              </w:rPr>
            </w:pPr>
            <w:r>
              <w:rPr>
                <w:rFonts w:hint="eastAsia" w:ascii="华文仿宋" w:hAnsi="华文仿宋" w:eastAsia="华文仿宋" w:cs="宋体"/>
                <w:color w:val="auto"/>
                <w:sz w:val="24"/>
                <w:szCs w:val="24"/>
                <w:highlight w:val="none"/>
                <w:lang w:eastAsia="zh-CN"/>
              </w:rPr>
              <w:t>电梯、中央空调、发电机组、机械车位等</w:t>
            </w:r>
          </w:p>
        </w:tc>
      </w:tr>
      <w:tr w14:paraId="77BCF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0" w:hRule="atLeast"/>
        </w:trPr>
        <w:tc>
          <w:tcPr>
            <w:tcW w:w="851" w:type="dxa"/>
            <w:noWrap w:val="0"/>
            <w:vAlign w:val="center"/>
          </w:tcPr>
          <w:p w14:paraId="7F857449">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b/>
                <w:bCs/>
                <w:color w:val="auto"/>
                <w:sz w:val="24"/>
                <w:szCs w:val="24"/>
                <w:highlight w:val="none"/>
                <w:lang w:eastAsia="zh-CN"/>
              </w:rPr>
            </w:pPr>
            <w:r>
              <w:rPr>
                <w:rFonts w:hint="eastAsia" w:ascii="华文仿宋" w:hAnsi="华文仿宋" w:eastAsia="华文仿宋" w:cs="宋体"/>
                <w:b/>
                <w:bCs/>
                <w:color w:val="auto"/>
                <w:sz w:val="24"/>
                <w:szCs w:val="24"/>
                <w:highlight w:val="none"/>
                <w:lang w:eastAsia="zh-CN"/>
              </w:rPr>
              <w:t>检查重点</w:t>
            </w:r>
          </w:p>
        </w:tc>
        <w:tc>
          <w:tcPr>
            <w:tcW w:w="2240" w:type="dxa"/>
            <w:noWrap w:val="0"/>
            <w:vAlign w:val="center"/>
          </w:tcPr>
          <w:p w14:paraId="3512F82B">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color w:val="auto"/>
                <w:sz w:val="24"/>
                <w:szCs w:val="24"/>
                <w:highlight w:val="none"/>
                <w:lang w:eastAsia="zh-CN"/>
              </w:rPr>
            </w:pPr>
            <w:r>
              <w:rPr>
                <w:rFonts w:hint="eastAsia" w:ascii="华文仿宋" w:hAnsi="华文仿宋" w:eastAsia="华文仿宋" w:cs="宋体"/>
                <w:color w:val="auto"/>
                <w:sz w:val="24"/>
                <w:szCs w:val="24"/>
                <w:highlight w:val="none"/>
                <w:lang w:eastAsia="zh-CN"/>
              </w:rPr>
              <w:t>按照规范及合同要求检查材料品牌、合格证、检验报告、出厂日期等，对材料外观及规格尺寸进行抽样检查。</w:t>
            </w:r>
          </w:p>
        </w:tc>
        <w:tc>
          <w:tcPr>
            <w:tcW w:w="2154" w:type="dxa"/>
            <w:noWrap w:val="0"/>
            <w:vAlign w:val="center"/>
          </w:tcPr>
          <w:p w14:paraId="721BDE1D">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color w:val="auto"/>
                <w:sz w:val="24"/>
                <w:szCs w:val="24"/>
                <w:highlight w:val="none"/>
                <w:lang w:eastAsia="zh-CN"/>
              </w:rPr>
            </w:pPr>
            <w:r>
              <w:rPr>
                <w:rFonts w:hint="eastAsia" w:ascii="华文仿宋" w:hAnsi="华文仿宋" w:eastAsia="华文仿宋" w:cs="宋体"/>
                <w:color w:val="auto"/>
                <w:sz w:val="24"/>
                <w:szCs w:val="24"/>
                <w:highlight w:val="none"/>
                <w:lang w:eastAsia="zh-CN"/>
              </w:rPr>
              <w:t>按照规范及合同要求检查材料品牌、合格证、检验报告、出厂日期等，对材料外观及规格尺寸进行抽样检查。</w:t>
            </w:r>
          </w:p>
        </w:tc>
        <w:tc>
          <w:tcPr>
            <w:tcW w:w="2268" w:type="dxa"/>
            <w:noWrap w:val="0"/>
            <w:vAlign w:val="center"/>
          </w:tcPr>
          <w:p w14:paraId="7D7EFE9D">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color w:val="auto"/>
                <w:sz w:val="24"/>
                <w:szCs w:val="24"/>
                <w:highlight w:val="none"/>
                <w:lang w:eastAsia="zh-CN"/>
              </w:rPr>
            </w:pPr>
            <w:r>
              <w:rPr>
                <w:rFonts w:hint="eastAsia" w:ascii="华文仿宋" w:hAnsi="华文仿宋" w:eastAsia="华文仿宋" w:cs="宋体"/>
                <w:color w:val="auto"/>
                <w:sz w:val="24"/>
                <w:szCs w:val="24"/>
                <w:highlight w:val="none"/>
                <w:lang w:eastAsia="zh-CN"/>
              </w:rPr>
              <w:t>按照规范及合同要求检查材料品牌、合格证、检验报告等；并检查外观尺寸，重点检查表面颜色、式样是否与封样样品或与合同约定一致。</w:t>
            </w:r>
          </w:p>
        </w:tc>
        <w:tc>
          <w:tcPr>
            <w:tcW w:w="2268" w:type="dxa"/>
            <w:noWrap w:val="0"/>
            <w:vAlign w:val="center"/>
          </w:tcPr>
          <w:p w14:paraId="07867571">
            <w:pPr>
              <w:keepNext w:val="0"/>
              <w:keepLines w:val="0"/>
              <w:widowControl w:val="0"/>
              <w:suppressLineNumbers w:val="0"/>
              <w:kinsoku w:val="0"/>
              <w:overflowPunct w:val="0"/>
              <w:autoSpaceDE w:val="0"/>
              <w:autoSpaceDN w:val="0"/>
              <w:adjustRightInd w:val="0"/>
              <w:snapToGrid w:val="0"/>
              <w:spacing w:before="0" w:beforeAutospacing="0" w:after="0" w:afterAutospacing="0" w:line="360" w:lineRule="auto"/>
              <w:ind w:left="0" w:right="0"/>
              <w:jc w:val="center"/>
              <w:rPr>
                <w:rFonts w:hint="eastAsia" w:ascii="华文仿宋" w:hAnsi="华文仿宋" w:eastAsia="华文仿宋" w:cs="宋体"/>
                <w:color w:val="auto"/>
                <w:sz w:val="24"/>
                <w:szCs w:val="24"/>
                <w:highlight w:val="none"/>
                <w:lang w:eastAsia="zh-CN"/>
              </w:rPr>
            </w:pPr>
            <w:r>
              <w:rPr>
                <w:rFonts w:hint="eastAsia" w:ascii="华文仿宋" w:hAnsi="华文仿宋" w:eastAsia="华文仿宋" w:cs="宋体"/>
                <w:color w:val="auto"/>
                <w:sz w:val="24"/>
                <w:szCs w:val="24"/>
                <w:highlight w:val="none"/>
                <w:lang w:eastAsia="zh-CN"/>
              </w:rPr>
              <w:t>按照规范及合同要求检查设备的品牌、合格证、检验报告、设备清单等，检查包装箱数量，对设备数量、外观尺寸进行核查。</w:t>
            </w:r>
          </w:p>
        </w:tc>
      </w:tr>
    </w:tbl>
    <w:p w14:paraId="069FFB7F">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（六）材料设备台账管理</w:t>
      </w:r>
    </w:p>
    <w:p w14:paraId="55AD161F">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1.总师办、项目部均需按项目、按标段分别单独建立材料设备封样台账。</w:t>
      </w:r>
    </w:p>
    <w:p w14:paraId="04C765AA">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2.监理单位负责建立材料设备验收台账。</w:t>
      </w:r>
    </w:p>
    <w:p w14:paraId="3AE3F994">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（七）材料设备保管</w:t>
      </w:r>
    </w:p>
    <w:p w14:paraId="5C9CA184">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1.施工单位负责设置材料设备堆放场地（地坪硬化），材料设备按场布图归类堆放，要有明确标识。</w:t>
      </w:r>
    </w:p>
    <w:p w14:paraId="59985AAD">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2.施工单位负责组织落实材料设备的保护措施，确保材料设备不受环境、人为等方面损坏。</w:t>
      </w:r>
    </w:p>
    <w:p w14:paraId="6A872A9D">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（八）甲供材料设备付款管理</w:t>
      </w:r>
    </w:p>
    <w:p w14:paraId="71228149">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1.到货款支付：招标采供部根据《材料设备供货验收清单》出具《领料单》，招标采供部、项目部、收货单位共同进行确认后支付。</w:t>
      </w:r>
    </w:p>
    <w:p w14:paraId="7D463925">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2.安装调试验收款支付：供货单位出具《材料设备安装调试验收确认单》，项目部、招标采供部共同进行确认后支付。</w:t>
      </w:r>
    </w:p>
    <w:p w14:paraId="0E42DD1D">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3.质保金支付：供货单位出具《材料设备质保金支付确认单》，物业公司、招标采供部共同进行确认，招标采供部分管领导审批同意后支付。</w:t>
      </w:r>
    </w:p>
    <w:p w14:paraId="7261BB82">
      <w:pPr>
        <w:widowControl w:val="0"/>
        <w:kinsoku w:val="0"/>
        <w:overflowPunct w:val="0"/>
        <w:autoSpaceDE w:val="0"/>
        <w:autoSpaceDN w:val="0"/>
        <w:adjustRightInd w:val="0"/>
        <w:snapToGrid w:val="0"/>
        <w:spacing w:line="360" w:lineRule="auto"/>
        <w:rPr>
          <w:rFonts w:hint="eastAsia" w:ascii="仿宋_GB2312" w:hAnsi="仿宋_GB2312" w:eastAsia="仿宋_GB2312" w:cs="仿宋_GB2312"/>
          <w:b/>
          <w:color w:val="auto"/>
          <w:sz w:val="24"/>
          <w:szCs w:val="24"/>
          <w:highlight w:val="none"/>
          <w:lang w:eastAsia="zh-CN"/>
        </w:rPr>
      </w:pPr>
      <w:r>
        <w:rPr>
          <w:rFonts w:hint="eastAsia" w:ascii="仿宋_GB2312" w:hAnsi="仿宋_GB2312" w:eastAsia="仿宋_GB2312" w:cs="仿宋_GB2312"/>
          <w:b/>
          <w:color w:val="auto"/>
          <w:sz w:val="24"/>
          <w:szCs w:val="24"/>
          <w:highlight w:val="none"/>
          <w:lang w:eastAsia="zh-CN"/>
        </w:rPr>
        <w:t>六、附则</w:t>
      </w:r>
    </w:p>
    <w:p w14:paraId="72041309">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bidi="ar"/>
        </w:rPr>
      </w:pPr>
      <w:r>
        <w:rPr>
          <w:rFonts w:hint="eastAsia" w:ascii="仿宋_GB2312" w:hAnsi="仿宋_GB2312" w:eastAsia="仿宋_GB2312" w:cs="仿宋_GB2312"/>
          <w:color w:val="auto"/>
          <w:sz w:val="24"/>
          <w:szCs w:val="24"/>
          <w:highlight w:val="none"/>
          <w:lang w:eastAsia="zh-CN" w:bidi="ar"/>
        </w:rPr>
        <w:t>1.本管理办法由工程管理部负责解释。</w:t>
      </w:r>
    </w:p>
    <w:p w14:paraId="121A59C5">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bidi="ar"/>
        </w:rPr>
      </w:pPr>
      <w:r>
        <w:rPr>
          <w:rFonts w:hint="eastAsia" w:ascii="仿宋_GB2312" w:hAnsi="仿宋_GB2312" w:eastAsia="仿宋_GB2312" w:cs="仿宋_GB2312"/>
          <w:color w:val="auto"/>
          <w:sz w:val="24"/>
          <w:szCs w:val="24"/>
          <w:highlight w:val="none"/>
          <w:lang w:eastAsia="zh-CN" w:bidi="ar"/>
        </w:rPr>
        <w:t>2.本管理办法适用于经发地产及全资子公司、代管公司。</w:t>
      </w:r>
    </w:p>
    <w:p w14:paraId="60122090">
      <w:pPr>
        <w:widowControl w:val="0"/>
        <w:kinsoku w:val="0"/>
        <w:overflowPunct w:val="0"/>
        <w:autoSpaceDE w:val="0"/>
        <w:autoSpaceDN w:val="0"/>
        <w:adjustRightInd w:val="0"/>
        <w:snapToGrid w:val="0"/>
        <w:spacing w:line="360" w:lineRule="auto"/>
        <w:ind w:firstLine="480" w:firstLineChars="200"/>
        <w:rPr>
          <w:rFonts w:hint="eastAsia"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bidi="ar"/>
        </w:rPr>
        <w:t>3.本管理办法自正式印发之日起执行，原制度规定与本管理办法不一致的，以本办法为准。</w:t>
      </w:r>
    </w:p>
    <w:p w14:paraId="42C4A31A">
      <w:pPr>
        <w:spacing w:line="560" w:lineRule="exact"/>
        <w:ind w:firstLine="560" w:firstLineChars="200"/>
        <w:outlineLvl w:val="9"/>
        <w:rPr>
          <w:rFonts w:hint="eastAsia" w:ascii="仿宋_GB2312" w:hAnsi="仿宋_GB2312" w:eastAsia="仿宋_GB2312" w:cs="仿宋_GB2312"/>
          <w:color w:val="auto"/>
          <w:sz w:val="28"/>
          <w:szCs w:val="28"/>
          <w:highlight w:val="none"/>
          <w:lang w:eastAsia="zh-CN" w:bidi="ar"/>
        </w:rPr>
      </w:pPr>
    </w:p>
    <w:p w14:paraId="501E894C">
      <w:pPr>
        <w:adjustRightInd w:val="0"/>
        <w:snapToGrid w:val="0"/>
        <w:spacing w:line="360" w:lineRule="auto"/>
        <w:outlineLvl w:val="9"/>
        <w:rPr>
          <w:rFonts w:asciiTheme="minorEastAsia" w:hAnsiTheme="minorEastAsia" w:eastAsiaTheme="minorEastAsia"/>
          <w:color w:val="auto"/>
          <w:sz w:val="24"/>
          <w:highlight w:val="none"/>
        </w:rPr>
      </w:pPr>
      <w:r>
        <w:rPr>
          <w:rFonts w:cs="宋体" w:asciiTheme="minorEastAsia" w:hAnsiTheme="minorEastAsia" w:eastAsiaTheme="minorEastAsia"/>
          <w:b/>
          <w:color w:val="auto"/>
          <w:szCs w:val="21"/>
          <w:highlight w:val="none"/>
        </w:rPr>
        <w:br w:type="page"/>
      </w:r>
      <w:r>
        <w:rPr>
          <w:rFonts w:hint="eastAsia" w:cs="宋体" w:asciiTheme="minorEastAsia" w:hAnsiTheme="minorEastAsia" w:eastAsiaTheme="minorEastAsia"/>
          <w:color w:val="auto"/>
          <w:szCs w:val="21"/>
          <w:highlight w:val="none"/>
        </w:rPr>
        <w:t>附表1：</w:t>
      </w:r>
    </w:p>
    <w:tbl>
      <w:tblPr>
        <w:tblStyle w:val="56"/>
        <w:tblW w:w="9636"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60"/>
        <w:gridCol w:w="951"/>
        <w:gridCol w:w="1510"/>
        <w:gridCol w:w="749"/>
        <w:gridCol w:w="749"/>
        <w:gridCol w:w="754"/>
        <w:gridCol w:w="749"/>
        <w:gridCol w:w="749"/>
        <w:gridCol w:w="749"/>
        <w:gridCol w:w="749"/>
        <w:gridCol w:w="1167"/>
      </w:tblGrid>
      <w:tr w14:paraId="274E6E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9" w:hRule="atLeast"/>
        </w:trPr>
        <w:tc>
          <w:tcPr>
            <w:tcW w:w="5473" w:type="dxa"/>
            <w:gridSpan w:val="6"/>
            <w:tcBorders>
              <w:top w:val="nil"/>
              <w:left w:val="nil"/>
              <w:bottom w:val="nil"/>
              <w:right w:val="nil"/>
            </w:tcBorders>
            <w:shd w:val="clear" w:color="auto" w:fill="auto"/>
            <w:noWrap/>
            <w:vAlign w:val="center"/>
          </w:tcPr>
          <w:p w14:paraId="5D2FBA0E">
            <w:pPr>
              <w:keepNext w:val="0"/>
              <w:keepLines w:val="0"/>
              <w:widowControl/>
              <w:suppressLineNumbers w:val="0"/>
              <w:spacing w:before="0" w:beforeAutospacing="0" w:after="0" w:afterAutospacing="0"/>
              <w:ind w:left="0" w:right="0"/>
              <w:jc w:val="left"/>
              <w:textAlignment w:val="center"/>
              <w:outlineLvl w:val="9"/>
              <w:rPr>
                <w:rFonts w:ascii="黑体" w:hAnsi="宋体" w:eastAsia="黑体" w:cs="黑体"/>
                <w:i w:val="0"/>
                <w:iCs w:val="0"/>
                <w:color w:val="auto"/>
                <w:sz w:val="22"/>
                <w:szCs w:val="22"/>
                <w:highlight w:val="none"/>
                <w:u w:val="none"/>
              </w:rPr>
            </w:pPr>
            <w:r>
              <w:rPr>
                <w:rFonts w:ascii="Arial" w:hAnsi="Arial" w:eastAsia="黑体" w:cs="Arial"/>
                <w:i w:val="0"/>
                <w:iCs w:val="0"/>
                <w:color w:val="auto"/>
                <w:kern w:val="0"/>
                <w:sz w:val="22"/>
                <w:szCs w:val="22"/>
                <w:highlight w:val="none"/>
                <w:u w:val="none"/>
                <w:lang w:val="en-US" w:eastAsia="zh-CN" w:bidi="ar"/>
              </w:rPr>
              <w:t xml:space="preserve"> </w:t>
            </w:r>
            <w:r>
              <w:rPr>
                <w:rFonts w:hint="eastAsia" w:ascii="黑体" w:hAnsi="宋体" w:eastAsia="黑体" w:cs="黑体"/>
                <w:i w:val="0"/>
                <w:iCs w:val="0"/>
                <w:color w:val="auto"/>
                <w:kern w:val="0"/>
                <w:sz w:val="22"/>
                <w:szCs w:val="22"/>
                <w:highlight w:val="none"/>
                <w:u w:val="none"/>
                <w:lang w:val="en-US" w:eastAsia="zh-CN" w:bidi="ar"/>
              </w:rPr>
              <w:t>建筑工程原材料报审报验文件明细表</w:t>
            </w:r>
          </w:p>
        </w:tc>
        <w:tc>
          <w:tcPr>
            <w:tcW w:w="749" w:type="dxa"/>
            <w:tcBorders>
              <w:top w:val="nil"/>
              <w:left w:val="nil"/>
              <w:bottom w:val="nil"/>
              <w:right w:val="nil"/>
            </w:tcBorders>
            <w:shd w:val="clear" w:color="auto" w:fill="auto"/>
            <w:noWrap/>
            <w:vAlign w:val="center"/>
          </w:tcPr>
          <w:p w14:paraId="02342096">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749" w:type="dxa"/>
            <w:tcBorders>
              <w:top w:val="nil"/>
              <w:left w:val="nil"/>
              <w:bottom w:val="nil"/>
              <w:right w:val="nil"/>
            </w:tcBorders>
            <w:shd w:val="clear" w:color="auto" w:fill="auto"/>
            <w:noWrap/>
            <w:vAlign w:val="center"/>
          </w:tcPr>
          <w:p w14:paraId="1CC27B2A">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749" w:type="dxa"/>
            <w:tcBorders>
              <w:top w:val="nil"/>
              <w:left w:val="nil"/>
              <w:bottom w:val="nil"/>
              <w:right w:val="nil"/>
            </w:tcBorders>
            <w:shd w:val="clear" w:color="auto" w:fill="auto"/>
            <w:noWrap/>
            <w:vAlign w:val="center"/>
          </w:tcPr>
          <w:p w14:paraId="57BDE193">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749" w:type="dxa"/>
            <w:tcBorders>
              <w:top w:val="nil"/>
              <w:left w:val="nil"/>
              <w:bottom w:val="nil"/>
              <w:right w:val="nil"/>
            </w:tcBorders>
            <w:shd w:val="clear" w:color="auto" w:fill="auto"/>
            <w:noWrap/>
            <w:vAlign w:val="center"/>
          </w:tcPr>
          <w:p w14:paraId="49C65663">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1167" w:type="dxa"/>
            <w:tcBorders>
              <w:top w:val="nil"/>
              <w:left w:val="nil"/>
              <w:bottom w:val="nil"/>
              <w:right w:val="nil"/>
            </w:tcBorders>
            <w:shd w:val="clear" w:color="auto" w:fill="auto"/>
            <w:noWrap/>
            <w:vAlign w:val="center"/>
          </w:tcPr>
          <w:p w14:paraId="786C6210">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r>
      <w:tr w14:paraId="1B3CDC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40" w:hRule="atLeast"/>
        </w:trPr>
        <w:tc>
          <w:tcPr>
            <w:tcW w:w="760" w:type="dxa"/>
            <w:tcBorders>
              <w:top w:val="single" w:color="000000" w:sz="8" w:space="0"/>
              <w:left w:val="single" w:color="000000" w:sz="8" w:space="0"/>
              <w:bottom w:val="nil"/>
              <w:right w:val="single" w:color="000000" w:sz="8" w:space="0"/>
            </w:tcBorders>
            <w:shd w:val="clear" w:color="auto" w:fill="B8CCE3"/>
            <w:vAlign w:val="top"/>
          </w:tcPr>
          <w:p w14:paraId="3665D61E">
            <w:pPr>
              <w:keepNext w:val="0"/>
              <w:keepLines w:val="0"/>
              <w:suppressLineNumbers w:val="0"/>
              <w:spacing w:before="0" w:beforeAutospacing="0" w:after="0" w:afterAutospacing="0"/>
              <w:ind w:left="0" w:right="0"/>
              <w:jc w:val="left"/>
              <w:outlineLvl w:val="9"/>
              <w:rPr>
                <w:rFonts w:hint="eastAsia" w:ascii="黑体" w:hAnsi="宋体" w:eastAsia="黑体" w:cs="黑体"/>
                <w:i w:val="0"/>
                <w:iCs w:val="0"/>
                <w:color w:val="auto"/>
                <w:sz w:val="20"/>
                <w:szCs w:val="20"/>
                <w:highlight w:val="none"/>
                <w:u w:val="none"/>
              </w:rPr>
            </w:pPr>
          </w:p>
        </w:tc>
        <w:tc>
          <w:tcPr>
            <w:tcW w:w="951" w:type="dxa"/>
            <w:vMerge w:val="restart"/>
            <w:tcBorders>
              <w:top w:val="single" w:color="000000" w:sz="8" w:space="0"/>
              <w:left w:val="single" w:color="000000" w:sz="8" w:space="0"/>
              <w:bottom w:val="single" w:color="000000" w:sz="8" w:space="0"/>
              <w:right w:val="single" w:color="000000" w:sz="8" w:space="0"/>
            </w:tcBorders>
            <w:shd w:val="clear" w:color="auto" w:fill="B8CCE3"/>
            <w:vAlign w:val="center"/>
          </w:tcPr>
          <w:p w14:paraId="44C939FD">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分项</w:t>
            </w:r>
          </w:p>
        </w:tc>
        <w:tc>
          <w:tcPr>
            <w:tcW w:w="1510" w:type="dxa"/>
            <w:vMerge w:val="restart"/>
            <w:tcBorders>
              <w:top w:val="single" w:color="000000" w:sz="8" w:space="0"/>
              <w:left w:val="single" w:color="000000" w:sz="8" w:space="0"/>
              <w:bottom w:val="single" w:color="000000" w:sz="8" w:space="0"/>
              <w:right w:val="single" w:color="000000" w:sz="8" w:space="0"/>
            </w:tcBorders>
            <w:shd w:val="clear" w:color="auto" w:fill="B8CCE3"/>
            <w:vAlign w:val="center"/>
          </w:tcPr>
          <w:p w14:paraId="20750F1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材料名称</w:t>
            </w:r>
          </w:p>
        </w:tc>
        <w:tc>
          <w:tcPr>
            <w:tcW w:w="3750" w:type="dxa"/>
            <w:gridSpan w:val="5"/>
            <w:tcBorders>
              <w:top w:val="single" w:color="000000" w:sz="8" w:space="0"/>
              <w:left w:val="single" w:color="000000" w:sz="8" w:space="0"/>
              <w:bottom w:val="single" w:color="000000" w:sz="8" w:space="0"/>
              <w:right w:val="single" w:color="000000" w:sz="8" w:space="0"/>
            </w:tcBorders>
            <w:shd w:val="clear" w:color="auto" w:fill="B8CCE3"/>
            <w:vAlign w:val="center"/>
          </w:tcPr>
          <w:p w14:paraId="4419185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需提交的文件</w:t>
            </w:r>
          </w:p>
        </w:tc>
        <w:tc>
          <w:tcPr>
            <w:tcW w:w="749" w:type="dxa"/>
            <w:tcBorders>
              <w:top w:val="single" w:color="000000" w:sz="8" w:space="0"/>
              <w:left w:val="nil"/>
              <w:bottom w:val="single" w:color="000000" w:sz="8" w:space="0"/>
              <w:right w:val="single" w:color="000000" w:sz="8" w:space="0"/>
            </w:tcBorders>
            <w:shd w:val="clear" w:color="auto" w:fill="B8CCE3"/>
            <w:vAlign w:val="center"/>
          </w:tcPr>
          <w:p w14:paraId="16AC8823">
            <w:pPr>
              <w:keepNext w:val="0"/>
              <w:keepLines w:val="0"/>
              <w:suppressLineNumbers w:val="0"/>
              <w:spacing w:before="0" w:beforeAutospacing="0" w:after="0" w:afterAutospacing="0"/>
              <w:ind w:left="0" w:right="0"/>
              <w:outlineLvl w:val="9"/>
              <w:rPr>
                <w:rFonts w:hint="eastAsia" w:ascii="宋体" w:hAnsi="宋体" w:eastAsia="宋体" w:cs="宋体"/>
                <w:b/>
                <w:bCs/>
                <w:i w:val="0"/>
                <w:iCs w:val="0"/>
                <w:color w:val="auto"/>
                <w:sz w:val="20"/>
                <w:szCs w:val="20"/>
                <w:highlight w:val="none"/>
                <w:u w:val="none"/>
              </w:rPr>
            </w:pPr>
          </w:p>
        </w:tc>
        <w:tc>
          <w:tcPr>
            <w:tcW w:w="749" w:type="dxa"/>
            <w:vMerge w:val="restart"/>
            <w:tcBorders>
              <w:top w:val="single" w:color="000000" w:sz="8" w:space="0"/>
              <w:left w:val="nil"/>
              <w:bottom w:val="single" w:color="000000" w:sz="8" w:space="0"/>
              <w:right w:val="single" w:color="000000" w:sz="8" w:space="0"/>
            </w:tcBorders>
            <w:shd w:val="clear" w:color="auto" w:fill="B8CCE3"/>
            <w:vAlign w:val="center"/>
          </w:tcPr>
          <w:p w14:paraId="299564C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是否需封样</w:t>
            </w:r>
          </w:p>
        </w:tc>
        <w:tc>
          <w:tcPr>
            <w:tcW w:w="1167" w:type="dxa"/>
            <w:vMerge w:val="restart"/>
            <w:tcBorders>
              <w:top w:val="single" w:color="000000" w:sz="8" w:space="0"/>
              <w:left w:val="nil"/>
              <w:bottom w:val="single" w:color="000000" w:sz="8" w:space="0"/>
              <w:right w:val="single" w:color="000000" w:sz="8" w:space="0"/>
            </w:tcBorders>
            <w:shd w:val="clear" w:color="auto" w:fill="B8CCE3"/>
            <w:vAlign w:val="center"/>
          </w:tcPr>
          <w:p w14:paraId="280D68D3">
            <w:pPr>
              <w:keepNext w:val="0"/>
              <w:keepLines w:val="0"/>
              <w:widowControl/>
              <w:suppressLineNumbers w:val="0"/>
              <w:spacing w:before="0" w:beforeAutospacing="0" w:after="0" w:afterAutospacing="0"/>
              <w:ind w:left="0" w:right="0"/>
              <w:jc w:val="both"/>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 xml:space="preserve">   封样形式</w:t>
            </w:r>
          </w:p>
        </w:tc>
      </w:tr>
      <w:tr w14:paraId="662D03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60" w:hRule="atLeast"/>
        </w:trPr>
        <w:tc>
          <w:tcPr>
            <w:tcW w:w="760" w:type="dxa"/>
            <w:tcBorders>
              <w:top w:val="nil"/>
              <w:left w:val="single" w:color="000000" w:sz="8" w:space="0"/>
              <w:bottom w:val="nil"/>
              <w:right w:val="single" w:color="000000" w:sz="8" w:space="0"/>
            </w:tcBorders>
            <w:shd w:val="clear" w:color="auto" w:fill="B8CCE3"/>
            <w:vAlign w:val="top"/>
          </w:tcPr>
          <w:p w14:paraId="50974855">
            <w:pPr>
              <w:keepNext w:val="0"/>
              <w:keepLines w:val="0"/>
              <w:widowControl/>
              <w:suppressLineNumbers w:val="0"/>
              <w:spacing w:before="0" w:beforeAutospacing="0" w:after="0" w:afterAutospacing="0"/>
              <w:ind w:left="0" w:right="0"/>
              <w:jc w:val="left"/>
              <w:textAlignment w:val="top"/>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序号</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B8CCE3"/>
            <w:vAlign w:val="center"/>
          </w:tcPr>
          <w:p w14:paraId="1E155972">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10" w:type="dxa"/>
            <w:vMerge w:val="continue"/>
            <w:tcBorders>
              <w:top w:val="single" w:color="000000" w:sz="8" w:space="0"/>
              <w:left w:val="single" w:color="000000" w:sz="8" w:space="0"/>
              <w:bottom w:val="single" w:color="000000" w:sz="8" w:space="0"/>
              <w:right w:val="single" w:color="000000" w:sz="8" w:space="0"/>
            </w:tcBorders>
            <w:shd w:val="clear" w:color="auto" w:fill="B8CCE3"/>
            <w:vAlign w:val="center"/>
          </w:tcPr>
          <w:p w14:paraId="2E24A025">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B8CCE3"/>
            <w:vAlign w:val="center"/>
          </w:tcPr>
          <w:p w14:paraId="3E79C4E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《营业执照》</w:t>
            </w:r>
          </w:p>
        </w:tc>
        <w:tc>
          <w:tcPr>
            <w:tcW w:w="749" w:type="dxa"/>
            <w:tcBorders>
              <w:top w:val="single" w:color="000000" w:sz="8" w:space="0"/>
              <w:left w:val="single" w:color="000000" w:sz="8" w:space="0"/>
              <w:bottom w:val="single" w:color="000000" w:sz="8" w:space="0"/>
              <w:right w:val="single" w:color="000000" w:sz="8" w:space="0"/>
            </w:tcBorders>
            <w:shd w:val="clear" w:color="auto" w:fill="B8CCE3"/>
            <w:vAlign w:val="center"/>
          </w:tcPr>
          <w:p w14:paraId="721866DD">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《出厂合格证》</w:t>
            </w:r>
          </w:p>
        </w:tc>
        <w:tc>
          <w:tcPr>
            <w:tcW w:w="754" w:type="dxa"/>
            <w:tcBorders>
              <w:top w:val="single" w:color="000000" w:sz="8" w:space="0"/>
              <w:left w:val="single" w:color="000000" w:sz="8" w:space="0"/>
              <w:bottom w:val="single" w:color="000000" w:sz="8" w:space="0"/>
              <w:right w:val="single" w:color="000000" w:sz="8" w:space="0"/>
            </w:tcBorders>
            <w:shd w:val="clear" w:color="auto" w:fill="B8CCE3"/>
            <w:vAlign w:val="center"/>
          </w:tcPr>
          <w:p w14:paraId="0F58A55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《质检证明》及明细</w:t>
            </w:r>
          </w:p>
        </w:tc>
        <w:tc>
          <w:tcPr>
            <w:tcW w:w="749" w:type="dxa"/>
            <w:tcBorders>
              <w:top w:val="single" w:color="000000" w:sz="8" w:space="0"/>
              <w:left w:val="single" w:color="000000" w:sz="8" w:space="0"/>
              <w:bottom w:val="single" w:color="000000" w:sz="8" w:space="0"/>
              <w:right w:val="single" w:color="000000" w:sz="8" w:space="0"/>
            </w:tcBorders>
            <w:shd w:val="clear" w:color="auto" w:fill="B8CCE3"/>
            <w:vAlign w:val="center"/>
          </w:tcPr>
          <w:p w14:paraId="760D745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《全国工业产品生产许可证》及明细 ★</w:t>
            </w:r>
          </w:p>
        </w:tc>
        <w:tc>
          <w:tcPr>
            <w:tcW w:w="749" w:type="dxa"/>
            <w:tcBorders>
              <w:top w:val="single" w:color="000000" w:sz="8" w:space="0"/>
              <w:left w:val="single" w:color="000000" w:sz="8" w:space="0"/>
              <w:bottom w:val="single" w:color="000000" w:sz="8" w:space="0"/>
              <w:right w:val="single" w:color="000000" w:sz="8" w:space="0"/>
            </w:tcBorders>
            <w:shd w:val="clear" w:color="auto" w:fill="B8CCE3"/>
            <w:vAlign w:val="center"/>
          </w:tcPr>
          <w:p w14:paraId="5305FC2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《防火检测报告》</w:t>
            </w:r>
          </w:p>
        </w:tc>
        <w:tc>
          <w:tcPr>
            <w:tcW w:w="749" w:type="dxa"/>
            <w:tcBorders>
              <w:top w:val="nil"/>
              <w:left w:val="nil"/>
              <w:bottom w:val="single" w:color="000000" w:sz="8" w:space="0"/>
              <w:right w:val="single" w:color="000000" w:sz="8" w:space="0"/>
            </w:tcBorders>
            <w:shd w:val="clear" w:color="auto" w:fill="B8CCE3"/>
            <w:vAlign w:val="center"/>
          </w:tcPr>
          <w:p w14:paraId="42CCFA81">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是否需设计部审核</w:t>
            </w:r>
          </w:p>
        </w:tc>
        <w:tc>
          <w:tcPr>
            <w:tcW w:w="749" w:type="dxa"/>
            <w:vMerge w:val="continue"/>
            <w:tcBorders>
              <w:top w:val="single" w:color="000000" w:sz="8" w:space="0"/>
              <w:left w:val="nil"/>
              <w:bottom w:val="single" w:color="000000" w:sz="8" w:space="0"/>
              <w:right w:val="single" w:color="000000" w:sz="8" w:space="0"/>
            </w:tcBorders>
            <w:shd w:val="clear" w:color="auto" w:fill="B8CCE3"/>
            <w:vAlign w:val="center"/>
          </w:tcPr>
          <w:p w14:paraId="6AAA63E6">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167" w:type="dxa"/>
            <w:vMerge w:val="continue"/>
            <w:tcBorders>
              <w:top w:val="single" w:color="000000" w:sz="8" w:space="0"/>
              <w:left w:val="nil"/>
              <w:bottom w:val="single" w:color="000000" w:sz="8" w:space="0"/>
              <w:right w:val="single" w:color="000000" w:sz="8" w:space="0"/>
            </w:tcBorders>
            <w:shd w:val="clear" w:color="auto" w:fill="B8CCE3"/>
            <w:vAlign w:val="center"/>
          </w:tcPr>
          <w:p w14:paraId="4149532D">
            <w:pPr>
              <w:keepNext w:val="0"/>
              <w:keepLines w:val="0"/>
              <w:suppressLineNumbers w:val="0"/>
              <w:spacing w:before="0" w:beforeAutospacing="0" w:after="0" w:afterAutospacing="0"/>
              <w:ind w:left="0" w:right="0"/>
              <w:jc w:val="both"/>
              <w:outlineLvl w:val="9"/>
              <w:rPr>
                <w:rFonts w:hint="eastAsia" w:ascii="宋体" w:hAnsi="宋体" w:eastAsia="宋体" w:cs="宋体"/>
                <w:b/>
                <w:bCs/>
                <w:i w:val="0"/>
                <w:iCs w:val="0"/>
                <w:color w:val="auto"/>
                <w:sz w:val="20"/>
                <w:szCs w:val="20"/>
                <w:highlight w:val="none"/>
                <w:u w:val="none"/>
              </w:rPr>
            </w:pPr>
          </w:p>
        </w:tc>
      </w:tr>
      <w:tr w14:paraId="2BBC56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74D0BC9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951" w:type="dxa"/>
            <w:vMerge w:val="restart"/>
            <w:tcBorders>
              <w:top w:val="single" w:color="000000" w:sz="8" w:space="0"/>
              <w:left w:val="single" w:color="000000" w:sz="8" w:space="0"/>
              <w:bottom w:val="single" w:color="000000" w:sz="8" w:space="0"/>
              <w:right w:val="single" w:color="000000" w:sz="8" w:space="0"/>
            </w:tcBorders>
            <w:shd w:val="clear" w:color="auto" w:fill="F1DBDB"/>
            <w:vAlign w:val="center"/>
          </w:tcPr>
          <w:p w14:paraId="2BD1CC9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建筑结构</w:t>
            </w: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557F8BC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管桩</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139BA3D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091B0F1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6DB9A9D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1733CD91">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11263F9B">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61E099D3">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728F8F80">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1167" w:type="dxa"/>
            <w:tcBorders>
              <w:top w:val="nil"/>
              <w:left w:val="nil"/>
              <w:bottom w:val="single" w:color="000000" w:sz="8" w:space="0"/>
              <w:right w:val="single" w:color="000000" w:sz="8" w:space="0"/>
            </w:tcBorders>
            <w:shd w:val="clear" w:color="auto" w:fill="F1DBDB"/>
            <w:vAlign w:val="top"/>
          </w:tcPr>
          <w:p w14:paraId="7A9AE29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图片、资料</w:t>
            </w:r>
          </w:p>
        </w:tc>
      </w:tr>
      <w:tr w14:paraId="480782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0F2EED09">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001AEF3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392C243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钢筋</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59E9680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0931CA0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654E86A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3C5D31C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7A98351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68BAC1A1">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189BF23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64625DA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实物小样</w:t>
            </w:r>
          </w:p>
        </w:tc>
      </w:tr>
      <w:tr w14:paraId="19C78B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1D52A0A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6214816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7A94185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防水卷材</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48A2EB6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147404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52F785C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196847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0C47E1A7">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5E981D8B">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497E323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7918B9C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实物小样</w:t>
            </w:r>
          </w:p>
        </w:tc>
      </w:tr>
      <w:tr w14:paraId="78996C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05D9B688">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501A4E5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62A3CA9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防水涂料</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1B8C7DF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7019B96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686EAE0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298EE34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2E7A767D">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21FADA15">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65B2FA0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6107CE0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工艺实物小样</w:t>
            </w:r>
          </w:p>
        </w:tc>
      </w:tr>
      <w:tr w14:paraId="6B4AA5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6D83A8B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1AB3D97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2E44056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水泥</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21C0CCA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4908095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3559244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C4AC67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02FA8CA9">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54A00D5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746CE37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43B9641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53B248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04278DD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01A335A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01F6200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屋面瓦</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446341E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4A484B9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0684D2B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7316631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49D5B93B">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408C39C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1DBDB"/>
            <w:vAlign w:val="top"/>
          </w:tcPr>
          <w:p w14:paraId="0FE9BD7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34191E9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31AA79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05991498">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0E8CD2B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7BD62FE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砖/砌块</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BDF4FA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7C13F47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476B308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481FAC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5EDACB98">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5850CAA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644EE56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4231E66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3340E2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08D71AD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8</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31DE000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59EE98F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内墙腻子粉</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1D1DB5C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15DDF2E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1AB9CCA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2127F965">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753E64F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2D46CF57">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6DF9F23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7DE21FB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73C4B1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1FC4C1F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9</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7104CF4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6CC87B2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橡胶止水带、止水条</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32A298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87325D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7EF68DF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75DB6989">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1BABE408">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25656F5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01B04E7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5A1AD38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444A50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37B42243">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10</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5659E4C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4F5E371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阻火圈</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4D71DF0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2DC82D2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0112227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694B66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04CDBEE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1DBDB"/>
            <w:vAlign w:val="top"/>
          </w:tcPr>
          <w:p w14:paraId="2103DD6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5751AAD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7B752DA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6967E0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3707099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361B8BB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2E4BF84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入户门</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3DED4A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3FFD930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7FF18F2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3DDD8DCE">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54C928D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1898F46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1DBDB"/>
            <w:vAlign w:val="top"/>
          </w:tcPr>
          <w:p w14:paraId="6373F45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2E69C79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07D537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4FE29E7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2DFD638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756D9B3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指纹锁</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0EC5C2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5B429F7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18D5585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CE5DA4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2F0DA398">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4558699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1DBDB"/>
            <w:vAlign w:val="top"/>
          </w:tcPr>
          <w:p w14:paraId="4763B19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16824A5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3291BD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0F63171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0B36FB9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2168E59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通道防火门</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30FC455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94A936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3070279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140DB18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563730B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1DBDB"/>
            <w:vAlign w:val="top"/>
          </w:tcPr>
          <w:p w14:paraId="1B405A8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1DBDB"/>
            <w:vAlign w:val="top"/>
          </w:tcPr>
          <w:p w14:paraId="1EF0406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244E4FF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78F3CA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5490F75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22C9CD6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6B2DAE4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防火卷帘</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27A6754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733BF16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2974AE8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2E24BF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4EA60F5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1DBDB"/>
            <w:vAlign w:val="top"/>
          </w:tcPr>
          <w:p w14:paraId="56F642B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1DBDB"/>
            <w:vAlign w:val="top"/>
          </w:tcPr>
          <w:p w14:paraId="7B512AD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43F5C22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7AD06B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659E381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66D9980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27A375C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铁艺栏杆</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4DC517A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2B32AA1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3577DE1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26A765A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47222308">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2EA6385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1DBDB"/>
            <w:vAlign w:val="top"/>
          </w:tcPr>
          <w:p w14:paraId="4C16725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35EF3E1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14228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5348C54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1FC8EB1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6E25E36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信报箱</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3BDBD49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457132D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4D34A44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7B4EFF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39B1885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4ACC640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1DBDB"/>
            <w:vAlign w:val="top"/>
          </w:tcPr>
          <w:p w14:paraId="2278DFB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7B70D1F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070462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67AFD60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0B91A33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7DBA0B8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单元门</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842DC2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48B09FF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62241BF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18839D7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211BFE1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365D5C7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1DBDB"/>
            <w:vAlign w:val="top"/>
          </w:tcPr>
          <w:p w14:paraId="56E82ED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7C0BB07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02F2BA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6D03C46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249A133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7358BA2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强弱电箱</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54E66B4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40958B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1C5079C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BC068E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4A6431F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0C78B63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1DBDB"/>
            <w:vAlign w:val="top"/>
          </w:tcPr>
          <w:p w14:paraId="5E3A2AF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12D71C5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287A52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4E6850D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1DBDB"/>
            <w:vAlign w:val="center"/>
          </w:tcPr>
          <w:p w14:paraId="16EEFFC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1DBDB"/>
            <w:vAlign w:val="top"/>
          </w:tcPr>
          <w:p w14:paraId="4FC093B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车位锁</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3BAD226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6DC72EA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1DBDB"/>
            <w:vAlign w:val="top"/>
          </w:tcPr>
          <w:p w14:paraId="1400847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279D1E0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1DBDB"/>
            <w:vAlign w:val="top"/>
          </w:tcPr>
          <w:p w14:paraId="3C694A0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749" w:type="dxa"/>
            <w:tcBorders>
              <w:top w:val="nil"/>
              <w:left w:val="nil"/>
              <w:bottom w:val="single" w:color="000000" w:sz="8" w:space="0"/>
              <w:right w:val="single" w:color="000000" w:sz="8" w:space="0"/>
            </w:tcBorders>
            <w:shd w:val="clear" w:color="auto" w:fill="F1DBDB"/>
            <w:vAlign w:val="top"/>
          </w:tcPr>
          <w:p w14:paraId="4F2A83A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1DBDB"/>
            <w:vAlign w:val="top"/>
          </w:tcPr>
          <w:p w14:paraId="6F61648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1DBDB"/>
            <w:vAlign w:val="top"/>
          </w:tcPr>
          <w:p w14:paraId="51D018F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5A5E9D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28FBFC69">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16</w:t>
            </w:r>
          </w:p>
        </w:tc>
        <w:tc>
          <w:tcPr>
            <w:tcW w:w="951" w:type="dxa"/>
            <w:vMerge w:val="restart"/>
            <w:tcBorders>
              <w:top w:val="single" w:color="000000" w:sz="8" w:space="0"/>
              <w:left w:val="single" w:color="000000" w:sz="8" w:space="0"/>
              <w:bottom w:val="single" w:color="000000" w:sz="8" w:space="0"/>
              <w:right w:val="single" w:color="000000" w:sz="8" w:space="0"/>
            </w:tcBorders>
            <w:shd w:val="clear" w:color="auto" w:fill="D5E2BB"/>
            <w:vAlign w:val="center"/>
          </w:tcPr>
          <w:p w14:paraId="1A7124F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门窗幕墙</w:t>
            </w:r>
          </w:p>
        </w:tc>
        <w:tc>
          <w:tcPr>
            <w:tcW w:w="1510" w:type="dxa"/>
            <w:tcBorders>
              <w:top w:val="single" w:color="000000" w:sz="8" w:space="0"/>
              <w:left w:val="single" w:color="000000" w:sz="8" w:space="0"/>
              <w:bottom w:val="single" w:color="000000" w:sz="8" w:space="0"/>
              <w:right w:val="single" w:color="000000" w:sz="8" w:space="0"/>
            </w:tcBorders>
            <w:shd w:val="clear" w:color="auto" w:fill="D5E2BB"/>
            <w:vAlign w:val="top"/>
          </w:tcPr>
          <w:p w14:paraId="24D2586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铝型材</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4DF4720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061BFA0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D5E2BB"/>
            <w:vAlign w:val="top"/>
          </w:tcPr>
          <w:p w14:paraId="0109D6F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13A2FB4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5B682ED0">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5BA73F0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7184369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7A1CE70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5B464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8"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64D81895">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17</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D5E2BB"/>
            <w:vAlign w:val="center"/>
          </w:tcPr>
          <w:p w14:paraId="562F831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D5E2BB"/>
            <w:vAlign w:val="top"/>
          </w:tcPr>
          <w:p w14:paraId="3BE48B5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门窗五金配件</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46C88C5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0AACE6B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D5E2BB"/>
            <w:vAlign w:val="top"/>
          </w:tcPr>
          <w:p w14:paraId="26EA6B9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67B96EA0">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5EC1439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15EEE64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17448BF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31E409F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4C0613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45B872BD">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18</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D5E2BB"/>
            <w:vAlign w:val="center"/>
          </w:tcPr>
          <w:p w14:paraId="65F3003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D5E2BB"/>
            <w:vAlign w:val="top"/>
          </w:tcPr>
          <w:p w14:paraId="036A70A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玻璃</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0DDA05E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6723756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D5E2BB"/>
            <w:vAlign w:val="top"/>
          </w:tcPr>
          <w:p w14:paraId="18C464B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333A57A4">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75404783">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3972EB68">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0678E10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64FCCF1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22B497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4B2F5448">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19</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D5E2BB"/>
            <w:vAlign w:val="center"/>
          </w:tcPr>
          <w:p w14:paraId="7FD231A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D5E2BB"/>
            <w:vAlign w:val="top"/>
          </w:tcPr>
          <w:p w14:paraId="6A8C485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密封胶</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6321DA0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50070C5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D5E2BB"/>
            <w:vAlign w:val="top"/>
          </w:tcPr>
          <w:p w14:paraId="38514D3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1E176A51">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69B925E3">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1316734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4E003A0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7140C18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6363A1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1DF382B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20</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D5E2BB"/>
            <w:vAlign w:val="center"/>
          </w:tcPr>
          <w:p w14:paraId="324D8AA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D5E2BB"/>
            <w:vAlign w:val="top"/>
          </w:tcPr>
          <w:p w14:paraId="1ADE943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防火密封胶</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30D6FF7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64FD1D6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D5E2BB"/>
            <w:vAlign w:val="top"/>
          </w:tcPr>
          <w:p w14:paraId="71C1A37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39EADF4D">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097997F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480846A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49CD253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1BC484B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6C7225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71314DC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21</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D5E2BB"/>
            <w:vAlign w:val="center"/>
          </w:tcPr>
          <w:p w14:paraId="4FD7134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D5E2BB"/>
            <w:vAlign w:val="top"/>
          </w:tcPr>
          <w:p w14:paraId="62AFFAC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密封胶条</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68E4357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4304B49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D5E2BB"/>
            <w:vAlign w:val="top"/>
          </w:tcPr>
          <w:p w14:paraId="7CFED2E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13CB6EB0">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36F0C64B">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415AD7C0">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02950A2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414B6F9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4E58F8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6CD7FAF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22</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D5E2BB"/>
            <w:vAlign w:val="center"/>
          </w:tcPr>
          <w:p w14:paraId="4AA1D17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D5E2BB"/>
            <w:vAlign w:val="top"/>
          </w:tcPr>
          <w:p w14:paraId="28BE295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背栓螺钉挂件</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764A7A3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22C04EC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D5E2BB"/>
            <w:vAlign w:val="top"/>
          </w:tcPr>
          <w:p w14:paraId="050D3E7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13CFC04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0EEFB3E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0483183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56DE3E7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02578DE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76892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5B66566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23</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D5E2BB"/>
            <w:vAlign w:val="center"/>
          </w:tcPr>
          <w:p w14:paraId="509967A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D5E2BB"/>
            <w:vAlign w:val="top"/>
          </w:tcPr>
          <w:p w14:paraId="00FF87A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石材</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0FD308D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6E14AD0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D5E2BB"/>
            <w:vAlign w:val="top"/>
          </w:tcPr>
          <w:p w14:paraId="3DFB623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05CEE2E3">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2C468B8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6D7E287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0A2541E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40D93DB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056A6B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0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224E07B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24</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D5E2BB"/>
            <w:vAlign w:val="center"/>
          </w:tcPr>
          <w:p w14:paraId="7296CBD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D5E2BB"/>
            <w:vAlign w:val="top"/>
          </w:tcPr>
          <w:p w14:paraId="5939827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钢材</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344FBB2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659386F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D5E2BB"/>
            <w:vAlign w:val="top"/>
          </w:tcPr>
          <w:p w14:paraId="0948155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1B0D81CE">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09896BCB">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199D5217">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3EF1B27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18F1DF0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1B633B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2B618E28">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25</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D5E2BB"/>
            <w:vAlign w:val="center"/>
          </w:tcPr>
          <w:p w14:paraId="486AF1C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D5E2BB"/>
            <w:vAlign w:val="top"/>
          </w:tcPr>
          <w:p w14:paraId="5D90D60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结构胶</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2A94ACD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0819FDA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D5E2BB"/>
            <w:vAlign w:val="top"/>
          </w:tcPr>
          <w:p w14:paraId="2929A8A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75508584">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D5E2BB"/>
            <w:vAlign w:val="top"/>
          </w:tcPr>
          <w:p w14:paraId="3252D9BE">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26DF06D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5918D69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62EE105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76231B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06"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230C20C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26</w:t>
            </w:r>
          </w:p>
        </w:tc>
        <w:tc>
          <w:tcPr>
            <w:tcW w:w="951" w:type="dxa"/>
            <w:vMerge w:val="restart"/>
            <w:tcBorders>
              <w:top w:val="single" w:color="000000" w:sz="8" w:space="0"/>
              <w:left w:val="single" w:color="000000" w:sz="8" w:space="0"/>
              <w:bottom w:val="single" w:color="000000" w:sz="8" w:space="0"/>
              <w:right w:val="single" w:color="000000" w:sz="8" w:space="0"/>
            </w:tcBorders>
            <w:shd w:val="clear" w:color="auto" w:fill="FCE9D9"/>
            <w:vAlign w:val="center"/>
          </w:tcPr>
          <w:p w14:paraId="7EC4ACBD">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保温涂料</w:t>
            </w: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2247C4F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防火保温材料</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4356611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FDF99D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5C48216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0603511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7D95B65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CE9D9"/>
            <w:vAlign w:val="top"/>
          </w:tcPr>
          <w:p w14:paraId="2E32138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CE9D9"/>
            <w:vAlign w:val="top"/>
          </w:tcPr>
          <w:p w14:paraId="7B5B698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CE9D9"/>
            <w:vAlign w:val="top"/>
          </w:tcPr>
          <w:p w14:paraId="352AA6F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48F541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02D20A8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27</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1444C8C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524B6AF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网格布</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E1343B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4043D3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48CE1DD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08F9C09B">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3A43D87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0CE58FBB">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3C0DE75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CE9D9"/>
            <w:vAlign w:val="top"/>
          </w:tcPr>
          <w:p w14:paraId="19F78B5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156FAB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543BB9A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28</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3970265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2A5C59F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抗裂砂浆</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7C8DF6D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19FEFBE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44547BC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D9F1014">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185BB46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263283B7">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49EAEFB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CE9D9"/>
            <w:vAlign w:val="top"/>
          </w:tcPr>
          <w:p w14:paraId="6CF7923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349223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7134BC4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29</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0CABF88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6A489CD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粘结剂</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AFD6E4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57C13D6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7EF471F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359EED2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0D592655">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0CE9C443">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79F46A1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CE9D9"/>
            <w:vAlign w:val="top"/>
          </w:tcPr>
          <w:p w14:paraId="22DE4FE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14E35C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144A8CA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30</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4D13738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326454A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外墙腻子</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662C87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6E63565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5B85B5B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095A4FB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89B13F9">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12282E0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605271B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CE9D9"/>
            <w:vAlign w:val="top"/>
          </w:tcPr>
          <w:p w14:paraId="11F52B2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5B048D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4EB45945">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31</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1E379AF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6FF03CB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外墙涂料</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5B2F6DD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618809F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2ED6D31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5253BD38">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2232757">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5FCC1E4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CE9D9"/>
            <w:vAlign w:val="top"/>
          </w:tcPr>
          <w:p w14:paraId="5663B94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CE9D9"/>
            <w:vAlign w:val="top"/>
          </w:tcPr>
          <w:p w14:paraId="7B6809D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工艺实物小样</w:t>
            </w:r>
          </w:p>
        </w:tc>
      </w:tr>
      <w:tr w14:paraId="154044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741E2E7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32</w:t>
            </w:r>
          </w:p>
        </w:tc>
        <w:tc>
          <w:tcPr>
            <w:tcW w:w="951" w:type="dxa"/>
            <w:vMerge w:val="restart"/>
            <w:tcBorders>
              <w:top w:val="single" w:color="000000" w:sz="8" w:space="0"/>
              <w:left w:val="single" w:color="000000" w:sz="8" w:space="0"/>
              <w:bottom w:val="single" w:color="000000" w:sz="8" w:space="0"/>
              <w:right w:val="single" w:color="000000" w:sz="8" w:space="0"/>
            </w:tcBorders>
            <w:shd w:val="clear" w:color="auto" w:fill="E4DFEB"/>
            <w:vAlign w:val="center"/>
          </w:tcPr>
          <w:p w14:paraId="2E024041">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精装类</w:t>
            </w: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57EA908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石膏板</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974678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2B92D8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3BDCB93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6BD342E">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DEB48B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5336DD37">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432CC46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15A5068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0CFD9B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561E90A6">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33</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2B2F4D0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43FC081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轻钢龙骨</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F74F67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1731E6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4F60706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551BE13">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B3B37E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13126450">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2B47022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3A0EB7F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111FD8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3886C8C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34</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5E81B50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6FD7B80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吊杆</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6EA51F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2854BAA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257D89A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8EB8D63">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E0369E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5571DDCE">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550C4F9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7115606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4656CC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21AFC80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35</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48D6B83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6D34958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膨胀螺栓</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1CA743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321B60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387BE5D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AF8F9D3">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E0E00A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1C64F579">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567EF20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1AA1020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7ED7F6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01916CC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36</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1615D11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0F80DEF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石材</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41DB7BE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268E883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693AE4B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77A301B7">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7B5BD0A5">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0B9E887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7072232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44D5033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50B7E0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1751E04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37</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282E406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5357151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不锈钢</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1E2BFC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398DB1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50B9F74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42D65EE">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9036C85">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31C5B13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4643889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4A71595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13A12D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0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47D1D2C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38</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5E5700C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1E624AB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玻璃</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E8385B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E9CC24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23F16F9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291D44D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43DAF19B">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007B509A">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4697E5C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0CF86D3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107F5A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37EA6CC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39</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7BBF72C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44F1215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人造板材</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780FFC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3392DD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6FF5B8C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7A98C7D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D13AB1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5F33EF11">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7FD1DBD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0BEEBB9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5FDF69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1C8B1A3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40</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2C95059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04F641A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乳胶漆</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F6A156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561EA1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455C37E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FF3FFEA">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D788618">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35EA743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2B6AE42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6BF0942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工艺实物小样</w:t>
            </w:r>
          </w:p>
        </w:tc>
      </w:tr>
      <w:tr w14:paraId="4695AF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79B57273">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41</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2E682A9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22D03EC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墙纸</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7F46133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27E064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3DCA97D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4A5A1609">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291DAC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1DEE2D7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0CBD4EE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13B4B1D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73DB5C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14B46851">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42</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5693708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591E3C1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粘结剂、背胶</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B2F23A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DE7830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22823D5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A36881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4BB956A3">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7EC57D7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1368D15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13E62BC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165304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30250326">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43</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3F86B05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42045F5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角阀、软管</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DE188C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6A7C75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062ED36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D57433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2DD72141">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71672DB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30A8B05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3CCE18A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04D6F8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754F4A5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1036E9D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2A1AAC7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开关和插座面板</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2B80295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45D1F8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4EE296B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2181A3D">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E4ABE6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7BA9212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5CF47E6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54ECFF2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75659E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6D0106E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16FC2ED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0922CD0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硅胶</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A29B11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232002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4711931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2F30F38">
            <w:pPr>
              <w:keepNext w:val="0"/>
              <w:keepLines w:val="0"/>
              <w:widowControl/>
              <w:suppressLineNumbers w:val="0"/>
              <w:spacing w:before="0" w:beforeAutospacing="0" w:after="0" w:afterAutospacing="0"/>
              <w:ind w:left="0" w:right="0"/>
              <w:jc w:val="left"/>
              <w:textAlignment w:val="top"/>
              <w:outlineLvl w:val="9"/>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ECB86C8">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28FEC89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58A8D25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65CEECC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56817B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3CE5EC9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4B0800E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01ED323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卫浴五金件</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52261D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01FB65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0794EAD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A288329">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2D8D99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64CF754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5EDADE0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33040AE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5D6EB8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1CB7B8C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15DED93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1850AE9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墙地砖</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6F129D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270C2F9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6FFA015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72A43C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2FA20F8E">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6FE7BD6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1470A65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264BF8B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0326D7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442262E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72FE6BE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3E7292B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洁具龙头</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6EEA39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DDFECF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2EFDB4A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4062743">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7324C1C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5927FC1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3B1F9FD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6764CF3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3A2336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2412A0C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0A1CD54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4E38BE6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智能便盖</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A498A9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27BEBA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56100F1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1BC027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74272FE4">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3E75590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34EDA70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1CF4DA3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5A9F2A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68A9A73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3FA267B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558D05D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户内门</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6B2D104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25FEEEB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63CF8AB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1D6AB1D">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293C45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6D75FE5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781D004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52E7DD6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6730EF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74B4EC2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49FD575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7F81A1D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木地板</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0E71CF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78D70D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7A397C6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27B24251">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B357008">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79EBEEF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61E8D58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59AA53B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3593CA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4A0C10C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555F389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176056D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橱柜收纳</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895D41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58848F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4C7FAE6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2A0F085">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96591FA">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593FD7B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4959D0D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47E55C5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33922B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0F65580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04176CF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752E05F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淋浴隔断</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C4281D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A2C392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03CFDF0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224C5224">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865CC8D">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01469A1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14489F8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210C158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18A50C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607ED58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07EA559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46BF1EC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室内门五金</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651523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6EA287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7472AE9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26D9DBF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CF307E9">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0B17B8F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1136D43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58206D3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5B63FA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19CF786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555A5F3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7EA0C6A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集成吊顶扣板</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0D24C3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5173F58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4377A9C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232FBF2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9EAC42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01BCE5F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2E4FCD6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3676DFD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2CC550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33A31E3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4B7DE0F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750DE8E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晾衣架</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47D0CB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AB60C2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03156D3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70116C80">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D84CAE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5D43507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6F30218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2DE0964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07AE0B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3CDEA10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E4DFEB"/>
            <w:vAlign w:val="center"/>
          </w:tcPr>
          <w:p w14:paraId="653423E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E4DFEB"/>
            <w:vAlign w:val="top"/>
          </w:tcPr>
          <w:p w14:paraId="66B34E2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吸顶灯、筒灯及射灯、灯带</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CD34B0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0B793D2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E4DFEB"/>
            <w:vAlign w:val="top"/>
          </w:tcPr>
          <w:p w14:paraId="378CE8D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391FE8B9">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E4DFEB"/>
            <w:vAlign w:val="top"/>
          </w:tcPr>
          <w:p w14:paraId="1C89BB6B">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E4DFEB"/>
            <w:vAlign w:val="top"/>
          </w:tcPr>
          <w:p w14:paraId="6CEF5C1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E4DFEB"/>
            <w:vAlign w:val="top"/>
          </w:tcPr>
          <w:p w14:paraId="0926198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E4DFEB"/>
            <w:vAlign w:val="top"/>
          </w:tcPr>
          <w:p w14:paraId="6480AB3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0391FE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7925B09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46</w:t>
            </w:r>
          </w:p>
        </w:tc>
        <w:tc>
          <w:tcPr>
            <w:tcW w:w="951" w:type="dxa"/>
            <w:vMerge w:val="restart"/>
            <w:tcBorders>
              <w:top w:val="single" w:color="000000" w:sz="8" w:space="0"/>
              <w:left w:val="single" w:color="000000" w:sz="8" w:space="0"/>
              <w:bottom w:val="single" w:color="000000" w:sz="8" w:space="0"/>
              <w:right w:val="single" w:color="000000" w:sz="8" w:space="0"/>
            </w:tcBorders>
            <w:shd w:val="clear" w:color="auto" w:fill="FCE9D9"/>
            <w:vAlign w:val="center"/>
          </w:tcPr>
          <w:p w14:paraId="5B5986A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景观类</w:t>
            </w: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3539A56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景观灯具</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6F5CEDE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444C746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2AFEEC4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75C9BD4B">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3735B0A">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6EFA17C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CE9D9"/>
            <w:vAlign w:val="top"/>
          </w:tcPr>
          <w:p w14:paraId="5D00024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single" w:color="000000" w:sz="8" w:space="0"/>
              <w:bottom w:val="single" w:color="000000" w:sz="8" w:space="0"/>
              <w:right w:val="single" w:color="000000" w:sz="8" w:space="0"/>
            </w:tcBorders>
            <w:shd w:val="clear" w:color="auto" w:fill="FCE9D9"/>
            <w:vAlign w:val="top"/>
          </w:tcPr>
          <w:p w14:paraId="4A22BE7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2636BA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10669AD3">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47</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0A529BA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37EDB23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LED室外灯</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4D2C87C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4508CAA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34DA4E9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3B84F58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4794E4D9">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1B820D9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CE9D9"/>
            <w:vAlign w:val="top"/>
          </w:tcPr>
          <w:p w14:paraId="623E856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single" w:color="000000" w:sz="8" w:space="0"/>
              <w:left w:val="single" w:color="000000" w:sz="8" w:space="0"/>
              <w:bottom w:val="single" w:color="000000" w:sz="8" w:space="0"/>
              <w:right w:val="single" w:color="000000" w:sz="8" w:space="0"/>
            </w:tcBorders>
            <w:shd w:val="clear" w:color="auto" w:fill="FCE9D9"/>
            <w:vAlign w:val="top"/>
          </w:tcPr>
          <w:p w14:paraId="5E0FCAE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2FFE22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09A58553">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48</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4428814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76C2E1D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不锈钢、树脂井盖</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0E4F45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6EF6CC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1D2B20C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5B9C8E3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6A9EE724">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2939894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CE9D9"/>
            <w:vAlign w:val="top"/>
          </w:tcPr>
          <w:p w14:paraId="79A879F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single" w:color="000000" w:sz="8" w:space="0"/>
              <w:left w:val="single" w:color="000000" w:sz="8" w:space="0"/>
              <w:bottom w:val="single" w:color="000000" w:sz="8" w:space="0"/>
              <w:right w:val="single" w:color="000000" w:sz="8" w:space="0"/>
            </w:tcBorders>
            <w:shd w:val="clear" w:color="auto" w:fill="FCE9D9"/>
            <w:vAlign w:val="top"/>
          </w:tcPr>
          <w:p w14:paraId="7BDD4AD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53CDB5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524FC706">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49</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76BD8DE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5C05ED1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塑木地板</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23F64B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0DC0803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1FB060F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0AB19690">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1EB70E3E">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66CA99E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CE9D9"/>
            <w:vAlign w:val="top"/>
          </w:tcPr>
          <w:p w14:paraId="709E369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single" w:color="000000" w:sz="8" w:space="0"/>
              <w:left w:val="single" w:color="000000" w:sz="8" w:space="0"/>
              <w:bottom w:val="single" w:color="000000" w:sz="8" w:space="0"/>
              <w:right w:val="single" w:color="000000" w:sz="8" w:space="0"/>
            </w:tcBorders>
            <w:shd w:val="clear" w:color="auto" w:fill="FCE9D9"/>
            <w:vAlign w:val="top"/>
          </w:tcPr>
          <w:p w14:paraId="79D9028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712F20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7FFCECF5">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50</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2A4F65C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7013562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景观座椅</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0F20015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FD4B7F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629538D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5CBD6ACB">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4AA75D84">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7E6AD63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CE9D9"/>
            <w:vAlign w:val="top"/>
          </w:tcPr>
          <w:p w14:paraId="5F843F4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single" w:color="000000" w:sz="8" w:space="0"/>
              <w:left w:val="single" w:color="000000" w:sz="8" w:space="0"/>
              <w:bottom w:val="single" w:color="000000" w:sz="8" w:space="0"/>
              <w:right w:val="single" w:color="000000" w:sz="8" w:space="0"/>
            </w:tcBorders>
            <w:shd w:val="clear" w:color="auto" w:fill="FCE9D9"/>
            <w:vAlign w:val="top"/>
          </w:tcPr>
          <w:p w14:paraId="4B54031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4FB945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5BC07FD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51</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6870C2E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6D8E42A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小区游乐设施</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0CAF1A7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7670619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0D05C0D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4682DE7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13CF995D">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510DE30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CE9D9"/>
            <w:vAlign w:val="top"/>
          </w:tcPr>
          <w:p w14:paraId="3EABF8B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single" w:color="000000" w:sz="8" w:space="0"/>
              <w:left w:val="single" w:color="000000" w:sz="8" w:space="0"/>
              <w:bottom w:val="single" w:color="000000" w:sz="8" w:space="0"/>
              <w:right w:val="single" w:color="000000" w:sz="8" w:space="0"/>
            </w:tcBorders>
            <w:shd w:val="clear" w:color="auto" w:fill="FCE9D9"/>
            <w:vAlign w:val="top"/>
          </w:tcPr>
          <w:p w14:paraId="6655174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213992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7F4F1D59">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52</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42E7A4B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1434D7D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户外健身器材</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0DBE7E3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8D433A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6B4B64F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11481647">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02E0346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0129E73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CE9D9"/>
            <w:vAlign w:val="top"/>
          </w:tcPr>
          <w:p w14:paraId="30F34EF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single" w:color="000000" w:sz="8" w:space="0"/>
              <w:left w:val="single" w:color="000000" w:sz="8" w:space="0"/>
              <w:bottom w:val="single" w:color="000000" w:sz="8" w:space="0"/>
              <w:right w:val="single" w:color="000000" w:sz="8" w:space="0"/>
            </w:tcBorders>
            <w:shd w:val="clear" w:color="auto" w:fill="FCE9D9"/>
            <w:vAlign w:val="top"/>
          </w:tcPr>
          <w:p w14:paraId="281DD3D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7F4F9F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211D7B98">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53</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0B72A37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59AFCF9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户内健身器材</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53266CE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58B3EFC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0448F3A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420B543">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5BE8F554">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381C22A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CE9D9"/>
            <w:vAlign w:val="top"/>
          </w:tcPr>
          <w:p w14:paraId="4E2DFA3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single" w:color="000000" w:sz="8" w:space="0"/>
              <w:left w:val="single" w:color="000000" w:sz="8" w:space="0"/>
              <w:bottom w:val="single" w:color="000000" w:sz="8" w:space="0"/>
              <w:right w:val="single" w:color="000000" w:sz="8" w:space="0"/>
            </w:tcBorders>
            <w:shd w:val="clear" w:color="auto" w:fill="FCE9D9"/>
            <w:vAlign w:val="top"/>
          </w:tcPr>
          <w:p w14:paraId="67EEB2F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6A05CC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188B98B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5A078CC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4A4F84B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透水砖、道牙石</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6321380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194ABE1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432503D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36E6DEA5">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7E0E3C54">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3748941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CE9D9"/>
            <w:vAlign w:val="top"/>
          </w:tcPr>
          <w:p w14:paraId="51C5BC4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CE9D9"/>
            <w:vAlign w:val="top"/>
          </w:tcPr>
          <w:p w14:paraId="3AA717D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1FDAF2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1" w:hRule="atLeast"/>
        </w:trPr>
        <w:tc>
          <w:tcPr>
            <w:tcW w:w="760" w:type="dxa"/>
            <w:tcBorders>
              <w:top w:val="nil"/>
              <w:left w:val="single" w:color="000000" w:sz="8" w:space="0"/>
              <w:bottom w:val="single" w:color="000000" w:sz="8" w:space="0"/>
              <w:right w:val="single" w:color="000000" w:sz="8" w:space="0"/>
            </w:tcBorders>
            <w:shd w:val="clear" w:color="auto" w:fill="F1DBDB"/>
            <w:vAlign w:val="center"/>
          </w:tcPr>
          <w:p w14:paraId="6DBEC22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54</w:t>
            </w:r>
          </w:p>
        </w:tc>
        <w:tc>
          <w:tcPr>
            <w:tcW w:w="951" w:type="dxa"/>
            <w:vMerge w:val="continue"/>
            <w:tcBorders>
              <w:top w:val="single" w:color="000000" w:sz="8" w:space="0"/>
              <w:left w:val="single" w:color="000000" w:sz="8" w:space="0"/>
              <w:bottom w:val="single" w:color="000000" w:sz="8" w:space="0"/>
              <w:right w:val="single" w:color="000000" w:sz="8" w:space="0"/>
            </w:tcBorders>
            <w:shd w:val="clear" w:color="auto" w:fill="FCE9D9"/>
            <w:vAlign w:val="center"/>
          </w:tcPr>
          <w:p w14:paraId="79D3570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single" w:color="000000" w:sz="8" w:space="0"/>
              <w:left w:val="single" w:color="000000" w:sz="8" w:space="0"/>
              <w:bottom w:val="single" w:color="000000" w:sz="8" w:space="0"/>
              <w:right w:val="single" w:color="000000" w:sz="8" w:space="0"/>
            </w:tcBorders>
            <w:shd w:val="clear" w:color="auto" w:fill="FCE9D9"/>
            <w:vAlign w:val="top"/>
          </w:tcPr>
          <w:p w14:paraId="78C6CB3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石材</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64E40F1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0630086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single" w:color="000000" w:sz="8" w:space="0"/>
              <w:left w:val="single" w:color="000000" w:sz="8" w:space="0"/>
              <w:bottom w:val="single" w:color="000000" w:sz="8" w:space="0"/>
              <w:right w:val="single" w:color="000000" w:sz="8" w:space="0"/>
            </w:tcBorders>
            <w:shd w:val="clear" w:color="auto" w:fill="FCE9D9"/>
            <w:vAlign w:val="top"/>
          </w:tcPr>
          <w:p w14:paraId="3A82E13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50486FD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749" w:type="dxa"/>
            <w:tcBorders>
              <w:top w:val="single" w:color="000000" w:sz="8" w:space="0"/>
              <w:left w:val="single" w:color="000000" w:sz="8" w:space="0"/>
              <w:bottom w:val="single" w:color="000000" w:sz="8" w:space="0"/>
              <w:right w:val="single" w:color="000000" w:sz="8" w:space="0"/>
            </w:tcBorders>
            <w:shd w:val="clear" w:color="auto" w:fill="FCE9D9"/>
            <w:vAlign w:val="top"/>
          </w:tcPr>
          <w:p w14:paraId="22163DF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749" w:type="dxa"/>
            <w:tcBorders>
              <w:top w:val="nil"/>
              <w:left w:val="nil"/>
              <w:bottom w:val="single" w:color="000000" w:sz="8" w:space="0"/>
              <w:right w:val="single" w:color="000000" w:sz="8" w:space="0"/>
            </w:tcBorders>
            <w:shd w:val="clear" w:color="auto" w:fill="FCE9D9"/>
            <w:vAlign w:val="top"/>
          </w:tcPr>
          <w:p w14:paraId="0190FB0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CE9D9"/>
            <w:vAlign w:val="top"/>
          </w:tcPr>
          <w:p w14:paraId="66F9AD7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CE9D9"/>
            <w:vAlign w:val="top"/>
          </w:tcPr>
          <w:p w14:paraId="3BAD32D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2CCF8A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0" w:type="auto"/>
            <w:tcBorders>
              <w:top w:val="nil"/>
              <w:left w:val="nil"/>
              <w:bottom w:val="nil"/>
              <w:right w:val="nil"/>
            </w:tcBorders>
            <w:shd w:val="clear" w:color="auto" w:fill="auto"/>
            <w:noWrap/>
            <w:vAlign w:val="center"/>
          </w:tcPr>
          <w:p w14:paraId="3D8AACAC">
            <w:pPr>
              <w:keepNext w:val="0"/>
              <w:keepLines w:val="0"/>
              <w:widowControl/>
              <w:suppressLineNumbers w:val="0"/>
              <w:spacing w:before="0" w:beforeAutospacing="0" w:after="0" w:afterAutospacing="0"/>
              <w:ind w:left="0" w:right="0"/>
              <w:jc w:val="left"/>
              <w:textAlignment w:val="center"/>
              <w:outlineLvl w:val="9"/>
              <w:rPr>
                <w:rFonts w:hint="eastAsia" w:ascii="黑体" w:hAnsi="宋体" w:eastAsia="黑体" w:cs="黑体"/>
                <w:i w:val="0"/>
                <w:iCs w:val="0"/>
                <w:color w:val="auto"/>
                <w:sz w:val="21"/>
                <w:szCs w:val="21"/>
                <w:highlight w:val="none"/>
                <w:u w:val="none"/>
              </w:rPr>
            </w:pPr>
            <w:r>
              <w:rPr>
                <w:rFonts w:hint="eastAsia" w:ascii="黑体" w:hAnsi="宋体" w:eastAsia="黑体" w:cs="黑体"/>
                <w:i w:val="0"/>
                <w:iCs w:val="0"/>
                <w:color w:val="auto"/>
                <w:kern w:val="0"/>
                <w:sz w:val="21"/>
                <w:szCs w:val="21"/>
                <w:highlight w:val="none"/>
                <w:u w:val="none"/>
                <w:lang w:val="en-US" w:eastAsia="zh-CN" w:bidi="ar"/>
              </w:rPr>
              <w:t xml:space="preserve"> </w:t>
            </w:r>
          </w:p>
        </w:tc>
        <w:tc>
          <w:tcPr>
            <w:tcW w:w="0" w:type="auto"/>
            <w:tcBorders>
              <w:top w:val="nil"/>
              <w:left w:val="nil"/>
              <w:bottom w:val="nil"/>
              <w:right w:val="nil"/>
            </w:tcBorders>
            <w:shd w:val="clear" w:color="auto" w:fill="auto"/>
            <w:noWrap/>
            <w:vAlign w:val="center"/>
          </w:tcPr>
          <w:p w14:paraId="0583C7AD">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0" w:type="auto"/>
            <w:tcBorders>
              <w:top w:val="nil"/>
              <w:left w:val="nil"/>
              <w:bottom w:val="nil"/>
              <w:right w:val="nil"/>
            </w:tcBorders>
            <w:shd w:val="clear" w:color="auto" w:fill="auto"/>
            <w:noWrap/>
            <w:vAlign w:val="center"/>
          </w:tcPr>
          <w:p w14:paraId="2FD42DC2">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0" w:type="auto"/>
            <w:tcBorders>
              <w:top w:val="nil"/>
              <w:left w:val="nil"/>
              <w:bottom w:val="nil"/>
              <w:right w:val="nil"/>
            </w:tcBorders>
            <w:shd w:val="clear" w:color="auto" w:fill="auto"/>
            <w:noWrap/>
            <w:vAlign w:val="center"/>
          </w:tcPr>
          <w:p w14:paraId="072F4FC8">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0" w:type="auto"/>
            <w:tcBorders>
              <w:top w:val="nil"/>
              <w:left w:val="nil"/>
              <w:bottom w:val="nil"/>
              <w:right w:val="nil"/>
            </w:tcBorders>
            <w:shd w:val="clear" w:color="auto" w:fill="auto"/>
            <w:noWrap/>
            <w:vAlign w:val="center"/>
          </w:tcPr>
          <w:p w14:paraId="5C88076D">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0" w:type="auto"/>
            <w:tcBorders>
              <w:top w:val="nil"/>
              <w:left w:val="nil"/>
              <w:bottom w:val="nil"/>
              <w:right w:val="nil"/>
            </w:tcBorders>
            <w:shd w:val="clear" w:color="auto" w:fill="auto"/>
            <w:noWrap/>
            <w:vAlign w:val="center"/>
          </w:tcPr>
          <w:p w14:paraId="723D21F5">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0" w:type="auto"/>
            <w:tcBorders>
              <w:top w:val="nil"/>
              <w:left w:val="nil"/>
              <w:bottom w:val="nil"/>
              <w:right w:val="nil"/>
            </w:tcBorders>
            <w:shd w:val="clear" w:color="auto" w:fill="auto"/>
            <w:noWrap/>
            <w:vAlign w:val="center"/>
          </w:tcPr>
          <w:p w14:paraId="61B94996">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0" w:type="auto"/>
            <w:tcBorders>
              <w:top w:val="nil"/>
              <w:left w:val="nil"/>
              <w:bottom w:val="nil"/>
              <w:right w:val="nil"/>
            </w:tcBorders>
            <w:shd w:val="clear" w:color="auto" w:fill="auto"/>
            <w:noWrap/>
            <w:vAlign w:val="center"/>
          </w:tcPr>
          <w:p w14:paraId="4F4DD317">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749" w:type="dxa"/>
            <w:tcBorders>
              <w:top w:val="nil"/>
              <w:left w:val="nil"/>
              <w:bottom w:val="nil"/>
              <w:right w:val="nil"/>
            </w:tcBorders>
            <w:shd w:val="clear" w:color="auto" w:fill="auto"/>
            <w:noWrap/>
            <w:vAlign w:val="center"/>
          </w:tcPr>
          <w:p w14:paraId="36E1DAF3">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749" w:type="dxa"/>
            <w:tcBorders>
              <w:top w:val="nil"/>
              <w:left w:val="nil"/>
              <w:bottom w:val="nil"/>
              <w:right w:val="nil"/>
            </w:tcBorders>
            <w:shd w:val="clear" w:color="auto" w:fill="auto"/>
            <w:noWrap/>
            <w:vAlign w:val="center"/>
          </w:tcPr>
          <w:p w14:paraId="07DDCE10">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0" w:type="auto"/>
            <w:tcBorders>
              <w:top w:val="nil"/>
              <w:left w:val="nil"/>
              <w:bottom w:val="nil"/>
              <w:right w:val="nil"/>
            </w:tcBorders>
            <w:shd w:val="clear" w:color="auto" w:fill="auto"/>
            <w:noWrap/>
            <w:vAlign w:val="center"/>
          </w:tcPr>
          <w:p w14:paraId="22F4EC32">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r>
      <w:tr w14:paraId="122F98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9" w:hRule="atLeast"/>
        </w:trPr>
        <w:tc>
          <w:tcPr>
            <w:tcW w:w="0" w:type="auto"/>
            <w:gridSpan w:val="6"/>
            <w:tcBorders>
              <w:top w:val="nil"/>
              <w:left w:val="nil"/>
              <w:bottom w:val="nil"/>
              <w:right w:val="nil"/>
            </w:tcBorders>
            <w:shd w:val="clear" w:color="auto" w:fill="auto"/>
            <w:noWrap/>
            <w:vAlign w:val="top"/>
          </w:tcPr>
          <w:p w14:paraId="749DBCDF">
            <w:pPr>
              <w:keepNext w:val="0"/>
              <w:keepLines w:val="0"/>
              <w:widowControl/>
              <w:suppressLineNumbers w:val="0"/>
              <w:spacing w:before="0" w:beforeAutospacing="0" w:after="0" w:afterAutospacing="0"/>
              <w:ind w:left="0" w:right="0"/>
              <w:jc w:val="left"/>
              <w:textAlignment w:val="top"/>
              <w:outlineLvl w:val="9"/>
              <w:rPr>
                <w:rFonts w:hint="eastAsia" w:ascii="黑体" w:hAnsi="宋体" w:eastAsia="黑体" w:cs="黑体"/>
                <w:i w:val="0"/>
                <w:iCs w:val="0"/>
                <w:color w:val="auto"/>
                <w:sz w:val="22"/>
                <w:szCs w:val="22"/>
                <w:highlight w:val="none"/>
                <w:u w:val="none"/>
              </w:rPr>
            </w:pPr>
            <w:r>
              <w:rPr>
                <w:rFonts w:hint="eastAsia" w:ascii="黑体" w:hAnsi="宋体" w:eastAsia="黑体" w:cs="黑体"/>
                <w:i w:val="0"/>
                <w:iCs w:val="0"/>
                <w:color w:val="auto"/>
                <w:kern w:val="0"/>
                <w:sz w:val="22"/>
                <w:szCs w:val="22"/>
                <w:highlight w:val="none"/>
                <w:u w:val="none"/>
                <w:lang w:val="en-US" w:eastAsia="zh-CN" w:bidi="ar"/>
              </w:rPr>
              <w:t xml:space="preserve">表 2 </w:t>
            </w:r>
            <w:r>
              <w:rPr>
                <w:rFonts w:ascii="Arial" w:hAnsi="Arial" w:eastAsia="黑体" w:cs="Arial"/>
                <w:i w:val="0"/>
                <w:iCs w:val="0"/>
                <w:color w:val="auto"/>
                <w:kern w:val="0"/>
                <w:sz w:val="22"/>
                <w:szCs w:val="22"/>
                <w:highlight w:val="none"/>
                <w:u w:val="none"/>
                <w:lang w:val="en-US" w:eastAsia="zh-CN" w:bidi="ar"/>
              </w:rPr>
              <w:t xml:space="preserve"> </w:t>
            </w:r>
            <w:r>
              <w:rPr>
                <w:rFonts w:hint="eastAsia" w:ascii="黑体" w:hAnsi="宋体" w:eastAsia="黑体" w:cs="黑体"/>
                <w:i w:val="0"/>
                <w:iCs w:val="0"/>
                <w:color w:val="auto"/>
                <w:kern w:val="0"/>
                <w:sz w:val="22"/>
                <w:szCs w:val="22"/>
                <w:highlight w:val="none"/>
                <w:u w:val="none"/>
                <w:lang w:val="en-US" w:eastAsia="zh-CN" w:bidi="ar"/>
              </w:rPr>
              <w:t>配套工程原材料报审报验文件明细表</w:t>
            </w:r>
          </w:p>
        </w:tc>
        <w:tc>
          <w:tcPr>
            <w:tcW w:w="0" w:type="auto"/>
            <w:tcBorders>
              <w:top w:val="nil"/>
              <w:left w:val="nil"/>
              <w:bottom w:val="nil"/>
              <w:right w:val="nil"/>
            </w:tcBorders>
            <w:shd w:val="clear" w:color="auto" w:fill="auto"/>
            <w:noWrap/>
            <w:vAlign w:val="center"/>
          </w:tcPr>
          <w:p w14:paraId="32918D09">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0" w:type="auto"/>
            <w:tcBorders>
              <w:top w:val="nil"/>
              <w:left w:val="nil"/>
              <w:bottom w:val="nil"/>
              <w:right w:val="nil"/>
            </w:tcBorders>
            <w:shd w:val="clear" w:color="auto" w:fill="auto"/>
            <w:noWrap/>
            <w:vAlign w:val="center"/>
          </w:tcPr>
          <w:p w14:paraId="4C08F394">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0" w:type="auto"/>
            <w:tcBorders>
              <w:top w:val="nil"/>
              <w:left w:val="nil"/>
              <w:bottom w:val="nil"/>
              <w:right w:val="nil"/>
            </w:tcBorders>
            <w:shd w:val="clear" w:color="auto" w:fill="auto"/>
            <w:noWrap/>
            <w:vAlign w:val="center"/>
          </w:tcPr>
          <w:p w14:paraId="5BA3BCB5">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0" w:type="auto"/>
            <w:tcBorders>
              <w:top w:val="nil"/>
              <w:left w:val="nil"/>
              <w:bottom w:val="nil"/>
              <w:right w:val="nil"/>
            </w:tcBorders>
            <w:shd w:val="clear" w:color="auto" w:fill="auto"/>
            <w:noWrap/>
            <w:vAlign w:val="center"/>
          </w:tcPr>
          <w:p w14:paraId="47B8057B">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c>
          <w:tcPr>
            <w:tcW w:w="0" w:type="auto"/>
            <w:tcBorders>
              <w:top w:val="nil"/>
              <w:left w:val="nil"/>
              <w:bottom w:val="nil"/>
              <w:right w:val="nil"/>
            </w:tcBorders>
            <w:shd w:val="clear" w:color="auto" w:fill="auto"/>
            <w:noWrap/>
            <w:vAlign w:val="center"/>
          </w:tcPr>
          <w:p w14:paraId="7308C087">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2"/>
                <w:szCs w:val="22"/>
                <w:highlight w:val="none"/>
                <w:u w:val="none"/>
              </w:rPr>
            </w:pPr>
          </w:p>
        </w:tc>
      </w:tr>
      <w:tr w14:paraId="583BF1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3" w:hRule="atLeast"/>
        </w:trPr>
        <w:tc>
          <w:tcPr>
            <w:tcW w:w="760" w:type="dxa"/>
            <w:tcBorders>
              <w:top w:val="single" w:color="000000" w:sz="8" w:space="0"/>
              <w:left w:val="single" w:color="000000" w:sz="8" w:space="0"/>
              <w:bottom w:val="nil"/>
              <w:right w:val="single" w:color="000000" w:sz="8" w:space="0"/>
            </w:tcBorders>
            <w:shd w:val="clear" w:color="auto" w:fill="B8CCE3"/>
            <w:vAlign w:val="top"/>
          </w:tcPr>
          <w:p w14:paraId="56F64947">
            <w:pPr>
              <w:keepNext w:val="0"/>
              <w:keepLines w:val="0"/>
              <w:suppressLineNumbers w:val="0"/>
              <w:spacing w:before="0" w:beforeAutospacing="0" w:after="0" w:afterAutospacing="0"/>
              <w:ind w:left="0" w:right="0"/>
              <w:jc w:val="left"/>
              <w:outlineLvl w:val="9"/>
              <w:rPr>
                <w:rFonts w:hint="eastAsia" w:ascii="黑体" w:hAnsi="宋体" w:eastAsia="黑体" w:cs="黑体"/>
                <w:i w:val="0"/>
                <w:iCs w:val="0"/>
                <w:color w:val="auto"/>
                <w:sz w:val="20"/>
                <w:szCs w:val="20"/>
                <w:highlight w:val="none"/>
                <w:u w:val="none"/>
              </w:rPr>
            </w:pPr>
          </w:p>
        </w:tc>
        <w:tc>
          <w:tcPr>
            <w:tcW w:w="951" w:type="dxa"/>
            <w:vMerge w:val="restart"/>
            <w:tcBorders>
              <w:top w:val="single" w:color="000000" w:sz="8" w:space="0"/>
              <w:left w:val="nil"/>
              <w:bottom w:val="single" w:color="000000" w:sz="8" w:space="0"/>
              <w:right w:val="nil"/>
            </w:tcBorders>
            <w:shd w:val="clear" w:color="auto" w:fill="B8CCE3"/>
            <w:vAlign w:val="center"/>
          </w:tcPr>
          <w:p w14:paraId="37AED791">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分项</w:t>
            </w:r>
          </w:p>
        </w:tc>
        <w:tc>
          <w:tcPr>
            <w:tcW w:w="1510" w:type="dxa"/>
            <w:vMerge w:val="restart"/>
            <w:tcBorders>
              <w:top w:val="single" w:color="000000" w:sz="8" w:space="0"/>
              <w:left w:val="single" w:color="000000" w:sz="8" w:space="0"/>
              <w:bottom w:val="single" w:color="000000" w:sz="4" w:space="0"/>
              <w:right w:val="single" w:color="000000" w:sz="8" w:space="0"/>
            </w:tcBorders>
            <w:shd w:val="clear" w:color="auto" w:fill="B8CCE3"/>
            <w:vAlign w:val="center"/>
          </w:tcPr>
          <w:p w14:paraId="7859E9F3">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材料名称</w:t>
            </w:r>
          </w:p>
        </w:tc>
        <w:tc>
          <w:tcPr>
            <w:tcW w:w="4499" w:type="dxa"/>
            <w:gridSpan w:val="6"/>
            <w:tcBorders>
              <w:top w:val="single" w:color="000000" w:sz="8" w:space="0"/>
              <w:left w:val="nil"/>
              <w:bottom w:val="single" w:color="000000" w:sz="8" w:space="0"/>
              <w:right w:val="single" w:color="000000" w:sz="4" w:space="0"/>
            </w:tcBorders>
            <w:shd w:val="clear" w:color="auto" w:fill="B8CCE3"/>
            <w:vAlign w:val="center"/>
          </w:tcPr>
          <w:p w14:paraId="72C0A1FD">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需提交的文件</w:t>
            </w:r>
          </w:p>
        </w:tc>
        <w:tc>
          <w:tcPr>
            <w:tcW w:w="749" w:type="dxa"/>
            <w:vMerge w:val="restart"/>
            <w:tcBorders>
              <w:top w:val="single" w:color="000000" w:sz="8" w:space="0"/>
              <w:left w:val="nil"/>
              <w:bottom w:val="single" w:color="000000" w:sz="8" w:space="0"/>
              <w:right w:val="single" w:color="000000" w:sz="8" w:space="0"/>
            </w:tcBorders>
            <w:shd w:val="clear" w:color="auto" w:fill="B8CCE3"/>
            <w:vAlign w:val="center"/>
          </w:tcPr>
          <w:p w14:paraId="2EDE4DAD">
            <w:pPr>
              <w:keepNext w:val="0"/>
              <w:keepLines w:val="0"/>
              <w:widowControl/>
              <w:suppressLineNumbers w:val="0"/>
              <w:spacing w:before="0" w:beforeAutospacing="0" w:after="0" w:afterAutospacing="0"/>
              <w:ind w:left="0" w:right="0"/>
              <w:jc w:val="both"/>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是否需封样</w:t>
            </w:r>
          </w:p>
        </w:tc>
        <w:tc>
          <w:tcPr>
            <w:tcW w:w="1167" w:type="dxa"/>
            <w:vMerge w:val="restart"/>
            <w:tcBorders>
              <w:top w:val="single" w:color="000000" w:sz="8" w:space="0"/>
              <w:left w:val="nil"/>
              <w:bottom w:val="single" w:color="000000" w:sz="8" w:space="0"/>
              <w:right w:val="single" w:color="000000" w:sz="8" w:space="0"/>
            </w:tcBorders>
            <w:shd w:val="clear" w:color="auto" w:fill="B8CCE3"/>
            <w:vAlign w:val="center"/>
          </w:tcPr>
          <w:p w14:paraId="46B21382">
            <w:pPr>
              <w:keepNext w:val="0"/>
              <w:keepLines w:val="0"/>
              <w:widowControl/>
              <w:suppressLineNumbers w:val="0"/>
              <w:spacing w:before="0" w:beforeAutospacing="0" w:after="0" w:afterAutospacing="0"/>
              <w:ind w:left="0" w:right="0"/>
              <w:jc w:val="both"/>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 xml:space="preserve">   封样形式</w:t>
            </w:r>
          </w:p>
        </w:tc>
      </w:tr>
      <w:tr w14:paraId="230CDF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45" w:hRule="atLeast"/>
        </w:trPr>
        <w:tc>
          <w:tcPr>
            <w:tcW w:w="760" w:type="dxa"/>
            <w:tcBorders>
              <w:top w:val="nil"/>
              <w:left w:val="single" w:color="000000" w:sz="8" w:space="0"/>
              <w:bottom w:val="single" w:color="000000" w:sz="8" w:space="0"/>
              <w:right w:val="single" w:color="000000" w:sz="8" w:space="0"/>
            </w:tcBorders>
            <w:shd w:val="clear" w:color="auto" w:fill="B8CCE3"/>
            <w:vAlign w:val="top"/>
          </w:tcPr>
          <w:p w14:paraId="00D1D1DA">
            <w:pPr>
              <w:keepNext w:val="0"/>
              <w:keepLines w:val="0"/>
              <w:widowControl/>
              <w:suppressLineNumbers w:val="0"/>
              <w:spacing w:before="0" w:beforeAutospacing="0" w:after="0" w:afterAutospacing="0"/>
              <w:ind w:left="0" w:right="0"/>
              <w:jc w:val="left"/>
              <w:textAlignment w:val="top"/>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序号</w:t>
            </w:r>
          </w:p>
        </w:tc>
        <w:tc>
          <w:tcPr>
            <w:tcW w:w="951" w:type="dxa"/>
            <w:vMerge w:val="continue"/>
            <w:tcBorders>
              <w:top w:val="single" w:color="000000" w:sz="8" w:space="0"/>
              <w:left w:val="nil"/>
              <w:bottom w:val="single" w:color="000000" w:sz="8" w:space="0"/>
              <w:right w:val="nil"/>
            </w:tcBorders>
            <w:shd w:val="clear" w:color="auto" w:fill="B8CCE3"/>
            <w:vAlign w:val="center"/>
          </w:tcPr>
          <w:p w14:paraId="759C9583">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10" w:type="dxa"/>
            <w:vMerge w:val="continue"/>
            <w:tcBorders>
              <w:top w:val="single" w:color="000000" w:sz="8" w:space="0"/>
              <w:left w:val="single" w:color="000000" w:sz="8" w:space="0"/>
              <w:bottom w:val="single" w:color="000000" w:sz="4" w:space="0"/>
              <w:right w:val="single" w:color="000000" w:sz="8" w:space="0"/>
            </w:tcBorders>
            <w:shd w:val="clear" w:color="auto" w:fill="B8CCE3"/>
            <w:vAlign w:val="center"/>
          </w:tcPr>
          <w:p w14:paraId="2AA09DB2">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749" w:type="dxa"/>
            <w:tcBorders>
              <w:top w:val="nil"/>
              <w:left w:val="nil"/>
              <w:bottom w:val="single" w:color="000000" w:sz="8" w:space="0"/>
              <w:right w:val="single" w:color="000000" w:sz="8" w:space="0"/>
            </w:tcBorders>
            <w:shd w:val="clear" w:color="auto" w:fill="B8CCE3"/>
            <w:vAlign w:val="center"/>
          </w:tcPr>
          <w:p w14:paraId="55997B65">
            <w:pPr>
              <w:keepNext w:val="0"/>
              <w:keepLines w:val="0"/>
              <w:widowControl/>
              <w:suppressLineNumbers w:val="0"/>
              <w:spacing w:before="0" w:beforeAutospacing="0" w:after="0" w:afterAutospacing="0"/>
              <w:ind w:left="0" w:right="0"/>
              <w:jc w:val="both"/>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《营业执照》</w:t>
            </w:r>
          </w:p>
        </w:tc>
        <w:tc>
          <w:tcPr>
            <w:tcW w:w="749" w:type="dxa"/>
            <w:tcBorders>
              <w:top w:val="nil"/>
              <w:left w:val="nil"/>
              <w:bottom w:val="single" w:color="000000" w:sz="8" w:space="0"/>
              <w:right w:val="single" w:color="000000" w:sz="8" w:space="0"/>
            </w:tcBorders>
            <w:shd w:val="clear" w:color="auto" w:fill="B8CCE3"/>
            <w:vAlign w:val="center"/>
          </w:tcPr>
          <w:p w14:paraId="4662545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《出厂合格证》</w:t>
            </w:r>
          </w:p>
        </w:tc>
        <w:tc>
          <w:tcPr>
            <w:tcW w:w="754" w:type="dxa"/>
            <w:tcBorders>
              <w:top w:val="nil"/>
              <w:left w:val="nil"/>
              <w:bottom w:val="single" w:color="000000" w:sz="8" w:space="0"/>
              <w:right w:val="single" w:color="000000" w:sz="8" w:space="0"/>
            </w:tcBorders>
            <w:shd w:val="clear" w:color="auto" w:fill="B8CCE3"/>
            <w:vAlign w:val="center"/>
          </w:tcPr>
          <w:p w14:paraId="58DDB6DD">
            <w:pPr>
              <w:keepNext w:val="0"/>
              <w:keepLines w:val="0"/>
              <w:widowControl/>
              <w:suppressLineNumbers w:val="0"/>
              <w:spacing w:before="0" w:beforeAutospacing="0" w:after="0" w:afterAutospacing="0"/>
              <w:ind w:left="0" w:right="0"/>
              <w:jc w:val="both"/>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《质检证明》及明细</w:t>
            </w:r>
          </w:p>
        </w:tc>
        <w:tc>
          <w:tcPr>
            <w:tcW w:w="749" w:type="dxa"/>
            <w:tcBorders>
              <w:top w:val="nil"/>
              <w:left w:val="nil"/>
              <w:bottom w:val="single" w:color="000000" w:sz="8" w:space="0"/>
              <w:right w:val="single" w:color="000000" w:sz="8" w:space="0"/>
            </w:tcBorders>
            <w:shd w:val="clear" w:color="auto" w:fill="B8CCE3"/>
            <w:vAlign w:val="center"/>
          </w:tcPr>
          <w:p w14:paraId="02E8E3F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《全国工业产品生产许可证》及明细 ★</w:t>
            </w:r>
          </w:p>
        </w:tc>
        <w:tc>
          <w:tcPr>
            <w:tcW w:w="749" w:type="dxa"/>
            <w:tcBorders>
              <w:top w:val="nil"/>
              <w:left w:val="nil"/>
              <w:bottom w:val="single" w:color="000000" w:sz="8" w:space="0"/>
              <w:right w:val="single" w:color="000000" w:sz="8" w:space="0"/>
            </w:tcBorders>
            <w:shd w:val="clear" w:color="auto" w:fill="B8CCE3"/>
            <w:vAlign w:val="center"/>
          </w:tcPr>
          <w:p w14:paraId="3217FB9F">
            <w:pPr>
              <w:keepNext w:val="0"/>
              <w:keepLines w:val="0"/>
              <w:widowControl/>
              <w:suppressLineNumbers w:val="0"/>
              <w:spacing w:before="0" w:beforeAutospacing="0" w:after="0" w:afterAutospacing="0"/>
              <w:ind w:left="0" w:right="0"/>
              <w:jc w:val="both"/>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《消防产品形式认可证书》</w:t>
            </w:r>
          </w:p>
        </w:tc>
        <w:tc>
          <w:tcPr>
            <w:tcW w:w="749" w:type="dxa"/>
            <w:tcBorders>
              <w:top w:val="nil"/>
              <w:left w:val="nil"/>
              <w:bottom w:val="single" w:color="000000" w:sz="8" w:space="0"/>
              <w:right w:val="single" w:color="000000" w:sz="8" w:space="0"/>
            </w:tcBorders>
            <w:shd w:val="clear" w:color="auto" w:fill="B8CCE3"/>
            <w:vAlign w:val="center"/>
          </w:tcPr>
          <w:p w14:paraId="5327FBDD">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是否需设计部审核</w:t>
            </w:r>
          </w:p>
        </w:tc>
        <w:tc>
          <w:tcPr>
            <w:tcW w:w="749" w:type="dxa"/>
            <w:vMerge w:val="continue"/>
            <w:tcBorders>
              <w:top w:val="single" w:color="000000" w:sz="8" w:space="0"/>
              <w:left w:val="nil"/>
              <w:bottom w:val="single" w:color="000000" w:sz="8" w:space="0"/>
              <w:right w:val="single" w:color="000000" w:sz="8" w:space="0"/>
            </w:tcBorders>
            <w:shd w:val="clear" w:color="auto" w:fill="B8CCE3"/>
            <w:vAlign w:val="center"/>
          </w:tcPr>
          <w:p w14:paraId="7DCE0C43">
            <w:pPr>
              <w:keepNext w:val="0"/>
              <w:keepLines w:val="0"/>
              <w:suppressLineNumbers w:val="0"/>
              <w:spacing w:before="0" w:beforeAutospacing="0" w:after="0" w:afterAutospacing="0"/>
              <w:ind w:left="0" w:right="0"/>
              <w:jc w:val="both"/>
              <w:outlineLvl w:val="9"/>
              <w:rPr>
                <w:rFonts w:hint="eastAsia" w:ascii="宋体" w:hAnsi="宋体" w:eastAsia="宋体" w:cs="宋体"/>
                <w:b/>
                <w:bCs/>
                <w:i w:val="0"/>
                <w:iCs w:val="0"/>
                <w:color w:val="auto"/>
                <w:sz w:val="20"/>
                <w:szCs w:val="20"/>
                <w:highlight w:val="none"/>
                <w:u w:val="none"/>
              </w:rPr>
            </w:pPr>
          </w:p>
        </w:tc>
        <w:tc>
          <w:tcPr>
            <w:tcW w:w="1167" w:type="dxa"/>
            <w:vMerge w:val="continue"/>
            <w:tcBorders>
              <w:top w:val="single" w:color="000000" w:sz="8" w:space="0"/>
              <w:left w:val="nil"/>
              <w:bottom w:val="single" w:color="000000" w:sz="8" w:space="0"/>
              <w:right w:val="single" w:color="000000" w:sz="8" w:space="0"/>
            </w:tcBorders>
            <w:shd w:val="clear" w:color="auto" w:fill="B8CCE3"/>
            <w:vAlign w:val="center"/>
          </w:tcPr>
          <w:p w14:paraId="5B2C8812">
            <w:pPr>
              <w:keepNext w:val="0"/>
              <w:keepLines w:val="0"/>
              <w:suppressLineNumbers w:val="0"/>
              <w:spacing w:before="0" w:beforeAutospacing="0" w:after="0" w:afterAutospacing="0"/>
              <w:ind w:left="0" w:right="0"/>
              <w:jc w:val="both"/>
              <w:outlineLvl w:val="9"/>
              <w:rPr>
                <w:rFonts w:hint="eastAsia" w:ascii="宋体" w:hAnsi="宋体" w:eastAsia="宋体" w:cs="宋体"/>
                <w:b/>
                <w:bCs/>
                <w:i w:val="0"/>
                <w:iCs w:val="0"/>
                <w:color w:val="auto"/>
                <w:sz w:val="20"/>
                <w:szCs w:val="20"/>
                <w:highlight w:val="none"/>
                <w:u w:val="none"/>
              </w:rPr>
            </w:pPr>
          </w:p>
        </w:tc>
      </w:tr>
      <w:tr w14:paraId="7F6AD0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FBD4B4"/>
            <w:vAlign w:val="top"/>
          </w:tcPr>
          <w:p w14:paraId="5B33638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951" w:type="dxa"/>
            <w:vMerge w:val="restart"/>
            <w:tcBorders>
              <w:top w:val="nil"/>
              <w:left w:val="nil"/>
              <w:bottom w:val="single" w:color="000000" w:sz="8" w:space="0"/>
              <w:right w:val="single" w:color="000000" w:sz="8" w:space="0"/>
            </w:tcBorders>
            <w:shd w:val="clear" w:color="auto" w:fill="FBD4B4"/>
            <w:vAlign w:val="center"/>
          </w:tcPr>
          <w:p w14:paraId="3A3CDD5D">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强弱电系统</w:t>
            </w:r>
          </w:p>
        </w:tc>
        <w:tc>
          <w:tcPr>
            <w:tcW w:w="1510" w:type="dxa"/>
            <w:tcBorders>
              <w:top w:val="nil"/>
              <w:left w:val="nil"/>
              <w:bottom w:val="single" w:color="000000" w:sz="8" w:space="0"/>
              <w:right w:val="single" w:color="000000" w:sz="8" w:space="0"/>
            </w:tcBorders>
            <w:shd w:val="clear" w:color="auto" w:fill="FBD4B4"/>
            <w:vAlign w:val="top"/>
          </w:tcPr>
          <w:p w14:paraId="410C6FD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电线</w:t>
            </w:r>
          </w:p>
        </w:tc>
        <w:tc>
          <w:tcPr>
            <w:tcW w:w="749" w:type="dxa"/>
            <w:tcBorders>
              <w:top w:val="nil"/>
              <w:left w:val="nil"/>
              <w:bottom w:val="single" w:color="000000" w:sz="8" w:space="0"/>
              <w:right w:val="single" w:color="000000" w:sz="8" w:space="0"/>
            </w:tcBorders>
            <w:shd w:val="clear" w:color="auto" w:fill="FBD4B4"/>
            <w:vAlign w:val="top"/>
          </w:tcPr>
          <w:p w14:paraId="37ECBF5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BD4B4"/>
            <w:vAlign w:val="top"/>
          </w:tcPr>
          <w:p w14:paraId="0576306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FBD4B4"/>
            <w:vAlign w:val="top"/>
          </w:tcPr>
          <w:p w14:paraId="2634599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BD4B4"/>
            <w:vAlign w:val="center"/>
          </w:tcPr>
          <w:p w14:paraId="6724CB4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BD4B4"/>
            <w:vAlign w:val="top"/>
          </w:tcPr>
          <w:p w14:paraId="53E4BCD8">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BD4B4"/>
            <w:vAlign w:val="top"/>
          </w:tcPr>
          <w:p w14:paraId="13805B1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BD4B4"/>
            <w:vAlign w:val="top"/>
          </w:tcPr>
          <w:p w14:paraId="707D4A8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BD4B4"/>
            <w:vAlign w:val="top"/>
          </w:tcPr>
          <w:p w14:paraId="2A1D60A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20AF68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FBD4B4"/>
            <w:vAlign w:val="top"/>
          </w:tcPr>
          <w:p w14:paraId="2141C16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951" w:type="dxa"/>
            <w:vMerge w:val="continue"/>
            <w:tcBorders>
              <w:top w:val="nil"/>
              <w:left w:val="nil"/>
              <w:bottom w:val="single" w:color="000000" w:sz="8" w:space="0"/>
              <w:right w:val="single" w:color="000000" w:sz="8" w:space="0"/>
            </w:tcBorders>
            <w:shd w:val="clear" w:color="auto" w:fill="FBD4B4"/>
            <w:vAlign w:val="center"/>
          </w:tcPr>
          <w:p w14:paraId="1C7CC31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FBD4B4"/>
            <w:vAlign w:val="top"/>
          </w:tcPr>
          <w:p w14:paraId="1C29D9F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电缆</w:t>
            </w:r>
          </w:p>
        </w:tc>
        <w:tc>
          <w:tcPr>
            <w:tcW w:w="749" w:type="dxa"/>
            <w:tcBorders>
              <w:top w:val="nil"/>
              <w:left w:val="nil"/>
              <w:bottom w:val="single" w:color="000000" w:sz="8" w:space="0"/>
              <w:right w:val="single" w:color="000000" w:sz="8" w:space="0"/>
            </w:tcBorders>
            <w:shd w:val="clear" w:color="auto" w:fill="FBD4B4"/>
            <w:vAlign w:val="top"/>
          </w:tcPr>
          <w:p w14:paraId="1D03594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BD4B4"/>
            <w:vAlign w:val="top"/>
          </w:tcPr>
          <w:p w14:paraId="4058A4E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FBD4B4"/>
            <w:vAlign w:val="top"/>
          </w:tcPr>
          <w:p w14:paraId="0754DC0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BD4B4"/>
            <w:vAlign w:val="center"/>
          </w:tcPr>
          <w:p w14:paraId="6C78E159">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BD4B4"/>
            <w:vAlign w:val="top"/>
          </w:tcPr>
          <w:p w14:paraId="6ED41EB9">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BD4B4"/>
            <w:vAlign w:val="top"/>
          </w:tcPr>
          <w:p w14:paraId="52668D4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BD4B4"/>
            <w:vAlign w:val="top"/>
          </w:tcPr>
          <w:p w14:paraId="76A05BC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BD4B4"/>
            <w:vAlign w:val="top"/>
          </w:tcPr>
          <w:p w14:paraId="269CF82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480DC8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FAD3B4"/>
            <w:vAlign w:val="top"/>
          </w:tcPr>
          <w:p w14:paraId="795265D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w:t>
            </w:r>
          </w:p>
        </w:tc>
        <w:tc>
          <w:tcPr>
            <w:tcW w:w="951" w:type="dxa"/>
            <w:vMerge w:val="continue"/>
            <w:tcBorders>
              <w:top w:val="nil"/>
              <w:left w:val="nil"/>
              <w:bottom w:val="single" w:color="000000" w:sz="8" w:space="0"/>
              <w:right w:val="single" w:color="000000" w:sz="8" w:space="0"/>
            </w:tcBorders>
            <w:shd w:val="clear" w:color="auto" w:fill="FBD4B4"/>
            <w:vAlign w:val="center"/>
          </w:tcPr>
          <w:p w14:paraId="571B1AF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FAD3B4"/>
            <w:vAlign w:val="top"/>
          </w:tcPr>
          <w:p w14:paraId="521C306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双电源转换开关</w:t>
            </w:r>
          </w:p>
        </w:tc>
        <w:tc>
          <w:tcPr>
            <w:tcW w:w="749" w:type="dxa"/>
            <w:tcBorders>
              <w:top w:val="nil"/>
              <w:left w:val="nil"/>
              <w:bottom w:val="single" w:color="000000" w:sz="8" w:space="0"/>
              <w:right w:val="single" w:color="000000" w:sz="8" w:space="0"/>
            </w:tcBorders>
            <w:shd w:val="clear" w:color="auto" w:fill="FAD3B4"/>
            <w:vAlign w:val="top"/>
          </w:tcPr>
          <w:p w14:paraId="3DADFFB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top"/>
          </w:tcPr>
          <w:p w14:paraId="7C376D5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FAD3B4"/>
            <w:vAlign w:val="top"/>
          </w:tcPr>
          <w:p w14:paraId="022E4A4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center"/>
          </w:tcPr>
          <w:p w14:paraId="1E64DD90">
            <w:pPr>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AD3B4"/>
            <w:vAlign w:val="top"/>
          </w:tcPr>
          <w:p w14:paraId="4C2BAFB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AD3B4"/>
            <w:vAlign w:val="top"/>
          </w:tcPr>
          <w:p w14:paraId="5ECDC498">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BD4B4"/>
            <w:vAlign w:val="top"/>
          </w:tcPr>
          <w:p w14:paraId="3A40828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BD4B4"/>
            <w:vAlign w:val="top"/>
          </w:tcPr>
          <w:p w14:paraId="14B724E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52E7CB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06" w:hRule="atLeast"/>
        </w:trPr>
        <w:tc>
          <w:tcPr>
            <w:tcW w:w="760" w:type="dxa"/>
            <w:tcBorders>
              <w:top w:val="nil"/>
              <w:left w:val="single" w:color="000000" w:sz="8" w:space="0"/>
              <w:bottom w:val="single" w:color="000000" w:sz="8" w:space="0"/>
              <w:right w:val="single" w:color="000000" w:sz="8" w:space="0"/>
            </w:tcBorders>
            <w:shd w:val="clear" w:color="auto" w:fill="FAD3B4"/>
            <w:vAlign w:val="top"/>
          </w:tcPr>
          <w:p w14:paraId="04F6BA6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951" w:type="dxa"/>
            <w:vMerge w:val="continue"/>
            <w:tcBorders>
              <w:top w:val="nil"/>
              <w:left w:val="nil"/>
              <w:bottom w:val="single" w:color="000000" w:sz="8" w:space="0"/>
              <w:right w:val="single" w:color="000000" w:sz="8" w:space="0"/>
            </w:tcBorders>
            <w:shd w:val="clear" w:color="auto" w:fill="FBD4B4"/>
            <w:vAlign w:val="center"/>
          </w:tcPr>
          <w:p w14:paraId="2378207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FAD3B4"/>
            <w:vAlign w:val="top"/>
          </w:tcPr>
          <w:p w14:paraId="3B0F0A1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应急照明/疏散指示</w:t>
            </w:r>
          </w:p>
        </w:tc>
        <w:tc>
          <w:tcPr>
            <w:tcW w:w="749" w:type="dxa"/>
            <w:tcBorders>
              <w:top w:val="nil"/>
              <w:left w:val="nil"/>
              <w:bottom w:val="single" w:color="000000" w:sz="8" w:space="0"/>
              <w:right w:val="single" w:color="000000" w:sz="8" w:space="0"/>
            </w:tcBorders>
            <w:shd w:val="clear" w:color="auto" w:fill="FAD3B4"/>
            <w:vAlign w:val="top"/>
          </w:tcPr>
          <w:p w14:paraId="6F0A6B0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top"/>
          </w:tcPr>
          <w:p w14:paraId="5E4BD98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FAD3B4"/>
            <w:vAlign w:val="top"/>
          </w:tcPr>
          <w:p w14:paraId="27A1A08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center"/>
          </w:tcPr>
          <w:p w14:paraId="61F659E3">
            <w:pPr>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AD3B4"/>
            <w:vAlign w:val="top"/>
          </w:tcPr>
          <w:p w14:paraId="0290E6A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top"/>
          </w:tcPr>
          <w:p w14:paraId="18F5531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top"/>
          </w:tcPr>
          <w:p w14:paraId="4D9BEE3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AD3B4"/>
            <w:vAlign w:val="top"/>
          </w:tcPr>
          <w:p w14:paraId="490276C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3A4F1D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3" w:hRule="atLeast"/>
        </w:trPr>
        <w:tc>
          <w:tcPr>
            <w:tcW w:w="760" w:type="dxa"/>
            <w:tcBorders>
              <w:top w:val="nil"/>
              <w:left w:val="single" w:color="000000" w:sz="8" w:space="0"/>
              <w:bottom w:val="single" w:color="000000" w:sz="8" w:space="0"/>
              <w:right w:val="single" w:color="000000" w:sz="8" w:space="0"/>
            </w:tcBorders>
            <w:shd w:val="clear" w:color="auto" w:fill="FAD3B4"/>
            <w:vAlign w:val="top"/>
          </w:tcPr>
          <w:p w14:paraId="755B613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w:t>
            </w:r>
          </w:p>
        </w:tc>
        <w:tc>
          <w:tcPr>
            <w:tcW w:w="951" w:type="dxa"/>
            <w:vMerge w:val="continue"/>
            <w:tcBorders>
              <w:top w:val="nil"/>
              <w:left w:val="nil"/>
              <w:bottom w:val="single" w:color="000000" w:sz="8" w:space="0"/>
              <w:right w:val="single" w:color="000000" w:sz="8" w:space="0"/>
            </w:tcBorders>
            <w:shd w:val="clear" w:color="auto" w:fill="FBD4B4"/>
            <w:vAlign w:val="center"/>
          </w:tcPr>
          <w:p w14:paraId="36D1418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FAD3B4"/>
            <w:vAlign w:val="top"/>
          </w:tcPr>
          <w:p w14:paraId="5308A2C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线管（pvc，sc 管）</w:t>
            </w:r>
          </w:p>
        </w:tc>
        <w:tc>
          <w:tcPr>
            <w:tcW w:w="749" w:type="dxa"/>
            <w:tcBorders>
              <w:top w:val="nil"/>
              <w:left w:val="nil"/>
              <w:bottom w:val="single" w:color="000000" w:sz="8" w:space="0"/>
              <w:right w:val="single" w:color="000000" w:sz="8" w:space="0"/>
            </w:tcBorders>
            <w:shd w:val="clear" w:color="auto" w:fill="FAD3B4"/>
            <w:vAlign w:val="top"/>
          </w:tcPr>
          <w:p w14:paraId="0B3122D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top"/>
          </w:tcPr>
          <w:p w14:paraId="2945196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FAD3B4"/>
            <w:vAlign w:val="top"/>
          </w:tcPr>
          <w:p w14:paraId="37B8A4E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center"/>
          </w:tcPr>
          <w:p w14:paraId="5EA7B3E9">
            <w:pPr>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AD3B4"/>
            <w:vAlign w:val="top"/>
          </w:tcPr>
          <w:p w14:paraId="69171B1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AD3B4"/>
            <w:vAlign w:val="top"/>
          </w:tcPr>
          <w:p w14:paraId="6B12E23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top"/>
          </w:tcPr>
          <w:p w14:paraId="3E61310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AD3B4"/>
            <w:vAlign w:val="top"/>
          </w:tcPr>
          <w:p w14:paraId="5E96C89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4EB7D7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FAD3B4"/>
            <w:vAlign w:val="top"/>
          </w:tcPr>
          <w:p w14:paraId="3F564CC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w:t>
            </w:r>
          </w:p>
        </w:tc>
        <w:tc>
          <w:tcPr>
            <w:tcW w:w="951" w:type="dxa"/>
            <w:vMerge w:val="continue"/>
            <w:tcBorders>
              <w:top w:val="nil"/>
              <w:left w:val="nil"/>
              <w:bottom w:val="single" w:color="000000" w:sz="8" w:space="0"/>
              <w:right w:val="single" w:color="000000" w:sz="8" w:space="0"/>
            </w:tcBorders>
            <w:shd w:val="clear" w:color="auto" w:fill="FBD4B4"/>
            <w:vAlign w:val="center"/>
          </w:tcPr>
          <w:p w14:paraId="6CCDFCD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FAD3B4"/>
            <w:vAlign w:val="top"/>
          </w:tcPr>
          <w:p w14:paraId="1B9C9D2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摄像头</w:t>
            </w:r>
          </w:p>
        </w:tc>
        <w:tc>
          <w:tcPr>
            <w:tcW w:w="749" w:type="dxa"/>
            <w:tcBorders>
              <w:top w:val="nil"/>
              <w:left w:val="nil"/>
              <w:bottom w:val="single" w:color="000000" w:sz="8" w:space="0"/>
              <w:right w:val="single" w:color="000000" w:sz="8" w:space="0"/>
            </w:tcBorders>
            <w:shd w:val="clear" w:color="auto" w:fill="FAD3B4"/>
            <w:vAlign w:val="top"/>
          </w:tcPr>
          <w:p w14:paraId="294522E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top"/>
          </w:tcPr>
          <w:p w14:paraId="518A34B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FAD3B4"/>
            <w:vAlign w:val="top"/>
          </w:tcPr>
          <w:p w14:paraId="6655FCD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center"/>
          </w:tcPr>
          <w:p w14:paraId="2BC2D104">
            <w:pPr>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AD3B4"/>
            <w:vAlign w:val="top"/>
          </w:tcPr>
          <w:p w14:paraId="393B5D78">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AD3B4"/>
            <w:vAlign w:val="top"/>
          </w:tcPr>
          <w:p w14:paraId="52035C7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top"/>
          </w:tcPr>
          <w:p w14:paraId="76E88A5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BD4B4"/>
            <w:vAlign w:val="top"/>
          </w:tcPr>
          <w:p w14:paraId="50EDF22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791FD0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2" w:hRule="atLeast"/>
        </w:trPr>
        <w:tc>
          <w:tcPr>
            <w:tcW w:w="760" w:type="dxa"/>
            <w:tcBorders>
              <w:top w:val="nil"/>
              <w:left w:val="single" w:color="000000" w:sz="8" w:space="0"/>
              <w:bottom w:val="single" w:color="000000" w:sz="8" w:space="0"/>
              <w:right w:val="single" w:color="000000" w:sz="8" w:space="0"/>
            </w:tcBorders>
            <w:shd w:val="clear" w:color="auto" w:fill="FAD3B4"/>
            <w:vAlign w:val="top"/>
          </w:tcPr>
          <w:p w14:paraId="1944AA6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w:t>
            </w:r>
          </w:p>
        </w:tc>
        <w:tc>
          <w:tcPr>
            <w:tcW w:w="951" w:type="dxa"/>
            <w:vMerge w:val="continue"/>
            <w:tcBorders>
              <w:top w:val="nil"/>
              <w:left w:val="nil"/>
              <w:bottom w:val="single" w:color="000000" w:sz="8" w:space="0"/>
              <w:right w:val="single" w:color="000000" w:sz="8" w:space="0"/>
            </w:tcBorders>
            <w:shd w:val="clear" w:color="auto" w:fill="FBD4B4"/>
            <w:vAlign w:val="center"/>
          </w:tcPr>
          <w:p w14:paraId="50133FF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nil"/>
              <w:right w:val="single" w:color="000000" w:sz="8" w:space="0"/>
            </w:tcBorders>
            <w:shd w:val="clear" w:color="auto" w:fill="FAD3B4"/>
            <w:vAlign w:val="top"/>
          </w:tcPr>
          <w:p w14:paraId="5E95B44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显视器、监视器、可视对讲</w:t>
            </w:r>
          </w:p>
        </w:tc>
        <w:tc>
          <w:tcPr>
            <w:tcW w:w="749" w:type="dxa"/>
            <w:tcBorders>
              <w:top w:val="nil"/>
              <w:left w:val="nil"/>
              <w:bottom w:val="single" w:color="000000" w:sz="8" w:space="0"/>
              <w:right w:val="single" w:color="000000" w:sz="8" w:space="0"/>
            </w:tcBorders>
            <w:shd w:val="clear" w:color="auto" w:fill="FAD3B4"/>
            <w:vAlign w:val="top"/>
          </w:tcPr>
          <w:p w14:paraId="1EEB25C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top"/>
          </w:tcPr>
          <w:p w14:paraId="7048D7B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FAD3B4"/>
            <w:vAlign w:val="top"/>
          </w:tcPr>
          <w:p w14:paraId="74B24C2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center"/>
          </w:tcPr>
          <w:p w14:paraId="0EBCEC0D">
            <w:pPr>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AD3B4"/>
            <w:vAlign w:val="top"/>
          </w:tcPr>
          <w:p w14:paraId="0514E81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FAD3B4"/>
            <w:vAlign w:val="top"/>
          </w:tcPr>
          <w:p w14:paraId="268DC75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FAD3B4"/>
            <w:vAlign w:val="top"/>
          </w:tcPr>
          <w:p w14:paraId="219258F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FBD4B4"/>
            <w:vAlign w:val="top"/>
          </w:tcPr>
          <w:p w14:paraId="51D6F26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1D41EF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2"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40BE865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8</w:t>
            </w:r>
          </w:p>
        </w:tc>
        <w:tc>
          <w:tcPr>
            <w:tcW w:w="951" w:type="dxa"/>
            <w:vMerge w:val="restart"/>
            <w:tcBorders>
              <w:top w:val="nil"/>
              <w:left w:val="nil"/>
              <w:bottom w:val="single" w:color="000000" w:sz="8" w:space="0"/>
              <w:right w:val="single" w:color="000000" w:sz="8" w:space="0"/>
            </w:tcBorders>
            <w:shd w:val="clear" w:color="auto" w:fill="D5E2BB"/>
            <w:vAlign w:val="center"/>
          </w:tcPr>
          <w:p w14:paraId="414B773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给排水系统</w:t>
            </w:r>
          </w:p>
        </w:tc>
        <w:tc>
          <w:tcPr>
            <w:tcW w:w="1510" w:type="dxa"/>
            <w:tcBorders>
              <w:top w:val="single" w:color="000000" w:sz="4" w:space="0"/>
              <w:left w:val="single" w:color="000000" w:sz="4" w:space="0"/>
              <w:bottom w:val="single" w:color="000000" w:sz="4" w:space="0"/>
              <w:right w:val="single" w:color="000000" w:sz="4" w:space="0"/>
            </w:tcBorders>
            <w:shd w:val="clear" w:color="auto" w:fill="D5E2BB"/>
            <w:vAlign w:val="top"/>
          </w:tcPr>
          <w:p w14:paraId="48D49D6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水泵（潜水泵、变频泵）</w:t>
            </w:r>
          </w:p>
        </w:tc>
        <w:tc>
          <w:tcPr>
            <w:tcW w:w="749" w:type="dxa"/>
            <w:tcBorders>
              <w:top w:val="nil"/>
              <w:left w:val="nil"/>
              <w:bottom w:val="single" w:color="000000" w:sz="8" w:space="0"/>
              <w:right w:val="single" w:color="000000" w:sz="8" w:space="0"/>
            </w:tcBorders>
            <w:shd w:val="clear" w:color="auto" w:fill="D5E2BB"/>
            <w:vAlign w:val="top"/>
          </w:tcPr>
          <w:p w14:paraId="7F4B760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13B639C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124399A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center"/>
          </w:tcPr>
          <w:p w14:paraId="460E809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3FEAD0E7">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0A70C9B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center"/>
          </w:tcPr>
          <w:p w14:paraId="13E7747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5B57D54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4F3787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21F9493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9</w:t>
            </w:r>
          </w:p>
        </w:tc>
        <w:tc>
          <w:tcPr>
            <w:tcW w:w="951" w:type="dxa"/>
            <w:vMerge w:val="continue"/>
            <w:tcBorders>
              <w:top w:val="nil"/>
              <w:left w:val="nil"/>
              <w:bottom w:val="single" w:color="000000" w:sz="8" w:space="0"/>
              <w:right w:val="single" w:color="000000" w:sz="8" w:space="0"/>
            </w:tcBorders>
            <w:shd w:val="clear" w:color="auto" w:fill="D5E2BB"/>
            <w:vAlign w:val="center"/>
          </w:tcPr>
          <w:p w14:paraId="290B341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76CA861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喷淋头</w:t>
            </w:r>
          </w:p>
        </w:tc>
        <w:tc>
          <w:tcPr>
            <w:tcW w:w="749" w:type="dxa"/>
            <w:tcBorders>
              <w:top w:val="nil"/>
              <w:left w:val="nil"/>
              <w:bottom w:val="single" w:color="000000" w:sz="8" w:space="0"/>
              <w:right w:val="single" w:color="000000" w:sz="8" w:space="0"/>
            </w:tcBorders>
            <w:shd w:val="clear" w:color="auto" w:fill="D5E2BB"/>
            <w:vAlign w:val="top"/>
          </w:tcPr>
          <w:p w14:paraId="619AB11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287FB4A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3DB668F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center"/>
          </w:tcPr>
          <w:p w14:paraId="74B36C17">
            <w:pPr>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2964E6A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35A4020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59F07CB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2562421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507F3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0288BD5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10</w:t>
            </w:r>
          </w:p>
        </w:tc>
        <w:tc>
          <w:tcPr>
            <w:tcW w:w="951" w:type="dxa"/>
            <w:vMerge w:val="continue"/>
            <w:tcBorders>
              <w:top w:val="nil"/>
              <w:left w:val="nil"/>
              <w:bottom w:val="single" w:color="000000" w:sz="8" w:space="0"/>
              <w:right w:val="single" w:color="000000" w:sz="8" w:space="0"/>
            </w:tcBorders>
            <w:shd w:val="clear" w:color="auto" w:fill="D5E2BB"/>
            <w:vAlign w:val="center"/>
          </w:tcPr>
          <w:p w14:paraId="6C20221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025FC02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无缝钢管</w:t>
            </w:r>
          </w:p>
        </w:tc>
        <w:tc>
          <w:tcPr>
            <w:tcW w:w="749" w:type="dxa"/>
            <w:tcBorders>
              <w:top w:val="nil"/>
              <w:left w:val="nil"/>
              <w:bottom w:val="single" w:color="000000" w:sz="8" w:space="0"/>
              <w:right w:val="single" w:color="000000" w:sz="8" w:space="0"/>
            </w:tcBorders>
            <w:shd w:val="clear" w:color="auto" w:fill="D5E2BB"/>
            <w:vAlign w:val="top"/>
          </w:tcPr>
          <w:p w14:paraId="4E80B63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29BD479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016A23C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center"/>
          </w:tcPr>
          <w:p w14:paraId="697767AA">
            <w:pPr>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5B315881">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5272710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64F00D6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12627E6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050766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5A6186A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w:t>
            </w:r>
          </w:p>
        </w:tc>
        <w:tc>
          <w:tcPr>
            <w:tcW w:w="951" w:type="dxa"/>
            <w:vMerge w:val="continue"/>
            <w:tcBorders>
              <w:top w:val="nil"/>
              <w:left w:val="nil"/>
              <w:bottom w:val="single" w:color="000000" w:sz="8" w:space="0"/>
              <w:right w:val="single" w:color="000000" w:sz="8" w:space="0"/>
            </w:tcBorders>
            <w:shd w:val="clear" w:color="auto" w:fill="D5E2BB"/>
            <w:vAlign w:val="center"/>
          </w:tcPr>
          <w:p w14:paraId="3A17634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0423242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镀锌管</w:t>
            </w:r>
          </w:p>
        </w:tc>
        <w:tc>
          <w:tcPr>
            <w:tcW w:w="749" w:type="dxa"/>
            <w:tcBorders>
              <w:top w:val="nil"/>
              <w:left w:val="nil"/>
              <w:bottom w:val="single" w:color="000000" w:sz="8" w:space="0"/>
              <w:right w:val="single" w:color="000000" w:sz="8" w:space="0"/>
            </w:tcBorders>
            <w:shd w:val="clear" w:color="auto" w:fill="D5E2BB"/>
            <w:vAlign w:val="top"/>
          </w:tcPr>
          <w:p w14:paraId="3810068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44E0A5E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5AC3E7F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center"/>
          </w:tcPr>
          <w:p w14:paraId="33462684">
            <w:pPr>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762B754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146C029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2F98D44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4014EA9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38B510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72B25E7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w:t>
            </w:r>
          </w:p>
        </w:tc>
        <w:tc>
          <w:tcPr>
            <w:tcW w:w="951" w:type="dxa"/>
            <w:vMerge w:val="continue"/>
            <w:tcBorders>
              <w:top w:val="nil"/>
              <w:left w:val="nil"/>
              <w:bottom w:val="single" w:color="000000" w:sz="8" w:space="0"/>
              <w:right w:val="single" w:color="000000" w:sz="8" w:space="0"/>
            </w:tcBorders>
            <w:shd w:val="clear" w:color="auto" w:fill="D5E2BB"/>
            <w:vAlign w:val="center"/>
          </w:tcPr>
          <w:p w14:paraId="23A4907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6E060A2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PPR 管</w:t>
            </w:r>
          </w:p>
        </w:tc>
        <w:tc>
          <w:tcPr>
            <w:tcW w:w="749" w:type="dxa"/>
            <w:tcBorders>
              <w:top w:val="nil"/>
              <w:left w:val="nil"/>
              <w:bottom w:val="single" w:color="000000" w:sz="8" w:space="0"/>
              <w:right w:val="single" w:color="000000" w:sz="8" w:space="0"/>
            </w:tcBorders>
            <w:shd w:val="clear" w:color="auto" w:fill="D5E2BB"/>
            <w:vAlign w:val="top"/>
          </w:tcPr>
          <w:p w14:paraId="297736C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12711AF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762783E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center"/>
          </w:tcPr>
          <w:p w14:paraId="4801BD82">
            <w:pPr>
              <w:keepNext w:val="0"/>
              <w:keepLines w:val="0"/>
              <w:suppressLineNumbers w:val="0"/>
              <w:spacing w:before="0" w:beforeAutospacing="0" w:after="0" w:afterAutospacing="0"/>
              <w:ind w:left="0" w:right="0"/>
              <w:jc w:val="center"/>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68AEBB5B">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38D008B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030DDF7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52992DD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68769F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23B9A1F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w:t>
            </w:r>
          </w:p>
        </w:tc>
        <w:tc>
          <w:tcPr>
            <w:tcW w:w="951" w:type="dxa"/>
            <w:vMerge w:val="continue"/>
            <w:tcBorders>
              <w:top w:val="nil"/>
              <w:left w:val="nil"/>
              <w:bottom w:val="single" w:color="000000" w:sz="8" w:space="0"/>
              <w:right w:val="single" w:color="000000" w:sz="8" w:space="0"/>
            </w:tcBorders>
            <w:shd w:val="clear" w:color="auto" w:fill="D5E2BB"/>
            <w:vAlign w:val="center"/>
          </w:tcPr>
          <w:p w14:paraId="19BA78F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27E56D7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UPVC 管</w:t>
            </w:r>
          </w:p>
        </w:tc>
        <w:tc>
          <w:tcPr>
            <w:tcW w:w="749" w:type="dxa"/>
            <w:tcBorders>
              <w:top w:val="nil"/>
              <w:left w:val="nil"/>
              <w:bottom w:val="single" w:color="000000" w:sz="8" w:space="0"/>
              <w:right w:val="single" w:color="000000" w:sz="8" w:space="0"/>
            </w:tcBorders>
            <w:shd w:val="clear" w:color="auto" w:fill="D5E2BB"/>
            <w:vAlign w:val="top"/>
          </w:tcPr>
          <w:p w14:paraId="2806928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22A3F38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052D67A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601535CE">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62EDF9A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439A63A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3ACD631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5B5E775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46EB8A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5BACA82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14</w:t>
            </w:r>
          </w:p>
        </w:tc>
        <w:tc>
          <w:tcPr>
            <w:tcW w:w="951" w:type="dxa"/>
            <w:vMerge w:val="continue"/>
            <w:tcBorders>
              <w:top w:val="nil"/>
              <w:left w:val="nil"/>
              <w:bottom w:val="single" w:color="000000" w:sz="8" w:space="0"/>
              <w:right w:val="single" w:color="000000" w:sz="8" w:space="0"/>
            </w:tcBorders>
            <w:shd w:val="clear" w:color="auto" w:fill="D5E2BB"/>
            <w:vAlign w:val="center"/>
          </w:tcPr>
          <w:p w14:paraId="3818A30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2142678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球墨铸铁管</w:t>
            </w:r>
          </w:p>
        </w:tc>
        <w:tc>
          <w:tcPr>
            <w:tcW w:w="749" w:type="dxa"/>
            <w:tcBorders>
              <w:top w:val="nil"/>
              <w:left w:val="nil"/>
              <w:bottom w:val="single" w:color="000000" w:sz="8" w:space="0"/>
              <w:right w:val="single" w:color="000000" w:sz="8" w:space="0"/>
            </w:tcBorders>
            <w:shd w:val="clear" w:color="auto" w:fill="D5E2BB"/>
            <w:vAlign w:val="top"/>
          </w:tcPr>
          <w:p w14:paraId="2018FCA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605FB32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19F0336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68EFEA40">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7F214D0E">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15A0869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2F0AFFF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382BCED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3DE93B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116C9E2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15</w:t>
            </w:r>
          </w:p>
        </w:tc>
        <w:tc>
          <w:tcPr>
            <w:tcW w:w="951" w:type="dxa"/>
            <w:vMerge w:val="continue"/>
            <w:tcBorders>
              <w:top w:val="nil"/>
              <w:left w:val="nil"/>
              <w:bottom w:val="single" w:color="000000" w:sz="8" w:space="0"/>
              <w:right w:val="single" w:color="000000" w:sz="8" w:space="0"/>
            </w:tcBorders>
            <w:shd w:val="clear" w:color="auto" w:fill="D5E2BB"/>
            <w:vAlign w:val="center"/>
          </w:tcPr>
          <w:p w14:paraId="607A645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624875E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衬塑钢管</w:t>
            </w:r>
          </w:p>
        </w:tc>
        <w:tc>
          <w:tcPr>
            <w:tcW w:w="749" w:type="dxa"/>
            <w:tcBorders>
              <w:top w:val="nil"/>
              <w:left w:val="nil"/>
              <w:bottom w:val="single" w:color="000000" w:sz="8" w:space="0"/>
              <w:right w:val="single" w:color="000000" w:sz="8" w:space="0"/>
            </w:tcBorders>
            <w:shd w:val="clear" w:color="auto" w:fill="D5E2BB"/>
            <w:vAlign w:val="top"/>
          </w:tcPr>
          <w:p w14:paraId="1CAB793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3DD2594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3861EB9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3A7E8569">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6CD028AD">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6E4167C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575017A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0543E59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实物小样</w:t>
            </w:r>
          </w:p>
        </w:tc>
      </w:tr>
      <w:tr w14:paraId="178377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22F6774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16</w:t>
            </w:r>
          </w:p>
        </w:tc>
        <w:tc>
          <w:tcPr>
            <w:tcW w:w="951" w:type="dxa"/>
            <w:vMerge w:val="continue"/>
            <w:tcBorders>
              <w:top w:val="nil"/>
              <w:left w:val="nil"/>
              <w:bottom w:val="single" w:color="000000" w:sz="8" w:space="0"/>
              <w:right w:val="single" w:color="000000" w:sz="8" w:space="0"/>
            </w:tcBorders>
            <w:shd w:val="clear" w:color="auto" w:fill="D5E2BB"/>
            <w:vAlign w:val="center"/>
          </w:tcPr>
          <w:p w14:paraId="5C98D9A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1E0BD2C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球阀</w:t>
            </w:r>
          </w:p>
        </w:tc>
        <w:tc>
          <w:tcPr>
            <w:tcW w:w="749" w:type="dxa"/>
            <w:tcBorders>
              <w:top w:val="nil"/>
              <w:left w:val="nil"/>
              <w:bottom w:val="single" w:color="000000" w:sz="8" w:space="0"/>
              <w:right w:val="single" w:color="000000" w:sz="8" w:space="0"/>
            </w:tcBorders>
            <w:shd w:val="clear" w:color="auto" w:fill="D5E2BB"/>
            <w:vAlign w:val="top"/>
          </w:tcPr>
          <w:p w14:paraId="0BD6492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54C10CD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329F5DA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0F3CB0DA">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7DB2B27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3BCE398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6DE8DC7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2F620E7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0848F0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6AF5818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17</w:t>
            </w:r>
          </w:p>
        </w:tc>
        <w:tc>
          <w:tcPr>
            <w:tcW w:w="951" w:type="dxa"/>
            <w:vMerge w:val="continue"/>
            <w:tcBorders>
              <w:top w:val="nil"/>
              <w:left w:val="nil"/>
              <w:bottom w:val="single" w:color="000000" w:sz="8" w:space="0"/>
              <w:right w:val="single" w:color="000000" w:sz="8" w:space="0"/>
            </w:tcBorders>
            <w:shd w:val="clear" w:color="auto" w:fill="D5E2BB"/>
            <w:vAlign w:val="center"/>
          </w:tcPr>
          <w:p w14:paraId="12DF85D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71AFF21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闸阀</w:t>
            </w:r>
          </w:p>
        </w:tc>
        <w:tc>
          <w:tcPr>
            <w:tcW w:w="749" w:type="dxa"/>
            <w:tcBorders>
              <w:top w:val="nil"/>
              <w:left w:val="nil"/>
              <w:bottom w:val="single" w:color="000000" w:sz="8" w:space="0"/>
              <w:right w:val="single" w:color="000000" w:sz="8" w:space="0"/>
            </w:tcBorders>
            <w:shd w:val="clear" w:color="auto" w:fill="D5E2BB"/>
            <w:vAlign w:val="top"/>
          </w:tcPr>
          <w:p w14:paraId="714810E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5C1BC93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24E0B01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2568B9B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1EBCCE3D">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6CD734E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70FCF99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78A368F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432523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01E699A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18</w:t>
            </w:r>
          </w:p>
        </w:tc>
        <w:tc>
          <w:tcPr>
            <w:tcW w:w="951" w:type="dxa"/>
            <w:vMerge w:val="continue"/>
            <w:tcBorders>
              <w:top w:val="nil"/>
              <w:left w:val="nil"/>
              <w:bottom w:val="single" w:color="000000" w:sz="8" w:space="0"/>
              <w:right w:val="single" w:color="000000" w:sz="8" w:space="0"/>
            </w:tcBorders>
            <w:shd w:val="clear" w:color="auto" w:fill="D5E2BB"/>
            <w:vAlign w:val="center"/>
          </w:tcPr>
          <w:p w14:paraId="458876B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783F82D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蝶阀</w:t>
            </w:r>
          </w:p>
        </w:tc>
        <w:tc>
          <w:tcPr>
            <w:tcW w:w="749" w:type="dxa"/>
            <w:tcBorders>
              <w:top w:val="nil"/>
              <w:left w:val="nil"/>
              <w:bottom w:val="single" w:color="000000" w:sz="8" w:space="0"/>
              <w:right w:val="single" w:color="000000" w:sz="8" w:space="0"/>
            </w:tcBorders>
            <w:shd w:val="clear" w:color="auto" w:fill="D5E2BB"/>
            <w:vAlign w:val="top"/>
          </w:tcPr>
          <w:p w14:paraId="4366316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3FB6E30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0D20817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17F7469D">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58EE46C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03D1A33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662AE08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7368603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6C85FE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54FA7E0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19</w:t>
            </w:r>
          </w:p>
        </w:tc>
        <w:tc>
          <w:tcPr>
            <w:tcW w:w="951" w:type="dxa"/>
            <w:vMerge w:val="continue"/>
            <w:tcBorders>
              <w:top w:val="nil"/>
              <w:left w:val="nil"/>
              <w:bottom w:val="single" w:color="000000" w:sz="8" w:space="0"/>
              <w:right w:val="single" w:color="000000" w:sz="8" w:space="0"/>
            </w:tcBorders>
            <w:shd w:val="clear" w:color="auto" w:fill="D5E2BB"/>
            <w:vAlign w:val="center"/>
          </w:tcPr>
          <w:p w14:paraId="50CA732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2F5BB0E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截止阀</w:t>
            </w:r>
          </w:p>
        </w:tc>
        <w:tc>
          <w:tcPr>
            <w:tcW w:w="749" w:type="dxa"/>
            <w:tcBorders>
              <w:top w:val="nil"/>
              <w:left w:val="nil"/>
              <w:bottom w:val="single" w:color="000000" w:sz="8" w:space="0"/>
              <w:right w:val="single" w:color="000000" w:sz="8" w:space="0"/>
            </w:tcBorders>
            <w:shd w:val="clear" w:color="auto" w:fill="D5E2BB"/>
            <w:vAlign w:val="top"/>
          </w:tcPr>
          <w:p w14:paraId="34667C9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60DFFEF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0B28FD8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0389BAFE">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56E0F181">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795652F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41D9E74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3CEA499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49D1BE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7AB054B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20</w:t>
            </w:r>
          </w:p>
        </w:tc>
        <w:tc>
          <w:tcPr>
            <w:tcW w:w="951" w:type="dxa"/>
            <w:vMerge w:val="continue"/>
            <w:tcBorders>
              <w:top w:val="nil"/>
              <w:left w:val="nil"/>
              <w:bottom w:val="single" w:color="000000" w:sz="8" w:space="0"/>
              <w:right w:val="single" w:color="000000" w:sz="8" w:space="0"/>
            </w:tcBorders>
            <w:shd w:val="clear" w:color="auto" w:fill="D5E2BB"/>
            <w:vAlign w:val="center"/>
          </w:tcPr>
          <w:p w14:paraId="1969E29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0DE429A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止回阀</w:t>
            </w:r>
          </w:p>
        </w:tc>
        <w:tc>
          <w:tcPr>
            <w:tcW w:w="749" w:type="dxa"/>
            <w:tcBorders>
              <w:top w:val="nil"/>
              <w:left w:val="nil"/>
              <w:bottom w:val="single" w:color="000000" w:sz="8" w:space="0"/>
              <w:right w:val="single" w:color="000000" w:sz="8" w:space="0"/>
            </w:tcBorders>
            <w:shd w:val="clear" w:color="auto" w:fill="D5E2BB"/>
            <w:vAlign w:val="top"/>
          </w:tcPr>
          <w:p w14:paraId="686C65B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41F47F0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08B036F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28D76085">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6190FD3D">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15D1775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3B2DFDE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6AD6ED6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7263B4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379445B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21</w:t>
            </w:r>
          </w:p>
        </w:tc>
        <w:tc>
          <w:tcPr>
            <w:tcW w:w="951" w:type="dxa"/>
            <w:vMerge w:val="continue"/>
            <w:tcBorders>
              <w:top w:val="nil"/>
              <w:left w:val="nil"/>
              <w:bottom w:val="single" w:color="000000" w:sz="8" w:space="0"/>
              <w:right w:val="single" w:color="000000" w:sz="8" w:space="0"/>
            </w:tcBorders>
            <w:shd w:val="clear" w:color="auto" w:fill="D5E2BB"/>
            <w:vAlign w:val="center"/>
          </w:tcPr>
          <w:p w14:paraId="41EC54C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61FA021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减压阀</w:t>
            </w:r>
          </w:p>
        </w:tc>
        <w:tc>
          <w:tcPr>
            <w:tcW w:w="749" w:type="dxa"/>
            <w:tcBorders>
              <w:top w:val="nil"/>
              <w:left w:val="nil"/>
              <w:bottom w:val="single" w:color="000000" w:sz="8" w:space="0"/>
              <w:right w:val="single" w:color="000000" w:sz="8" w:space="0"/>
            </w:tcBorders>
            <w:shd w:val="clear" w:color="auto" w:fill="D5E2BB"/>
            <w:vAlign w:val="top"/>
          </w:tcPr>
          <w:p w14:paraId="734F2E3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447B24C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5891FBA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6E0E150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0CA38BF1">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69FEA5BD">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421D078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73DC44E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398EC4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8" w:hRule="atLeast"/>
        </w:trPr>
        <w:tc>
          <w:tcPr>
            <w:tcW w:w="760" w:type="dxa"/>
            <w:tcBorders>
              <w:top w:val="nil"/>
              <w:left w:val="single" w:color="000000" w:sz="8" w:space="0"/>
              <w:bottom w:val="single" w:color="000000" w:sz="8" w:space="0"/>
              <w:right w:val="single" w:color="000000" w:sz="8" w:space="0"/>
            </w:tcBorders>
            <w:shd w:val="clear" w:color="auto" w:fill="D5E2BB"/>
            <w:vAlign w:val="top"/>
          </w:tcPr>
          <w:p w14:paraId="0F9FECE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22</w:t>
            </w:r>
          </w:p>
        </w:tc>
        <w:tc>
          <w:tcPr>
            <w:tcW w:w="951" w:type="dxa"/>
            <w:vMerge w:val="continue"/>
            <w:tcBorders>
              <w:top w:val="nil"/>
              <w:left w:val="nil"/>
              <w:bottom w:val="single" w:color="000000" w:sz="8" w:space="0"/>
              <w:right w:val="single" w:color="000000" w:sz="8" w:space="0"/>
            </w:tcBorders>
            <w:shd w:val="clear" w:color="auto" w:fill="D5E2BB"/>
            <w:vAlign w:val="center"/>
          </w:tcPr>
          <w:p w14:paraId="24F7EA4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5E2BB"/>
            <w:vAlign w:val="top"/>
          </w:tcPr>
          <w:p w14:paraId="4DC2F1D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湿式报警阀</w:t>
            </w:r>
          </w:p>
        </w:tc>
        <w:tc>
          <w:tcPr>
            <w:tcW w:w="749" w:type="dxa"/>
            <w:tcBorders>
              <w:top w:val="nil"/>
              <w:left w:val="nil"/>
              <w:bottom w:val="single" w:color="000000" w:sz="8" w:space="0"/>
              <w:right w:val="single" w:color="000000" w:sz="8" w:space="0"/>
            </w:tcBorders>
            <w:shd w:val="clear" w:color="auto" w:fill="D5E2BB"/>
            <w:vAlign w:val="top"/>
          </w:tcPr>
          <w:p w14:paraId="4AC1167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03FE1FB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5E2BB"/>
            <w:vAlign w:val="top"/>
          </w:tcPr>
          <w:p w14:paraId="608FF96B">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0C92CFD9">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42BCEC7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5E2BB"/>
            <w:vAlign w:val="top"/>
          </w:tcPr>
          <w:p w14:paraId="0047B13F">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5E2BB"/>
            <w:vAlign w:val="top"/>
          </w:tcPr>
          <w:p w14:paraId="0DED507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5E2BB"/>
            <w:vAlign w:val="top"/>
          </w:tcPr>
          <w:p w14:paraId="3B20223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实物</w:t>
            </w:r>
          </w:p>
        </w:tc>
      </w:tr>
      <w:tr w14:paraId="3A4A01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BE4F0"/>
            <w:vAlign w:val="top"/>
          </w:tcPr>
          <w:p w14:paraId="23CEF9D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23</w:t>
            </w:r>
          </w:p>
        </w:tc>
        <w:tc>
          <w:tcPr>
            <w:tcW w:w="951" w:type="dxa"/>
            <w:vMerge w:val="restart"/>
            <w:tcBorders>
              <w:top w:val="nil"/>
              <w:left w:val="nil"/>
              <w:bottom w:val="single" w:color="000000" w:sz="8" w:space="0"/>
              <w:right w:val="single" w:color="000000" w:sz="8" w:space="0"/>
            </w:tcBorders>
            <w:shd w:val="clear" w:color="auto" w:fill="DBE4F0"/>
            <w:vAlign w:val="center"/>
          </w:tcPr>
          <w:p w14:paraId="440D7CF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暖通系统</w:t>
            </w:r>
          </w:p>
        </w:tc>
        <w:tc>
          <w:tcPr>
            <w:tcW w:w="1510" w:type="dxa"/>
            <w:tcBorders>
              <w:top w:val="nil"/>
              <w:left w:val="nil"/>
              <w:bottom w:val="single" w:color="000000" w:sz="8" w:space="0"/>
              <w:right w:val="single" w:color="000000" w:sz="8" w:space="0"/>
            </w:tcBorders>
            <w:shd w:val="clear" w:color="auto" w:fill="DBE4F0"/>
            <w:vAlign w:val="top"/>
          </w:tcPr>
          <w:p w14:paraId="3DC3B11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VRV</w:t>
            </w:r>
          </w:p>
        </w:tc>
        <w:tc>
          <w:tcPr>
            <w:tcW w:w="749" w:type="dxa"/>
            <w:tcBorders>
              <w:top w:val="nil"/>
              <w:left w:val="nil"/>
              <w:bottom w:val="single" w:color="000000" w:sz="8" w:space="0"/>
              <w:right w:val="single" w:color="000000" w:sz="8" w:space="0"/>
            </w:tcBorders>
            <w:shd w:val="clear" w:color="auto" w:fill="DCE6F0"/>
            <w:vAlign w:val="top"/>
          </w:tcPr>
          <w:p w14:paraId="39674FB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CE6F0"/>
            <w:vAlign w:val="top"/>
          </w:tcPr>
          <w:p w14:paraId="56F0510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CE6F0"/>
            <w:vAlign w:val="top"/>
          </w:tcPr>
          <w:p w14:paraId="4B7DFCE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CE6F0"/>
            <w:vAlign w:val="top"/>
          </w:tcPr>
          <w:p w14:paraId="44A762DB">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CE6F0"/>
            <w:vAlign w:val="top"/>
          </w:tcPr>
          <w:p w14:paraId="34C06DAD">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CE6F0"/>
            <w:vAlign w:val="top"/>
          </w:tcPr>
          <w:p w14:paraId="4B04B889">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CE6F0"/>
            <w:vAlign w:val="top"/>
          </w:tcPr>
          <w:p w14:paraId="00904E1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CE6F0"/>
            <w:vAlign w:val="top"/>
          </w:tcPr>
          <w:p w14:paraId="2F348E5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38E9C4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BE4F0"/>
            <w:vAlign w:val="top"/>
          </w:tcPr>
          <w:p w14:paraId="4413A60E">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24</w:t>
            </w:r>
          </w:p>
        </w:tc>
        <w:tc>
          <w:tcPr>
            <w:tcW w:w="951" w:type="dxa"/>
            <w:vMerge w:val="continue"/>
            <w:tcBorders>
              <w:top w:val="nil"/>
              <w:left w:val="nil"/>
              <w:bottom w:val="single" w:color="000000" w:sz="8" w:space="0"/>
              <w:right w:val="single" w:color="000000" w:sz="8" w:space="0"/>
            </w:tcBorders>
            <w:shd w:val="clear" w:color="auto" w:fill="DBE4F0"/>
            <w:vAlign w:val="center"/>
          </w:tcPr>
          <w:p w14:paraId="67D8704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BE4F0"/>
            <w:vAlign w:val="top"/>
          </w:tcPr>
          <w:p w14:paraId="000B094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太阳能热水器</w:t>
            </w:r>
          </w:p>
        </w:tc>
        <w:tc>
          <w:tcPr>
            <w:tcW w:w="749" w:type="dxa"/>
            <w:tcBorders>
              <w:top w:val="nil"/>
              <w:left w:val="nil"/>
              <w:bottom w:val="single" w:color="000000" w:sz="8" w:space="0"/>
              <w:right w:val="single" w:color="000000" w:sz="8" w:space="0"/>
            </w:tcBorders>
            <w:shd w:val="clear" w:color="auto" w:fill="DCE6F0"/>
            <w:vAlign w:val="top"/>
          </w:tcPr>
          <w:p w14:paraId="197D06F6">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CE6F0"/>
            <w:vAlign w:val="top"/>
          </w:tcPr>
          <w:p w14:paraId="36B90F8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CE6F0"/>
            <w:vAlign w:val="top"/>
          </w:tcPr>
          <w:p w14:paraId="6A85973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CE6F0"/>
            <w:vAlign w:val="top"/>
          </w:tcPr>
          <w:p w14:paraId="7FDDC745">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CE6F0"/>
            <w:vAlign w:val="top"/>
          </w:tcPr>
          <w:p w14:paraId="76CDA62E">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CE6F0"/>
            <w:vAlign w:val="top"/>
          </w:tcPr>
          <w:p w14:paraId="032148C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CE6F0"/>
            <w:vAlign w:val="top"/>
          </w:tcPr>
          <w:p w14:paraId="1F52E3C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CE6F0"/>
            <w:vAlign w:val="top"/>
          </w:tcPr>
          <w:p w14:paraId="2BD5767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283374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BE4F0"/>
            <w:vAlign w:val="top"/>
          </w:tcPr>
          <w:p w14:paraId="29D209D4">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25</w:t>
            </w:r>
          </w:p>
        </w:tc>
        <w:tc>
          <w:tcPr>
            <w:tcW w:w="951" w:type="dxa"/>
            <w:vMerge w:val="continue"/>
            <w:tcBorders>
              <w:top w:val="nil"/>
              <w:left w:val="nil"/>
              <w:bottom w:val="single" w:color="000000" w:sz="8" w:space="0"/>
              <w:right w:val="single" w:color="000000" w:sz="8" w:space="0"/>
            </w:tcBorders>
            <w:shd w:val="clear" w:color="auto" w:fill="DBE4F0"/>
            <w:vAlign w:val="center"/>
          </w:tcPr>
          <w:p w14:paraId="32DAFF6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BE4F0"/>
            <w:vAlign w:val="top"/>
          </w:tcPr>
          <w:p w14:paraId="4C22CFA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地暖壁挂炉</w:t>
            </w:r>
          </w:p>
        </w:tc>
        <w:tc>
          <w:tcPr>
            <w:tcW w:w="749" w:type="dxa"/>
            <w:tcBorders>
              <w:top w:val="nil"/>
              <w:left w:val="nil"/>
              <w:bottom w:val="single" w:color="000000" w:sz="8" w:space="0"/>
              <w:right w:val="single" w:color="000000" w:sz="8" w:space="0"/>
            </w:tcBorders>
            <w:shd w:val="clear" w:color="auto" w:fill="DCE6F0"/>
            <w:vAlign w:val="top"/>
          </w:tcPr>
          <w:p w14:paraId="3E7C227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CE6F0"/>
            <w:vAlign w:val="top"/>
          </w:tcPr>
          <w:p w14:paraId="2E24E548">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CE6F0"/>
            <w:vAlign w:val="top"/>
          </w:tcPr>
          <w:p w14:paraId="4CEBF4D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CE6F0"/>
            <w:vAlign w:val="top"/>
          </w:tcPr>
          <w:p w14:paraId="3353D25E">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CE6F0"/>
            <w:vAlign w:val="top"/>
          </w:tcPr>
          <w:p w14:paraId="63F0F7E1">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CE6F0"/>
            <w:vAlign w:val="top"/>
          </w:tcPr>
          <w:p w14:paraId="0789B62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CE6F0"/>
            <w:vAlign w:val="top"/>
          </w:tcPr>
          <w:p w14:paraId="484DDE80">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CE6F0"/>
            <w:vAlign w:val="top"/>
          </w:tcPr>
          <w:p w14:paraId="0E772CF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027FE6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6" w:hRule="atLeast"/>
        </w:trPr>
        <w:tc>
          <w:tcPr>
            <w:tcW w:w="760" w:type="dxa"/>
            <w:tcBorders>
              <w:top w:val="nil"/>
              <w:left w:val="single" w:color="000000" w:sz="8" w:space="0"/>
              <w:bottom w:val="single" w:color="000000" w:sz="8" w:space="0"/>
              <w:right w:val="single" w:color="000000" w:sz="8" w:space="0"/>
            </w:tcBorders>
            <w:shd w:val="clear" w:color="auto" w:fill="DBE4F0"/>
            <w:vAlign w:val="top"/>
          </w:tcPr>
          <w:p w14:paraId="44BD4D27">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23</w:t>
            </w:r>
          </w:p>
        </w:tc>
        <w:tc>
          <w:tcPr>
            <w:tcW w:w="951" w:type="dxa"/>
            <w:vMerge w:val="continue"/>
            <w:tcBorders>
              <w:top w:val="nil"/>
              <w:left w:val="nil"/>
              <w:bottom w:val="single" w:color="000000" w:sz="8" w:space="0"/>
              <w:right w:val="single" w:color="000000" w:sz="8" w:space="0"/>
            </w:tcBorders>
            <w:shd w:val="clear" w:color="auto" w:fill="DBE4F0"/>
            <w:vAlign w:val="center"/>
          </w:tcPr>
          <w:p w14:paraId="1E6CD5B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BE4F0"/>
            <w:vAlign w:val="top"/>
          </w:tcPr>
          <w:p w14:paraId="1778D803">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集分水器</w:t>
            </w:r>
          </w:p>
        </w:tc>
        <w:tc>
          <w:tcPr>
            <w:tcW w:w="749" w:type="dxa"/>
            <w:tcBorders>
              <w:top w:val="nil"/>
              <w:left w:val="nil"/>
              <w:bottom w:val="single" w:color="000000" w:sz="8" w:space="0"/>
              <w:right w:val="single" w:color="000000" w:sz="8" w:space="0"/>
            </w:tcBorders>
            <w:shd w:val="clear" w:color="auto" w:fill="DCE6F0"/>
            <w:vAlign w:val="top"/>
          </w:tcPr>
          <w:p w14:paraId="05A89C5C">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CE6F0"/>
            <w:vAlign w:val="top"/>
          </w:tcPr>
          <w:p w14:paraId="4B0CB90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CE6F0"/>
            <w:vAlign w:val="top"/>
          </w:tcPr>
          <w:p w14:paraId="58DFF67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CE6F0"/>
            <w:vAlign w:val="top"/>
          </w:tcPr>
          <w:p w14:paraId="43AF9116">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CE6F0"/>
            <w:vAlign w:val="top"/>
          </w:tcPr>
          <w:p w14:paraId="5049AC75">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CE6F0"/>
            <w:vAlign w:val="top"/>
          </w:tcPr>
          <w:p w14:paraId="088FA305">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CE6F0"/>
            <w:vAlign w:val="top"/>
          </w:tcPr>
          <w:p w14:paraId="3BBE0C4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CE6F0"/>
            <w:vAlign w:val="top"/>
          </w:tcPr>
          <w:p w14:paraId="04ADDE1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r w14:paraId="7D8473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trPr>
        <w:tc>
          <w:tcPr>
            <w:tcW w:w="760" w:type="dxa"/>
            <w:tcBorders>
              <w:top w:val="nil"/>
              <w:left w:val="single" w:color="000000" w:sz="8" w:space="0"/>
              <w:bottom w:val="single" w:color="000000" w:sz="8" w:space="0"/>
              <w:right w:val="single" w:color="000000" w:sz="8" w:space="0"/>
            </w:tcBorders>
            <w:shd w:val="clear" w:color="auto" w:fill="DBE4F0"/>
            <w:vAlign w:val="top"/>
          </w:tcPr>
          <w:p w14:paraId="58D31CE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24</w:t>
            </w:r>
          </w:p>
        </w:tc>
        <w:tc>
          <w:tcPr>
            <w:tcW w:w="951" w:type="dxa"/>
            <w:vMerge w:val="continue"/>
            <w:tcBorders>
              <w:top w:val="nil"/>
              <w:left w:val="nil"/>
              <w:bottom w:val="single" w:color="000000" w:sz="8" w:space="0"/>
              <w:right w:val="single" w:color="000000" w:sz="8" w:space="0"/>
            </w:tcBorders>
            <w:shd w:val="clear" w:color="auto" w:fill="DBE4F0"/>
            <w:vAlign w:val="center"/>
          </w:tcPr>
          <w:p w14:paraId="31983CC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10" w:type="dxa"/>
            <w:tcBorders>
              <w:top w:val="nil"/>
              <w:left w:val="nil"/>
              <w:bottom w:val="single" w:color="000000" w:sz="8" w:space="0"/>
              <w:right w:val="single" w:color="000000" w:sz="8" w:space="0"/>
            </w:tcBorders>
            <w:shd w:val="clear" w:color="auto" w:fill="DBE4F0"/>
            <w:vAlign w:val="top"/>
          </w:tcPr>
          <w:p w14:paraId="79D9580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新风机组</w:t>
            </w:r>
          </w:p>
        </w:tc>
        <w:tc>
          <w:tcPr>
            <w:tcW w:w="749" w:type="dxa"/>
            <w:tcBorders>
              <w:top w:val="nil"/>
              <w:left w:val="nil"/>
              <w:bottom w:val="single" w:color="000000" w:sz="8" w:space="0"/>
              <w:right w:val="single" w:color="000000" w:sz="8" w:space="0"/>
            </w:tcBorders>
            <w:shd w:val="clear" w:color="auto" w:fill="DCE6F0"/>
            <w:vAlign w:val="top"/>
          </w:tcPr>
          <w:p w14:paraId="6365E0AF">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CE6F0"/>
            <w:vAlign w:val="top"/>
          </w:tcPr>
          <w:p w14:paraId="2845C091">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54" w:type="dxa"/>
            <w:tcBorders>
              <w:top w:val="nil"/>
              <w:left w:val="nil"/>
              <w:bottom w:val="single" w:color="000000" w:sz="8" w:space="0"/>
              <w:right w:val="single" w:color="000000" w:sz="8" w:space="0"/>
            </w:tcBorders>
            <w:shd w:val="clear" w:color="auto" w:fill="DCE6F0"/>
            <w:vAlign w:val="top"/>
          </w:tcPr>
          <w:p w14:paraId="540129B9">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CE6F0"/>
            <w:vAlign w:val="top"/>
          </w:tcPr>
          <w:p w14:paraId="5543E9CC">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CE6F0"/>
            <w:vAlign w:val="top"/>
          </w:tcPr>
          <w:p w14:paraId="4B7E3092">
            <w:pPr>
              <w:keepNext w:val="0"/>
              <w:keepLines w:val="0"/>
              <w:suppressLineNumbers w:val="0"/>
              <w:spacing w:before="0" w:beforeAutospacing="0" w:after="0" w:afterAutospacing="0"/>
              <w:ind w:left="0" w:right="0"/>
              <w:jc w:val="left"/>
              <w:outlineLvl w:val="9"/>
              <w:rPr>
                <w:rFonts w:hint="default" w:ascii="Times New Roman" w:hAnsi="Times New Roman" w:eastAsia="宋体" w:cs="Times New Roman"/>
                <w:i w:val="0"/>
                <w:iCs w:val="0"/>
                <w:color w:val="auto"/>
                <w:sz w:val="18"/>
                <w:szCs w:val="18"/>
                <w:highlight w:val="none"/>
                <w:u w:val="none"/>
              </w:rPr>
            </w:pPr>
          </w:p>
        </w:tc>
        <w:tc>
          <w:tcPr>
            <w:tcW w:w="749" w:type="dxa"/>
            <w:tcBorders>
              <w:top w:val="nil"/>
              <w:left w:val="nil"/>
              <w:bottom w:val="single" w:color="000000" w:sz="8" w:space="0"/>
              <w:right w:val="single" w:color="000000" w:sz="8" w:space="0"/>
            </w:tcBorders>
            <w:shd w:val="clear" w:color="auto" w:fill="DCE6F0"/>
            <w:vAlign w:val="top"/>
          </w:tcPr>
          <w:p w14:paraId="6A7B336A">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749" w:type="dxa"/>
            <w:tcBorders>
              <w:top w:val="nil"/>
              <w:left w:val="nil"/>
              <w:bottom w:val="single" w:color="000000" w:sz="8" w:space="0"/>
              <w:right w:val="single" w:color="000000" w:sz="8" w:space="0"/>
            </w:tcBorders>
            <w:shd w:val="clear" w:color="auto" w:fill="DCE6F0"/>
            <w:vAlign w:val="top"/>
          </w:tcPr>
          <w:p w14:paraId="7DC8BB52">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167" w:type="dxa"/>
            <w:tcBorders>
              <w:top w:val="nil"/>
              <w:left w:val="nil"/>
              <w:bottom w:val="single" w:color="000000" w:sz="8" w:space="0"/>
              <w:right w:val="single" w:color="000000" w:sz="8" w:space="0"/>
            </w:tcBorders>
            <w:shd w:val="clear" w:color="auto" w:fill="DCE6F0"/>
            <w:vAlign w:val="top"/>
          </w:tcPr>
          <w:p w14:paraId="3D1C97A5">
            <w:pPr>
              <w:keepNext w:val="0"/>
              <w:keepLines w:val="0"/>
              <w:widowControl/>
              <w:suppressLineNumbers w:val="0"/>
              <w:spacing w:before="0" w:beforeAutospacing="0" w:after="0" w:afterAutospacing="0"/>
              <w:ind w:left="0" w:right="0"/>
              <w:jc w:val="center"/>
              <w:textAlignment w:val="top"/>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资料、图片</w:t>
            </w:r>
          </w:p>
        </w:tc>
      </w:tr>
    </w:tbl>
    <w:p w14:paraId="0840F9FA">
      <w:pPr>
        <w:outlineLvl w:val="9"/>
        <w:rPr>
          <w:rFonts w:asciiTheme="minorEastAsia" w:hAnsiTheme="minorEastAsia" w:eastAsiaTheme="minorEastAsia"/>
          <w:color w:val="auto"/>
          <w:highlight w:val="none"/>
        </w:rPr>
      </w:pPr>
    </w:p>
    <w:p w14:paraId="58954866">
      <w:pP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br w:type="page"/>
      </w:r>
    </w:p>
    <w:p w14:paraId="1D9492FA">
      <w:pPr>
        <w:spacing w:line="360" w:lineRule="auto"/>
        <w:contextualSpacing/>
        <w:outlineLvl w:val="9"/>
        <w:rPr>
          <w:rFonts w:asciiTheme="minorEastAsia" w:hAnsiTheme="minorEastAsia" w:eastAsiaTheme="minorEastAsia"/>
          <w:color w:val="auto"/>
          <w:sz w:val="24"/>
          <w:highlight w:val="none"/>
        </w:rPr>
      </w:pPr>
      <w:r>
        <w:rPr>
          <w:rFonts w:hint="eastAsia" w:cs="宋体" w:asciiTheme="minorEastAsia" w:hAnsiTheme="minorEastAsia" w:eastAsiaTheme="minorEastAsia"/>
          <w:color w:val="auto"/>
          <w:szCs w:val="21"/>
          <w:highlight w:val="none"/>
        </w:rPr>
        <w:t>附表</w:t>
      </w:r>
      <w:r>
        <w:rPr>
          <w:rFonts w:hint="eastAsia" w:asciiTheme="minorEastAsia" w:hAnsiTheme="minorEastAsia" w:eastAsiaTheme="minorEastAsia"/>
          <w:color w:val="auto"/>
          <w:sz w:val="24"/>
          <w:highlight w:val="none"/>
        </w:rPr>
        <w:t>2：</w:t>
      </w:r>
    </w:p>
    <w:p w14:paraId="6EC941A5">
      <w:pPr>
        <w:widowControl w:val="0"/>
        <w:spacing w:line="360" w:lineRule="auto"/>
        <w:jc w:val="center"/>
        <w:outlineLvl w:val="9"/>
        <w:rPr>
          <w:rFonts w:hint="eastAsia" w:ascii="宋体" w:hAnsi="宋体"/>
          <w:b/>
          <w:color w:val="auto"/>
          <w:sz w:val="32"/>
          <w:szCs w:val="32"/>
          <w:highlight w:val="none"/>
          <w:lang w:eastAsia="zh-CN"/>
        </w:rPr>
      </w:pPr>
      <w:r>
        <w:rPr>
          <w:rStyle w:val="383"/>
          <w:color w:val="auto"/>
          <w:highlight w:val="none"/>
          <w:u w:val="none"/>
          <w:lang w:val="en-US" w:eastAsia="zh-CN" w:bidi="ar"/>
        </w:rPr>
        <w:t>经发地产</w:t>
      </w:r>
      <w:r>
        <w:rPr>
          <w:rStyle w:val="383"/>
          <w:color w:val="auto"/>
          <w:highlight w:val="none"/>
          <w:lang w:val="en-US" w:eastAsia="zh-CN" w:bidi="ar"/>
        </w:rPr>
        <w:t xml:space="preserve">      </w:t>
      </w:r>
      <w:r>
        <w:rPr>
          <w:rStyle w:val="375"/>
          <w:color w:val="auto"/>
          <w:highlight w:val="none"/>
          <w:lang w:val="en-US" w:eastAsia="zh-CN" w:bidi="ar"/>
        </w:rPr>
        <w:t>项目</w:t>
      </w:r>
      <w:r>
        <w:rPr>
          <w:rStyle w:val="375"/>
          <w:rFonts w:hint="eastAsia"/>
          <w:color w:val="auto"/>
          <w:highlight w:val="none"/>
          <w:u w:val="single"/>
          <w:lang w:val="en-US" w:eastAsia="zh-CN" w:bidi="ar"/>
        </w:rPr>
        <w:t xml:space="preserve">       </w:t>
      </w:r>
      <w:r>
        <w:rPr>
          <w:rStyle w:val="375"/>
          <w:rFonts w:hint="eastAsia"/>
          <w:color w:val="auto"/>
          <w:highlight w:val="none"/>
          <w:u w:val="none"/>
          <w:lang w:val="en-US" w:eastAsia="zh-CN" w:bidi="ar"/>
        </w:rPr>
        <w:t>标段材料（设备）</w:t>
      </w:r>
      <w:r>
        <w:rPr>
          <w:rStyle w:val="375"/>
          <w:color w:val="auto"/>
          <w:highlight w:val="none"/>
          <w:lang w:val="en-US" w:eastAsia="zh-CN" w:bidi="ar"/>
        </w:rPr>
        <w:t>封样确认单</w:t>
      </w:r>
    </w:p>
    <w:tbl>
      <w:tblPr>
        <w:tblStyle w:val="56"/>
        <w:tblW w:w="910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20"/>
        <w:gridCol w:w="3180"/>
        <w:gridCol w:w="1662"/>
        <w:gridCol w:w="2646"/>
      </w:tblGrid>
      <w:tr w14:paraId="65A6B6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620" w:type="dxa"/>
            <w:noWrap w:val="0"/>
            <w:vAlign w:val="top"/>
          </w:tcPr>
          <w:p w14:paraId="0549A69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cs="宋体"/>
                <w:i w:val="0"/>
                <w:iCs w:val="0"/>
                <w:color w:val="auto"/>
                <w:kern w:val="0"/>
                <w:sz w:val="20"/>
                <w:szCs w:val="20"/>
                <w:highlight w:val="none"/>
                <w:u w:val="none"/>
                <w:lang w:val="en-US" w:eastAsia="zh-CN" w:bidi="ar"/>
              </w:rPr>
              <w:t>样品</w:t>
            </w:r>
            <w:r>
              <w:rPr>
                <w:rFonts w:hint="eastAsia" w:ascii="宋体" w:hAnsi="宋体" w:eastAsia="宋体" w:cs="宋体"/>
                <w:i w:val="0"/>
                <w:iCs w:val="0"/>
                <w:color w:val="auto"/>
                <w:kern w:val="0"/>
                <w:sz w:val="20"/>
                <w:szCs w:val="20"/>
                <w:highlight w:val="none"/>
                <w:u w:val="none"/>
                <w:lang w:val="en-US" w:eastAsia="zh-CN" w:bidi="ar"/>
              </w:rPr>
              <w:t>名称</w:t>
            </w:r>
          </w:p>
        </w:tc>
        <w:tc>
          <w:tcPr>
            <w:tcW w:w="3180" w:type="dxa"/>
            <w:noWrap w:val="0"/>
            <w:vAlign w:val="top"/>
          </w:tcPr>
          <w:p w14:paraId="055E9C1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p>
        </w:tc>
        <w:tc>
          <w:tcPr>
            <w:tcW w:w="1662" w:type="dxa"/>
            <w:noWrap w:val="0"/>
            <w:vAlign w:val="top"/>
          </w:tcPr>
          <w:p w14:paraId="1EBE5583">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样品编号</w:t>
            </w:r>
          </w:p>
        </w:tc>
        <w:tc>
          <w:tcPr>
            <w:tcW w:w="2646" w:type="dxa"/>
            <w:noWrap w:val="0"/>
            <w:vAlign w:val="top"/>
          </w:tcPr>
          <w:p w14:paraId="60B15AF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Times New Roman" w:hAnsi="Times New Roman" w:cs="Times New Roman"/>
                <w:i w:val="0"/>
                <w:iCs w:val="0"/>
                <w:color w:val="auto"/>
                <w:sz w:val="20"/>
                <w:szCs w:val="20"/>
                <w:highlight w:val="none"/>
                <w:u w:val="none"/>
                <w:lang w:val="en-US" w:eastAsia="zh-CN"/>
              </w:rPr>
              <w:t>**项目**标段**号样品</w:t>
            </w:r>
          </w:p>
        </w:tc>
      </w:tr>
      <w:tr w14:paraId="203303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620" w:type="dxa"/>
            <w:noWrap w:val="0"/>
            <w:vAlign w:val="top"/>
          </w:tcPr>
          <w:p w14:paraId="61D4313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cs="宋体"/>
                <w:i w:val="0"/>
                <w:iCs w:val="0"/>
                <w:color w:val="auto"/>
                <w:kern w:val="0"/>
                <w:sz w:val="20"/>
                <w:szCs w:val="20"/>
                <w:highlight w:val="none"/>
                <w:u w:val="none"/>
                <w:lang w:val="en-US" w:eastAsia="zh-CN" w:bidi="ar"/>
              </w:rPr>
              <w:t>规格型号</w:t>
            </w:r>
          </w:p>
        </w:tc>
        <w:tc>
          <w:tcPr>
            <w:tcW w:w="3180" w:type="dxa"/>
            <w:noWrap w:val="0"/>
            <w:vAlign w:val="top"/>
          </w:tcPr>
          <w:p w14:paraId="1F7ADE4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p>
        </w:tc>
        <w:tc>
          <w:tcPr>
            <w:tcW w:w="1662" w:type="dxa"/>
            <w:noWrap w:val="0"/>
            <w:vAlign w:val="top"/>
          </w:tcPr>
          <w:p w14:paraId="6EAD945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使用部位</w:t>
            </w:r>
          </w:p>
        </w:tc>
        <w:tc>
          <w:tcPr>
            <w:tcW w:w="2646" w:type="dxa"/>
            <w:noWrap w:val="0"/>
            <w:vAlign w:val="top"/>
          </w:tcPr>
          <w:p w14:paraId="4E4F7706">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p>
        </w:tc>
      </w:tr>
      <w:tr w14:paraId="4F79B9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620" w:type="dxa"/>
            <w:noWrap w:val="0"/>
            <w:vAlign w:val="top"/>
          </w:tcPr>
          <w:p w14:paraId="678E1CD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cs="宋体"/>
                <w:i w:val="0"/>
                <w:iCs w:val="0"/>
                <w:color w:val="auto"/>
                <w:kern w:val="0"/>
                <w:sz w:val="20"/>
                <w:szCs w:val="20"/>
                <w:highlight w:val="none"/>
                <w:u w:val="none"/>
                <w:lang w:val="en-US" w:eastAsia="zh-CN" w:bidi="ar"/>
              </w:rPr>
              <w:t>材质</w:t>
            </w:r>
          </w:p>
        </w:tc>
        <w:tc>
          <w:tcPr>
            <w:tcW w:w="3180" w:type="dxa"/>
            <w:noWrap w:val="0"/>
            <w:vAlign w:val="top"/>
          </w:tcPr>
          <w:p w14:paraId="1C6CDED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p>
        </w:tc>
        <w:tc>
          <w:tcPr>
            <w:tcW w:w="1662" w:type="dxa"/>
            <w:noWrap w:val="0"/>
            <w:vAlign w:val="top"/>
          </w:tcPr>
          <w:p w14:paraId="7D5B9361">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品牌及产地</w:t>
            </w:r>
          </w:p>
        </w:tc>
        <w:tc>
          <w:tcPr>
            <w:tcW w:w="2646" w:type="dxa"/>
            <w:noWrap w:val="0"/>
            <w:vAlign w:val="top"/>
          </w:tcPr>
          <w:p w14:paraId="286666F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p>
        </w:tc>
      </w:tr>
      <w:tr w14:paraId="488E7E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620" w:type="dxa"/>
            <w:noWrap w:val="0"/>
            <w:vAlign w:val="top"/>
          </w:tcPr>
          <w:p w14:paraId="5EFE5C85">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送样单位</w:t>
            </w:r>
          </w:p>
        </w:tc>
        <w:tc>
          <w:tcPr>
            <w:tcW w:w="3180" w:type="dxa"/>
            <w:noWrap w:val="0"/>
            <w:vAlign w:val="top"/>
          </w:tcPr>
          <w:p w14:paraId="119B4E2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p>
        </w:tc>
        <w:tc>
          <w:tcPr>
            <w:tcW w:w="1662" w:type="dxa"/>
            <w:noWrap w:val="0"/>
            <w:vAlign w:val="top"/>
          </w:tcPr>
          <w:p w14:paraId="5238DB2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封样日期</w:t>
            </w:r>
          </w:p>
        </w:tc>
        <w:tc>
          <w:tcPr>
            <w:tcW w:w="2646" w:type="dxa"/>
            <w:noWrap w:val="0"/>
            <w:vAlign w:val="top"/>
          </w:tcPr>
          <w:p w14:paraId="480C624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p>
        </w:tc>
      </w:tr>
      <w:tr w14:paraId="21E528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620" w:type="dxa"/>
            <w:noWrap w:val="0"/>
            <w:vAlign w:val="top"/>
          </w:tcPr>
          <w:p w14:paraId="0E1FDF5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cs="宋体"/>
                <w:i w:val="0"/>
                <w:iCs w:val="0"/>
                <w:color w:val="auto"/>
                <w:kern w:val="0"/>
                <w:sz w:val="20"/>
                <w:szCs w:val="20"/>
                <w:highlight w:val="none"/>
                <w:u w:val="none"/>
                <w:lang w:val="en-US" w:eastAsia="zh-CN" w:bidi="ar"/>
              </w:rPr>
              <w:t>技术参数</w:t>
            </w:r>
          </w:p>
        </w:tc>
        <w:tc>
          <w:tcPr>
            <w:tcW w:w="7488" w:type="dxa"/>
            <w:gridSpan w:val="3"/>
            <w:noWrap w:val="0"/>
            <w:vAlign w:val="top"/>
          </w:tcPr>
          <w:p w14:paraId="520BF06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p>
        </w:tc>
      </w:tr>
      <w:tr w14:paraId="73ED9C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620" w:type="dxa"/>
            <w:noWrap w:val="0"/>
            <w:vAlign w:val="top"/>
          </w:tcPr>
          <w:p w14:paraId="30DCE38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样品形式</w:t>
            </w:r>
          </w:p>
        </w:tc>
        <w:tc>
          <w:tcPr>
            <w:tcW w:w="3180" w:type="dxa"/>
            <w:noWrap w:val="0"/>
            <w:vAlign w:val="top"/>
          </w:tcPr>
          <w:p w14:paraId="13203833">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□实物    □照片</w:t>
            </w:r>
          </w:p>
        </w:tc>
        <w:tc>
          <w:tcPr>
            <w:tcW w:w="1662" w:type="dxa"/>
            <w:noWrap w:val="0"/>
            <w:vAlign w:val="top"/>
          </w:tcPr>
          <w:p w14:paraId="4F938B19">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样品是否完好</w:t>
            </w:r>
          </w:p>
        </w:tc>
        <w:tc>
          <w:tcPr>
            <w:tcW w:w="2646" w:type="dxa"/>
            <w:noWrap w:val="0"/>
            <w:vAlign w:val="top"/>
          </w:tcPr>
          <w:p w14:paraId="269EA9F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□是    □否</w:t>
            </w:r>
          </w:p>
        </w:tc>
      </w:tr>
      <w:tr w14:paraId="458D65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620" w:type="dxa"/>
            <w:noWrap w:val="0"/>
            <w:vAlign w:val="top"/>
          </w:tcPr>
          <w:p w14:paraId="3FD05A3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有否准用证</w:t>
            </w:r>
          </w:p>
        </w:tc>
        <w:tc>
          <w:tcPr>
            <w:tcW w:w="3180" w:type="dxa"/>
            <w:noWrap w:val="0"/>
            <w:vAlign w:val="top"/>
          </w:tcPr>
          <w:p w14:paraId="7819F71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□是    □否</w:t>
            </w:r>
          </w:p>
        </w:tc>
        <w:tc>
          <w:tcPr>
            <w:tcW w:w="1662" w:type="dxa"/>
            <w:noWrap w:val="0"/>
            <w:vAlign w:val="top"/>
          </w:tcPr>
          <w:p w14:paraId="6A14795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有否合格证书</w:t>
            </w:r>
          </w:p>
        </w:tc>
        <w:tc>
          <w:tcPr>
            <w:tcW w:w="2646" w:type="dxa"/>
            <w:noWrap w:val="0"/>
            <w:vAlign w:val="top"/>
          </w:tcPr>
          <w:p w14:paraId="264496F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□是    □否</w:t>
            </w:r>
          </w:p>
        </w:tc>
      </w:tr>
      <w:tr w14:paraId="1CBE0F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620" w:type="dxa"/>
            <w:noWrap w:val="0"/>
            <w:vAlign w:val="top"/>
          </w:tcPr>
          <w:p w14:paraId="489516D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有否技术资料</w:t>
            </w:r>
          </w:p>
        </w:tc>
        <w:tc>
          <w:tcPr>
            <w:tcW w:w="3180" w:type="dxa"/>
            <w:noWrap w:val="0"/>
            <w:vAlign w:val="top"/>
          </w:tcPr>
          <w:p w14:paraId="4B180E3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□是    □否</w:t>
            </w:r>
          </w:p>
        </w:tc>
        <w:tc>
          <w:tcPr>
            <w:tcW w:w="1662" w:type="dxa"/>
            <w:noWrap w:val="0"/>
            <w:vAlign w:val="top"/>
          </w:tcPr>
          <w:p w14:paraId="23528C9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有否检测报告</w:t>
            </w:r>
          </w:p>
        </w:tc>
        <w:tc>
          <w:tcPr>
            <w:tcW w:w="2646" w:type="dxa"/>
            <w:noWrap w:val="0"/>
            <w:vAlign w:val="top"/>
          </w:tcPr>
          <w:p w14:paraId="107024E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□是    □否</w:t>
            </w:r>
          </w:p>
        </w:tc>
      </w:tr>
      <w:tr w14:paraId="6C3B96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0" w:hRule="atLeast"/>
          <w:jc w:val="center"/>
        </w:trPr>
        <w:tc>
          <w:tcPr>
            <w:tcW w:w="1620" w:type="dxa"/>
            <w:noWrap w:val="0"/>
            <w:vAlign w:val="center"/>
          </w:tcPr>
          <w:p w14:paraId="09B387A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lang w:val="en-US" w:eastAsia="zh-CN" w:bidi="en-US"/>
              </w:rPr>
            </w:pPr>
            <w:r>
              <w:rPr>
                <w:rFonts w:hint="eastAsia" w:ascii="宋体" w:hAnsi="宋体" w:cs="宋体"/>
                <w:i w:val="0"/>
                <w:iCs w:val="0"/>
                <w:color w:val="auto"/>
                <w:kern w:val="0"/>
                <w:sz w:val="20"/>
                <w:szCs w:val="20"/>
                <w:highlight w:val="none"/>
                <w:u w:val="none"/>
                <w:lang w:val="en-US" w:eastAsia="zh-CN" w:bidi="ar"/>
              </w:rPr>
              <w:t>项目部</w:t>
            </w:r>
            <w:r>
              <w:rPr>
                <w:rFonts w:hint="eastAsia" w:ascii="宋体" w:hAnsi="宋体" w:eastAsia="宋体" w:cs="宋体"/>
                <w:i w:val="0"/>
                <w:iCs w:val="0"/>
                <w:color w:val="auto"/>
                <w:kern w:val="0"/>
                <w:sz w:val="20"/>
                <w:szCs w:val="20"/>
                <w:highlight w:val="none"/>
                <w:u w:val="none"/>
                <w:lang w:val="en-US" w:eastAsia="zh-CN" w:bidi="ar"/>
              </w:rPr>
              <w:t>签字</w:t>
            </w:r>
          </w:p>
        </w:tc>
        <w:tc>
          <w:tcPr>
            <w:tcW w:w="7488" w:type="dxa"/>
            <w:gridSpan w:val="3"/>
            <w:noWrap w:val="0"/>
            <w:vAlign w:val="center"/>
          </w:tcPr>
          <w:p w14:paraId="388183C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lang w:val="en-US" w:eastAsia="zh-CN" w:bidi="en-US"/>
              </w:rPr>
            </w:pPr>
            <w:r>
              <w:rPr>
                <w:rFonts w:hint="eastAsia" w:ascii="宋体" w:hAnsi="宋体" w:eastAsia="宋体" w:cs="宋体"/>
                <w:i w:val="0"/>
                <w:iCs w:val="0"/>
                <w:color w:val="auto"/>
                <w:kern w:val="0"/>
                <w:sz w:val="20"/>
                <w:szCs w:val="20"/>
                <w:highlight w:val="none"/>
                <w:u w:val="none"/>
                <w:lang w:val="en-US" w:eastAsia="zh-CN" w:bidi="ar"/>
              </w:rPr>
              <w:t>　　　　　　　　　　　　　　　　　年　　　月　　　日</w:t>
            </w:r>
          </w:p>
        </w:tc>
      </w:tr>
      <w:tr w14:paraId="7E3ADC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4" w:hRule="atLeast"/>
          <w:jc w:val="center"/>
        </w:trPr>
        <w:tc>
          <w:tcPr>
            <w:tcW w:w="1620" w:type="dxa"/>
            <w:noWrap w:val="0"/>
            <w:vAlign w:val="center"/>
          </w:tcPr>
          <w:p w14:paraId="61FDFA26">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lang w:val="en-US" w:eastAsia="zh-CN" w:bidi="en-US"/>
              </w:rPr>
            </w:pPr>
            <w:r>
              <w:rPr>
                <w:rFonts w:hint="eastAsia" w:ascii="宋体" w:hAnsi="宋体" w:cs="宋体"/>
                <w:i w:val="0"/>
                <w:iCs w:val="0"/>
                <w:color w:val="auto"/>
                <w:kern w:val="0"/>
                <w:sz w:val="20"/>
                <w:szCs w:val="20"/>
                <w:highlight w:val="none"/>
                <w:u w:val="none"/>
                <w:lang w:val="en-US" w:eastAsia="zh-CN" w:bidi="ar"/>
              </w:rPr>
              <w:t>总师办</w:t>
            </w:r>
            <w:r>
              <w:rPr>
                <w:rFonts w:hint="eastAsia" w:ascii="宋体" w:hAnsi="宋体" w:eastAsia="宋体" w:cs="宋体"/>
                <w:i w:val="0"/>
                <w:iCs w:val="0"/>
                <w:color w:val="auto"/>
                <w:kern w:val="0"/>
                <w:sz w:val="20"/>
                <w:szCs w:val="20"/>
                <w:highlight w:val="none"/>
                <w:u w:val="none"/>
                <w:lang w:val="en-US" w:eastAsia="zh-CN" w:bidi="ar"/>
              </w:rPr>
              <w:t>签字</w:t>
            </w:r>
          </w:p>
        </w:tc>
        <w:tc>
          <w:tcPr>
            <w:tcW w:w="7488" w:type="dxa"/>
            <w:gridSpan w:val="3"/>
            <w:noWrap w:val="0"/>
            <w:vAlign w:val="center"/>
          </w:tcPr>
          <w:p w14:paraId="31526EA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lang w:val="en-US" w:eastAsia="zh-CN" w:bidi="en-US"/>
              </w:rPr>
            </w:pPr>
            <w:r>
              <w:rPr>
                <w:rFonts w:hint="eastAsia" w:ascii="宋体" w:hAnsi="宋体" w:eastAsia="宋体" w:cs="宋体"/>
                <w:i w:val="0"/>
                <w:iCs w:val="0"/>
                <w:color w:val="auto"/>
                <w:kern w:val="0"/>
                <w:sz w:val="20"/>
                <w:szCs w:val="20"/>
                <w:highlight w:val="none"/>
                <w:u w:val="none"/>
                <w:lang w:val="en-US" w:eastAsia="zh-CN" w:bidi="ar"/>
              </w:rPr>
              <w:t>　　　　　　　　　　　　　　　　　年　　　月　　　日</w:t>
            </w:r>
          </w:p>
        </w:tc>
      </w:tr>
      <w:tr w14:paraId="528BEF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620" w:type="dxa"/>
            <w:noWrap w:val="0"/>
            <w:vAlign w:val="center"/>
          </w:tcPr>
          <w:p w14:paraId="598F1FA6">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lang w:val="en-US" w:eastAsia="zh-CN" w:bidi="en-US"/>
              </w:rPr>
            </w:pPr>
            <w:r>
              <w:rPr>
                <w:rFonts w:hint="eastAsia" w:ascii="宋体" w:hAnsi="宋体" w:eastAsia="宋体" w:cs="宋体"/>
                <w:i w:val="0"/>
                <w:iCs w:val="0"/>
                <w:color w:val="auto"/>
                <w:kern w:val="0"/>
                <w:sz w:val="20"/>
                <w:szCs w:val="20"/>
                <w:highlight w:val="none"/>
                <w:u w:val="none"/>
                <w:lang w:val="en-US" w:eastAsia="zh-CN" w:bidi="ar"/>
              </w:rPr>
              <w:t>招</w:t>
            </w:r>
            <w:r>
              <w:rPr>
                <w:rFonts w:hint="eastAsia" w:ascii="宋体" w:hAnsi="宋体" w:cs="宋体"/>
                <w:i w:val="0"/>
                <w:iCs w:val="0"/>
                <w:color w:val="auto"/>
                <w:kern w:val="0"/>
                <w:sz w:val="20"/>
                <w:szCs w:val="20"/>
                <w:highlight w:val="none"/>
                <w:u w:val="none"/>
                <w:lang w:val="en-US" w:eastAsia="zh-CN" w:bidi="ar"/>
              </w:rPr>
              <w:t>标</w:t>
            </w:r>
            <w:r>
              <w:rPr>
                <w:rFonts w:hint="eastAsia" w:ascii="宋体" w:hAnsi="宋体" w:eastAsia="宋体" w:cs="宋体"/>
                <w:i w:val="0"/>
                <w:iCs w:val="0"/>
                <w:color w:val="auto"/>
                <w:kern w:val="0"/>
                <w:sz w:val="20"/>
                <w:szCs w:val="20"/>
                <w:highlight w:val="none"/>
                <w:u w:val="none"/>
                <w:lang w:val="en-US" w:eastAsia="zh-CN" w:bidi="ar"/>
              </w:rPr>
              <w:t>采</w:t>
            </w:r>
            <w:r>
              <w:rPr>
                <w:rFonts w:hint="eastAsia" w:ascii="宋体" w:hAnsi="宋体" w:cs="宋体"/>
                <w:i w:val="0"/>
                <w:iCs w:val="0"/>
                <w:color w:val="auto"/>
                <w:kern w:val="0"/>
                <w:sz w:val="20"/>
                <w:szCs w:val="20"/>
                <w:highlight w:val="none"/>
                <w:u w:val="none"/>
                <w:lang w:val="en-US" w:eastAsia="zh-CN" w:bidi="ar"/>
              </w:rPr>
              <w:t>供</w:t>
            </w:r>
            <w:r>
              <w:rPr>
                <w:rFonts w:hint="eastAsia" w:ascii="宋体" w:hAnsi="宋体" w:eastAsia="宋体" w:cs="宋体"/>
                <w:i w:val="0"/>
                <w:iCs w:val="0"/>
                <w:color w:val="auto"/>
                <w:kern w:val="0"/>
                <w:sz w:val="20"/>
                <w:szCs w:val="20"/>
                <w:highlight w:val="none"/>
                <w:u w:val="none"/>
                <w:lang w:val="en-US" w:eastAsia="zh-CN" w:bidi="ar"/>
              </w:rPr>
              <w:t>部签字</w:t>
            </w:r>
          </w:p>
        </w:tc>
        <w:tc>
          <w:tcPr>
            <w:tcW w:w="7488" w:type="dxa"/>
            <w:gridSpan w:val="3"/>
            <w:noWrap w:val="0"/>
            <w:vAlign w:val="center"/>
          </w:tcPr>
          <w:p w14:paraId="5EEDE831">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lang w:val="en-US" w:eastAsia="zh-CN" w:bidi="en-US"/>
              </w:rPr>
            </w:pPr>
            <w:r>
              <w:rPr>
                <w:rFonts w:hint="eastAsia" w:ascii="宋体" w:hAnsi="宋体" w:eastAsia="宋体" w:cs="宋体"/>
                <w:i w:val="0"/>
                <w:iCs w:val="0"/>
                <w:color w:val="auto"/>
                <w:kern w:val="0"/>
                <w:sz w:val="20"/>
                <w:szCs w:val="20"/>
                <w:highlight w:val="none"/>
                <w:u w:val="none"/>
                <w:lang w:val="en-US" w:eastAsia="zh-CN" w:bidi="ar"/>
              </w:rPr>
              <w:t>　　　　　　　　　　　　　　　　　年　　　月　　　日</w:t>
            </w:r>
          </w:p>
        </w:tc>
      </w:tr>
      <w:tr w14:paraId="7DB796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620" w:type="dxa"/>
            <w:noWrap w:val="0"/>
            <w:vAlign w:val="center"/>
          </w:tcPr>
          <w:p w14:paraId="25D00B59">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cs="宋体"/>
                <w:i w:val="0"/>
                <w:iCs w:val="0"/>
                <w:color w:val="auto"/>
                <w:kern w:val="0"/>
                <w:sz w:val="20"/>
                <w:szCs w:val="20"/>
                <w:highlight w:val="none"/>
                <w:u w:val="none"/>
                <w:lang w:val="en-US" w:eastAsia="zh-CN" w:bidi="ar"/>
              </w:rPr>
              <w:t>备注</w:t>
            </w:r>
          </w:p>
        </w:tc>
        <w:tc>
          <w:tcPr>
            <w:tcW w:w="7488" w:type="dxa"/>
            <w:gridSpan w:val="3"/>
            <w:noWrap w:val="0"/>
            <w:vAlign w:val="center"/>
          </w:tcPr>
          <w:p w14:paraId="1CDB2EBC">
            <w:pPr>
              <w:keepNext w:val="0"/>
              <w:keepLines w:val="0"/>
              <w:widowControl/>
              <w:suppressLineNumbers w:val="0"/>
              <w:spacing w:before="0" w:beforeAutospacing="0" w:after="0" w:afterAutospacing="0"/>
              <w:ind w:left="0" w:right="0"/>
              <w:jc w:val="left"/>
              <w:textAlignment w:val="center"/>
              <w:outlineLvl w:val="9"/>
              <w:rPr>
                <w:rFonts w:hint="default" w:ascii="宋体" w:hAnsi="宋体" w:eastAsia="宋体" w:cs="宋体"/>
                <w:i w:val="0"/>
                <w:iCs w:val="0"/>
                <w:color w:val="auto"/>
                <w:kern w:val="0"/>
                <w:sz w:val="20"/>
                <w:szCs w:val="20"/>
                <w:highlight w:val="none"/>
                <w:u w:val="none"/>
                <w:lang w:val="en-US" w:eastAsia="zh-CN" w:bidi="ar"/>
              </w:rPr>
            </w:pPr>
            <w:r>
              <w:rPr>
                <w:rFonts w:hint="eastAsia" w:ascii="宋体" w:hAnsi="宋体" w:cs="宋体"/>
                <w:i w:val="0"/>
                <w:iCs w:val="0"/>
                <w:color w:val="auto"/>
                <w:kern w:val="0"/>
                <w:sz w:val="20"/>
                <w:szCs w:val="20"/>
                <w:highlight w:val="none"/>
                <w:u w:val="none"/>
                <w:lang w:val="en-US" w:eastAsia="zh-CN" w:bidi="ar"/>
              </w:rPr>
              <w:t>观感类重要材料总师办确认，非观感类重要材料招标采供部确认，一般性材料项目部确认</w:t>
            </w:r>
          </w:p>
        </w:tc>
      </w:tr>
      <w:tr w14:paraId="104B5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2" w:hRule="atLeast"/>
          <w:jc w:val="center"/>
        </w:trPr>
        <w:tc>
          <w:tcPr>
            <w:tcW w:w="9108" w:type="dxa"/>
            <w:gridSpan w:val="4"/>
            <w:tcBorders>
              <w:top w:val="nil"/>
              <w:left w:val="nil"/>
              <w:bottom w:val="nil"/>
              <w:right w:val="nil"/>
            </w:tcBorders>
            <w:noWrap/>
            <w:vAlign w:val="center"/>
          </w:tcPr>
          <w:p w14:paraId="7CFB411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p>
        </w:tc>
      </w:tr>
    </w:tbl>
    <w:p w14:paraId="7EB6F9D1">
      <w:pPr>
        <w:spacing w:line="360" w:lineRule="auto"/>
        <w:contextualSpacing/>
        <w:outlineLvl w:val="9"/>
        <w:rPr>
          <w:rFonts w:asciiTheme="minorEastAsia" w:hAnsiTheme="minorEastAsia" w:eastAsiaTheme="minorEastAsia"/>
          <w:color w:val="auto"/>
          <w:sz w:val="24"/>
          <w:highlight w:val="none"/>
        </w:rPr>
      </w:pPr>
      <w:r>
        <w:rPr>
          <w:rFonts w:asciiTheme="minorEastAsia" w:hAnsiTheme="minorEastAsia" w:eastAsiaTheme="minorEastAsia"/>
          <w:b/>
          <w:color w:val="auto"/>
          <w:highlight w:val="none"/>
        </w:rPr>
        <w:br w:type="page"/>
      </w:r>
      <w:r>
        <w:rPr>
          <w:rFonts w:hint="eastAsia" w:asciiTheme="minorEastAsia" w:hAnsiTheme="minorEastAsia" w:eastAsiaTheme="minorEastAsia"/>
          <w:color w:val="auto"/>
          <w:sz w:val="24"/>
          <w:highlight w:val="none"/>
        </w:rPr>
        <w:t>附表3：</w:t>
      </w:r>
    </w:p>
    <w:p w14:paraId="730B0DA0">
      <w:pPr>
        <w:widowControl w:val="0"/>
        <w:spacing w:line="360" w:lineRule="auto"/>
        <w:contextualSpacing/>
        <w:jc w:val="center"/>
        <w:outlineLvl w:val="9"/>
        <w:rPr>
          <w:rFonts w:hint="eastAsia" w:ascii="宋体" w:hAnsi="宋体"/>
          <w:b/>
          <w:color w:val="auto"/>
          <w:sz w:val="32"/>
          <w:szCs w:val="32"/>
          <w:highlight w:val="none"/>
          <w:lang w:eastAsia="zh-CN"/>
        </w:rPr>
      </w:pPr>
      <w:r>
        <w:rPr>
          <w:rFonts w:hint="eastAsia" w:ascii="宋体" w:hAnsi="宋体"/>
          <w:b/>
          <w:color w:val="auto"/>
          <w:sz w:val="32"/>
          <w:szCs w:val="32"/>
          <w:highlight w:val="none"/>
          <w:lang w:eastAsia="zh-CN"/>
        </w:rPr>
        <w:t>材料（设备）进场验收</w:t>
      </w:r>
    </w:p>
    <w:p w14:paraId="4D380286">
      <w:pPr>
        <w:widowControl w:val="0"/>
        <w:spacing w:line="360" w:lineRule="auto"/>
        <w:contextualSpacing/>
        <w:outlineLvl w:val="9"/>
        <w:rPr>
          <w:rFonts w:hint="eastAsia" w:ascii="宋体" w:hAnsi="宋体"/>
          <w:color w:val="auto"/>
          <w:highlight w:val="none"/>
          <w:lang w:eastAsia="zh-CN"/>
        </w:rPr>
      </w:pPr>
      <w:r>
        <w:rPr>
          <w:rFonts w:hint="eastAsia" w:ascii="宋体" w:hAnsi="宋体"/>
          <w:color w:val="auto"/>
          <w:highlight w:val="none"/>
          <w:lang w:eastAsia="zh-CN"/>
        </w:rPr>
        <w:t>工程名称：                                        编号：</w:t>
      </w:r>
    </w:p>
    <w:tbl>
      <w:tblPr>
        <w:tblStyle w:val="56"/>
        <w:tblW w:w="96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843"/>
        <w:gridCol w:w="1940"/>
        <w:gridCol w:w="688"/>
        <w:gridCol w:w="162"/>
        <w:gridCol w:w="851"/>
        <w:gridCol w:w="1319"/>
        <w:gridCol w:w="1232"/>
        <w:gridCol w:w="901"/>
      </w:tblGrid>
      <w:tr w14:paraId="49252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709" w:type="dxa"/>
            <w:noWrap w:val="0"/>
            <w:vAlign w:val="center"/>
          </w:tcPr>
          <w:p w14:paraId="1EAA20A3">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序号</w:t>
            </w:r>
          </w:p>
        </w:tc>
        <w:tc>
          <w:tcPr>
            <w:tcW w:w="1843" w:type="dxa"/>
            <w:noWrap w:val="0"/>
            <w:vAlign w:val="center"/>
          </w:tcPr>
          <w:p w14:paraId="769BAEE8">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到货名称</w:t>
            </w:r>
          </w:p>
        </w:tc>
        <w:tc>
          <w:tcPr>
            <w:tcW w:w="1940" w:type="dxa"/>
            <w:noWrap w:val="0"/>
            <w:vAlign w:val="center"/>
          </w:tcPr>
          <w:p w14:paraId="069B6001">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 xml:space="preserve">规格 </w:t>
            </w:r>
          </w:p>
        </w:tc>
        <w:tc>
          <w:tcPr>
            <w:tcW w:w="850" w:type="dxa"/>
            <w:gridSpan w:val="2"/>
            <w:noWrap w:val="0"/>
            <w:vAlign w:val="center"/>
          </w:tcPr>
          <w:p w14:paraId="7ABDB508">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单位</w:t>
            </w:r>
          </w:p>
        </w:tc>
        <w:tc>
          <w:tcPr>
            <w:tcW w:w="851" w:type="dxa"/>
            <w:noWrap w:val="0"/>
            <w:vAlign w:val="center"/>
          </w:tcPr>
          <w:p w14:paraId="66A2A1A2">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数量</w:t>
            </w:r>
          </w:p>
        </w:tc>
        <w:tc>
          <w:tcPr>
            <w:tcW w:w="1319" w:type="dxa"/>
            <w:noWrap w:val="0"/>
            <w:vAlign w:val="center"/>
          </w:tcPr>
          <w:p w14:paraId="1002AEDC">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品牌</w:t>
            </w:r>
          </w:p>
        </w:tc>
        <w:tc>
          <w:tcPr>
            <w:tcW w:w="1232" w:type="dxa"/>
            <w:noWrap w:val="0"/>
            <w:vAlign w:val="center"/>
          </w:tcPr>
          <w:p w14:paraId="3D3BE49D">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到货时间</w:t>
            </w:r>
          </w:p>
        </w:tc>
        <w:tc>
          <w:tcPr>
            <w:tcW w:w="901" w:type="dxa"/>
            <w:noWrap w:val="0"/>
            <w:vAlign w:val="center"/>
          </w:tcPr>
          <w:p w14:paraId="71B32CF2">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备注</w:t>
            </w:r>
          </w:p>
        </w:tc>
      </w:tr>
      <w:tr w14:paraId="28E1D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709" w:type="dxa"/>
            <w:noWrap w:val="0"/>
            <w:vAlign w:val="center"/>
          </w:tcPr>
          <w:p w14:paraId="491865EE">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843" w:type="dxa"/>
            <w:noWrap w:val="0"/>
            <w:vAlign w:val="center"/>
          </w:tcPr>
          <w:p w14:paraId="550C4E7D">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940" w:type="dxa"/>
            <w:noWrap w:val="0"/>
            <w:vAlign w:val="center"/>
          </w:tcPr>
          <w:p w14:paraId="575489BB">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850" w:type="dxa"/>
            <w:gridSpan w:val="2"/>
            <w:noWrap w:val="0"/>
            <w:vAlign w:val="center"/>
          </w:tcPr>
          <w:p w14:paraId="1366FC59">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851" w:type="dxa"/>
            <w:noWrap w:val="0"/>
            <w:vAlign w:val="center"/>
          </w:tcPr>
          <w:p w14:paraId="7BF2B9B1">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319" w:type="dxa"/>
            <w:noWrap w:val="0"/>
            <w:vAlign w:val="center"/>
          </w:tcPr>
          <w:p w14:paraId="19AD9DB2">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232" w:type="dxa"/>
            <w:noWrap w:val="0"/>
            <w:vAlign w:val="center"/>
          </w:tcPr>
          <w:p w14:paraId="7F94F2D0">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901" w:type="dxa"/>
            <w:noWrap w:val="0"/>
            <w:vAlign w:val="center"/>
          </w:tcPr>
          <w:p w14:paraId="7E18C3D3">
            <w:pPr>
              <w:keepNext w:val="0"/>
              <w:keepLines w:val="0"/>
              <w:widowControl w:val="0"/>
              <w:suppressLineNumbers w:val="0"/>
              <w:spacing w:before="0" w:beforeAutospacing="0" w:after="0" w:afterAutospacing="0" w:line="360" w:lineRule="auto"/>
              <w:ind w:left="222" w:right="0"/>
              <w:jc w:val="center"/>
              <w:outlineLvl w:val="9"/>
              <w:rPr>
                <w:rFonts w:hint="eastAsia" w:ascii="宋体" w:hAnsi="宋体" w:eastAsia="宋体" w:cs="宋体"/>
                <w:color w:val="auto"/>
                <w:sz w:val="21"/>
                <w:szCs w:val="21"/>
                <w:highlight w:val="none"/>
                <w:lang w:eastAsia="zh-CN"/>
              </w:rPr>
            </w:pPr>
          </w:p>
        </w:tc>
      </w:tr>
      <w:tr w14:paraId="4112B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709" w:type="dxa"/>
            <w:noWrap w:val="0"/>
            <w:vAlign w:val="center"/>
          </w:tcPr>
          <w:p w14:paraId="50095FED">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843" w:type="dxa"/>
            <w:noWrap w:val="0"/>
            <w:vAlign w:val="center"/>
          </w:tcPr>
          <w:p w14:paraId="0C4FBA5A">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940" w:type="dxa"/>
            <w:noWrap w:val="0"/>
            <w:vAlign w:val="center"/>
          </w:tcPr>
          <w:p w14:paraId="7EE1E266">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850" w:type="dxa"/>
            <w:gridSpan w:val="2"/>
            <w:noWrap w:val="0"/>
            <w:vAlign w:val="center"/>
          </w:tcPr>
          <w:p w14:paraId="5DBEDFF3">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851" w:type="dxa"/>
            <w:noWrap w:val="0"/>
            <w:vAlign w:val="center"/>
          </w:tcPr>
          <w:p w14:paraId="53D66C83">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319" w:type="dxa"/>
            <w:noWrap w:val="0"/>
            <w:vAlign w:val="center"/>
          </w:tcPr>
          <w:p w14:paraId="69F02AFD">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232" w:type="dxa"/>
            <w:noWrap w:val="0"/>
            <w:vAlign w:val="center"/>
          </w:tcPr>
          <w:p w14:paraId="60FAA188">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901" w:type="dxa"/>
            <w:noWrap w:val="0"/>
            <w:vAlign w:val="center"/>
          </w:tcPr>
          <w:p w14:paraId="6907B543">
            <w:pPr>
              <w:keepNext w:val="0"/>
              <w:keepLines w:val="0"/>
              <w:widowControl w:val="0"/>
              <w:suppressLineNumbers w:val="0"/>
              <w:spacing w:before="0" w:beforeAutospacing="0" w:after="0" w:afterAutospacing="0" w:line="360" w:lineRule="auto"/>
              <w:ind w:left="222" w:right="0"/>
              <w:jc w:val="center"/>
              <w:outlineLvl w:val="9"/>
              <w:rPr>
                <w:rFonts w:hint="eastAsia" w:ascii="宋体" w:hAnsi="宋体" w:eastAsia="宋体" w:cs="宋体"/>
                <w:color w:val="auto"/>
                <w:sz w:val="21"/>
                <w:szCs w:val="21"/>
                <w:highlight w:val="none"/>
                <w:lang w:eastAsia="zh-CN"/>
              </w:rPr>
            </w:pPr>
          </w:p>
        </w:tc>
      </w:tr>
      <w:tr w14:paraId="70005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709" w:type="dxa"/>
            <w:noWrap w:val="0"/>
            <w:vAlign w:val="center"/>
          </w:tcPr>
          <w:p w14:paraId="74C90DD1">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843" w:type="dxa"/>
            <w:noWrap w:val="0"/>
            <w:vAlign w:val="center"/>
          </w:tcPr>
          <w:p w14:paraId="4CAB1C5F">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940" w:type="dxa"/>
            <w:noWrap w:val="0"/>
            <w:vAlign w:val="center"/>
          </w:tcPr>
          <w:p w14:paraId="78B28180">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850" w:type="dxa"/>
            <w:gridSpan w:val="2"/>
            <w:noWrap w:val="0"/>
            <w:vAlign w:val="center"/>
          </w:tcPr>
          <w:p w14:paraId="15A98B41">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851" w:type="dxa"/>
            <w:noWrap w:val="0"/>
            <w:vAlign w:val="center"/>
          </w:tcPr>
          <w:p w14:paraId="664907F1">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319" w:type="dxa"/>
            <w:noWrap w:val="0"/>
            <w:vAlign w:val="center"/>
          </w:tcPr>
          <w:p w14:paraId="6F01A6EF">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232" w:type="dxa"/>
            <w:noWrap w:val="0"/>
            <w:vAlign w:val="center"/>
          </w:tcPr>
          <w:p w14:paraId="2E8FC785">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901" w:type="dxa"/>
            <w:noWrap w:val="0"/>
            <w:vAlign w:val="center"/>
          </w:tcPr>
          <w:p w14:paraId="4183DA77">
            <w:pPr>
              <w:keepNext w:val="0"/>
              <w:keepLines w:val="0"/>
              <w:widowControl w:val="0"/>
              <w:suppressLineNumbers w:val="0"/>
              <w:spacing w:before="0" w:beforeAutospacing="0" w:after="0" w:afterAutospacing="0" w:line="360" w:lineRule="auto"/>
              <w:ind w:left="222" w:right="0"/>
              <w:jc w:val="center"/>
              <w:outlineLvl w:val="9"/>
              <w:rPr>
                <w:rFonts w:hint="eastAsia" w:ascii="宋体" w:hAnsi="宋体" w:eastAsia="宋体" w:cs="宋体"/>
                <w:color w:val="auto"/>
                <w:sz w:val="21"/>
                <w:szCs w:val="21"/>
                <w:highlight w:val="none"/>
                <w:lang w:eastAsia="zh-CN"/>
              </w:rPr>
            </w:pPr>
          </w:p>
        </w:tc>
      </w:tr>
      <w:tr w14:paraId="7D57C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709" w:type="dxa"/>
            <w:noWrap w:val="0"/>
            <w:vAlign w:val="center"/>
          </w:tcPr>
          <w:p w14:paraId="2DB96483">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843" w:type="dxa"/>
            <w:noWrap w:val="0"/>
            <w:vAlign w:val="center"/>
          </w:tcPr>
          <w:p w14:paraId="2F71DB93">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940" w:type="dxa"/>
            <w:noWrap w:val="0"/>
            <w:vAlign w:val="center"/>
          </w:tcPr>
          <w:p w14:paraId="1A715FE7">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850" w:type="dxa"/>
            <w:gridSpan w:val="2"/>
            <w:noWrap w:val="0"/>
            <w:vAlign w:val="center"/>
          </w:tcPr>
          <w:p w14:paraId="59DE84E2">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851" w:type="dxa"/>
            <w:noWrap w:val="0"/>
            <w:vAlign w:val="center"/>
          </w:tcPr>
          <w:p w14:paraId="51BCA288">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319" w:type="dxa"/>
            <w:noWrap w:val="0"/>
            <w:vAlign w:val="center"/>
          </w:tcPr>
          <w:p w14:paraId="4E29912A">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232" w:type="dxa"/>
            <w:noWrap w:val="0"/>
            <w:vAlign w:val="center"/>
          </w:tcPr>
          <w:p w14:paraId="5D82D6F0">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901" w:type="dxa"/>
            <w:noWrap w:val="0"/>
            <w:vAlign w:val="center"/>
          </w:tcPr>
          <w:p w14:paraId="3DBF9F03">
            <w:pPr>
              <w:keepNext w:val="0"/>
              <w:keepLines w:val="0"/>
              <w:widowControl w:val="0"/>
              <w:suppressLineNumbers w:val="0"/>
              <w:spacing w:before="0" w:beforeAutospacing="0" w:after="0" w:afterAutospacing="0" w:line="360" w:lineRule="auto"/>
              <w:ind w:left="222" w:right="0"/>
              <w:jc w:val="center"/>
              <w:outlineLvl w:val="9"/>
              <w:rPr>
                <w:rFonts w:hint="eastAsia" w:ascii="宋体" w:hAnsi="宋体" w:eastAsia="宋体" w:cs="宋体"/>
                <w:color w:val="auto"/>
                <w:sz w:val="21"/>
                <w:szCs w:val="21"/>
                <w:highlight w:val="none"/>
                <w:lang w:eastAsia="zh-CN"/>
              </w:rPr>
            </w:pPr>
          </w:p>
        </w:tc>
      </w:tr>
      <w:tr w14:paraId="63B86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709" w:type="dxa"/>
            <w:noWrap w:val="0"/>
            <w:vAlign w:val="center"/>
          </w:tcPr>
          <w:p w14:paraId="017FE0F0">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843" w:type="dxa"/>
            <w:noWrap w:val="0"/>
            <w:vAlign w:val="center"/>
          </w:tcPr>
          <w:p w14:paraId="4ADEFCE4">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940" w:type="dxa"/>
            <w:noWrap w:val="0"/>
            <w:vAlign w:val="center"/>
          </w:tcPr>
          <w:p w14:paraId="4F62C1BC">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850" w:type="dxa"/>
            <w:gridSpan w:val="2"/>
            <w:noWrap w:val="0"/>
            <w:vAlign w:val="center"/>
          </w:tcPr>
          <w:p w14:paraId="0F1142DF">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851" w:type="dxa"/>
            <w:noWrap w:val="0"/>
            <w:vAlign w:val="center"/>
          </w:tcPr>
          <w:p w14:paraId="5CA93821">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319" w:type="dxa"/>
            <w:noWrap w:val="0"/>
            <w:vAlign w:val="center"/>
          </w:tcPr>
          <w:p w14:paraId="40547FB3">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1232" w:type="dxa"/>
            <w:noWrap w:val="0"/>
            <w:vAlign w:val="center"/>
          </w:tcPr>
          <w:p w14:paraId="12555478">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p>
        </w:tc>
        <w:tc>
          <w:tcPr>
            <w:tcW w:w="901" w:type="dxa"/>
            <w:noWrap w:val="0"/>
            <w:vAlign w:val="center"/>
          </w:tcPr>
          <w:p w14:paraId="471B4B3E">
            <w:pPr>
              <w:keepNext w:val="0"/>
              <w:keepLines w:val="0"/>
              <w:widowControl w:val="0"/>
              <w:suppressLineNumbers w:val="0"/>
              <w:spacing w:before="0" w:beforeAutospacing="0" w:after="0" w:afterAutospacing="0" w:line="360" w:lineRule="auto"/>
              <w:ind w:left="222" w:right="0"/>
              <w:jc w:val="center"/>
              <w:outlineLvl w:val="9"/>
              <w:rPr>
                <w:rFonts w:hint="eastAsia" w:ascii="宋体" w:hAnsi="宋体" w:eastAsia="宋体" w:cs="宋体"/>
                <w:color w:val="auto"/>
                <w:sz w:val="21"/>
                <w:szCs w:val="21"/>
                <w:highlight w:val="none"/>
                <w:lang w:eastAsia="zh-CN"/>
              </w:rPr>
            </w:pPr>
          </w:p>
        </w:tc>
      </w:tr>
      <w:tr w14:paraId="475DF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jc w:val="center"/>
        </w:trPr>
        <w:tc>
          <w:tcPr>
            <w:tcW w:w="2552" w:type="dxa"/>
            <w:gridSpan w:val="2"/>
            <w:noWrap w:val="0"/>
            <w:vAlign w:val="center"/>
          </w:tcPr>
          <w:p w14:paraId="63C9C994">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材料类别</w:t>
            </w:r>
          </w:p>
        </w:tc>
        <w:tc>
          <w:tcPr>
            <w:tcW w:w="7093" w:type="dxa"/>
            <w:gridSpan w:val="7"/>
            <w:noWrap w:val="0"/>
            <w:vAlign w:val="center"/>
          </w:tcPr>
          <w:p w14:paraId="3C1D47D2">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w:t>
            </w:r>
            <w:r>
              <w:rPr>
                <w:rFonts w:hint="eastAsia" w:ascii="宋体" w:hAnsi="宋体" w:cs="宋体"/>
                <w:bCs/>
                <w:color w:val="auto"/>
                <w:sz w:val="21"/>
                <w:szCs w:val="21"/>
                <w:highlight w:val="none"/>
                <w:lang w:eastAsia="zh-CN"/>
              </w:rPr>
              <w:t>一般材料</w:t>
            </w:r>
            <w:r>
              <w:rPr>
                <w:rFonts w:hint="eastAsia" w:ascii="宋体" w:hAnsi="宋体" w:eastAsia="宋体" w:cs="宋体"/>
                <w:bCs/>
                <w:color w:val="auto"/>
                <w:sz w:val="21"/>
                <w:szCs w:val="21"/>
                <w:highlight w:val="none"/>
                <w:lang w:eastAsia="zh-CN"/>
              </w:rPr>
              <w:t xml:space="preserve"> </w:t>
            </w:r>
            <w:r>
              <w:rPr>
                <w:rFonts w:hint="eastAsia" w:ascii="宋体" w:hAnsi="宋体" w:cs="宋体"/>
                <w:bCs/>
                <w:color w:val="auto"/>
                <w:sz w:val="21"/>
                <w:szCs w:val="21"/>
                <w:highlight w:val="none"/>
                <w:lang w:val="en-US" w:eastAsia="zh-CN"/>
              </w:rPr>
              <w:t xml:space="preserve"> </w:t>
            </w:r>
            <w:r>
              <w:rPr>
                <w:rFonts w:hint="eastAsia" w:ascii="宋体" w:hAnsi="宋体" w:eastAsia="宋体" w:cs="宋体"/>
                <w:bCs/>
                <w:color w:val="auto"/>
                <w:sz w:val="21"/>
                <w:szCs w:val="21"/>
                <w:highlight w:val="none"/>
                <w:lang w:eastAsia="zh-CN"/>
              </w:rPr>
              <w:t>□</w:t>
            </w:r>
            <w:r>
              <w:rPr>
                <w:rFonts w:hint="eastAsia" w:ascii="宋体" w:hAnsi="宋体" w:cs="宋体"/>
                <w:bCs/>
                <w:color w:val="auto"/>
                <w:sz w:val="21"/>
                <w:szCs w:val="21"/>
                <w:highlight w:val="none"/>
                <w:lang w:eastAsia="zh-CN"/>
              </w:rPr>
              <w:t>观感类重要材料</w:t>
            </w:r>
            <w:r>
              <w:rPr>
                <w:rFonts w:hint="eastAsia" w:ascii="宋体" w:hAnsi="宋体" w:cs="宋体"/>
                <w:bCs/>
                <w:color w:val="auto"/>
                <w:sz w:val="21"/>
                <w:szCs w:val="21"/>
                <w:highlight w:val="none"/>
                <w:lang w:val="en-US" w:eastAsia="zh-CN"/>
              </w:rPr>
              <w:t xml:space="preserve"> </w:t>
            </w:r>
            <w:r>
              <w:rPr>
                <w:rFonts w:hint="eastAsia" w:ascii="宋体" w:hAnsi="宋体" w:eastAsia="宋体" w:cs="宋体"/>
                <w:bCs/>
                <w:color w:val="auto"/>
                <w:sz w:val="21"/>
                <w:szCs w:val="21"/>
                <w:highlight w:val="none"/>
                <w:lang w:eastAsia="zh-CN"/>
              </w:rPr>
              <w:t xml:space="preserve"> □</w:t>
            </w:r>
            <w:r>
              <w:rPr>
                <w:rFonts w:hint="eastAsia" w:ascii="宋体" w:hAnsi="宋体" w:cs="宋体"/>
                <w:bCs/>
                <w:color w:val="auto"/>
                <w:sz w:val="21"/>
                <w:szCs w:val="21"/>
                <w:highlight w:val="none"/>
                <w:lang w:eastAsia="zh-CN"/>
              </w:rPr>
              <w:t>非观感类重要材料</w:t>
            </w:r>
            <w:r>
              <w:rPr>
                <w:rFonts w:hint="eastAsia" w:ascii="宋体" w:hAnsi="宋体" w:cs="宋体"/>
                <w:bCs/>
                <w:color w:val="auto"/>
                <w:sz w:val="21"/>
                <w:szCs w:val="21"/>
                <w:highlight w:val="none"/>
                <w:lang w:val="en-US" w:eastAsia="zh-CN"/>
              </w:rPr>
              <w:t xml:space="preserve">  </w:t>
            </w:r>
            <w:r>
              <w:rPr>
                <w:rFonts w:hint="eastAsia" w:ascii="宋体" w:hAnsi="宋体" w:eastAsia="宋体" w:cs="宋体"/>
                <w:bCs/>
                <w:color w:val="auto"/>
                <w:sz w:val="21"/>
                <w:szCs w:val="21"/>
                <w:highlight w:val="none"/>
                <w:lang w:eastAsia="zh-CN"/>
              </w:rPr>
              <w:t>□</w:t>
            </w:r>
            <w:r>
              <w:rPr>
                <w:rFonts w:hint="eastAsia" w:ascii="宋体" w:hAnsi="宋体" w:cs="宋体"/>
                <w:bCs/>
                <w:color w:val="auto"/>
                <w:sz w:val="21"/>
                <w:szCs w:val="21"/>
                <w:highlight w:val="none"/>
                <w:lang w:eastAsia="zh-CN"/>
              </w:rPr>
              <w:t>大型设备</w:t>
            </w:r>
          </w:p>
        </w:tc>
      </w:tr>
      <w:tr w14:paraId="2A271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jc w:val="center"/>
        </w:trPr>
        <w:tc>
          <w:tcPr>
            <w:tcW w:w="2552" w:type="dxa"/>
            <w:gridSpan w:val="2"/>
            <w:noWrap w:val="0"/>
            <w:vAlign w:val="center"/>
          </w:tcPr>
          <w:p w14:paraId="3A6411E1">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val="en-US" w:eastAsia="zh-CN" w:bidi="en-US"/>
              </w:rPr>
            </w:pPr>
            <w:r>
              <w:rPr>
                <w:rFonts w:hint="eastAsia" w:ascii="宋体" w:hAnsi="宋体" w:eastAsia="宋体" w:cs="宋体"/>
                <w:color w:val="auto"/>
                <w:sz w:val="21"/>
                <w:szCs w:val="21"/>
                <w:highlight w:val="none"/>
                <w:lang w:eastAsia="zh-CN"/>
              </w:rPr>
              <w:t>出厂</w:t>
            </w:r>
            <w:r>
              <w:rPr>
                <w:rFonts w:hint="eastAsia" w:ascii="宋体" w:hAnsi="宋体" w:eastAsia="宋体" w:cs="宋体"/>
                <w:color w:val="auto"/>
                <w:sz w:val="21"/>
                <w:szCs w:val="21"/>
                <w:highlight w:val="none"/>
              </w:rPr>
              <w:t>检验报告</w:t>
            </w:r>
          </w:p>
        </w:tc>
        <w:tc>
          <w:tcPr>
            <w:tcW w:w="7093" w:type="dxa"/>
            <w:gridSpan w:val="7"/>
            <w:noWrap w:val="0"/>
            <w:vAlign w:val="center"/>
          </w:tcPr>
          <w:p w14:paraId="7F6AE5A6">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bCs/>
                <w:color w:val="auto"/>
                <w:sz w:val="21"/>
                <w:szCs w:val="21"/>
                <w:highlight w:val="none"/>
                <w:lang w:val="en-US" w:eastAsia="zh-CN" w:bidi="en-US"/>
              </w:rPr>
            </w:pPr>
            <w:r>
              <w:rPr>
                <w:rFonts w:hint="eastAsia" w:ascii="宋体" w:hAnsi="宋体" w:eastAsia="宋体" w:cs="宋体"/>
                <w:bCs/>
                <w:color w:val="auto"/>
                <w:sz w:val="21"/>
                <w:szCs w:val="21"/>
                <w:highlight w:val="none"/>
                <w:lang w:eastAsia="zh-CN"/>
              </w:rPr>
              <w:t>□齐全   □不齐全   □备注：</w:t>
            </w:r>
          </w:p>
        </w:tc>
      </w:tr>
      <w:tr w14:paraId="7804D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jc w:val="center"/>
        </w:trPr>
        <w:tc>
          <w:tcPr>
            <w:tcW w:w="2552" w:type="dxa"/>
            <w:gridSpan w:val="2"/>
            <w:noWrap w:val="0"/>
            <w:vAlign w:val="center"/>
          </w:tcPr>
          <w:p w14:paraId="3AAAC914">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材质</w:t>
            </w:r>
            <w:r>
              <w:rPr>
                <w:rFonts w:hint="eastAsia" w:ascii="宋体" w:hAnsi="宋体" w:eastAsia="宋体" w:cs="宋体"/>
                <w:bCs/>
                <w:color w:val="auto"/>
                <w:sz w:val="21"/>
                <w:szCs w:val="21"/>
                <w:highlight w:val="none"/>
                <w:lang w:eastAsia="zh-CN"/>
              </w:rPr>
              <w:t>证明</w:t>
            </w:r>
            <w:r>
              <w:rPr>
                <w:rFonts w:hint="eastAsia" w:ascii="宋体" w:hAnsi="宋体" w:eastAsia="宋体" w:cs="宋体"/>
                <w:bCs/>
                <w:color w:val="auto"/>
                <w:sz w:val="21"/>
                <w:szCs w:val="21"/>
                <w:highlight w:val="none"/>
              </w:rPr>
              <w:t>资料</w:t>
            </w:r>
          </w:p>
        </w:tc>
        <w:tc>
          <w:tcPr>
            <w:tcW w:w="7093" w:type="dxa"/>
            <w:gridSpan w:val="7"/>
            <w:noWrap w:val="0"/>
            <w:vAlign w:val="center"/>
          </w:tcPr>
          <w:p w14:paraId="2FF6B058">
            <w:pPr>
              <w:keepNext w:val="0"/>
              <w:keepLines w:val="0"/>
              <w:widowControl w:val="0"/>
              <w:suppressLineNumbers w:val="0"/>
              <w:spacing w:before="0" w:beforeAutospacing="0" w:after="0" w:afterAutospacing="0"/>
              <w:ind w:left="0" w:right="0"/>
              <w:outlineLvl w:val="9"/>
              <w:rPr>
                <w:rFonts w:hint="eastAsia" w:ascii="宋体" w:hAnsi="宋体" w:eastAsia="宋体" w:cs="宋体"/>
                <w:b/>
                <w:bCs/>
                <w:color w:val="auto"/>
                <w:sz w:val="21"/>
                <w:szCs w:val="21"/>
                <w:highlight w:val="none"/>
                <w:lang w:eastAsia="zh-CN"/>
              </w:rPr>
            </w:pPr>
            <w:r>
              <w:rPr>
                <w:rFonts w:hint="eastAsia" w:ascii="宋体" w:hAnsi="宋体" w:eastAsia="宋体" w:cs="宋体"/>
                <w:bCs/>
                <w:color w:val="auto"/>
                <w:sz w:val="21"/>
                <w:szCs w:val="21"/>
                <w:highlight w:val="none"/>
                <w:lang w:eastAsia="zh-CN"/>
              </w:rPr>
              <w:t>□齐全   □不齐全   □备注：</w:t>
            </w:r>
          </w:p>
        </w:tc>
      </w:tr>
      <w:tr w14:paraId="0DB83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jc w:val="center"/>
        </w:trPr>
        <w:tc>
          <w:tcPr>
            <w:tcW w:w="2552" w:type="dxa"/>
            <w:gridSpan w:val="2"/>
            <w:noWrap w:val="0"/>
            <w:vAlign w:val="center"/>
          </w:tcPr>
          <w:p w14:paraId="624E1784">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检验方法</w:t>
            </w:r>
          </w:p>
        </w:tc>
        <w:tc>
          <w:tcPr>
            <w:tcW w:w="7093" w:type="dxa"/>
            <w:gridSpan w:val="7"/>
            <w:noWrap w:val="0"/>
            <w:vAlign w:val="center"/>
          </w:tcPr>
          <w:p w14:paraId="1C1D4587">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目测、实量</w:t>
            </w:r>
            <w:r>
              <w:rPr>
                <w:rFonts w:hint="eastAsia" w:ascii="宋体" w:hAnsi="宋体" w:eastAsia="宋体" w:cs="宋体"/>
                <w:bCs/>
                <w:color w:val="auto"/>
                <w:sz w:val="21"/>
                <w:szCs w:val="21"/>
                <w:highlight w:val="none"/>
                <w:lang w:eastAsia="zh-CN"/>
              </w:rPr>
              <w:t xml:space="preserve">          □备注：</w:t>
            </w:r>
          </w:p>
        </w:tc>
      </w:tr>
      <w:tr w14:paraId="1565F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jc w:val="center"/>
        </w:trPr>
        <w:tc>
          <w:tcPr>
            <w:tcW w:w="2552" w:type="dxa"/>
            <w:gridSpan w:val="2"/>
            <w:noWrap w:val="0"/>
            <w:vAlign w:val="center"/>
          </w:tcPr>
          <w:p w14:paraId="075833B0">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进场批次</w:t>
            </w:r>
          </w:p>
        </w:tc>
        <w:tc>
          <w:tcPr>
            <w:tcW w:w="7093" w:type="dxa"/>
            <w:gridSpan w:val="7"/>
            <w:noWrap w:val="0"/>
            <w:vAlign w:val="center"/>
          </w:tcPr>
          <w:p w14:paraId="2E2E786A">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□首批进场            □后续批次进场</w:t>
            </w:r>
          </w:p>
        </w:tc>
      </w:tr>
      <w:tr w14:paraId="3C961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jc w:val="center"/>
        </w:trPr>
        <w:tc>
          <w:tcPr>
            <w:tcW w:w="2552" w:type="dxa"/>
            <w:gridSpan w:val="2"/>
            <w:noWrap w:val="0"/>
            <w:vAlign w:val="center"/>
          </w:tcPr>
          <w:p w14:paraId="51C8CB53">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封样对比</w:t>
            </w:r>
          </w:p>
        </w:tc>
        <w:tc>
          <w:tcPr>
            <w:tcW w:w="7093" w:type="dxa"/>
            <w:gridSpan w:val="7"/>
            <w:noWrap w:val="0"/>
            <w:vAlign w:val="center"/>
          </w:tcPr>
          <w:p w14:paraId="5675B857">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□与封样相符          □与封样不相符</w:t>
            </w:r>
          </w:p>
        </w:tc>
      </w:tr>
      <w:tr w14:paraId="23FDC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jc w:val="center"/>
        </w:trPr>
        <w:tc>
          <w:tcPr>
            <w:tcW w:w="2552" w:type="dxa"/>
            <w:gridSpan w:val="2"/>
            <w:noWrap w:val="0"/>
            <w:vAlign w:val="center"/>
          </w:tcPr>
          <w:p w14:paraId="0E89708B">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外观尺寸</w:t>
            </w:r>
          </w:p>
        </w:tc>
        <w:tc>
          <w:tcPr>
            <w:tcW w:w="7093" w:type="dxa"/>
            <w:gridSpan w:val="7"/>
            <w:noWrap w:val="0"/>
            <w:vAlign w:val="center"/>
          </w:tcPr>
          <w:p w14:paraId="628D2400">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□尺寸偏差在规范允许范围内    □尺寸偏差超出规范允许范围</w:t>
            </w:r>
          </w:p>
        </w:tc>
      </w:tr>
      <w:tr w14:paraId="75FA5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jc w:val="center"/>
        </w:trPr>
        <w:tc>
          <w:tcPr>
            <w:tcW w:w="2552" w:type="dxa"/>
            <w:gridSpan w:val="2"/>
            <w:noWrap w:val="0"/>
            <w:vAlign w:val="center"/>
          </w:tcPr>
          <w:p w14:paraId="304CB73C">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观感质量</w:t>
            </w:r>
          </w:p>
        </w:tc>
        <w:tc>
          <w:tcPr>
            <w:tcW w:w="7093" w:type="dxa"/>
            <w:gridSpan w:val="7"/>
            <w:noWrap w:val="0"/>
            <w:vAlign w:val="center"/>
          </w:tcPr>
          <w:p w14:paraId="01293693">
            <w:pPr>
              <w:keepNext w:val="0"/>
              <w:keepLines w:val="0"/>
              <w:widowControl w:val="0"/>
              <w:suppressLineNumbers w:val="0"/>
              <w:spacing w:before="0" w:beforeAutospacing="0" w:after="0" w:afterAutospacing="0"/>
              <w:ind w:left="0" w:right="0"/>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□符合图纸设计和规范要求      □不符合图纸设计和规范要求</w:t>
            </w:r>
          </w:p>
        </w:tc>
      </w:tr>
      <w:tr w14:paraId="0F43D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jc w:val="center"/>
        </w:trPr>
        <w:tc>
          <w:tcPr>
            <w:tcW w:w="2552" w:type="dxa"/>
            <w:gridSpan w:val="2"/>
            <w:noWrap w:val="0"/>
            <w:vAlign w:val="center"/>
          </w:tcPr>
          <w:p w14:paraId="4D57EB87">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规格型号</w:t>
            </w:r>
          </w:p>
          <w:p w14:paraId="6DC60288">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品牌、厂家</w:t>
            </w:r>
          </w:p>
        </w:tc>
        <w:tc>
          <w:tcPr>
            <w:tcW w:w="7093" w:type="dxa"/>
            <w:gridSpan w:val="7"/>
            <w:noWrap w:val="0"/>
            <w:vAlign w:val="center"/>
          </w:tcPr>
          <w:p w14:paraId="75ECACCC">
            <w:pPr>
              <w:keepNext w:val="0"/>
              <w:keepLines w:val="0"/>
              <w:widowControl w:val="0"/>
              <w:suppressLineNumbers w:val="0"/>
              <w:spacing w:before="0" w:beforeAutospacing="0" w:after="0" w:afterAutospacing="0"/>
              <w:ind w:left="0" w:right="0"/>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 xml:space="preserve">□与合同约定的规格型号、品牌、生产厂家、产地完全一致 </w:t>
            </w:r>
          </w:p>
          <w:p w14:paraId="1B246978">
            <w:pPr>
              <w:keepNext w:val="0"/>
              <w:keepLines w:val="0"/>
              <w:widowControl w:val="0"/>
              <w:suppressLineNumbers w:val="0"/>
              <w:spacing w:before="0" w:beforeAutospacing="0" w:after="0" w:afterAutospacing="0"/>
              <w:ind w:left="0" w:right="0"/>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□与合同约定不一致：为</w:t>
            </w:r>
            <w:r>
              <w:rPr>
                <w:rFonts w:hint="eastAsia" w:ascii="宋体" w:hAnsi="宋体" w:eastAsia="宋体" w:cs="宋体"/>
                <w:bCs/>
                <w:color w:val="auto"/>
                <w:sz w:val="21"/>
                <w:szCs w:val="21"/>
                <w:highlight w:val="none"/>
                <w:u w:val="single"/>
                <w:lang w:eastAsia="zh-CN"/>
              </w:rPr>
              <w:t xml:space="preserve">        </w:t>
            </w:r>
            <w:r>
              <w:rPr>
                <w:rFonts w:hint="eastAsia" w:ascii="宋体" w:hAnsi="宋体" w:eastAsia="宋体" w:cs="宋体"/>
                <w:bCs/>
                <w:color w:val="auto"/>
                <w:sz w:val="21"/>
                <w:szCs w:val="21"/>
                <w:highlight w:val="none"/>
                <w:lang w:eastAsia="zh-CN"/>
              </w:rPr>
              <w:t>品牌。如与合同约定不一致全部退货。</w:t>
            </w:r>
          </w:p>
        </w:tc>
      </w:tr>
      <w:tr w14:paraId="58031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2" w:hRule="atLeast"/>
          <w:jc w:val="center"/>
        </w:trPr>
        <w:tc>
          <w:tcPr>
            <w:tcW w:w="2552" w:type="dxa"/>
            <w:gridSpan w:val="2"/>
            <w:noWrap w:val="0"/>
            <w:vAlign w:val="center"/>
          </w:tcPr>
          <w:p w14:paraId="443C6B55">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其他</w:t>
            </w:r>
          </w:p>
        </w:tc>
        <w:tc>
          <w:tcPr>
            <w:tcW w:w="7093" w:type="dxa"/>
            <w:gridSpan w:val="7"/>
            <w:noWrap w:val="0"/>
            <w:vAlign w:val="center"/>
          </w:tcPr>
          <w:p w14:paraId="73D7B8A6">
            <w:pPr>
              <w:keepNext w:val="0"/>
              <w:keepLines w:val="0"/>
              <w:widowControl w:val="0"/>
              <w:suppressLineNumbers w:val="0"/>
              <w:spacing w:before="0" w:beforeAutospacing="0" w:after="0" w:afterAutospacing="0" w:line="360" w:lineRule="auto"/>
              <w:ind w:left="0" w:right="0" w:firstLine="420" w:firstLineChars="200"/>
              <w:jc w:val="center"/>
              <w:outlineLvl w:val="9"/>
              <w:rPr>
                <w:rFonts w:hint="eastAsia" w:ascii="宋体" w:hAnsi="宋体" w:eastAsia="宋体" w:cs="宋体"/>
                <w:bCs/>
                <w:color w:val="auto"/>
                <w:sz w:val="21"/>
                <w:szCs w:val="21"/>
                <w:highlight w:val="none"/>
                <w:lang w:eastAsia="zh-CN"/>
              </w:rPr>
            </w:pPr>
          </w:p>
        </w:tc>
      </w:tr>
      <w:tr w14:paraId="46742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jc w:val="center"/>
        </w:trPr>
        <w:tc>
          <w:tcPr>
            <w:tcW w:w="2552" w:type="dxa"/>
            <w:gridSpan w:val="2"/>
            <w:noWrap w:val="0"/>
            <w:vAlign w:val="center"/>
          </w:tcPr>
          <w:p w14:paraId="69BF6190">
            <w:pPr>
              <w:keepNext w:val="0"/>
              <w:keepLines w:val="0"/>
              <w:widowControl w:val="0"/>
              <w:suppressLineNumbers w:val="0"/>
              <w:spacing w:before="0" w:beforeAutospacing="0" w:after="0" w:afterAutospacing="0" w:line="360" w:lineRule="auto"/>
              <w:ind w:left="0" w:right="0"/>
              <w:jc w:val="center"/>
              <w:outlineLvl w:val="9"/>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最终意见</w:t>
            </w:r>
          </w:p>
        </w:tc>
        <w:tc>
          <w:tcPr>
            <w:tcW w:w="7093" w:type="dxa"/>
            <w:gridSpan w:val="7"/>
            <w:noWrap w:val="0"/>
            <w:vAlign w:val="center"/>
          </w:tcPr>
          <w:p w14:paraId="52C62D3E">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 xml:space="preserve">□同意全部接收        □不接收全部退回     </w:t>
            </w:r>
          </w:p>
          <w:p w14:paraId="5D715047">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lang w:eastAsia="zh-CN"/>
              </w:rPr>
              <w:t>□挑选合格品接受、不合格品退回</w:t>
            </w:r>
            <w:r>
              <w:rPr>
                <w:rFonts w:hint="eastAsia" w:ascii="宋体" w:hAnsi="宋体" w:eastAsia="宋体" w:cs="宋体"/>
                <w:bCs/>
                <w:color w:val="auto"/>
                <w:sz w:val="21"/>
                <w:szCs w:val="21"/>
                <w:highlight w:val="none"/>
                <w:u w:val="single"/>
                <w:lang w:eastAsia="zh-CN"/>
              </w:rPr>
              <w:t xml:space="preserve">    </w:t>
            </w:r>
            <w:r>
              <w:rPr>
                <w:rFonts w:hint="eastAsia" w:ascii="宋体" w:hAnsi="宋体" w:eastAsia="宋体" w:cs="宋体"/>
                <w:bCs/>
                <w:color w:val="auto"/>
                <w:sz w:val="21"/>
                <w:szCs w:val="21"/>
                <w:highlight w:val="none"/>
                <w:lang w:eastAsia="zh-CN"/>
              </w:rPr>
              <w:t xml:space="preserve">日内重新供货            </w:t>
            </w:r>
          </w:p>
        </w:tc>
      </w:tr>
      <w:tr w14:paraId="425AE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18" w:hRule="atLeast"/>
          <w:jc w:val="center"/>
        </w:trPr>
        <w:tc>
          <w:tcPr>
            <w:tcW w:w="2552" w:type="dxa"/>
            <w:gridSpan w:val="2"/>
            <w:tcBorders>
              <w:bottom w:val="single" w:color="auto" w:sz="4" w:space="0"/>
            </w:tcBorders>
            <w:noWrap w:val="0"/>
            <w:vAlign w:val="top"/>
          </w:tcPr>
          <w:p w14:paraId="54EE9851">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项目部：</w:t>
            </w:r>
          </w:p>
          <w:p w14:paraId="0E0FDD50">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color w:val="auto"/>
                <w:sz w:val="21"/>
                <w:szCs w:val="21"/>
                <w:highlight w:val="none"/>
                <w:lang w:eastAsia="zh-CN"/>
              </w:rPr>
            </w:pPr>
          </w:p>
          <w:p w14:paraId="6D97AC51">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color w:val="auto"/>
                <w:sz w:val="21"/>
                <w:szCs w:val="21"/>
                <w:highlight w:val="none"/>
                <w:lang w:eastAsia="zh-CN"/>
              </w:rPr>
            </w:pPr>
          </w:p>
          <w:p w14:paraId="08CA4676">
            <w:pPr>
              <w:keepNext w:val="0"/>
              <w:keepLines w:val="0"/>
              <w:widowControl w:val="0"/>
              <w:suppressLineNumbers w:val="0"/>
              <w:spacing w:before="0" w:beforeAutospacing="0" w:after="0" w:afterAutospacing="0" w:line="360" w:lineRule="auto"/>
              <w:ind w:left="0" w:right="0" w:firstLine="420" w:firstLineChars="200"/>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 xml:space="preserve">   年   月   日</w:t>
            </w:r>
          </w:p>
        </w:tc>
        <w:tc>
          <w:tcPr>
            <w:tcW w:w="2628" w:type="dxa"/>
            <w:gridSpan w:val="2"/>
            <w:tcBorders>
              <w:bottom w:val="single" w:color="auto" w:sz="4" w:space="0"/>
            </w:tcBorders>
            <w:noWrap w:val="0"/>
            <w:vAlign w:val="top"/>
          </w:tcPr>
          <w:p w14:paraId="76E3B1AC">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招标采供部：</w:t>
            </w:r>
          </w:p>
          <w:p w14:paraId="77B7BFA9">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color w:val="auto"/>
                <w:sz w:val="21"/>
                <w:szCs w:val="21"/>
                <w:highlight w:val="none"/>
                <w:lang w:eastAsia="zh-CN"/>
              </w:rPr>
            </w:pPr>
          </w:p>
          <w:p w14:paraId="28D62935">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color w:val="auto"/>
                <w:sz w:val="21"/>
                <w:szCs w:val="21"/>
                <w:highlight w:val="none"/>
                <w:lang w:eastAsia="zh-CN"/>
              </w:rPr>
            </w:pPr>
          </w:p>
          <w:p w14:paraId="7A2D2FA6">
            <w:pPr>
              <w:keepNext w:val="0"/>
              <w:keepLines w:val="0"/>
              <w:widowControl w:val="0"/>
              <w:suppressLineNumbers w:val="0"/>
              <w:spacing w:before="0" w:beforeAutospacing="0" w:after="0" w:afterAutospacing="0" w:line="360" w:lineRule="auto"/>
              <w:ind w:left="0" w:right="0" w:firstLine="420" w:firstLineChars="200"/>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 xml:space="preserve">  年   月   日</w:t>
            </w:r>
          </w:p>
        </w:tc>
        <w:tc>
          <w:tcPr>
            <w:tcW w:w="2332" w:type="dxa"/>
            <w:gridSpan w:val="3"/>
            <w:tcBorders>
              <w:bottom w:val="single" w:color="auto" w:sz="4" w:space="0"/>
            </w:tcBorders>
            <w:noWrap w:val="0"/>
            <w:vAlign w:val="top"/>
          </w:tcPr>
          <w:p w14:paraId="4E9C5103">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总师办：</w:t>
            </w:r>
          </w:p>
          <w:p w14:paraId="02C51537">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color w:val="auto"/>
                <w:sz w:val="21"/>
                <w:szCs w:val="21"/>
                <w:highlight w:val="none"/>
                <w:lang w:eastAsia="zh-CN"/>
              </w:rPr>
            </w:pPr>
          </w:p>
          <w:p w14:paraId="66B04B7E">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color w:val="auto"/>
                <w:sz w:val="21"/>
                <w:szCs w:val="21"/>
                <w:highlight w:val="none"/>
                <w:lang w:eastAsia="zh-CN"/>
              </w:rPr>
            </w:pPr>
          </w:p>
          <w:p w14:paraId="0A5A208E">
            <w:pPr>
              <w:keepNext w:val="0"/>
              <w:keepLines w:val="0"/>
              <w:widowControl w:val="0"/>
              <w:suppressLineNumbers w:val="0"/>
              <w:spacing w:before="0" w:beforeAutospacing="0" w:after="0" w:afterAutospacing="0" w:line="360" w:lineRule="auto"/>
              <w:ind w:left="0" w:right="0"/>
              <w:jc w:val="right"/>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年   月   日</w:t>
            </w:r>
          </w:p>
        </w:tc>
        <w:tc>
          <w:tcPr>
            <w:tcW w:w="2133" w:type="dxa"/>
            <w:gridSpan w:val="2"/>
            <w:tcBorders>
              <w:bottom w:val="single" w:color="auto" w:sz="4" w:space="0"/>
            </w:tcBorders>
            <w:noWrap w:val="0"/>
            <w:vAlign w:val="top"/>
          </w:tcPr>
          <w:p w14:paraId="743F698E">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工程管理部：</w:t>
            </w:r>
          </w:p>
          <w:p w14:paraId="51C691A0">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color w:val="auto"/>
                <w:sz w:val="21"/>
                <w:szCs w:val="21"/>
                <w:highlight w:val="none"/>
                <w:lang w:eastAsia="zh-CN"/>
              </w:rPr>
            </w:pPr>
          </w:p>
          <w:p w14:paraId="2B09C275">
            <w:pPr>
              <w:keepNext w:val="0"/>
              <w:keepLines w:val="0"/>
              <w:widowControl w:val="0"/>
              <w:suppressLineNumbers w:val="0"/>
              <w:spacing w:before="0" w:beforeAutospacing="0" w:after="0" w:afterAutospacing="0" w:line="360" w:lineRule="auto"/>
              <w:ind w:left="0" w:right="0"/>
              <w:outlineLvl w:val="9"/>
              <w:rPr>
                <w:rFonts w:hint="eastAsia" w:ascii="宋体" w:hAnsi="宋体" w:eastAsia="宋体" w:cs="宋体"/>
                <w:color w:val="auto"/>
                <w:sz w:val="21"/>
                <w:szCs w:val="21"/>
                <w:highlight w:val="none"/>
                <w:lang w:eastAsia="zh-CN"/>
              </w:rPr>
            </w:pPr>
          </w:p>
          <w:p w14:paraId="6C8CBFD0">
            <w:pPr>
              <w:keepNext w:val="0"/>
              <w:keepLines w:val="0"/>
              <w:widowControl w:val="0"/>
              <w:suppressLineNumbers w:val="0"/>
              <w:spacing w:before="0" w:beforeAutospacing="0" w:after="0" w:afterAutospacing="0" w:line="360" w:lineRule="auto"/>
              <w:ind w:left="0" w:right="0" w:firstLine="315" w:firstLineChars="150"/>
              <w:outlineLvl w:val="9"/>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年   月   日</w:t>
            </w:r>
          </w:p>
        </w:tc>
      </w:tr>
    </w:tbl>
    <w:p w14:paraId="577A5B0C">
      <w:pPr>
        <w:spacing w:line="360" w:lineRule="auto"/>
        <w:contextualSpacing/>
        <w:outlineLvl w:val="9"/>
        <w:rPr>
          <w:rFonts w:hint="eastAsia" w:asciiTheme="minorEastAsia" w:hAnsiTheme="minorEastAsia" w:eastAsiaTheme="minorEastAsia"/>
          <w:color w:val="auto"/>
          <w:sz w:val="24"/>
          <w:highlight w:val="none"/>
        </w:rPr>
      </w:pPr>
    </w:p>
    <w:p w14:paraId="40BF4569">
      <w:pPr>
        <w:spacing w:line="360" w:lineRule="auto"/>
        <w:contextualSpacing/>
        <w:outlineLvl w:val="9"/>
        <w:rPr>
          <w:rFonts w:hint="eastAsia" w:asciiTheme="minorEastAsia" w:hAnsiTheme="minorEastAsia" w:eastAsiaTheme="minorEastAsia"/>
          <w:color w:val="auto"/>
          <w:sz w:val="24"/>
          <w:highlight w:val="none"/>
        </w:rPr>
      </w:pPr>
    </w:p>
    <w:p w14:paraId="71D21F7B">
      <w:pPr>
        <w:spacing w:line="360" w:lineRule="auto"/>
        <w:contextualSpacing/>
        <w:outlineLvl w:val="9"/>
        <w:rPr>
          <w:rFonts w:hint="eastAsia" w:asciiTheme="minorEastAsia" w:hAnsiTheme="minorEastAsia" w:eastAsiaTheme="minorEastAsia"/>
          <w:color w:val="auto"/>
          <w:sz w:val="24"/>
          <w:highlight w:val="none"/>
        </w:rPr>
      </w:pPr>
    </w:p>
    <w:p w14:paraId="46065C73">
      <w:pPr>
        <w:spacing w:line="360" w:lineRule="auto"/>
        <w:contextualSpacing/>
        <w:outlineLvl w:val="9"/>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附表4：</w:t>
      </w:r>
    </w:p>
    <w:p w14:paraId="402139E1">
      <w:pPr>
        <w:spacing w:line="360" w:lineRule="auto"/>
        <w:jc w:val="center"/>
        <w:outlineLvl w:val="9"/>
        <w:rPr>
          <w:rFonts w:hint="eastAsia" w:ascii="宋体" w:hAnsi="宋体"/>
          <w:b/>
          <w:color w:val="auto"/>
          <w:sz w:val="32"/>
          <w:szCs w:val="32"/>
          <w:highlight w:val="none"/>
          <w:lang w:eastAsia="zh-CN"/>
        </w:rPr>
      </w:pPr>
      <w:r>
        <w:rPr>
          <w:rFonts w:hint="eastAsia" w:ascii="宋体" w:hAnsi="宋体"/>
          <w:b/>
          <w:color w:val="auto"/>
          <w:sz w:val="32"/>
          <w:szCs w:val="32"/>
          <w:highlight w:val="none"/>
          <w:lang w:eastAsia="zh-CN"/>
        </w:rPr>
        <w:t>材料（设备）认质报审表</w:t>
      </w:r>
    </w:p>
    <w:p w14:paraId="1E53171B">
      <w:pPr>
        <w:spacing w:line="360" w:lineRule="auto"/>
        <w:contextualSpacing/>
        <w:outlineLvl w:val="9"/>
        <w:rPr>
          <w:rFonts w:ascii="宋体" w:hAnsi="宋体"/>
          <w:color w:val="auto"/>
          <w:highlight w:val="none"/>
          <w:lang w:eastAsia="zh-CN"/>
        </w:rPr>
      </w:pPr>
      <w:r>
        <w:rPr>
          <w:rFonts w:hint="eastAsia" w:ascii="宋体" w:hAnsi="宋体"/>
          <w:color w:val="auto"/>
          <w:highlight w:val="none"/>
          <w:lang w:eastAsia="zh-CN"/>
        </w:rPr>
        <w:t>合同名称：                                施工单位联系人：</w:t>
      </w:r>
    </w:p>
    <w:p w14:paraId="3E750100">
      <w:pPr>
        <w:spacing w:line="360" w:lineRule="auto"/>
        <w:contextualSpacing/>
        <w:outlineLvl w:val="9"/>
        <w:rPr>
          <w:rFonts w:ascii="宋体" w:hAnsi="宋体"/>
          <w:color w:val="auto"/>
          <w:highlight w:val="none"/>
          <w:lang w:eastAsia="zh-CN"/>
        </w:rPr>
      </w:pPr>
      <w:r>
        <w:rPr>
          <w:rFonts w:hint="eastAsia" w:ascii="宋体" w:hAnsi="宋体"/>
          <w:color w:val="auto"/>
          <w:highlight w:val="none"/>
          <w:lang w:eastAsia="zh-CN"/>
        </w:rPr>
        <w:t>施工单位：                                施工单位联系电话：</w:t>
      </w:r>
    </w:p>
    <w:tbl>
      <w:tblPr>
        <w:tblStyle w:val="56"/>
        <w:tblW w:w="9639"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985"/>
        <w:gridCol w:w="850"/>
        <w:gridCol w:w="2977"/>
        <w:gridCol w:w="142"/>
        <w:gridCol w:w="992"/>
        <w:gridCol w:w="1276"/>
        <w:gridCol w:w="708"/>
      </w:tblGrid>
      <w:tr w14:paraId="781A8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30CC75C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序号</w:t>
            </w:r>
          </w:p>
        </w:tc>
        <w:tc>
          <w:tcPr>
            <w:tcW w:w="1985" w:type="dxa"/>
            <w:tcBorders>
              <w:top w:val="single" w:color="auto" w:sz="4" w:space="0"/>
              <w:left w:val="single" w:color="auto" w:sz="4" w:space="0"/>
              <w:bottom w:val="single" w:color="auto" w:sz="4" w:space="0"/>
              <w:right w:val="single" w:color="auto" w:sz="4" w:space="0"/>
            </w:tcBorders>
            <w:noWrap w:val="0"/>
            <w:vAlign w:val="center"/>
          </w:tcPr>
          <w:p w14:paraId="0ED21F9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材料名称</w:t>
            </w:r>
          </w:p>
        </w:tc>
        <w:tc>
          <w:tcPr>
            <w:tcW w:w="3969" w:type="dxa"/>
            <w:gridSpan w:val="3"/>
            <w:tcBorders>
              <w:top w:val="single" w:color="auto" w:sz="4" w:space="0"/>
              <w:left w:val="single" w:color="auto" w:sz="4" w:space="0"/>
              <w:bottom w:val="single" w:color="auto" w:sz="4" w:space="0"/>
              <w:right w:val="single" w:color="auto" w:sz="4" w:space="0"/>
            </w:tcBorders>
            <w:noWrap w:val="0"/>
            <w:vAlign w:val="center"/>
          </w:tcPr>
          <w:p w14:paraId="126CAD4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b/>
                <w:color w:val="auto"/>
                <w:highlight w:val="none"/>
                <w:lang w:eastAsia="zh-CN"/>
              </w:rPr>
            </w:pPr>
            <w:r>
              <w:rPr>
                <w:rFonts w:hint="eastAsia" w:ascii="宋体" w:hAnsi="宋体"/>
                <w:b/>
                <w:color w:val="auto"/>
                <w:highlight w:val="none"/>
                <w:lang w:eastAsia="zh-CN"/>
              </w:rPr>
              <w:t>厂家、品牌、规格型号及主要参数</w:t>
            </w:r>
          </w:p>
        </w:tc>
        <w:tc>
          <w:tcPr>
            <w:tcW w:w="992" w:type="dxa"/>
            <w:tcBorders>
              <w:top w:val="single" w:color="auto" w:sz="4" w:space="0"/>
              <w:left w:val="single" w:color="auto" w:sz="4" w:space="0"/>
              <w:bottom w:val="single" w:color="auto" w:sz="4" w:space="0"/>
              <w:right w:val="single" w:color="auto" w:sz="4" w:space="0"/>
            </w:tcBorders>
            <w:noWrap w:val="0"/>
            <w:vAlign w:val="center"/>
          </w:tcPr>
          <w:p w14:paraId="03B7A452">
            <w:pPr>
              <w:keepNext w:val="0"/>
              <w:keepLines w:val="0"/>
              <w:suppressLineNumbers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单位</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0D829CED">
            <w:pPr>
              <w:keepNext w:val="0"/>
              <w:keepLines w:val="0"/>
              <w:suppressLineNumbers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数量</w:t>
            </w:r>
          </w:p>
        </w:tc>
        <w:tc>
          <w:tcPr>
            <w:tcW w:w="708" w:type="dxa"/>
            <w:tcBorders>
              <w:top w:val="single" w:color="auto" w:sz="4" w:space="0"/>
              <w:left w:val="single" w:color="auto" w:sz="4" w:space="0"/>
              <w:bottom w:val="single" w:color="auto" w:sz="4" w:space="0"/>
              <w:right w:val="single" w:color="auto" w:sz="4" w:space="0"/>
            </w:tcBorders>
            <w:noWrap w:val="0"/>
            <w:vAlign w:val="center"/>
          </w:tcPr>
          <w:p w14:paraId="102A22EB">
            <w:pPr>
              <w:keepNext w:val="0"/>
              <w:keepLines w:val="0"/>
              <w:suppressLineNumbers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备注</w:t>
            </w:r>
          </w:p>
        </w:tc>
      </w:tr>
      <w:tr w14:paraId="317D7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08AC6A0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4BD88118">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969" w:type="dxa"/>
            <w:gridSpan w:val="3"/>
            <w:tcBorders>
              <w:top w:val="single" w:color="auto" w:sz="4" w:space="0"/>
              <w:left w:val="single" w:color="auto" w:sz="4" w:space="0"/>
              <w:bottom w:val="single" w:color="auto" w:sz="4" w:space="0"/>
              <w:right w:val="single" w:color="auto" w:sz="4" w:space="0"/>
            </w:tcBorders>
            <w:noWrap w:val="0"/>
            <w:vAlign w:val="center"/>
          </w:tcPr>
          <w:p w14:paraId="3C171EF7">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992" w:type="dxa"/>
            <w:tcBorders>
              <w:top w:val="single" w:color="auto" w:sz="4" w:space="0"/>
              <w:left w:val="single" w:color="auto" w:sz="4" w:space="0"/>
              <w:bottom w:val="single" w:color="auto" w:sz="4" w:space="0"/>
              <w:right w:val="single" w:color="auto" w:sz="4" w:space="0"/>
            </w:tcBorders>
            <w:noWrap w:val="0"/>
            <w:vAlign w:val="center"/>
          </w:tcPr>
          <w:p w14:paraId="4D82F05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14:paraId="32B311F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7CF788B5">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0EEC6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0E63734C">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07A730FE">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969" w:type="dxa"/>
            <w:gridSpan w:val="3"/>
            <w:tcBorders>
              <w:top w:val="single" w:color="auto" w:sz="4" w:space="0"/>
              <w:left w:val="single" w:color="auto" w:sz="4" w:space="0"/>
              <w:bottom w:val="single" w:color="auto" w:sz="4" w:space="0"/>
              <w:right w:val="single" w:color="auto" w:sz="4" w:space="0"/>
            </w:tcBorders>
            <w:noWrap w:val="0"/>
            <w:vAlign w:val="center"/>
          </w:tcPr>
          <w:p w14:paraId="6537EE9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992" w:type="dxa"/>
            <w:tcBorders>
              <w:top w:val="single" w:color="auto" w:sz="4" w:space="0"/>
              <w:left w:val="single" w:color="auto" w:sz="4" w:space="0"/>
              <w:bottom w:val="single" w:color="auto" w:sz="4" w:space="0"/>
              <w:right w:val="single" w:color="auto" w:sz="4" w:space="0"/>
            </w:tcBorders>
            <w:noWrap w:val="0"/>
            <w:vAlign w:val="center"/>
          </w:tcPr>
          <w:p w14:paraId="657B430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14:paraId="03FF12B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55809FA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472DD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5A34FD68">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1F85FB4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969" w:type="dxa"/>
            <w:gridSpan w:val="3"/>
            <w:tcBorders>
              <w:top w:val="single" w:color="auto" w:sz="4" w:space="0"/>
              <w:left w:val="single" w:color="auto" w:sz="4" w:space="0"/>
              <w:bottom w:val="single" w:color="auto" w:sz="4" w:space="0"/>
              <w:right w:val="single" w:color="auto" w:sz="4" w:space="0"/>
            </w:tcBorders>
            <w:noWrap w:val="0"/>
            <w:vAlign w:val="center"/>
          </w:tcPr>
          <w:p w14:paraId="20D5433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992" w:type="dxa"/>
            <w:tcBorders>
              <w:top w:val="single" w:color="auto" w:sz="4" w:space="0"/>
              <w:left w:val="single" w:color="auto" w:sz="4" w:space="0"/>
              <w:bottom w:val="single" w:color="auto" w:sz="4" w:space="0"/>
              <w:right w:val="single" w:color="auto" w:sz="4" w:space="0"/>
            </w:tcBorders>
            <w:noWrap w:val="0"/>
            <w:vAlign w:val="center"/>
          </w:tcPr>
          <w:p w14:paraId="3FF5A808">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14:paraId="372549B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46B2420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487C5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0E8A37F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3E4AE2C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969" w:type="dxa"/>
            <w:gridSpan w:val="3"/>
            <w:tcBorders>
              <w:top w:val="single" w:color="auto" w:sz="4" w:space="0"/>
              <w:left w:val="single" w:color="auto" w:sz="4" w:space="0"/>
              <w:bottom w:val="single" w:color="auto" w:sz="4" w:space="0"/>
              <w:right w:val="single" w:color="auto" w:sz="4" w:space="0"/>
            </w:tcBorders>
            <w:noWrap w:val="0"/>
            <w:vAlign w:val="center"/>
          </w:tcPr>
          <w:p w14:paraId="42279CFF">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992" w:type="dxa"/>
            <w:tcBorders>
              <w:top w:val="single" w:color="auto" w:sz="4" w:space="0"/>
              <w:left w:val="single" w:color="auto" w:sz="4" w:space="0"/>
              <w:bottom w:val="single" w:color="auto" w:sz="4" w:space="0"/>
              <w:right w:val="single" w:color="auto" w:sz="4" w:space="0"/>
            </w:tcBorders>
            <w:noWrap w:val="0"/>
            <w:vAlign w:val="center"/>
          </w:tcPr>
          <w:p w14:paraId="6C6607B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14:paraId="0EC6D0EE">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7CEF59B8">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04400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2A875599">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7142724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969" w:type="dxa"/>
            <w:gridSpan w:val="3"/>
            <w:tcBorders>
              <w:top w:val="single" w:color="auto" w:sz="4" w:space="0"/>
              <w:left w:val="single" w:color="auto" w:sz="4" w:space="0"/>
              <w:bottom w:val="single" w:color="auto" w:sz="4" w:space="0"/>
              <w:right w:val="single" w:color="auto" w:sz="4" w:space="0"/>
            </w:tcBorders>
            <w:noWrap w:val="0"/>
            <w:vAlign w:val="center"/>
          </w:tcPr>
          <w:p w14:paraId="7D761C52">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992" w:type="dxa"/>
            <w:tcBorders>
              <w:top w:val="single" w:color="auto" w:sz="4" w:space="0"/>
              <w:left w:val="single" w:color="auto" w:sz="4" w:space="0"/>
              <w:bottom w:val="single" w:color="auto" w:sz="4" w:space="0"/>
              <w:right w:val="single" w:color="auto" w:sz="4" w:space="0"/>
            </w:tcBorders>
            <w:noWrap w:val="0"/>
            <w:vAlign w:val="center"/>
          </w:tcPr>
          <w:p w14:paraId="66AE7BEC">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14:paraId="46F77D91">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772AF17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6F41A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5E5A866C">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1B3EB77F">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969" w:type="dxa"/>
            <w:gridSpan w:val="3"/>
            <w:tcBorders>
              <w:top w:val="single" w:color="auto" w:sz="4" w:space="0"/>
              <w:left w:val="single" w:color="auto" w:sz="4" w:space="0"/>
              <w:bottom w:val="single" w:color="auto" w:sz="4" w:space="0"/>
              <w:right w:val="single" w:color="auto" w:sz="4" w:space="0"/>
            </w:tcBorders>
            <w:noWrap w:val="0"/>
            <w:vAlign w:val="center"/>
          </w:tcPr>
          <w:p w14:paraId="2482FD6E">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992" w:type="dxa"/>
            <w:tcBorders>
              <w:top w:val="single" w:color="auto" w:sz="4" w:space="0"/>
              <w:left w:val="single" w:color="auto" w:sz="4" w:space="0"/>
              <w:bottom w:val="single" w:color="auto" w:sz="4" w:space="0"/>
              <w:right w:val="single" w:color="auto" w:sz="4" w:space="0"/>
            </w:tcBorders>
            <w:noWrap w:val="0"/>
            <w:vAlign w:val="center"/>
          </w:tcPr>
          <w:p w14:paraId="5E37696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14:paraId="2D5FC60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787CD7A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238A3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711E71F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4F73FCB9">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969" w:type="dxa"/>
            <w:gridSpan w:val="3"/>
            <w:tcBorders>
              <w:top w:val="single" w:color="auto" w:sz="4" w:space="0"/>
              <w:left w:val="single" w:color="auto" w:sz="4" w:space="0"/>
              <w:bottom w:val="single" w:color="auto" w:sz="4" w:space="0"/>
              <w:right w:val="single" w:color="auto" w:sz="4" w:space="0"/>
            </w:tcBorders>
            <w:noWrap w:val="0"/>
            <w:vAlign w:val="center"/>
          </w:tcPr>
          <w:p w14:paraId="399E04FE">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992" w:type="dxa"/>
            <w:tcBorders>
              <w:top w:val="single" w:color="auto" w:sz="4" w:space="0"/>
              <w:left w:val="single" w:color="auto" w:sz="4" w:space="0"/>
              <w:bottom w:val="single" w:color="auto" w:sz="4" w:space="0"/>
              <w:right w:val="single" w:color="auto" w:sz="4" w:space="0"/>
            </w:tcBorders>
            <w:noWrap w:val="0"/>
            <w:vAlign w:val="center"/>
          </w:tcPr>
          <w:p w14:paraId="6776591E">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14:paraId="3ABBB3A1">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0799B8D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78559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3F9D1038">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185F8C35">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969" w:type="dxa"/>
            <w:gridSpan w:val="3"/>
            <w:tcBorders>
              <w:top w:val="single" w:color="auto" w:sz="4" w:space="0"/>
              <w:left w:val="single" w:color="auto" w:sz="4" w:space="0"/>
              <w:bottom w:val="single" w:color="auto" w:sz="4" w:space="0"/>
              <w:right w:val="single" w:color="auto" w:sz="4" w:space="0"/>
            </w:tcBorders>
            <w:noWrap w:val="0"/>
            <w:vAlign w:val="center"/>
          </w:tcPr>
          <w:p w14:paraId="5FBDE1C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992" w:type="dxa"/>
            <w:tcBorders>
              <w:top w:val="single" w:color="auto" w:sz="4" w:space="0"/>
              <w:left w:val="single" w:color="auto" w:sz="4" w:space="0"/>
              <w:bottom w:val="single" w:color="auto" w:sz="4" w:space="0"/>
              <w:right w:val="single" w:color="auto" w:sz="4" w:space="0"/>
            </w:tcBorders>
            <w:noWrap w:val="0"/>
            <w:vAlign w:val="center"/>
          </w:tcPr>
          <w:p w14:paraId="579EEEF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14:paraId="05AC6071">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43D0CC0C">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77D84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01C644C7">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4269DB5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969" w:type="dxa"/>
            <w:gridSpan w:val="3"/>
            <w:tcBorders>
              <w:top w:val="single" w:color="auto" w:sz="4" w:space="0"/>
              <w:left w:val="single" w:color="auto" w:sz="4" w:space="0"/>
              <w:bottom w:val="single" w:color="auto" w:sz="4" w:space="0"/>
              <w:right w:val="single" w:color="auto" w:sz="4" w:space="0"/>
            </w:tcBorders>
            <w:noWrap w:val="0"/>
            <w:vAlign w:val="center"/>
          </w:tcPr>
          <w:p w14:paraId="485FF9E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992" w:type="dxa"/>
            <w:tcBorders>
              <w:top w:val="single" w:color="auto" w:sz="4" w:space="0"/>
              <w:left w:val="single" w:color="auto" w:sz="4" w:space="0"/>
              <w:bottom w:val="single" w:color="auto" w:sz="4" w:space="0"/>
              <w:right w:val="single" w:color="auto" w:sz="4" w:space="0"/>
            </w:tcBorders>
            <w:noWrap w:val="0"/>
            <w:vAlign w:val="center"/>
          </w:tcPr>
          <w:p w14:paraId="787B4652">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center"/>
          </w:tcPr>
          <w:p w14:paraId="560D557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014F974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2DA79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1" w:hRule="atLeast"/>
        </w:trPr>
        <w:tc>
          <w:tcPr>
            <w:tcW w:w="9639" w:type="dxa"/>
            <w:gridSpan w:val="8"/>
            <w:tcBorders>
              <w:top w:val="single" w:color="auto" w:sz="4" w:space="0"/>
              <w:left w:val="single" w:color="auto" w:sz="4" w:space="0"/>
              <w:bottom w:val="single" w:color="auto" w:sz="4" w:space="0"/>
              <w:right w:val="single" w:color="auto" w:sz="4" w:space="0"/>
            </w:tcBorders>
            <w:noWrap w:val="0"/>
            <w:vAlign w:val="top"/>
          </w:tcPr>
          <w:p w14:paraId="49B4D7DC">
            <w:pPr>
              <w:keepNext w:val="0"/>
              <w:keepLines w:val="0"/>
              <w:suppressLineNumbers w:val="0"/>
              <w:spacing w:before="0" w:beforeAutospacing="0" w:after="0" w:afterAutospacing="0" w:line="360" w:lineRule="auto"/>
              <w:ind w:left="0" w:right="0"/>
              <w:jc w:val="both"/>
              <w:outlineLvl w:val="9"/>
              <w:rPr>
                <w:rFonts w:ascii="宋体" w:hAnsi="宋体"/>
                <w:color w:val="auto"/>
                <w:highlight w:val="none"/>
              </w:rPr>
            </w:pPr>
            <w:r>
              <w:rPr>
                <w:rFonts w:hint="eastAsia"/>
                <w:color w:val="auto"/>
                <w:highlight w:val="none"/>
              </w:rPr>
              <w:t>申请认质工作事由：</w:t>
            </w:r>
          </w:p>
        </w:tc>
      </w:tr>
      <w:tr w14:paraId="005AA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4" w:hRule="atLeast"/>
        </w:trPr>
        <w:tc>
          <w:tcPr>
            <w:tcW w:w="3544" w:type="dxa"/>
            <w:gridSpan w:val="3"/>
            <w:tcBorders>
              <w:top w:val="single" w:color="auto" w:sz="4" w:space="0"/>
              <w:left w:val="single" w:color="auto" w:sz="4" w:space="0"/>
              <w:bottom w:val="single" w:color="auto" w:sz="4" w:space="0"/>
              <w:right w:val="single" w:color="auto" w:sz="4" w:space="0"/>
            </w:tcBorders>
            <w:noWrap w:val="0"/>
            <w:vAlign w:val="top"/>
          </w:tcPr>
          <w:p w14:paraId="78026F27">
            <w:pPr>
              <w:keepNext w:val="0"/>
              <w:keepLines w:val="0"/>
              <w:suppressLineNumbers w:val="0"/>
              <w:spacing w:before="0" w:beforeAutospacing="0" w:after="0" w:afterAutospacing="0" w:line="360" w:lineRule="auto"/>
              <w:ind w:left="0" w:right="0"/>
              <w:contextualSpacing/>
              <w:outlineLvl w:val="9"/>
              <w:rPr>
                <w:rFonts w:hint="eastAsia" w:ascii="宋体" w:hAnsi="宋体"/>
                <w:color w:val="auto"/>
                <w:highlight w:val="none"/>
                <w:lang w:eastAsia="zh-CN"/>
              </w:rPr>
            </w:pPr>
            <w:r>
              <w:rPr>
                <w:rFonts w:hint="eastAsia" w:ascii="宋体" w:hAnsi="宋体"/>
                <w:color w:val="auto"/>
                <w:highlight w:val="none"/>
              </w:rPr>
              <w:t>施工单位：</w:t>
            </w:r>
          </w:p>
          <w:p w14:paraId="1B0573C3">
            <w:pPr>
              <w:keepNext w:val="0"/>
              <w:keepLines w:val="0"/>
              <w:suppressLineNumbers w:val="0"/>
              <w:spacing w:before="0" w:beforeAutospacing="0" w:after="0" w:afterAutospacing="0" w:line="360" w:lineRule="auto"/>
              <w:ind w:left="0" w:right="0"/>
              <w:contextualSpacing/>
              <w:outlineLvl w:val="9"/>
              <w:rPr>
                <w:rFonts w:hint="eastAsia" w:ascii="宋体" w:hAnsi="宋体"/>
                <w:color w:val="auto"/>
                <w:highlight w:val="none"/>
                <w:lang w:eastAsia="zh-CN"/>
              </w:rPr>
            </w:pPr>
          </w:p>
          <w:p w14:paraId="10DDAC20">
            <w:pPr>
              <w:keepNext w:val="0"/>
              <w:keepLines w:val="0"/>
              <w:suppressLineNumbers w:val="0"/>
              <w:spacing w:before="0" w:beforeAutospacing="0" w:after="0" w:afterAutospacing="0" w:line="360" w:lineRule="auto"/>
              <w:ind w:left="0" w:right="0"/>
              <w:contextualSpacing/>
              <w:outlineLvl w:val="9"/>
              <w:rPr>
                <w:rFonts w:hint="eastAsia" w:ascii="宋体" w:hAnsi="宋体"/>
                <w:color w:val="auto"/>
                <w:highlight w:val="none"/>
                <w:lang w:eastAsia="zh-CN"/>
              </w:rPr>
            </w:pPr>
          </w:p>
          <w:p w14:paraId="54DDEBEC">
            <w:pPr>
              <w:keepNext w:val="0"/>
              <w:keepLines w:val="0"/>
              <w:suppressLineNumbers w:val="0"/>
              <w:spacing w:before="0" w:beforeAutospacing="0" w:after="0" w:afterAutospacing="0" w:line="360" w:lineRule="auto"/>
              <w:ind w:left="0" w:right="0"/>
              <w:contextualSpacing/>
              <w:jc w:val="right"/>
              <w:outlineLvl w:val="9"/>
              <w:rPr>
                <w:rFonts w:ascii="宋体" w:hAnsi="宋体"/>
                <w:color w:val="auto"/>
                <w:highlight w:val="none"/>
              </w:rPr>
            </w:pPr>
            <w:r>
              <w:rPr>
                <w:rFonts w:hint="eastAsia" w:ascii="宋体" w:hAnsi="宋体"/>
                <w:color w:val="auto"/>
                <w:highlight w:val="none"/>
              </w:rPr>
              <w:t>年   月   日</w:t>
            </w:r>
          </w:p>
        </w:tc>
        <w:tc>
          <w:tcPr>
            <w:tcW w:w="2977" w:type="dxa"/>
            <w:tcBorders>
              <w:top w:val="single" w:color="auto" w:sz="4" w:space="0"/>
              <w:left w:val="single" w:color="auto" w:sz="4" w:space="0"/>
              <w:bottom w:val="single" w:color="auto" w:sz="4" w:space="0"/>
              <w:right w:val="single" w:color="auto" w:sz="4" w:space="0"/>
            </w:tcBorders>
            <w:noWrap w:val="0"/>
            <w:vAlign w:val="top"/>
          </w:tcPr>
          <w:p w14:paraId="6355BAF3">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r>
              <w:rPr>
                <w:rFonts w:hint="eastAsia" w:ascii="宋体" w:hAnsi="宋体"/>
                <w:color w:val="auto"/>
                <w:highlight w:val="none"/>
              </w:rPr>
              <w:t xml:space="preserve">监理单位： </w:t>
            </w:r>
          </w:p>
          <w:p w14:paraId="4FEEE3F8">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p>
          <w:p w14:paraId="12952FF9">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p>
          <w:p w14:paraId="6D25ABD4">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r>
              <w:rPr>
                <w:rFonts w:hint="eastAsia" w:ascii="宋体" w:hAnsi="宋体"/>
                <w:color w:val="auto"/>
                <w:highlight w:val="none"/>
              </w:rPr>
              <w:t xml:space="preserve">           年   月   日</w:t>
            </w:r>
          </w:p>
        </w:tc>
        <w:tc>
          <w:tcPr>
            <w:tcW w:w="3118" w:type="dxa"/>
            <w:gridSpan w:val="4"/>
            <w:tcBorders>
              <w:top w:val="single" w:color="auto" w:sz="4" w:space="0"/>
              <w:left w:val="single" w:color="auto" w:sz="4" w:space="0"/>
              <w:bottom w:val="single" w:color="auto" w:sz="4" w:space="0"/>
              <w:right w:val="single" w:color="auto" w:sz="4" w:space="0"/>
            </w:tcBorders>
            <w:noWrap w:val="0"/>
            <w:vAlign w:val="top"/>
          </w:tcPr>
          <w:p w14:paraId="7B4372E5">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r>
              <w:rPr>
                <w:rFonts w:hint="eastAsia" w:ascii="宋体" w:hAnsi="宋体"/>
                <w:color w:val="auto"/>
                <w:highlight w:val="none"/>
              </w:rPr>
              <w:t>建设单位：</w:t>
            </w:r>
          </w:p>
          <w:p w14:paraId="69034BEB">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p>
          <w:p w14:paraId="74474068">
            <w:pPr>
              <w:keepNext w:val="0"/>
              <w:keepLines w:val="0"/>
              <w:suppressLineNumbers w:val="0"/>
              <w:spacing w:before="0" w:beforeAutospacing="0" w:after="0" w:afterAutospacing="0" w:line="360" w:lineRule="auto"/>
              <w:ind w:left="0" w:right="0" w:firstLine="1260" w:firstLineChars="600"/>
              <w:contextualSpacing/>
              <w:outlineLvl w:val="9"/>
              <w:rPr>
                <w:rFonts w:hint="eastAsia" w:ascii="宋体" w:hAnsi="宋体"/>
                <w:color w:val="auto"/>
                <w:highlight w:val="none"/>
                <w:lang w:eastAsia="zh-CN"/>
              </w:rPr>
            </w:pPr>
          </w:p>
          <w:p w14:paraId="051AC6F2">
            <w:pPr>
              <w:keepNext w:val="0"/>
              <w:keepLines w:val="0"/>
              <w:suppressLineNumbers w:val="0"/>
              <w:spacing w:before="0" w:beforeAutospacing="0" w:after="0" w:afterAutospacing="0" w:line="360" w:lineRule="auto"/>
              <w:ind w:left="0" w:right="0" w:firstLine="1260" w:firstLineChars="600"/>
              <w:contextualSpacing/>
              <w:outlineLvl w:val="9"/>
              <w:rPr>
                <w:rFonts w:ascii="宋体" w:hAnsi="宋体"/>
                <w:color w:val="auto"/>
                <w:highlight w:val="none"/>
              </w:rPr>
            </w:pPr>
            <w:r>
              <w:rPr>
                <w:rFonts w:hint="eastAsia" w:ascii="宋体" w:hAnsi="宋体"/>
                <w:color w:val="auto"/>
                <w:highlight w:val="none"/>
              </w:rPr>
              <w:t>年   月   日</w:t>
            </w:r>
          </w:p>
        </w:tc>
      </w:tr>
    </w:tbl>
    <w:p w14:paraId="4D6AB031">
      <w:pPr>
        <w:spacing w:line="360" w:lineRule="auto"/>
        <w:contextualSpacing/>
        <w:outlineLvl w:val="9"/>
        <w:rPr>
          <w:rFonts w:ascii="宋体" w:hAnsi="宋体"/>
          <w:color w:val="auto"/>
          <w:sz w:val="21"/>
          <w:szCs w:val="21"/>
          <w:highlight w:val="none"/>
          <w:lang w:eastAsia="zh-CN"/>
        </w:rPr>
      </w:pPr>
      <w:r>
        <w:rPr>
          <w:rFonts w:hint="eastAsia" w:ascii="宋体" w:hAnsi="宋体"/>
          <w:color w:val="auto"/>
          <w:sz w:val="21"/>
          <w:szCs w:val="21"/>
          <w:highlight w:val="none"/>
          <w:lang w:eastAsia="zh-CN"/>
        </w:rPr>
        <w:t>1、本报审表一式五份，建设单位三份，其它单位各一份。</w:t>
      </w:r>
      <w:r>
        <w:rPr>
          <w:rFonts w:ascii="宋体" w:hAnsi="宋体"/>
          <w:color w:val="auto"/>
          <w:sz w:val="21"/>
          <w:szCs w:val="21"/>
          <w:highlight w:val="none"/>
          <w:lang w:eastAsia="zh-CN"/>
        </w:rPr>
        <w:t xml:space="preserve"> </w:t>
      </w:r>
    </w:p>
    <w:p w14:paraId="2FF0F668">
      <w:pPr>
        <w:spacing w:line="360" w:lineRule="auto"/>
        <w:contextualSpacing/>
        <w:outlineLvl w:val="9"/>
        <w:rPr>
          <w:rFonts w:ascii="宋体" w:hAnsi="宋体"/>
          <w:color w:val="auto"/>
          <w:sz w:val="21"/>
          <w:szCs w:val="21"/>
          <w:highlight w:val="none"/>
          <w:lang w:eastAsia="zh-CN"/>
        </w:rPr>
      </w:pPr>
      <w:r>
        <w:rPr>
          <w:rFonts w:hint="eastAsia" w:ascii="宋体" w:hAnsi="宋体"/>
          <w:color w:val="auto"/>
          <w:sz w:val="21"/>
          <w:szCs w:val="21"/>
          <w:highlight w:val="none"/>
          <w:lang w:eastAsia="zh-CN"/>
        </w:rPr>
        <w:t>2、本报审表报审数量为暂估量，最终以结算数量为准。</w:t>
      </w:r>
    </w:p>
    <w:p w14:paraId="7F5E6548">
      <w:pPr>
        <w:spacing w:line="360" w:lineRule="auto"/>
        <w:contextualSpacing/>
        <w:outlineLvl w:val="9"/>
        <w:rPr>
          <w:rFonts w:ascii="宋体" w:hAnsi="宋体"/>
          <w:color w:val="auto"/>
          <w:sz w:val="21"/>
          <w:szCs w:val="21"/>
          <w:highlight w:val="none"/>
          <w:lang w:eastAsia="zh-CN"/>
        </w:rPr>
      </w:pPr>
      <w:r>
        <w:rPr>
          <w:rFonts w:hint="eastAsia" w:ascii="宋体" w:hAnsi="宋体"/>
          <w:color w:val="auto"/>
          <w:sz w:val="21"/>
          <w:szCs w:val="21"/>
          <w:highlight w:val="none"/>
          <w:lang w:eastAsia="zh-CN"/>
        </w:rPr>
        <w:t>3、认质原因需如实填写清楚，无认质原因或原因不明确的，不予以审核。认质依据应作为附件同报审表一并上报，资料不全的，不予审核。</w:t>
      </w:r>
    </w:p>
    <w:p w14:paraId="1EF898AC">
      <w:pPr>
        <w:spacing w:line="360" w:lineRule="auto"/>
        <w:contextualSpacing/>
        <w:outlineLvl w:val="9"/>
        <w:rPr>
          <w:rFonts w:ascii="宋体" w:hAnsi="宋体"/>
          <w:color w:val="auto"/>
          <w:sz w:val="21"/>
          <w:szCs w:val="21"/>
          <w:highlight w:val="none"/>
          <w:lang w:eastAsia="zh-CN"/>
        </w:rPr>
      </w:pPr>
      <w:r>
        <w:rPr>
          <w:rFonts w:hint="eastAsia" w:ascii="宋体" w:hAnsi="宋体"/>
          <w:color w:val="auto"/>
          <w:sz w:val="21"/>
          <w:szCs w:val="21"/>
          <w:highlight w:val="none"/>
          <w:lang w:eastAsia="zh-CN"/>
        </w:rPr>
        <w:t>4、本报审表须准确填写厂家、品牌、规格型号，未填写或填写不清的，不予审核。</w:t>
      </w:r>
    </w:p>
    <w:p w14:paraId="74C04F80">
      <w:pPr>
        <w:spacing w:line="360" w:lineRule="auto"/>
        <w:contextualSpacing/>
        <w:outlineLvl w:val="9"/>
        <w:rPr>
          <w:rFonts w:ascii="宋体" w:hAnsi="宋体"/>
          <w:color w:val="auto"/>
          <w:sz w:val="21"/>
          <w:szCs w:val="21"/>
          <w:highlight w:val="none"/>
          <w:lang w:eastAsia="zh-CN"/>
        </w:rPr>
      </w:pPr>
      <w:r>
        <w:rPr>
          <w:rFonts w:hint="eastAsia" w:ascii="宋体" w:hAnsi="宋体"/>
          <w:color w:val="auto"/>
          <w:sz w:val="21"/>
          <w:szCs w:val="21"/>
          <w:highlight w:val="none"/>
          <w:lang w:eastAsia="zh-CN"/>
        </w:rPr>
        <w:t>5、本报审表的报审单位应是与建设单位有直接合同关系的“施工单位”。“总包单位”的专业分包单位认质时，应由“总包单位”进行上报。</w:t>
      </w:r>
    </w:p>
    <w:p w14:paraId="2C775945">
      <w:pPr>
        <w:outlineLvl w:val="9"/>
        <w:rPr>
          <w:color w:val="auto"/>
          <w:sz w:val="21"/>
          <w:szCs w:val="21"/>
          <w:highlight w:val="none"/>
        </w:rPr>
      </w:pPr>
    </w:p>
    <w:p w14:paraId="74D28493">
      <w:pPr>
        <w:spacing w:line="360" w:lineRule="auto"/>
        <w:contextualSpacing/>
        <w:outlineLvl w:val="9"/>
        <w:rPr>
          <w:rFonts w:asciiTheme="minorEastAsia" w:hAnsiTheme="minorEastAsia" w:eastAsiaTheme="minorEastAsia"/>
          <w:color w:val="auto"/>
          <w:sz w:val="24"/>
          <w:highlight w:val="none"/>
        </w:rPr>
      </w:pPr>
      <w:r>
        <w:rPr>
          <w:rFonts w:asciiTheme="minorEastAsia" w:hAnsiTheme="minorEastAsia" w:eastAsiaTheme="minorEastAsia"/>
          <w:color w:val="auto"/>
          <w:highlight w:val="none"/>
        </w:rPr>
        <w:br w:type="page"/>
      </w:r>
      <w:r>
        <w:rPr>
          <w:rFonts w:hint="eastAsia" w:asciiTheme="minorEastAsia" w:hAnsiTheme="minorEastAsia" w:eastAsiaTheme="minorEastAsia"/>
          <w:color w:val="auto"/>
          <w:sz w:val="24"/>
          <w:highlight w:val="none"/>
        </w:rPr>
        <w:t>附表5：</w:t>
      </w:r>
    </w:p>
    <w:p w14:paraId="563D6926">
      <w:pPr>
        <w:spacing w:line="360" w:lineRule="auto"/>
        <w:jc w:val="center"/>
        <w:outlineLvl w:val="9"/>
        <w:rPr>
          <w:rFonts w:ascii="宋体" w:hAnsi="宋体"/>
          <w:b/>
          <w:color w:val="auto"/>
          <w:sz w:val="32"/>
          <w:szCs w:val="32"/>
          <w:highlight w:val="none"/>
          <w:lang w:eastAsia="zh-CN"/>
        </w:rPr>
      </w:pPr>
      <w:r>
        <w:rPr>
          <w:rFonts w:hint="eastAsia" w:ascii="宋体" w:hAnsi="宋体"/>
          <w:b/>
          <w:color w:val="auto"/>
          <w:sz w:val="32"/>
          <w:szCs w:val="32"/>
          <w:highlight w:val="none"/>
          <w:lang w:eastAsia="zh-CN"/>
        </w:rPr>
        <w:t>材料（设备）认质、认价报审表</w:t>
      </w:r>
    </w:p>
    <w:p w14:paraId="50E77460">
      <w:pPr>
        <w:spacing w:line="360" w:lineRule="auto"/>
        <w:contextualSpacing/>
        <w:outlineLvl w:val="9"/>
        <w:rPr>
          <w:rFonts w:ascii="宋体" w:hAnsi="宋体"/>
          <w:color w:val="auto"/>
          <w:highlight w:val="none"/>
          <w:lang w:eastAsia="zh-CN"/>
        </w:rPr>
      </w:pPr>
      <w:r>
        <w:rPr>
          <w:rFonts w:hint="eastAsia" w:ascii="宋体" w:hAnsi="宋体"/>
          <w:color w:val="auto"/>
          <w:highlight w:val="none"/>
          <w:lang w:eastAsia="zh-CN"/>
        </w:rPr>
        <w:t>合同名称：                                施工单位联系人：</w:t>
      </w:r>
    </w:p>
    <w:p w14:paraId="73694CB0">
      <w:pPr>
        <w:spacing w:line="360" w:lineRule="auto"/>
        <w:contextualSpacing/>
        <w:outlineLvl w:val="9"/>
        <w:rPr>
          <w:rFonts w:ascii="宋体" w:hAnsi="宋体"/>
          <w:color w:val="auto"/>
          <w:highlight w:val="none"/>
          <w:lang w:eastAsia="zh-CN"/>
        </w:rPr>
      </w:pPr>
      <w:r>
        <w:rPr>
          <w:rFonts w:hint="eastAsia" w:ascii="宋体" w:hAnsi="宋体"/>
          <w:color w:val="auto"/>
          <w:highlight w:val="none"/>
          <w:lang w:eastAsia="zh-CN"/>
        </w:rPr>
        <w:t>施工单位：                                施工单位联系电话：</w:t>
      </w:r>
    </w:p>
    <w:tbl>
      <w:tblPr>
        <w:tblStyle w:val="56"/>
        <w:tblW w:w="9639"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985"/>
        <w:gridCol w:w="850"/>
        <w:gridCol w:w="2268"/>
        <w:gridCol w:w="709"/>
        <w:gridCol w:w="283"/>
        <w:gridCol w:w="426"/>
        <w:gridCol w:w="1701"/>
        <w:gridCol w:w="708"/>
      </w:tblGrid>
      <w:tr w14:paraId="7CB6D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207EFB4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序号</w:t>
            </w:r>
          </w:p>
        </w:tc>
        <w:tc>
          <w:tcPr>
            <w:tcW w:w="1985" w:type="dxa"/>
            <w:tcBorders>
              <w:top w:val="single" w:color="auto" w:sz="4" w:space="0"/>
              <w:left w:val="single" w:color="auto" w:sz="4" w:space="0"/>
              <w:bottom w:val="single" w:color="auto" w:sz="4" w:space="0"/>
              <w:right w:val="single" w:color="auto" w:sz="4" w:space="0"/>
            </w:tcBorders>
            <w:noWrap w:val="0"/>
            <w:vAlign w:val="center"/>
          </w:tcPr>
          <w:p w14:paraId="7C376A90">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材料名称</w:t>
            </w:r>
          </w:p>
        </w:tc>
        <w:tc>
          <w:tcPr>
            <w:tcW w:w="3118" w:type="dxa"/>
            <w:gridSpan w:val="2"/>
            <w:tcBorders>
              <w:top w:val="single" w:color="auto" w:sz="4" w:space="0"/>
              <w:left w:val="single" w:color="auto" w:sz="4" w:space="0"/>
              <w:bottom w:val="single" w:color="auto" w:sz="4" w:space="0"/>
              <w:right w:val="single" w:color="auto" w:sz="4" w:space="0"/>
            </w:tcBorders>
            <w:noWrap w:val="0"/>
            <w:vAlign w:val="center"/>
          </w:tcPr>
          <w:p w14:paraId="1C804238">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b/>
                <w:color w:val="auto"/>
                <w:highlight w:val="none"/>
                <w:lang w:eastAsia="zh-CN"/>
              </w:rPr>
            </w:pPr>
            <w:r>
              <w:rPr>
                <w:rFonts w:hint="eastAsia" w:ascii="宋体" w:hAnsi="宋体"/>
                <w:b/>
                <w:color w:val="auto"/>
                <w:highlight w:val="none"/>
                <w:lang w:eastAsia="zh-CN"/>
              </w:rPr>
              <w:t>品牌、规格型号及主要参数</w:t>
            </w:r>
          </w:p>
        </w:tc>
        <w:tc>
          <w:tcPr>
            <w:tcW w:w="709" w:type="dxa"/>
            <w:tcBorders>
              <w:top w:val="single" w:color="auto" w:sz="4" w:space="0"/>
              <w:left w:val="single" w:color="auto" w:sz="4" w:space="0"/>
              <w:bottom w:val="single" w:color="auto" w:sz="4" w:space="0"/>
              <w:right w:val="single" w:color="auto" w:sz="4" w:space="0"/>
            </w:tcBorders>
            <w:noWrap w:val="0"/>
            <w:vAlign w:val="center"/>
          </w:tcPr>
          <w:p w14:paraId="61836BE4">
            <w:pPr>
              <w:keepNext w:val="0"/>
              <w:keepLines w:val="0"/>
              <w:suppressLineNumbers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单位</w:t>
            </w:r>
          </w:p>
        </w:tc>
        <w:tc>
          <w:tcPr>
            <w:tcW w:w="709" w:type="dxa"/>
            <w:gridSpan w:val="2"/>
            <w:tcBorders>
              <w:top w:val="single" w:color="auto" w:sz="4" w:space="0"/>
              <w:left w:val="single" w:color="auto" w:sz="4" w:space="0"/>
              <w:bottom w:val="single" w:color="auto" w:sz="4" w:space="0"/>
              <w:right w:val="single" w:color="auto" w:sz="4" w:space="0"/>
            </w:tcBorders>
            <w:noWrap w:val="0"/>
            <w:vAlign w:val="center"/>
          </w:tcPr>
          <w:p w14:paraId="6AA2FCF7">
            <w:pPr>
              <w:keepNext w:val="0"/>
              <w:keepLines w:val="0"/>
              <w:suppressLineNumbers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数量</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27B7A622">
            <w:pPr>
              <w:keepNext w:val="0"/>
              <w:keepLines w:val="0"/>
              <w:suppressLineNumbers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材料单价（元）</w:t>
            </w:r>
          </w:p>
        </w:tc>
        <w:tc>
          <w:tcPr>
            <w:tcW w:w="708" w:type="dxa"/>
            <w:tcBorders>
              <w:top w:val="single" w:color="auto" w:sz="4" w:space="0"/>
              <w:left w:val="single" w:color="auto" w:sz="4" w:space="0"/>
              <w:bottom w:val="single" w:color="auto" w:sz="4" w:space="0"/>
              <w:right w:val="single" w:color="auto" w:sz="4" w:space="0"/>
            </w:tcBorders>
            <w:noWrap w:val="0"/>
            <w:vAlign w:val="center"/>
          </w:tcPr>
          <w:p w14:paraId="150A4A75">
            <w:pPr>
              <w:keepNext w:val="0"/>
              <w:keepLines w:val="0"/>
              <w:suppressLineNumbers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备注</w:t>
            </w:r>
          </w:p>
        </w:tc>
      </w:tr>
      <w:tr w14:paraId="5963C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243E7C68">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431022C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118" w:type="dxa"/>
            <w:gridSpan w:val="2"/>
            <w:tcBorders>
              <w:top w:val="single" w:color="auto" w:sz="4" w:space="0"/>
              <w:left w:val="single" w:color="auto" w:sz="4" w:space="0"/>
              <w:bottom w:val="single" w:color="auto" w:sz="4" w:space="0"/>
              <w:right w:val="single" w:color="auto" w:sz="4" w:space="0"/>
            </w:tcBorders>
            <w:noWrap w:val="0"/>
            <w:vAlign w:val="center"/>
          </w:tcPr>
          <w:p w14:paraId="13C2089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6882742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gridSpan w:val="2"/>
            <w:tcBorders>
              <w:top w:val="single" w:color="auto" w:sz="4" w:space="0"/>
              <w:left w:val="single" w:color="auto" w:sz="4" w:space="0"/>
              <w:bottom w:val="single" w:color="auto" w:sz="4" w:space="0"/>
              <w:right w:val="single" w:color="auto" w:sz="4" w:space="0"/>
            </w:tcBorders>
            <w:noWrap w:val="0"/>
            <w:vAlign w:val="center"/>
          </w:tcPr>
          <w:p w14:paraId="7D582A2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462A896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5B63B8FF">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49C49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19FB875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035DF037">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118" w:type="dxa"/>
            <w:gridSpan w:val="2"/>
            <w:tcBorders>
              <w:top w:val="single" w:color="auto" w:sz="4" w:space="0"/>
              <w:left w:val="single" w:color="auto" w:sz="4" w:space="0"/>
              <w:bottom w:val="single" w:color="auto" w:sz="4" w:space="0"/>
              <w:right w:val="single" w:color="auto" w:sz="4" w:space="0"/>
            </w:tcBorders>
            <w:noWrap w:val="0"/>
            <w:vAlign w:val="center"/>
          </w:tcPr>
          <w:p w14:paraId="0DCC6DC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1123847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gridSpan w:val="2"/>
            <w:tcBorders>
              <w:top w:val="single" w:color="auto" w:sz="4" w:space="0"/>
              <w:left w:val="single" w:color="auto" w:sz="4" w:space="0"/>
              <w:bottom w:val="single" w:color="auto" w:sz="4" w:space="0"/>
              <w:right w:val="single" w:color="auto" w:sz="4" w:space="0"/>
            </w:tcBorders>
            <w:noWrap w:val="0"/>
            <w:vAlign w:val="center"/>
          </w:tcPr>
          <w:p w14:paraId="0B3F622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4F5687D8">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0CE284E1">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7F6F8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1237701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0AEE407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118" w:type="dxa"/>
            <w:gridSpan w:val="2"/>
            <w:tcBorders>
              <w:top w:val="single" w:color="auto" w:sz="4" w:space="0"/>
              <w:left w:val="single" w:color="auto" w:sz="4" w:space="0"/>
              <w:bottom w:val="single" w:color="auto" w:sz="4" w:space="0"/>
              <w:right w:val="single" w:color="auto" w:sz="4" w:space="0"/>
            </w:tcBorders>
            <w:noWrap w:val="0"/>
            <w:vAlign w:val="center"/>
          </w:tcPr>
          <w:p w14:paraId="0FF892DF">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70EAF9C0">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gridSpan w:val="2"/>
            <w:tcBorders>
              <w:top w:val="single" w:color="auto" w:sz="4" w:space="0"/>
              <w:left w:val="single" w:color="auto" w:sz="4" w:space="0"/>
              <w:bottom w:val="single" w:color="auto" w:sz="4" w:space="0"/>
              <w:right w:val="single" w:color="auto" w:sz="4" w:space="0"/>
            </w:tcBorders>
            <w:noWrap w:val="0"/>
            <w:vAlign w:val="center"/>
          </w:tcPr>
          <w:p w14:paraId="23F1603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510E172F">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2BAADCF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3847C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50F7982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642F428F">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118" w:type="dxa"/>
            <w:gridSpan w:val="2"/>
            <w:tcBorders>
              <w:top w:val="single" w:color="auto" w:sz="4" w:space="0"/>
              <w:left w:val="single" w:color="auto" w:sz="4" w:space="0"/>
              <w:bottom w:val="single" w:color="auto" w:sz="4" w:space="0"/>
              <w:right w:val="single" w:color="auto" w:sz="4" w:space="0"/>
            </w:tcBorders>
            <w:noWrap w:val="0"/>
            <w:vAlign w:val="center"/>
          </w:tcPr>
          <w:p w14:paraId="01330CA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588ED1E0">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gridSpan w:val="2"/>
            <w:tcBorders>
              <w:top w:val="single" w:color="auto" w:sz="4" w:space="0"/>
              <w:left w:val="single" w:color="auto" w:sz="4" w:space="0"/>
              <w:bottom w:val="single" w:color="auto" w:sz="4" w:space="0"/>
              <w:right w:val="single" w:color="auto" w:sz="4" w:space="0"/>
            </w:tcBorders>
            <w:noWrap w:val="0"/>
            <w:vAlign w:val="center"/>
          </w:tcPr>
          <w:p w14:paraId="0B27FCF9">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2F5C0F7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35AA91B9">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7ED3D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7BC4864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2ADC87E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118" w:type="dxa"/>
            <w:gridSpan w:val="2"/>
            <w:tcBorders>
              <w:top w:val="single" w:color="auto" w:sz="4" w:space="0"/>
              <w:left w:val="single" w:color="auto" w:sz="4" w:space="0"/>
              <w:bottom w:val="single" w:color="auto" w:sz="4" w:space="0"/>
              <w:right w:val="single" w:color="auto" w:sz="4" w:space="0"/>
            </w:tcBorders>
            <w:noWrap w:val="0"/>
            <w:vAlign w:val="center"/>
          </w:tcPr>
          <w:p w14:paraId="517CA2E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61B22E0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gridSpan w:val="2"/>
            <w:tcBorders>
              <w:top w:val="single" w:color="auto" w:sz="4" w:space="0"/>
              <w:left w:val="single" w:color="auto" w:sz="4" w:space="0"/>
              <w:bottom w:val="single" w:color="auto" w:sz="4" w:space="0"/>
              <w:right w:val="single" w:color="auto" w:sz="4" w:space="0"/>
            </w:tcBorders>
            <w:noWrap w:val="0"/>
            <w:vAlign w:val="center"/>
          </w:tcPr>
          <w:p w14:paraId="40D28CE9">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398BED97">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7D7FA778">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43382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6EE760AC">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58BB3DF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118" w:type="dxa"/>
            <w:gridSpan w:val="2"/>
            <w:tcBorders>
              <w:top w:val="single" w:color="auto" w:sz="4" w:space="0"/>
              <w:left w:val="single" w:color="auto" w:sz="4" w:space="0"/>
              <w:bottom w:val="single" w:color="auto" w:sz="4" w:space="0"/>
              <w:right w:val="single" w:color="auto" w:sz="4" w:space="0"/>
            </w:tcBorders>
            <w:noWrap w:val="0"/>
            <w:vAlign w:val="center"/>
          </w:tcPr>
          <w:p w14:paraId="29E54692">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7DEDEFD8">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gridSpan w:val="2"/>
            <w:tcBorders>
              <w:top w:val="single" w:color="auto" w:sz="4" w:space="0"/>
              <w:left w:val="single" w:color="auto" w:sz="4" w:space="0"/>
              <w:bottom w:val="single" w:color="auto" w:sz="4" w:space="0"/>
              <w:right w:val="single" w:color="auto" w:sz="4" w:space="0"/>
            </w:tcBorders>
            <w:noWrap w:val="0"/>
            <w:vAlign w:val="center"/>
          </w:tcPr>
          <w:p w14:paraId="5A4AA1C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07A9A0BC">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7CB1DFE9">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090AB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42FE27C1">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3C90C16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118" w:type="dxa"/>
            <w:gridSpan w:val="2"/>
            <w:tcBorders>
              <w:top w:val="single" w:color="auto" w:sz="4" w:space="0"/>
              <w:left w:val="single" w:color="auto" w:sz="4" w:space="0"/>
              <w:bottom w:val="single" w:color="auto" w:sz="4" w:space="0"/>
              <w:right w:val="single" w:color="auto" w:sz="4" w:space="0"/>
            </w:tcBorders>
            <w:noWrap w:val="0"/>
            <w:vAlign w:val="center"/>
          </w:tcPr>
          <w:p w14:paraId="6E3E3E2F">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232C585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gridSpan w:val="2"/>
            <w:tcBorders>
              <w:top w:val="single" w:color="auto" w:sz="4" w:space="0"/>
              <w:left w:val="single" w:color="auto" w:sz="4" w:space="0"/>
              <w:bottom w:val="single" w:color="auto" w:sz="4" w:space="0"/>
              <w:right w:val="single" w:color="auto" w:sz="4" w:space="0"/>
            </w:tcBorders>
            <w:noWrap w:val="0"/>
            <w:vAlign w:val="center"/>
          </w:tcPr>
          <w:p w14:paraId="0F664EA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46F5F64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791367E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7788E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7015F24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78A0757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118" w:type="dxa"/>
            <w:gridSpan w:val="2"/>
            <w:tcBorders>
              <w:top w:val="single" w:color="auto" w:sz="4" w:space="0"/>
              <w:left w:val="single" w:color="auto" w:sz="4" w:space="0"/>
              <w:bottom w:val="single" w:color="auto" w:sz="4" w:space="0"/>
              <w:right w:val="single" w:color="auto" w:sz="4" w:space="0"/>
            </w:tcBorders>
            <w:noWrap w:val="0"/>
            <w:vAlign w:val="center"/>
          </w:tcPr>
          <w:p w14:paraId="2B620AC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1A57C5D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gridSpan w:val="2"/>
            <w:tcBorders>
              <w:top w:val="single" w:color="auto" w:sz="4" w:space="0"/>
              <w:left w:val="single" w:color="auto" w:sz="4" w:space="0"/>
              <w:bottom w:val="single" w:color="auto" w:sz="4" w:space="0"/>
              <w:right w:val="single" w:color="auto" w:sz="4" w:space="0"/>
            </w:tcBorders>
            <w:noWrap w:val="0"/>
            <w:vAlign w:val="center"/>
          </w:tcPr>
          <w:p w14:paraId="3C2DBEE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13D14D2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0862310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319B3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30BE5D9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985" w:type="dxa"/>
            <w:tcBorders>
              <w:top w:val="single" w:color="auto" w:sz="4" w:space="0"/>
              <w:left w:val="single" w:color="auto" w:sz="4" w:space="0"/>
              <w:bottom w:val="single" w:color="auto" w:sz="4" w:space="0"/>
              <w:right w:val="single" w:color="auto" w:sz="4" w:space="0"/>
            </w:tcBorders>
            <w:noWrap w:val="0"/>
            <w:vAlign w:val="center"/>
          </w:tcPr>
          <w:p w14:paraId="714A39D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3118" w:type="dxa"/>
            <w:gridSpan w:val="2"/>
            <w:tcBorders>
              <w:top w:val="single" w:color="auto" w:sz="4" w:space="0"/>
              <w:left w:val="single" w:color="auto" w:sz="4" w:space="0"/>
              <w:bottom w:val="single" w:color="auto" w:sz="4" w:space="0"/>
              <w:right w:val="single" w:color="auto" w:sz="4" w:space="0"/>
            </w:tcBorders>
            <w:noWrap w:val="0"/>
            <w:vAlign w:val="center"/>
          </w:tcPr>
          <w:p w14:paraId="7792CF3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4F30ABB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gridSpan w:val="2"/>
            <w:tcBorders>
              <w:top w:val="single" w:color="auto" w:sz="4" w:space="0"/>
              <w:left w:val="single" w:color="auto" w:sz="4" w:space="0"/>
              <w:bottom w:val="single" w:color="auto" w:sz="4" w:space="0"/>
              <w:right w:val="single" w:color="auto" w:sz="4" w:space="0"/>
            </w:tcBorders>
            <w:noWrap w:val="0"/>
            <w:vAlign w:val="center"/>
          </w:tcPr>
          <w:p w14:paraId="616D9BF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40C98C9F">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6DF580EE">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4432E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5" w:hRule="atLeast"/>
        </w:trPr>
        <w:tc>
          <w:tcPr>
            <w:tcW w:w="9639" w:type="dxa"/>
            <w:gridSpan w:val="9"/>
            <w:tcBorders>
              <w:top w:val="single" w:color="auto" w:sz="4" w:space="0"/>
              <w:left w:val="single" w:color="auto" w:sz="4" w:space="0"/>
              <w:bottom w:val="single" w:color="auto" w:sz="4" w:space="0"/>
              <w:right w:val="single" w:color="auto" w:sz="4" w:space="0"/>
            </w:tcBorders>
            <w:noWrap w:val="0"/>
            <w:vAlign w:val="top"/>
          </w:tcPr>
          <w:p w14:paraId="2BB87B73">
            <w:pPr>
              <w:keepNext w:val="0"/>
              <w:keepLines w:val="0"/>
              <w:suppressLineNumbers w:val="0"/>
              <w:spacing w:before="0" w:beforeAutospacing="0" w:after="0" w:afterAutospacing="0" w:line="360" w:lineRule="auto"/>
              <w:ind w:left="0" w:right="0"/>
              <w:jc w:val="both"/>
              <w:outlineLvl w:val="9"/>
              <w:rPr>
                <w:rFonts w:ascii="宋体" w:hAnsi="宋体"/>
                <w:color w:val="auto"/>
                <w:highlight w:val="none"/>
                <w:lang w:eastAsia="zh-CN"/>
              </w:rPr>
            </w:pPr>
            <w:r>
              <w:rPr>
                <w:rFonts w:hint="eastAsia"/>
                <w:color w:val="auto"/>
                <w:highlight w:val="none"/>
                <w:lang w:eastAsia="zh-CN"/>
              </w:rPr>
              <w:t>申请认质认价工作事由：</w:t>
            </w:r>
          </w:p>
        </w:tc>
      </w:tr>
      <w:tr w14:paraId="37C16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4" w:hRule="atLeast"/>
        </w:trPr>
        <w:tc>
          <w:tcPr>
            <w:tcW w:w="3544" w:type="dxa"/>
            <w:gridSpan w:val="3"/>
            <w:tcBorders>
              <w:top w:val="single" w:color="auto" w:sz="4" w:space="0"/>
              <w:left w:val="single" w:color="auto" w:sz="4" w:space="0"/>
              <w:bottom w:val="single" w:color="auto" w:sz="4" w:space="0"/>
              <w:right w:val="single" w:color="auto" w:sz="4" w:space="0"/>
            </w:tcBorders>
            <w:noWrap w:val="0"/>
            <w:vAlign w:val="top"/>
          </w:tcPr>
          <w:p w14:paraId="6DEC33EE">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r>
              <w:rPr>
                <w:rFonts w:hint="eastAsia" w:ascii="宋体" w:hAnsi="宋体"/>
                <w:color w:val="auto"/>
                <w:highlight w:val="none"/>
              </w:rPr>
              <w:t>施工单位：</w:t>
            </w:r>
          </w:p>
          <w:p w14:paraId="62A98354">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p>
          <w:p w14:paraId="4BB80FB7">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p>
          <w:p w14:paraId="7D19BC89">
            <w:pPr>
              <w:keepNext w:val="0"/>
              <w:keepLines w:val="0"/>
              <w:suppressLineNumbers w:val="0"/>
              <w:spacing w:before="0" w:beforeAutospacing="0" w:after="0" w:afterAutospacing="0" w:line="360" w:lineRule="auto"/>
              <w:ind w:left="0" w:right="0" w:firstLine="1260" w:firstLineChars="600"/>
              <w:contextualSpacing/>
              <w:outlineLvl w:val="9"/>
              <w:rPr>
                <w:rFonts w:ascii="宋体" w:hAnsi="宋体"/>
                <w:color w:val="auto"/>
                <w:highlight w:val="none"/>
              </w:rPr>
            </w:pPr>
            <w:r>
              <w:rPr>
                <w:rFonts w:hint="eastAsia" w:ascii="宋体" w:hAnsi="宋体"/>
                <w:color w:val="auto"/>
                <w:highlight w:val="none"/>
              </w:rPr>
              <w:t>年   月   日</w:t>
            </w:r>
          </w:p>
        </w:tc>
        <w:tc>
          <w:tcPr>
            <w:tcW w:w="3260" w:type="dxa"/>
            <w:gridSpan w:val="3"/>
            <w:tcBorders>
              <w:top w:val="single" w:color="auto" w:sz="4" w:space="0"/>
              <w:left w:val="single" w:color="auto" w:sz="4" w:space="0"/>
              <w:bottom w:val="single" w:color="auto" w:sz="4" w:space="0"/>
              <w:right w:val="single" w:color="auto" w:sz="4" w:space="0"/>
            </w:tcBorders>
            <w:noWrap w:val="0"/>
            <w:vAlign w:val="top"/>
          </w:tcPr>
          <w:p w14:paraId="03E694C3">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r>
              <w:rPr>
                <w:rFonts w:hint="eastAsia" w:ascii="宋体" w:hAnsi="宋体"/>
                <w:color w:val="auto"/>
                <w:highlight w:val="none"/>
              </w:rPr>
              <w:t xml:space="preserve">监理单位： </w:t>
            </w:r>
          </w:p>
          <w:p w14:paraId="42E5C445">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p>
          <w:p w14:paraId="06118F0F">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p>
          <w:p w14:paraId="0F48CEA3">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r>
              <w:rPr>
                <w:rFonts w:hint="eastAsia" w:ascii="宋体" w:hAnsi="宋体"/>
                <w:color w:val="auto"/>
                <w:highlight w:val="none"/>
              </w:rPr>
              <w:t xml:space="preserve">             年   月   日</w:t>
            </w:r>
          </w:p>
        </w:tc>
        <w:tc>
          <w:tcPr>
            <w:tcW w:w="2835" w:type="dxa"/>
            <w:gridSpan w:val="3"/>
            <w:tcBorders>
              <w:top w:val="single" w:color="auto" w:sz="4" w:space="0"/>
              <w:left w:val="single" w:color="auto" w:sz="4" w:space="0"/>
              <w:bottom w:val="single" w:color="auto" w:sz="4" w:space="0"/>
              <w:right w:val="single" w:color="auto" w:sz="4" w:space="0"/>
            </w:tcBorders>
            <w:noWrap w:val="0"/>
            <w:vAlign w:val="top"/>
          </w:tcPr>
          <w:p w14:paraId="276CE30D">
            <w:pPr>
              <w:keepNext w:val="0"/>
              <w:keepLines w:val="0"/>
              <w:suppressLineNumbers w:val="0"/>
              <w:spacing w:before="0" w:beforeAutospacing="0" w:after="0" w:afterAutospacing="0" w:line="360" w:lineRule="auto"/>
              <w:ind w:left="0" w:right="0"/>
              <w:contextualSpacing/>
              <w:outlineLvl w:val="9"/>
              <w:rPr>
                <w:rFonts w:hint="eastAsia" w:ascii="宋体" w:hAnsi="宋体"/>
                <w:color w:val="auto"/>
                <w:highlight w:val="none"/>
                <w:lang w:eastAsia="zh-CN"/>
              </w:rPr>
            </w:pPr>
            <w:r>
              <w:rPr>
                <w:rFonts w:hint="eastAsia" w:ascii="宋体" w:hAnsi="宋体"/>
                <w:color w:val="auto"/>
                <w:highlight w:val="none"/>
              </w:rPr>
              <w:t>建设单位：</w:t>
            </w:r>
          </w:p>
          <w:p w14:paraId="419AE0DD">
            <w:pPr>
              <w:keepNext w:val="0"/>
              <w:keepLines w:val="0"/>
              <w:suppressLineNumbers w:val="0"/>
              <w:spacing w:before="0" w:beforeAutospacing="0" w:after="0" w:afterAutospacing="0" w:line="360" w:lineRule="auto"/>
              <w:ind w:left="0" w:right="0"/>
              <w:contextualSpacing/>
              <w:outlineLvl w:val="9"/>
              <w:rPr>
                <w:rFonts w:hint="eastAsia" w:ascii="宋体" w:hAnsi="宋体"/>
                <w:color w:val="auto"/>
                <w:highlight w:val="none"/>
                <w:lang w:eastAsia="zh-CN"/>
              </w:rPr>
            </w:pPr>
          </w:p>
          <w:p w14:paraId="7FD4AD54">
            <w:pPr>
              <w:keepNext w:val="0"/>
              <w:keepLines w:val="0"/>
              <w:suppressLineNumbers w:val="0"/>
              <w:spacing w:before="0" w:beforeAutospacing="0" w:after="0" w:afterAutospacing="0" w:line="360" w:lineRule="auto"/>
              <w:ind w:left="0" w:right="0"/>
              <w:contextualSpacing/>
              <w:outlineLvl w:val="9"/>
              <w:rPr>
                <w:rFonts w:hint="eastAsia" w:ascii="宋体" w:hAnsi="宋体"/>
                <w:color w:val="auto"/>
                <w:highlight w:val="none"/>
                <w:lang w:eastAsia="zh-CN"/>
              </w:rPr>
            </w:pPr>
          </w:p>
          <w:p w14:paraId="6D2EEEC6">
            <w:pPr>
              <w:keepNext w:val="0"/>
              <w:keepLines w:val="0"/>
              <w:suppressLineNumbers w:val="0"/>
              <w:spacing w:before="0" w:beforeAutospacing="0" w:after="0" w:afterAutospacing="0" w:line="360" w:lineRule="auto"/>
              <w:ind w:left="0" w:right="0"/>
              <w:contextualSpacing/>
              <w:jc w:val="right"/>
              <w:outlineLvl w:val="9"/>
              <w:rPr>
                <w:rFonts w:ascii="宋体" w:hAnsi="宋体"/>
                <w:color w:val="auto"/>
                <w:highlight w:val="none"/>
              </w:rPr>
            </w:pPr>
            <w:r>
              <w:rPr>
                <w:rFonts w:hint="eastAsia" w:ascii="宋体" w:hAnsi="宋体"/>
                <w:color w:val="auto"/>
                <w:highlight w:val="none"/>
              </w:rPr>
              <w:t>年   月   日</w:t>
            </w:r>
          </w:p>
        </w:tc>
      </w:tr>
    </w:tbl>
    <w:p w14:paraId="56B0C55A">
      <w:pPr>
        <w:spacing w:line="360" w:lineRule="auto"/>
        <w:contextualSpacing/>
        <w:outlineLvl w:val="9"/>
        <w:rPr>
          <w:rFonts w:ascii="宋体" w:hAnsi="宋体"/>
          <w:color w:val="auto"/>
          <w:sz w:val="21"/>
          <w:szCs w:val="21"/>
          <w:highlight w:val="none"/>
          <w:lang w:eastAsia="zh-CN"/>
        </w:rPr>
      </w:pPr>
      <w:r>
        <w:rPr>
          <w:rFonts w:hint="eastAsia" w:ascii="宋体" w:hAnsi="宋体"/>
          <w:color w:val="auto"/>
          <w:sz w:val="21"/>
          <w:szCs w:val="21"/>
          <w:highlight w:val="none"/>
          <w:lang w:eastAsia="zh-CN"/>
        </w:rPr>
        <w:t>1、本报审表一式五份，建设单位三份，其它单位各一份。</w:t>
      </w:r>
      <w:r>
        <w:rPr>
          <w:rFonts w:ascii="宋体" w:hAnsi="宋体"/>
          <w:color w:val="auto"/>
          <w:sz w:val="21"/>
          <w:szCs w:val="21"/>
          <w:highlight w:val="none"/>
          <w:lang w:eastAsia="zh-CN"/>
        </w:rPr>
        <w:t xml:space="preserve"> </w:t>
      </w:r>
    </w:p>
    <w:p w14:paraId="5194E9C3">
      <w:pPr>
        <w:spacing w:line="360" w:lineRule="auto"/>
        <w:contextualSpacing/>
        <w:outlineLvl w:val="9"/>
        <w:rPr>
          <w:rFonts w:ascii="宋体" w:hAnsi="宋体"/>
          <w:color w:val="auto"/>
          <w:sz w:val="21"/>
          <w:szCs w:val="21"/>
          <w:highlight w:val="none"/>
          <w:lang w:eastAsia="zh-CN"/>
        </w:rPr>
      </w:pPr>
      <w:r>
        <w:rPr>
          <w:rFonts w:hint="eastAsia" w:ascii="宋体" w:hAnsi="宋体"/>
          <w:color w:val="auto"/>
          <w:sz w:val="21"/>
          <w:szCs w:val="21"/>
          <w:highlight w:val="none"/>
          <w:lang w:eastAsia="zh-CN"/>
        </w:rPr>
        <w:t>2、本报审表报审数量为暂估量，最终以结算数量为准。</w:t>
      </w:r>
    </w:p>
    <w:p w14:paraId="6D18A7D1">
      <w:pPr>
        <w:spacing w:line="360" w:lineRule="auto"/>
        <w:contextualSpacing/>
        <w:outlineLvl w:val="9"/>
        <w:rPr>
          <w:rFonts w:ascii="宋体" w:hAnsi="宋体"/>
          <w:color w:val="auto"/>
          <w:sz w:val="21"/>
          <w:szCs w:val="21"/>
          <w:highlight w:val="none"/>
          <w:lang w:eastAsia="zh-CN"/>
        </w:rPr>
      </w:pPr>
      <w:r>
        <w:rPr>
          <w:rFonts w:hint="eastAsia" w:ascii="宋体" w:hAnsi="宋体"/>
          <w:color w:val="auto"/>
          <w:sz w:val="21"/>
          <w:szCs w:val="21"/>
          <w:highlight w:val="none"/>
          <w:lang w:eastAsia="zh-CN"/>
        </w:rPr>
        <w:t>3、认质认价原因需如实填写清楚，无认质认价原因或原因不明确的，不予以审核。变更、签证及附图应作为附件同本报审表一并上报，资料不全的，不予审核。</w:t>
      </w:r>
    </w:p>
    <w:p w14:paraId="4481BC19">
      <w:pPr>
        <w:spacing w:line="360" w:lineRule="auto"/>
        <w:contextualSpacing/>
        <w:outlineLvl w:val="9"/>
        <w:rPr>
          <w:rFonts w:ascii="宋体" w:hAnsi="宋体"/>
          <w:color w:val="auto"/>
          <w:sz w:val="21"/>
          <w:szCs w:val="21"/>
          <w:highlight w:val="none"/>
          <w:lang w:eastAsia="zh-CN"/>
        </w:rPr>
      </w:pPr>
      <w:r>
        <w:rPr>
          <w:rFonts w:hint="eastAsia" w:ascii="宋体" w:hAnsi="宋体"/>
          <w:color w:val="auto"/>
          <w:sz w:val="21"/>
          <w:szCs w:val="21"/>
          <w:highlight w:val="none"/>
          <w:lang w:eastAsia="zh-CN"/>
        </w:rPr>
        <w:t>4、本报审表须准确填写厂家、品牌、规格型号，未填写或填写不清的，不予审核。</w:t>
      </w:r>
    </w:p>
    <w:p w14:paraId="33AE41FB">
      <w:pPr>
        <w:spacing w:line="360" w:lineRule="auto"/>
        <w:contextualSpacing/>
        <w:outlineLvl w:val="9"/>
        <w:rPr>
          <w:rFonts w:hint="eastAsia" w:ascii="宋体" w:hAnsi="宋体"/>
          <w:color w:val="auto"/>
          <w:sz w:val="21"/>
          <w:szCs w:val="21"/>
          <w:highlight w:val="none"/>
          <w:lang w:eastAsia="zh-CN"/>
        </w:rPr>
      </w:pPr>
      <w:r>
        <w:rPr>
          <w:rFonts w:hint="eastAsia" w:ascii="宋体" w:hAnsi="宋体"/>
          <w:color w:val="auto"/>
          <w:sz w:val="21"/>
          <w:szCs w:val="21"/>
          <w:highlight w:val="none"/>
          <w:lang w:eastAsia="zh-CN"/>
        </w:rPr>
        <w:t>5、本报审表的报审单位应是与建设单位有直接合同关系的“施工单位”。“总包单位”的专业分包单位认质认价时，应由“总包单位”进行上报。</w:t>
      </w:r>
    </w:p>
    <w:p w14:paraId="0D4D012D">
      <w:pPr>
        <w:contextualSpacing/>
        <w:outlineLvl w:val="9"/>
        <w:rPr>
          <w:rFonts w:hint="eastAsia" w:ascii="宋体" w:hAnsi="宋体"/>
          <w:color w:val="auto"/>
          <w:sz w:val="18"/>
          <w:szCs w:val="18"/>
          <w:highlight w:val="none"/>
          <w:lang w:eastAsia="zh-CN"/>
        </w:rPr>
        <w:sectPr>
          <w:pgSz w:w="11900" w:h="16838"/>
          <w:pgMar w:top="1134" w:right="1361" w:bottom="1134" w:left="1361" w:header="567" w:footer="567" w:gutter="0"/>
          <w:pgBorders>
            <w:top w:val="none" w:sz="0" w:space="0"/>
            <w:left w:val="none" w:sz="0" w:space="0"/>
            <w:bottom w:val="none" w:sz="0" w:space="0"/>
            <w:right w:val="none" w:sz="0" w:space="0"/>
          </w:pgBorders>
          <w:cols w:space="720" w:num="1"/>
          <w:docGrid w:linePitch="286" w:charSpace="0"/>
        </w:sectPr>
      </w:pPr>
    </w:p>
    <w:p w14:paraId="0895E0B8">
      <w:pPr>
        <w:pStyle w:val="22"/>
        <w:outlineLvl w:val="9"/>
        <w:rPr>
          <w:rFonts w:hint="eastAsia"/>
          <w:color w:val="auto"/>
          <w:highlight w:val="none"/>
          <w:lang w:eastAsia="zh-CN"/>
        </w:rPr>
      </w:pPr>
    </w:p>
    <w:p w14:paraId="27499A3E">
      <w:pPr>
        <w:spacing w:line="360" w:lineRule="auto"/>
        <w:contextualSpacing/>
        <w:outlineLvl w:val="9"/>
        <w:rPr>
          <w:rFonts w:hint="eastAsia" w:asciiTheme="minorEastAsia" w:hAnsiTheme="minorEastAsia" w:eastAsiaTheme="minorEastAsia"/>
          <w:color w:val="auto"/>
          <w:sz w:val="24"/>
          <w:highlight w:val="none"/>
          <w:lang w:val="en-US" w:eastAsia="zh-CN"/>
        </w:rPr>
      </w:pPr>
      <w:r>
        <w:rPr>
          <w:rFonts w:hint="eastAsia" w:asciiTheme="minorEastAsia" w:hAnsiTheme="minorEastAsia" w:eastAsiaTheme="minorEastAsia"/>
          <w:color w:val="auto"/>
          <w:sz w:val="24"/>
          <w:highlight w:val="none"/>
          <w:lang w:val="en-US" w:eastAsia="zh-CN"/>
        </w:rPr>
        <w:t>附表6：</w:t>
      </w:r>
    </w:p>
    <w:p w14:paraId="0931C229">
      <w:pPr>
        <w:spacing w:line="360" w:lineRule="auto"/>
        <w:jc w:val="center"/>
        <w:outlineLvl w:val="9"/>
        <w:rPr>
          <w:rFonts w:ascii="宋体" w:hAnsi="宋体"/>
          <w:b/>
          <w:color w:val="auto"/>
          <w:sz w:val="32"/>
          <w:szCs w:val="32"/>
          <w:highlight w:val="none"/>
          <w:lang w:eastAsia="zh-CN"/>
        </w:rPr>
      </w:pPr>
      <w:r>
        <w:rPr>
          <w:rFonts w:hint="eastAsia" w:ascii="宋体" w:hAnsi="宋体"/>
          <w:b/>
          <w:color w:val="auto"/>
          <w:sz w:val="32"/>
          <w:szCs w:val="32"/>
          <w:highlight w:val="none"/>
          <w:lang w:eastAsia="zh-CN"/>
        </w:rPr>
        <w:t>工程（零星工作项）认质、认价报审表</w:t>
      </w:r>
    </w:p>
    <w:p w14:paraId="65A1EE4F">
      <w:pPr>
        <w:spacing w:line="360" w:lineRule="auto"/>
        <w:contextualSpacing/>
        <w:outlineLvl w:val="9"/>
        <w:rPr>
          <w:rFonts w:ascii="宋体" w:hAnsi="宋体"/>
          <w:color w:val="auto"/>
          <w:highlight w:val="none"/>
          <w:lang w:eastAsia="zh-CN"/>
        </w:rPr>
      </w:pPr>
      <w:r>
        <w:rPr>
          <w:rFonts w:hint="eastAsia" w:ascii="宋体" w:hAnsi="宋体"/>
          <w:color w:val="auto"/>
          <w:highlight w:val="none"/>
          <w:lang w:eastAsia="zh-CN"/>
        </w:rPr>
        <w:t>合同名称：                                施工单位联系人：</w:t>
      </w:r>
    </w:p>
    <w:p w14:paraId="52661844">
      <w:pPr>
        <w:spacing w:line="360" w:lineRule="auto"/>
        <w:contextualSpacing/>
        <w:outlineLvl w:val="9"/>
        <w:rPr>
          <w:rFonts w:ascii="宋体" w:hAnsi="宋体"/>
          <w:color w:val="auto"/>
          <w:highlight w:val="none"/>
          <w:lang w:eastAsia="zh-CN"/>
        </w:rPr>
      </w:pPr>
      <w:r>
        <w:rPr>
          <w:rFonts w:hint="eastAsia" w:ascii="宋体" w:hAnsi="宋体"/>
          <w:color w:val="auto"/>
          <w:highlight w:val="none"/>
          <w:lang w:eastAsia="zh-CN"/>
        </w:rPr>
        <w:t>施工单位：                                施工单位联系电话：</w:t>
      </w:r>
    </w:p>
    <w:tbl>
      <w:tblPr>
        <w:tblStyle w:val="56"/>
        <w:tblW w:w="9639"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2268"/>
        <w:gridCol w:w="567"/>
        <w:gridCol w:w="2126"/>
        <w:gridCol w:w="709"/>
        <w:gridCol w:w="284"/>
        <w:gridCol w:w="567"/>
        <w:gridCol w:w="1701"/>
        <w:gridCol w:w="708"/>
      </w:tblGrid>
      <w:tr w14:paraId="262F4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2C41E1C5">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序号</w:t>
            </w:r>
          </w:p>
        </w:tc>
        <w:tc>
          <w:tcPr>
            <w:tcW w:w="2268" w:type="dxa"/>
            <w:tcBorders>
              <w:top w:val="single" w:color="auto" w:sz="4" w:space="0"/>
              <w:left w:val="single" w:color="auto" w:sz="4" w:space="0"/>
              <w:bottom w:val="single" w:color="auto" w:sz="4" w:space="0"/>
              <w:right w:val="single" w:color="auto" w:sz="4" w:space="0"/>
            </w:tcBorders>
            <w:noWrap w:val="0"/>
            <w:vAlign w:val="center"/>
          </w:tcPr>
          <w:p w14:paraId="39C6E69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b/>
                <w:color w:val="auto"/>
                <w:highlight w:val="none"/>
                <w:lang w:eastAsia="zh-CN"/>
              </w:rPr>
            </w:pPr>
            <w:r>
              <w:rPr>
                <w:rFonts w:hint="eastAsia" w:ascii="宋体" w:hAnsi="宋体"/>
                <w:b/>
                <w:color w:val="auto"/>
                <w:highlight w:val="none"/>
                <w:lang w:eastAsia="zh-CN"/>
              </w:rPr>
              <w:t>工程（零星工作项）名称</w:t>
            </w:r>
          </w:p>
        </w:tc>
        <w:tc>
          <w:tcPr>
            <w:tcW w:w="2693" w:type="dxa"/>
            <w:gridSpan w:val="2"/>
            <w:tcBorders>
              <w:top w:val="single" w:color="auto" w:sz="4" w:space="0"/>
              <w:left w:val="single" w:color="auto" w:sz="4" w:space="0"/>
              <w:bottom w:val="single" w:color="auto" w:sz="4" w:space="0"/>
              <w:right w:val="single" w:color="auto" w:sz="4" w:space="0"/>
            </w:tcBorders>
            <w:noWrap w:val="0"/>
            <w:vAlign w:val="center"/>
          </w:tcPr>
          <w:p w14:paraId="077946B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b/>
                <w:color w:val="auto"/>
                <w:highlight w:val="none"/>
                <w:lang w:eastAsia="zh-CN"/>
              </w:rPr>
            </w:pPr>
            <w:r>
              <w:rPr>
                <w:rFonts w:hint="eastAsia" w:ascii="宋体" w:hAnsi="宋体"/>
                <w:b/>
                <w:color w:val="auto"/>
                <w:highlight w:val="none"/>
                <w:lang w:eastAsia="zh-CN"/>
              </w:rPr>
              <w:t>所包含工作内容（含材料品牌、规格型号及主要参数）</w:t>
            </w:r>
          </w:p>
        </w:tc>
        <w:tc>
          <w:tcPr>
            <w:tcW w:w="709" w:type="dxa"/>
            <w:tcBorders>
              <w:top w:val="single" w:color="auto" w:sz="4" w:space="0"/>
              <w:left w:val="single" w:color="auto" w:sz="4" w:space="0"/>
              <w:bottom w:val="single" w:color="auto" w:sz="4" w:space="0"/>
              <w:right w:val="single" w:color="auto" w:sz="4" w:space="0"/>
            </w:tcBorders>
            <w:noWrap w:val="0"/>
            <w:vAlign w:val="center"/>
          </w:tcPr>
          <w:p w14:paraId="18A00E73">
            <w:pPr>
              <w:keepNext w:val="0"/>
              <w:keepLines w:val="0"/>
              <w:suppressLineNumbers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单位</w:t>
            </w:r>
          </w:p>
        </w:tc>
        <w:tc>
          <w:tcPr>
            <w:tcW w:w="851" w:type="dxa"/>
            <w:gridSpan w:val="2"/>
            <w:tcBorders>
              <w:top w:val="single" w:color="auto" w:sz="4" w:space="0"/>
              <w:left w:val="single" w:color="auto" w:sz="4" w:space="0"/>
              <w:bottom w:val="single" w:color="auto" w:sz="4" w:space="0"/>
              <w:right w:val="single" w:color="auto" w:sz="4" w:space="0"/>
            </w:tcBorders>
            <w:noWrap w:val="0"/>
            <w:vAlign w:val="center"/>
          </w:tcPr>
          <w:p w14:paraId="044EF6E0">
            <w:pPr>
              <w:keepNext w:val="0"/>
              <w:keepLines w:val="0"/>
              <w:suppressLineNumbers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数量</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2C9C1DC0">
            <w:pPr>
              <w:keepNext w:val="0"/>
              <w:keepLines w:val="0"/>
              <w:suppressLineNumbers w:val="0"/>
              <w:spacing w:before="0" w:beforeAutospacing="0" w:after="0" w:afterAutospacing="0" w:line="360" w:lineRule="auto"/>
              <w:ind w:left="0" w:right="0"/>
              <w:jc w:val="center"/>
              <w:outlineLvl w:val="9"/>
              <w:rPr>
                <w:rFonts w:ascii="宋体" w:hAnsi="宋体"/>
                <w:b/>
                <w:color w:val="auto"/>
                <w:highlight w:val="none"/>
                <w:lang w:eastAsia="zh-CN"/>
              </w:rPr>
            </w:pPr>
            <w:r>
              <w:rPr>
                <w:rFonts w:hint="eastAsia" w:ascii="宋体" w:hAnsi="宋体"/>
                <w:b/>
                <w:color w:val="auto"/>
                <w:highlight w:val="none"/>
                <w:lang w:eastAsia="zh-CN"/>
              </w:rPr>
              <w:t>全费用综合单价（元）</w:t>
            </w:r>
          </w:p>
        </w:tc>
        <w:tc>
          <w:tcPr>
            <w:tcW w:w="708" w:type="dxa"/>
            <w:tcBorders>
              <w:top w:val="single" w:color="auto" w:sz="4" w:space="0"/>
              <w:left w:val="single" w:color="auto" w:sz="4" w:space="0"/>
              <w:bottom w:val="single" w:color="auto" w:sz="4" w:space="0"/>
              <w:right w:val="single" w:color="auto" w:sz="4" w:space="0"/>
            </w:tcBorders>
            <w:noWrap w:val="0"/>
            <w:vAlign w:val="center"/>
          </w:tcPr>
          <w:p w14:paraId="4D6A94AD">
            <w:pPr>
              <w:keepNext w:val="0"/>
              <w:keepLines w:val="0"/>
              <w:suppressLineNumbers w:val="0"/>
              <w:spacing w:before="0" w:beforeAutospacing="0" w:after="0" w:afterAutospacing="0" w:line="360" w:lineRule="auto"/>
              <w:ind w:left="0" w:right="0"/>
              <w:jc w:val="center"/>
              <w:outlineLvl w:val="9"/>
              <w:rPr>
                <w:rFonts w:ascii="宋体" w:hAnsi="宋体"/>
                <w:b/>
                <w:color w:val="auto"/>
                <w:highlight w:val="none"/>
              </w:rPr>
            </w:pPr>
            <w:r>
              <w:rPr>
                <w:rFonts w:hint="eastAsia" w:ascii="宋体" w:hAnsi="宋体"/>
                <w:b/>
                <w:color w:val="auto"/>
                <w:highlight w:val="none"/>
              </w:rPr>
              <w:t>备注</w:t>
            </w:r>
          </w:p>
        </w:tc>
      </w:tr>
      <w:tr w14:paraId="2D294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1CE5869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14:paraId="2CE9928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693" w:type="dxa"/>
            <w:gridSpan w:val="2"/>
            <w:tcBorders>
              <w:top w:val="single" w:color="auto" w:sz="4" w:space="0"/>
              <w:left w:val="single" w:color="auto" w:sz="4" w:space="0"/>
              <w:bottom w:val="single" w:color="auto" w:sz="4" w:space="0"/>
              <w:right w:val="single" w:color="auto" w:sz="4" w:space="0"/>
            </w:tcBorders>
            <w:noWrap w:val="0"/>
            <w:vAlign w:val="center"/>
          </w:tcPr>
          <w:p w14:paraId="505F735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2D76111F">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851" w:type="dxa"/>
            <w:gridSpan w:val="2"/>
            <w:tcBorders>
              <w:top w:val="single" w:color="auto" w:sz="4" w:space="0"/>
              <w:left w:val="single" w:color="auto" w:sz="4" w:space="0"/>
              <w:bottom w:val="single" w:color="auto" w:sz="4" w:space="0"/>
              <w:right w:val="single" w:color="auto" w:sz="4" w:space="0"/>
            </w:tcBorders>
            <w:noWrap w:val="0"/>
            <w:vAlign w:val="center"/>
          </w:tcPr>
          <w:p w14:paraId="52924F5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147FF61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5D2F612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16567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52E7278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14:paraId="201C4FB1">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693" w:type="dxa"/>
            <w:gridSpan w:val="2"/>
            <w:tcBorders>
              <w:top w:val="single" w:color="auto" w:sz="4" w:space="0"/>
              <w:left w:val="single" w:color="auto" w:sz="4" w:space="0"/>
              <w:bottom w:val="single" w:color="auto" w:sz="4" w:space="0"/>
              <w:right w:val="single" w:color="auto" w:sz="4" w:space="0"/>
            </w:tcBorders>
            <w:noWrap w:val="0"/>
            <w:vAlign w:val="center"/>
          </w:tcPr>
          <w:p w14:paraId="55AAEB6F">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35D6F15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851" w:type="dxa"/>
            <w:gridSpan w:val="2"/>
            <w:tcBorders>
              <w:top w:val="single" w:color="auto" w:sz="4" w:space="0"/>
              <w:left w:val="single" w:color="auto" w:sz="4" w:space="0"/>
              <w:bottom w:val="single" w:color="auto" w:sz="4" w:space="0"/>
              <w:right w:val="single" w:color="auto" w:sz="4" w:space="0"/>
            </w:tcBorders>
            <w:noWrap w:val="0"/>
            <w:vAlign w:val="center"/>
          </w:tcPr>
          <w:p w14:paraId="7944D7F7">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7382AAA9">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2BE35D2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09D37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3A4497AC">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14:paraId="1E500CF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693" w:type="dxa"/>
            <w:gridSpan w:val="2"/>
            <w:tcBorders>
              <w:top w:val="single" w:color="auto" w:sz="4" w:space="0"/>
              <w:left w:val="single" w:color="auto" w:sz="4" w:space="0"/>
              <w:bottom w:val="single" w:color="auto" w:sz="4" w:space="0"/>
              <w:right w:val="single" w:color="auto" w:sz="4" w:space="0"/>
            </w:tcBorders>
            <w:noWrap w:val="0"/>
            <w:vAlign w:val="center"/>
          </w:tcPr>
          <w:p w14:paraId="5F6DBC47">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06DD1F5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851" w:type="dxa"/>
            <w:gridSpan w:val="2"/>
            <w:tcBorders>
              <w:top w:val="single" w:color="auto" w:sz="4" w:space="0"/>
              <w:left w:val="single" w:color="auto" w:sz="4" w:space="0"/>
              <w:bottom w:val="single" w:color="auto" w:sz="4" w:space="0"/>
              <w:right w:val="single" w:color="auto" w:sz="4" w:space="0"/>
            </w:tcBorders>
            <w:noWrap w:val="0"/>
            <w:vAlign w:val="center"/>
          </w:tcPr>
          <w:p w14:paraId="1966B631">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4BB6596C">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1E9DC47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2D5E5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003BCAD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14:paraId="00CCCC5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693" w:type="dxa"/>
            <w:gridSpan w:val="2"/>
            <w:tcBorders>
              <w:top w:val="single" w:color="auto" w:sz="4" w:space="0"/>
              <w:left w:val="single" w:color="auto" w:sz="4" w:space="0"/>
              <w:bottom w:val="single" w:color="auto" w:sz="4" w:space="0"/>
              <w:right w:val="single" w:color="auto" w:sz="4" w:space="0"/>
            </w:tcBorders>
            <w:noWrap w:val="0"/>
            <w:vAlign w:val="center"/>
          </w:tcPr>
          <w:p w14:paraId="24436B6C">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749E759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851" w:type="dxa"/>
            <w:gridSpan w:val="2"/>
            <w:tcBorders>
              <w:top w:val="single" w:color="auto" w:sz="4" w:space="0"/>
              <w:left w:val="single" w:color="auto" w:sz="4" w:space="0"/>
              <w:bottom w:val="single" w:color="auto" w:sz="4" w:space="0"/>
              <w:right w:val="single" w:color="auto" w:sz="4" w:space="0"/>
            </w:tcBorders>
            <w:noWrap w:val="0"/>
            <w:vAlign w:val="center"/>
          </w:tcPr>
          <w:p w14:paraId="160E1B70">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4836EFF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462347B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08051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51A25E5C">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14:paraId="08EAD5CF">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693" w:type="dxa"/>
            <w:gridSpan w:val="2"/>
            <w:tcBorders>
              <w:top w:val="single" w:color="auto" w:sz="4" w:space="0"/>
              <w:left w:val="single" w:color="auto" w:sz="4" w:space="0"/>
              <w:bottom w:val="single" w:color="auto" w:sz="4" w:space="0"/>
              <w:right w:val="single" w:color="auto" w:sz="4" w:space="0"/>
            </w:tcBorders>
            <w:noWrap w:val="0"/>
            <w:vAlign w:val="center"/>
          </w:tcPr>
          <w:p w14:paraId="7288ED0B">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27BC0E6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851" w:type="dxa"/>
            <w:gridSpan w:val="2"/>
            <w:tcBorders>
              <w:top w:val="single" w:color="auto" w:sz="4" w:space="0"/>
              <w:left w:val="single" w:color="auto" w:sz="4" w:space="0"/>
              <w:bottom w:val="single" w:color="auto" w:sz="4" w:space="0"/>
              <w:right w:val="single" w:color="auto" w:sz="4" w:space="0"/>
            </w:tcBorders>
            <w:noWrap w:val="0"/>
            <w:vAlign w:val="center"/>
          </w:tcPr>
          <w:p w14:paraId="5F9CF638">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211B8B6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725D05B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08E65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103E5569">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14:paraId="2A968E9D">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693" w:type="dxa"/>
            <w:gridSpan w:val="2"/>
            <w:tcBorders>
              <w:top w:val="single" w:color="auto" w:sz="4" w:space="0"/>
              <w:left w:val="single" w:color="auto" w:sz="4" w:space="0"/>
              <w:bottom w:val="single" w:color="auto" w:sz="4" w:space="0"/>
              <w:right w:val="single" w:color="auto" w:sz="4" w:space="0"/>
            </w:tcBorders>
            <w:noWrap w:val="0"/>
            <w:vAlign w:val="center"/>
          </w:tcPr>
          <w:p w14:paraId="23ED430F">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38B0594E">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851" w:type="dxa"/>
            <w:gridSpan w:val="2"/>
            <w:tcBorders>
              <w:top w:val="single" w:color="auto" w:sz="4" w:space="0"/>
              <w:left w:val="single" w:color="auto" w:sz="4" w:space="0"/>
              <w:bottom w:val="single" w:color="auto" w:sz="4" w:space="0"/>
              <w:right w:val="single" w:color="auto" w:sz="4" w:space="0"/>
            </w:tcBorders>
            <w:noWrap w:val="0"/>
            <w:vAlign w:val="center"/>
          </w:tcPr>
          <w:p w14:paraId="3A8B1AA1">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5B3A7B9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5313B7B7">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00207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4B8D2F58">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14:paraId="1E20FC62">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693" w:type="dxa"/>
            <w:gridSpan w:val="2"/>
            <w:tcBorders>
              <w:top w:val="single" w:color="auto" w:sz="4" w:space="0"/>
              <w:left w:val="single" w:color="auto" w:sz="4" w:space="0"/>
              <w:bottom w:val="single" w:color="auto" w:sz="4" w:space="0"/>
              <w:right w:val="single" w:color="auto" w:sz="4" w:space="0"/>
            </w:tcBorders>
            <w:noWrap w:val="0"/>
            <w:vAlign w:val="center"/>
          </w:tcPr>
          <w:p w14:paraId="07A9F08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480A160C">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851" w:type="dxa"/>
            <w:gridSpan w:val="2"/>
            <w:tcBorders>
              <w:top w:val="single" w:color="auto" w:sz="4" w:space="0"/>
              <w:left w:val="single" w:color="auto" w:sz="4" w:space="0"/>
              <w:bottom w:val="single" w:color="auto" w:sz="4" w:space="0"/>
              <w:right w:val="single" w:color="auto" w:sz="4" w:space="0"/>
            </w:tcBorders>
            <w:noWrap w:val="0"/>
            <w:vAlign w:val="center"/>
          </w:tcPr>
          <w:p w14:paraId="646EAE33">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4B847100">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2EF0214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1D649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dxa"/>
            <w:tcBorders>
              <w:top w:val="single" w:color="auto" w:sz="4" w:space="0"/>
              <w:left w:val="single" w:color="auto" w:sz="4" w:space="0"/>
              <w:bottom w:val="single" w:color="auto" w:sz="4" w:space="0"/>
              <w:right w:val="single" w:color="auto" w:sz="4" w:space="0"/>
            </w:tcBorders>
            <w:noWrap w:val="0"/>
            <w:vAlign w:val="center"/>
          </w:tcPr>
          <w:p w14:paraId="6C38CD26">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14:paraId="2CC9AA30">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2693" w:type="dxa"/>
            <w:gridSpan w:val="2"/>
            <w:tcBorders>
              <w:top w:val="single" w:color="auto" w:sz="4" w:space="0"/>
              <w:left w:val="single" w:color="auto" w:sz="4" w:space="0"/>
              <w:bottom w:val="single" w:color="auto" w:sz="4" w:space="0"/>
              <w:right w:val="single" w:color="auto" w:sz="4" w:space="0"/>
            </w:tcBorders>
            <w:noWrap w:val="0"/>
            <w:vAlign w:val="center"/>
          </w:tcPr>
          <w:p w14:paraId="031BFFAF">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9" w:type="dxa"/>
            <w:tcBorders>
              <w:top w:val="single" w:color="auto" w:sz="4" w:space="0"/>
              <w:left w:val="single" w:color="auto" w:sz="4" w:space="0"/>
              <w:bottom w:val="single" w:color="auto" w:sz="4" w:space="0"/>
              <w:right w:val="single" w:color="auto" w:sz="4" w:space="0"/>
            </w:tcBorders>
            <w:noWrap w:val="0"/>
            <w:vAlign w:val="center"/>
          </w:tcPr>
          <w:p w14:paraId="694BB914">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851" w:type="dxa"/>
            <w:gridSpan w:val="2"/>
            <w:tcBorders>
              <w:top w:val="single" w:color="auto" w:sz="4" w:space="0"/>
              <w:left w:val="single" w:color="auto" w:sz="4" w:space="0"/>
              <w:bottom w:val="single" w:color="auto" w:sz="4" w:space="0"/>
              <w:right w:val="single" w:color="auto" w:sz="4" w:space="0"/>
            </w:tcBorders>
            <w:noWrap w:val="0"/>
            <w:vAlign w:val="center"/>
          </w:tcPr>
          <w:p w14:paraId="290F8B89">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431AC9B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c>
          <w:tcPr>
            <w:tcW w:w="708" w:type="dxa"/>
            <w:tcBorders>
              <w:top w:val="single" w:color="auto" w:sz="4" w:space="0"/>
              <w:left w:val="single" w:color="auto" w:sz="4" w:space="0"/>
              <w:bottom w:val="single" w:color="auto" w:sz="4" w:space="0"/>
              <w:right w:val="single" w:color="auto" w:sz="4" w:space="0"/>
            </w:tcBorders>
            <w:noWrap w:val="0"/>
            <w:vAlign w:val="center"/>
          </w:tcPr>
          <w:p w14:paraId="740769EA">
            <w:pPr>
              <w:keepNext w:val="0"/>
              <w:keepLines w:val="0"/>
              <w:suppressLineNumbers w:val="0"/>
              <w:spacing w:before="0" w:beforeAutospacing="0" w:after="0" w:afterAutospacing="0" w:line="360" w:lineRule="auto"/>
              <w:ind w:left="0" w:right="0"/>
              <w:jc w:val="center"/>
              <w:outlineLvl w:val="9"/>
              <w:rPr>
                <w:rFonts w:ascii="宋体" w:hAnsi="宋体"/>
                <w:color w:val="auto"/>
                <w:highlight w:val="none"/>
              </w:rPr>
            </w:pPr>
          </w:p>
        </w:tc>
      </w:tr>
      <w:tr w14:paraId="7D3F9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2" w:hRule="atLeast"/>
        </w:trPr>
        <w:tc>
          <w:tcPr>
            <w:tcW w:w="9639" w:type="dxa"/>
            <w:gridSpan w:val="9"/>
            <w:tcBorders>
              <w:top w:val="single" w:color="auto" w:sz="4" w:space="0"/>
              <w:left w:val="single" w:color="auto" w:sz="4" w:space="0"/>
              <w:bottom w:val="single" w:color="auto" w:sz="4" w:space="0"/>
              <w:right w:val="single" w:color="auto" w:sz="4" w:space="0"/>
            </w:tcBorders>
            <w:noWrap w:val="0"/>
            <w:vAlign w:val="top"/>
          </w:tcPr>
          <w:p w14:paraId="205F4913">
            <w:pPr>
              <w:keepNext w:val="0"/>
              <w:keepLines w:val="0"/>
              <w:suppressLineNumbers w:val="0"/>
              <w:spacing w:before="0" w:beforeAutospacing="0" w:after="0" w:afterAutospacing="0" w:line="360" w:lineRule="auto"/>
              <w:ind w:left="0" w:right="0"/>
              <w:jc w:val="both"/>
              <w:outlineLvl w:val="9"/>
              <w:rPr>
                <w:rFonts w:ascii="宋体" w:hAnsi="宋体"/>
                <w:color w:val="auto"/>
                <w:highlight w:val="none"/>
                <w:lang w:eastAsia="zh-CN"/>
              </w:rPr>
            </w:pPr>
            <w:r>
              <w:rPr>
                <w:rFonts w:hint="eastAsia"/>
                <w:color w:val="auto"/>
                <w:highlight w:val="none"/>
                <w:lang w:eastAsia="zh-CN"/>
              </w:rPr>
              <w:t>申请认质认价工作事由：</w:t>
            </w:r>
          </w:p>
        </w:tc>
      </w:tr>
      <w:tr w14:paraId="38CFF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4" w:hRule="atLeast"/>
        </w:trPr>
        <w:tc>
          <w:tcPr>
            <w:tcW w:w="3544" w:type="dxa"/>
            <w:gridSpan w:val="3"/>
            <w:tcBorders>
              <w:top w:val="single" w:color="auto" w:sz="4" w:space="0"/>
              <w:left w:val="single" w:color="auto" w:sz="4" w:space="0"/>
              <w:bottom w:val="single" w:color="auto" w:sz="4" w:space="0"/>
              <w:right w:val="single" w:color="auto" w:sz="4" w:space="0"/>
            </w:tcBorders>
            <w:noWrap w:val="0"/>
            <w:vAlign w:val="top"/>
          </w:tcPr>
          <w:p w14:paraId="340B314C">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r>
              <w:rPr>
                <w:rFonts w:hint="eastAsia" w:ascii="宋体" w:hAnsi="宋体"/>
                <w:color w:val="auto"/>
                <w:highlight w:val="none"/>
              </w:rPr>
              <w:t>施工单位：</w:t>
            </w:r>
          </w:p>
          <w:p w14:paraId="386C3121">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p>
          <w:p w14:paraId="1083E2F5">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p>
          <w:p w14:paraId="04EFF7FD">
            <w:pPr>
              <w:keepNext w:val="0"/>
              <w:keepLines w:val="0"/>
              <w:suppressLineNumbers w:val="0"/>
              <w:spacing w:before="0" w:beforeAutospacing="0" w:after="0" w:afterAutospacing="0" w:line="360" w:lineRule="auto"/>
              <w:ind w:left="0" w:right="0" w:firstLine="1365" w:firstLineChars="650"/>
              <w:contextualSpacing/>
              <w:outlineLvl w:val="9"/>
              <w:rPr>
                <w:rFonts w:ascii="宋体" w:hAnsi="宋体"/>
                <w:color w:val="auto"/>
                <w:highlight w:val="none"/>
              </w:rPr>
            </w:pPr>
            <w:r>
              <w:rPr>
                <w:rFonts w:hint="eastAsia" w:ascii="宋体" w:hAnsi="宋体"/>
                <w:color w:val="auto"/>
                <w:highlight w:val="none"/>
              </w:rPr>
              <w:t>年   月   日</w:t>
            </w:r>
          </w:p>
        </w:tc>
        <w:tc>
          <w:tcPr>
            <w:tcW w:w="3119" w:type="dxa"/>
            <w:gridSpan w:val="3"/>
            <w:tcBorders>
              <w:top w:val="single" w:color="auto" w:sz="4" w:space="0"/>
              <w:left w:val="single" w:color="auto" w:sz="4" w:space="0"/>
              <w:bottom w:val="single" w:color="auto" w:sz="4" w:space="0"/>
              <w:right w:val="single" w:color="auto" w:sz="4" w:space="0"/>
            </w:tcBorders>
            <w:noWrap w:val="0"/>
            <w:vAlign w:val="top"/>
          </w:tcPr>
          <w:p w14:paraId="073E0466">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r>
              <w:rPr>
                <w:rFonts w:hint="eastAsia" w:ascii="宋体" w:hAnsi="宋体"/>
                <w:color w:val="auto"/>
                <w:highlight w:val="none"/>
              </w:rPr>
              <w:t xml:space="preserve">监理单位： </w:t>
            </w:r>
          </w:p>
          <w:p w14:paraId="48753019">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p>
          <w:p w14:paraId="71D22334">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p>
          <w:p w14:paraId="26C4FBAE">
            <w:pPr>
              <w:keepNext w:val="0"/>
              <w:keepLines w:val="0"/>
              <w:suppressLineNumbers w:val="0"/>
              <w:spacing w:before="0" w:beforeAutospacing="0" w:after="0" w:afterAutospacing="0" w:line="360" w:lineRule="auto"/>
              <w:ind w:left="0" w:right="0"/>
              <w:contextualSpacing/>
              <w:outlineLvl w:val="9"/>
              <w:rPr>
                <w:rFonts w:ascii="宋体" w:hAnsi="宋体"/>
                <w:color w:val="auto"/>
                <w:highlight w:val="none"/>
              </w:rPr>
            </w:pPr>
            <w:r>
              <w:rPr>
                <w:rFonts w:hint="eastAsia" w:ascii="宋体" w:hAnsi="宋体"/>
                <w:color w:val="auto"/>
                <w:highlight w:val="none"/>
              </w:rPr>
              <w:t xml:space="preserve">            年   月   日</w:t>
            </w:r>
          </w:p>
        </w:tc>
        <w:tc>
          <w:tcPr>
            <w:tcW w:w="2976" w:type="dxa"/>
            <w:gridSpan w:val="3"/>
            <w:tcBorders>
              <w:top w:val="single" w:color="auto" w:sz="4" w:space="0"/>
              <w:left w:val="single" w:color="auto" w:sz="4" w:space="0"/>
              <w:bottom w:val="single" w:color="auto" w:sz="4" w:space="0"/>
              <w:right w:val="single" w:color="auto" w:sz="4" w:space="0"/>
            </w:tcBorders>
            <w:noWrap w:val="0"/>
            <w:vAlign w:val="top"/>
          </w:tcPr>
          <w:p w14:paraId="20AAD97D">
            <w:pPr>
              <w:keepNext w:val="0"/>
              <w:keepLines w:val="0"/>
              <w:suppressLineNumbers w:val="0"/>
              <w:spacing w:before="0" w:beforeAutospacing="0" w:after="0" w:afterAutospacing="0" w:line="360" w:lineRule="auto"/>
              <w:ind w:left="0" w:right="0"/>
              <w:contextualSpacing/>
              <w:outlineLvl w:val="9"/>
              <w:rPr>
                <w:rFonts w:hint="eastAsia" w:ascii="宋体" w:hAnsi="宋体"/>
                <w:color w:val="auto"/>
                <w:highlight w:val="none"/>
                <w:lang w:eastAsia="zh-CN"/>
              </w:rPr>
            </w:pPr>
            <w:r>
              <w:rPr>
                <w:rFonts w:hint="eastAsia" w:ascii="宋体" w:hAnsi="宋体"/>
                <w:color w:val="auto"/>
                <w:highlight w:val="none"/>
              </w:rPr>
              <w:t>建设单位：</w:t>
            </w:r>
          </w:p>
          <w:p w14:paraId="0311BBEB">
            <w:pPr>
              <w:keepNext w:val="0"/>
              <w:keepLines w:val="0"/>
              <w:suppressLineNumbers w:val="0"/>
              <w:spacing w:before="0" w:beforeAutospacing="0" w:after="0" w:afterAutospacing="0" w:line="360" w:lineRule="auto"/>
              <w:ind w:left="0" w:right="0"/>
              <w:contextualSpacing/>
              <w:outlineLvl w:val="9"/>
              <w:rPr>
                <w:rFonts w:hint="eastAsia" w:ascii="宋体" w:hAnsi="宋体"/>
                <w:color w:val="auto"/>
                <w:highlight w:val="none"/>
                <w:lang w:eastAsia="zh-CN"/>
              </w:rPr>
            </w:pPr>
          </w:p>
          <w:p w14:paraId="00CA5F42">
            <w:pPr>
              <w:keepNext w:val="0"/>
              <w:keepLines w:val="0"/>
              <w:suppressLineNumbers w:val="0"/>
              <w:spacing w:before="0" w:beforeAutospacing="0" w:after="0" w:afterAutospacing="0" w:line="360" w:lineRule="auto"/>
              <w:ind w:left="0" w:right="0"/>
              <w:contextualSpacing/>
              <w:outlineLvl w:val="9"/>
              <w:rPr>
                <w:rFonts w:hint="eastAsia" w:ascii="宋体" w:hAnsi="宋体"/>
                <w:color w:val="auto"/>
                <w:highlight w:val="none"/>
                <w:lang w:eastAsia="zh-CN"/>
              </w:rPr>
            </w:pPr>
          </w:p>
          <w:p w14:paraId="37998043">
            <w:pPr>
              <w:keepNext w:val="0"/>
              <w:keepLines w:val="0"/>
              <w:suppressLineNumbers w:val="0"/>
              <w:spacing w:before="0" w:beforeAutospacing="0" w:after="0" w:afterAutospacing="0" w:line="360" w:lineRule="auto"/>
              <w:ind w:left="0" w:right="0"/>
              <w:contextualSpacing/>
              <w:jc w:val="right"/>
              <w:outlineLvl w:val="9"/>
              <w:rPr>
                <w:rFonts w:ascii="宋体" w:hAnsi="宋体"/>
                <w:color w:val="auto"/>
                <w:highlight w:val="none"/>
              </w:rPr>
            </w:pPr>
            <w:r>
              <w:rPr>
                <w:rFonts w:hint="eastAsia" w:ascii="宋体" w:hAnsi="宋体"/>
                <w:color w:val="auto"/>
                <w:highlight w:val="none"/>
              </w:rPr>
              <w:t>年   月   日</w:t>
            </w:r>
          </w:p>
        </w:tc>
      </w:tr>
    </w:tbl>
    <w:p w14:paraId="79B25AD6">
      <w:pPr>
        <w:spacing w:line="360" w:lineRule="auto"/>
        <w:contextualSpacing/>
        <w:outlineLvl w:val="9"/>
        <w:rPr>
          <w:rFonts w:ascii="宋体" w:hAnsi="宋体"/>
          <w:color w:val="auto"/>
          <w:sz w:val="21"/>
          <w:szCs w:val="21"/>
          <w:highlight w:val="none"/>
          <w:lang w:eastAsia="zh-CN"/>
        </w:rPr>
      </w:pPr>
      <w:r>
        <w:rPr>
          <w:rFonts w:hint="eastAsia" w:ascii="宋体" w:hAnsi="宋体"/>
          <w:color w:val="auto"/>
          <w:sz w:val="21"/>
          <w:szCs w:val="21"/>
          <w:highlight w:val="none"/>
          <w:lang w:eastAsia="zh-CN"/>
        </w:rPr>
        <w:t>1、本报审表一式五份，建设单位三份，其它单位各一份。</w:t>
      </w:r>
      <w:r>
        <w:rPr>
          <w:rFonts w:ascii="宋体" w:hAnsi="宋体"/>
          <w:color w:val="auto"/>
          <w:sz w:val="21"/>
          <w:szCs w:val="21"/>
          <w:highlight w:val="none"/>
          <w:lang w:eastAsia="zh-CN"/>
        </w:rPr>
        <w:t xml:space="preserve"> </w:t>
      </w:r>
    </w:p>
    <w:p w14:paraId="2A96EE08">
      <w:pPr>
        <w:spacing w:line="360" w:lineRule="auto"/>
        <w:contextualSpacing/>
        <w:outlineLvl w:val="9"/>
        <w:rPr>
          <w:rFonts w:ascii="宋体" w:hAnsi="宋体"/>
          <w:color w:val="auto"/>
          <w:sz w:val="21"/>
          <w:szCs w:val="21"/>
          <w:highlight w:val="none"/>
          <w:lang w:eastAsia="zh-CN"/>
        </w:rPr>
      </w:pPr>
      <w:r>
        <w:rPr>
          <w:rFonts w:hint="eastAsia" w:ascii="宋体" w:hAnsi="宋体"/>
          <w:color w:val="auto"/>
          <w:sz w:val="21"/>
          <w:szCs w:val="21"/>
          <w:highlight w:val="none"/>
          <w:lang w:eastAsia="zh-CN"/>
        </w:rPr>
        <w:t>2、本报审表报审数量为暂估量，最终以结算数量为准。</w:t>
      </w:r>
    </w:p>
    <w:p w14:paraId="52072500">
      <w:pPr>
        <w:spacing w:line="360" w:lineRule="auto"/>
        <w:contextualSpacing/>
        <w:outlineLvl w:val="9"/>
        <w:rPr>
          <w:rFonts w:ascii="宋体" w:hAnsi="宋体"/>
          <w:color w:val="auto"/>
          <w:sz w:val="21"/>
          <w:szCs w:val="21"/>
          <w:highlight w:val="none"/>
          <w:lang w:eastAsia="zh-CN"/>
        </w:rPr>
      </w:pPr>
      <w:r>
        <w:rPr>
          <w:rFonts w:hint="eastAsia" w:ascii="宋体" w:hAnsi="宋体"/>
          <w:color w:val="auto"/>
          <w:sz w:val="21"/>
          <w:szCs w:val="21"/>
          <w:highlight w:val="none"/>
          <w:lang w:eastAsia="zh-CN"/>
        </w:rPr>
        <w:t>3、认质认价原因需如实填写清楚，无认质认价原因或原因不明确的，不予以审核。变更、签证及附图应作为附件同报审表一并上报，资料不全的，不予审核。</w:t>
      </w:r>
    </w:p>
    <w:p w14:paraId="77B68896">
      <w:pPr>
        <w:spacing w:line="360" w:lineRule="auto"/>
        <w:contextualSpacing/>
        <w:outlineLvl w:val="9"/>
        <w:rPr>
          <w:rFonts w:ascii="宋体" w:hAnsi="宋体"/>
          <w:color w:val="auto"/>
          <w:sz w:val="21"/>
          <w:szCs w:val="21"/>
          <w:highlight w:val="none"/>
          <w:lang w:eastAsia="zh-CN"/>
        </w:rPr>
      </w:pPr>
      <w:r>
        <w:rPr>
          <w:rFonts w:hint="eastAsia" w:ascii="宋体" w:hAnsi="宋体"/>
          <w:color w:val="auto"/>
          <w:sz w:val="21"/>
          <w:szCs w:val="21"/>
          <w:highlight w:val="none"/>
          <w:lang w:eastAsia="zh-CN"/>
        </w:rPr>
        <w:t>4、本报审表中报价为综合单价的，须附组价清单，无组价清单的，不予审核。。</w:t>
      </w:r>
    </w:p>
    <w:p w14:paraId="7D436561">
      <w:pPr>
        <w:spacing w:line="360" w:lineRule="auto"/>
        <w:contextualSpacing/>
        <w:outlineLvl w:val="9"/>
        <w:rPr>
          <w:rFonts w:hint="eastAsia" w:ascii="仿宋_GB2312" w:hAnsi="仿宋_GB2312" w:eastAsia="仿宋_GB2312" w:cs="仿宋_GB2312"/>
          <w:color w:val="auto"/>
          <w:sz w:val="21"/>
          <w:szCs w:val="21"/>
          <w:highlight w:val="none"/>
          <w:lang w:eastAsia="zh-CN"/>
        </w:rPr>
      </w:pPr>
      <w:r>
        <w:rPr>
          <w:rFonts w:hint="eastAsia" w:ascii="宋体" w:hAnsi="宋体"/>
          <w:color w:val="auto"/>
          <w:sz w:val="21"/>
          <w:szCs w:val="21"/>
          <w:highlight w:val="none"/>
          <w:lang w:eastAsia="zh-CN"/>
        </w:rPr>
        <w:t>5、本报审表的报审单位应是与建设单位有直接合同关系的“施工单位”。“总包单位”的专业分包单位认质认价时，应由“总包单位”进行上报。</w:t>
      </w:r>
    </w:p>
    <w:p w14:paraId="50E77306">
      <w:pPr>
        <w:spacing w:line="360" w:lineRule="auto"/>
        <w:contextualSpacing/>
        <w:outlineLvl w:val="9"/>
        <w:rPr>
          <w:rFonts w:hint="default" w:asciiTheme="minorEastAsia" w:hAnsiTheme="minorEastAsia" w:eastAsiaTheme="minorEastAsia"/>
          <w:color w:val="auto"/>
          <w:sz w:val="24"/>
          <w:highlight w:val="none"/>
          <w:lang w:val="en-US" w:eastAsia="zh-CN"/>
        </w:rPr>
        <w:sectPr>
          <w:pgSz w:w="11900" w:h="16838"/>
          <w:pgMar w:top="1134" w:right="1361" w:bottom="1134" w:left="1361" w:header="567" w:footer="567" w:gutter="0"/>
          <w:pgBorders>
            <w:top w:val="none" w:sz="0" w:space="0"/>
            <w:left w:val="none" w:sz="0" w:space="0"/>
            <w:bottom w:val="none" w:sz="0" w:space="0"/>
            <w:right w:val="none" w:sz="0" w:space="0"/>
          </w:pgBorders>
          <w:cols w:space="720" w:num="1"/>
          <w:docGrid w:linePitch="286" w:charSpace="0"/>
        </w:sectPr>
      </w:pPr>
    </w:p>
    <w:p w14:paraId="75850B43">
      <w:pPr>
        <w:pStyle w:val="22"/>
        <w:outlineLvl w:val="9"/>
        <w:rPr>
          <w:rFonts w:hint="default"/>
          <w:color w:val="auto"/>
          <w:highlight w:val="none"/>
          <w:lang w:val="en-US" w:eastAsia="zh-CN"/>
        </w:rPr>
      </w:pPr>
    </w:p>
    <w:p w14:paraId="6D8ACF52">
      <w:pPr>
        <w:spacing w:line="360" w:lineRule="auto"/>
        <w:contextualSpacing/>
        <w:outlineLvl w:val="9"/>
        <w:rPr>
          <w:rFonts w:hint="eastAsia" w:asciiTheme="minorEastAsia" w:hAnsiTheme="minorEastAsia" w:eastAsiaTheme="minorEastAsia"/>
          <w:color w:val="auto"/>
          <w:sz w:val="24"/>
          <w:highlight w:val="none"/>
          <w:lang w:val="en-US" w:eastAsia="zh-CN"/>
        </w:rPr>
      </w:pPr>
      <w:r>
        <w:rPr>
          <w:rFonts w:hint="eastAsia" w:asciiTheme="minorEastAsia" w:hAnsiTheme="minorEastAsia" w:eastAsiaTheme="minorEastAsia"/>
          <w:color w:val="auto"/>
          <w:sz w:val="24"/>
          <w:highlight w:val="none"/>
          <w:lang w:val="en-US" w:eastAsia="zh-CN"/>
        </w:rPr>
        <w:t>附表7：</w:t>
      </w:r>
    </w:p>
    <w:tbl>
      <w:tblPr>
        <w:tblStyle w:val="56"/>
        <w:tblW w:w="972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32"/>
        <w:gridCol w:w="1261"/>
        <w:gridCol w:w="1335"/>
        <w:gridCol w:w="1500"/>
        <w:gridCol w:w="1271"/>
        <w:gridCol w:w="1136"/>
        <w:gridCol w:w="1261"/>
        <w:gridCol w:w="1224"/>
      </w:tblGrid>
      <w:tr w14:paraId="66D196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2" w:hRule="atLeast"/>
        </w:trPr>
        <w:tc>
          <w:tcPr>
            <w:tcW w:w="9720" w:type="dxa"/>
            <w:gridSpan w:val="8"/>
            <w:tcBorders>
              <w:top w:val="nil"/>
              <w:left w:val="nil"/>
              <w:bottom w:val="single" w:color="000000" w:sz="4" w:space="0"/>
              <w:right w:val="nil"/>
            </w:tcBorders>
            <w:shd w:val="clear" w:color="auto" w:fill="auto"/>
            <w:vAlign w:val="top"/>
          </w:tcPr>
          <w:p w14:paraId="6DF52E48">
            <w:pPr>
              <w:keepNext w:val="0"/>
              <w:keepLines w:val="0"/>
              <w:widowControl/>
              <w:suppressLineNumbers w:val="0"/>
              <w:spacing w:before="0" w:beforeAutospacing="0" w:after="0" w:afterAutospacing="0"/>
              <w:ind w:left="0" w:right="0"/>
              <w:jc w:val="left"/>
              <w:textAlignment w:val="top"/>
              <w:outlineLvl w:val="9"/>
              <w:rPr>
                <w:rFonts w:hint="eastAsia" w:ascii="宋体" w:hAnsi="宋体" w:eastAsia="宋体" w:cs="宋体"/>
                <w:i w:val="0"/>
                <w:iCs w:val="0"/>
                <w:color w:val="auto"/>
                <w:sz w:val="40"/>
                <w:szCs w:val="40"/>
                <w:highlight w:val="none"/>
                <w:u w:val="none"/>
              </w:rPr>
            </w:pPr>
            <w:r>
              <w:rPr>
                <w:rFonts w:hint="eastAsia" w:ascii="宋体" w:hAnsi="宋体" w:eastAsia="宋体" w:cs="宋体"/>
                <w:i w:val="0"/>
                <w:iCs w:val="0"/>
                <w:color w:val="auto"/>
                <w:kern w:val="0"/>
                <w:sz w:val="40"/>
                <w:szCs w:val="40"/>
                <w:highlight w:val="none"/>
                <w:u w:val="none"/>
                <w:lang w:val="en-US" w:eastAsia="zh-CN" w:bidi="ar"/>
              </w:rPr>
              <w:t xml:space="preserve">                   材料设备封样台账                                                           </w:t>
            </w:r>
            <w:r>
              <w:rPr>
                <w:rFonts w:hint="eastAsia" w:ascii="宋体" w:hAnsi="宋体" w:eastAsia="宋体" w:cs="宋体"/>
                <w:i w:val="0"/>
                <w:iCs w:val="0"/>
                <w:color w:val="auto"/>
                <w:kern w:val="0"/>
                <w:sz w:val="28"/>
                <w:szCs w:val="28"/>
                <w:highlight w:val="none"/>
                <w:u w:val="none"/>
                <w:lang w:val="en-US" w:eastAsia="zh-CN" w:bidi="ar"/>
              </w:rPr>
              <w:t>项目名称：                              标段名称：                              部门：</w:t>
            </w:r>
          </w:p>
        </w:tc>
      </w:tr>
      <w:tr w14:paraId="1B8EF0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5"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center"/>
          </w:tcPr>
          <w:p w14:paraId="23D5730D">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8"/>
                <w:szCs w:val="28"/>
                <w:highlight w:val="none"/>
                <w:u w:val="none"/>
              </w:rPr>
            </w:pPr>
            <w:r>
              <w:rPr>
                <w:rFonts w:hint="eastAsia" w:ascii="宋体" w:hAnsi="宋体" w:eastAsia="宋体" w:cs="宋体"/>
                <w:i w:val="0"/>
                <w:iCs w:val="0"/>
                <w:color w:val="auto"/>
                <w:kern w:val="0"/>
                <w:sz w:val="28"/>
                <w:szCs w:val="28"/>
                <w:highlight w:val="none"/>
                <w:u w:val="none"/>
                <w:lang w:val="en-US" w:eastAsia="zh-CN" w:bidi="ar"/>
              </w:rPr>
              <w:t>序号</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78CB6">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8"/>
                <w:szCs w:val="28"/>
                <w:highlight w:val="none"/>
                <w:u w:val="none"/>
              </w:rPr>
            </w:pPr>
            <w:r>
              <w:rPr>
                <w:rFonts w:hint="eastAsia" w:ascii="宋体" w:hAnsi="宋体" w:eastAsia="宋体" w:cs="宋体"/>
                <w:i w:val="0"/>
                <w:iCs w:val="0"/>
                <w:color w:val="auto"/>
                <w:kern w:val="0"/>
                <w:sz w:val="28"/>
                <w:szCs w:val="28"/>
                <w:highlight w:val="none"/>
                <w:u w:val="none"/>
                <w:lang w:val="en-US" w:eastAsia="zh-CN" w:bidi="ar"/>
              </w:rPr>
              <w:t>样品名称</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07743">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8"/>
                <w:szCs w:val="28"/>
                <w:highlight w:val="none"/>
                <w:u w:val="none"/>
              </w:rPr>
            </w:pPr>
            <w:r>
              <w:rPr>
                <w:rFonts w:hint="eastAsia" w:ascii="宋体" w:hAnsi="宋体" w:eastAsia="宋体" w:cs="宋体"/>
                <w:i w:val="0"/>
                <w:iCs w:val="0"/>
                <w:color w:val="auto"/>
                <w:kern w:val="0"/>
                <w:sz w:val="28"/>
                <w:szCs w:val="28"/>
                <w:highlight w:val="none"/>
                <w:u w:val="none"/>
                <w:lang w:val="en-US" w:eastAsia="zh-CN" w:bidi="ar"/>
              </w:rPr>
              <w:t>封样标签编号</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E5C4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8"/>
                <w:szCs w:val="28"/>
                <w:highlight w:val="none"/>
                <w:u w:val="none"/>
              </w:rPr>
            </w:pPr>
            <w:r>
              <w:rPr>
                <w:rFonts w:hint="eastAsia" w:ascii="宋体" w:hAnsi="宋体" w:eastAsia="宋体" w:cs="宋体"/>
                <w:i w:val="0"/>
                <w:iCs w:val="0"/>
                <w:color w:val="auto"/>
                <w:kern w:val="0"/>
                <w:sz w:val="28"/>
                <w:szCs w:val="28"/>
                <w:highlight w:val="none"/>
                <w:u w:val="none"/>
                <w:lang w:val="en-US" w:eastAsia="zh-CN" w:bidi="ar"/>
              </w:rPr>
              <w:t>规格型号</w:t>
            </w: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513F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8"/>
                <w:szCs w:val="28"/>
                <w:highlight w:val="none"/>
                <w:u w:val="none"/>
              </w:rPr>
            </w:pPr>
            <w:r>
              <w:rPr>
                <w:rFonts w:hint="eastAsia" w:ascii="宋体" w:hAnsi="宋体" w:eastAsia="宋体" w:cs="宋体"/>
                <w:i w:val="0"/>
                <w:iCs w:val="0"/>
                <w:color w:val="auto"/>
                <w:kern w:val="0"/>
                <w:sz w:val="28"/>
                <w:szCs w:val="28"/>
                <w:highlight w:val="none"/>
                <w:u w:val="none"/>
                <w:lang w:val="en-US" w:eastAsia="zh-CN" w:bidi="ar"/>
              </w:rPr>
              <w:t>相关参数</w:t>
            </w:r>
          </w:p>
        </w:tc>
        <w:tc>
          <w:tcPr>
            <w:tcW w:w="11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73CD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8"/>
                <w:szCs w:val="28"/>
                <w:highlight w:val="none"/>
                <w:u w:val="none"/>
              </w:rPr>
            </w:pPr>
            <w:r>
              <w:rPr>
                <w:rFonts w:hint="eastAsia" w:ascii="宋体" w:hAnsi="宋体" w:eastAsia="宋体" w:cs="宋体"/>
                <w:i w:val="0"/>
                <w:iCs w:val="0"/>
                <w:color w:val="auto"/>
                <w:kern w:val="0"/>
                <w:sz w:val="28"/>
                <w:szCs w:val="28"/>
                <w:highlight w:val="none"/>
                <w:u w:val="none"/>
                <w:lang w:val="en-US" w:eastAsia="zh-CN" w:bidi="ar"/>
              </w:rPr>
              <w:t>封样部门</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29C2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8"/>
                <w:szCs w:val="28"/>
                <w:highlight w:val="none"/>
                <w:u w:val="none"/>
              </w:rPr>
            </w:pPr>
            <w:r>
              <w:rPr>
                <w:rFonts w:hint="eastAsia" w:ascii="宋体" w:hAnsi="宋体" w:eastAsia="宋体" w:cs="宋体"/>
                <w:i w:val="0"/>
                <w:iCs w:val="0"/>
                <w:color w:val="auto"/>
                <w:kern w:val="0"/>
                <w:sz w:val="28"/>
                <w:szCs w:val="28"/>
                <w:highlight w:val="none"/>
                <w:u w:val="none"/>
                <w:lang w:val="en-US" w:eastAsia="zh-CN" w:bidi="ar"/>
              </w:rPr>
              <w:t>供货单位</w:t>
            </w: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4023A07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8"/>
                <w:szCs w:val="28"/>
                <w:highlight w:val="none"/>
                <w:u w:val="none"/>
              </w:rPr>
            </w:pPr>
            <w:r>
              <w:rPr>
                <w:rFonts w:hint="eastAsia" w:ascii="宋体" w:hAnsi="宋体" w:eastAsia="宋体" w:cs="宋体"/>
                <w:i w:val="0"/>
                <w:iCs w:val="0"/>
                <w:color w:val="auto"/>
                <w:kern w:val="0"/>
                <w:sz w:val="28"/>
                <w:szCs w:val="28"/>
                <w:highlight w:val="none"/>
                <w:u w:val="none"/>
                <w:lang w:val="en-US" w:eastAsia="zh-CN" w:bidi="ar"/>
              </w:rPr>
              <w:t>封样日期</w:t>
            </w:r>
          </w:p>
        </w:tc>
      </w:tr>
      <w:tr w14:paraId="6F3982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0B8D71B8">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5804A9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00C6ED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C5A4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78EB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EF3F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5A82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193666F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6D9160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78577FBE">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2</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52F37F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B9562A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1A1C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A8E5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C8FD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ED1F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53EDE0A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04DCCB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4A9AE5F7">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3</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C10A4D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84B69E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8F01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2B77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3200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F0B4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3FBDCD4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584D7C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4CCBBABB">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4</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0BC24B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D62C43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FFC3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E44D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DA0B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8992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2AB3FE5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408160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0639D080">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5</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88BD67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42E830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7A3E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09D0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712C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6288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476BCB4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511808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09830808">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6</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768412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8D15C1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25FB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0593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2BAC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3083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606C7B6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2D3920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74B039B4">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7</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319375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975CA0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3E01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CE0A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05BE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1012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7764961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00118A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3989109A">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8</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76F91F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97E4B7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E15A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8CAF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566D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5F5FC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4DD2FFF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5D521D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2095EF21">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9</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1583B5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AAA5A2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0270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7869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0496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6F8C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2BA308E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2E95ED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438B66E4">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10</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5348F6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221019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FD20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AF8F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8ECD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8DCD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795C8DD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105D24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51BADFC1">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11</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97C3CA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3E0D97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1916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39E3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6F51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F47F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0175A1E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62CF99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35D5AF3C">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12</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3A224E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622A24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4047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C9EF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4CAB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62D9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607E1D5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350EB1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33BC210D">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13</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737F3C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4B40E0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9AAE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0B99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6CF0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F62B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5E3E460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076D4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5779FFB7">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14</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BFF6CE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4C55EB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3E0A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33F5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009A7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BB20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4A1B340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30CE1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5650EA08">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15</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7F2A67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A3E8DC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58B8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9DF4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BC82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AA35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1AC6211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236634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774E7B3B">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16</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4FFB36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05527C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D712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0D86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8EF9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E585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042B972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7E4ED6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766554C4">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17</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92817D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E4E269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2FDF3B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B0240F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6135F2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5263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60FE251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54B88E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543BE476">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18</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4D84B2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A1B932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38EC15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50FB90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3E50D6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BE64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6B252BF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77CF52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4194AFE9">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19</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E95A9A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AB5AC2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14270C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F72DC1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F93281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7043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1230CF5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3328E6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19848993">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20</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23EDA3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A028BF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40B6BE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ACBAC2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2E59FD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975A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3BEB3AF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36746F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446FC7CD">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21</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B4F93B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4743EE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93A997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7FC201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E1ECAD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DDD2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4119095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1AD941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30D937B4">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22</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CF8902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F149D4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6F5BD4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1D946C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DAFE24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F4FC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5868769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2E4D66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40B68BFC">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23</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265926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0B2EE9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416527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E8622B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D8A88A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E660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07A29B9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57EDCE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6"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5E14550F">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24</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1E76E3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D9514B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9545D1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6B3FFC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2AF69A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0C64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1E77062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r w14:paraId="0D7023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5" w:hRule="atLeast"/>
        </w:trPr>
        <w:tc>
          <w:tcPr>
            <w:tcW w:w="732" w:type="dxa"/>
            <w:tcBorders>
              <w:top w:val="single" w:color="000000" w:sz="4" w:space="0"/>
              <w:left w:val="single" w:color="000000" w:sz="8" w:space="0"/>
              <w:bottom w:val="single" w:color="000000" w:sz="4" w:space="0"/>
              <w:right w:val="single" w:color="000000" w:sz="4" w:space="0"/>
            </w:tcBorders>
            <w:shd w:val="clear" w:color="auto" w:fill="auto"/>
            <w:noWrap/>
            <w:vAlign w:val="bottom"/>
          </w:tcPr>
          <w:p w14:paraId="3A52BD24">
            <w:pPr>
              <w:keepNext w:val="0"/>
              <w:keepLines w:val="0"/>
              <w:widowControl/>
              <w:suppressLineNumbers w:val="0"/>
              <w:spacing w:before="0" w:beforeAutospacing="0" w:after="0" w:afterAutospacing="0"/>
              <w:ind w:left="0" w:right="0"/>
              <w:jc w:val="center"/>
              <w:textAlignment w:val="bottom"/>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25</w:t>
            </w: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68AF89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465268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78B44D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71"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98A63F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13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D6326A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795B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1224" w:type="dxa"/>
            <w:tcBorders>
              <w:top w:val="single" w:color="000000" w:sz="4" w:space="0"/>
              <w:left w:val="single" w:color="000000" w:sz="4" w:space="0"/>
              <w:bottom w:val="single" w:color="000000" w:sz="4" w:space="0"/>
              <w:right w:val="single" w:color="000000" w:sz="8" w:space="0"/>
            </w:tcBorders>
            <w:shd w:val="clear" w:color="auto" w:fill="auto"/>
            <w:noWrap/>
            <w:vAlign w:val="center"/>
          </w:tcPr>
          <w:p w14:paraId="063E85F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r>
    </w:tbl>
    <w:p w14:paraId="1B2EBDE7">
      <w:pPr>
        <w:spacing w:line="360" w:lineRule="auto"/>
        <w:contextualSpacing/>
        <w:outlineLvl w:val="9"/>
        <w:rPr>
          <w:rFonts w:hint="eastAsia" w:asciiTheme="minorEastAsia" w:hAnsiTheme="minorEastAsia" w:eastAsiaTheme="minorEastAsia"/>
          <w:color w:val="auto"/>
          <w:sz w:val="24"/>
          <w:highlight w:val="none"/>
          <w:lang w:val="en-US" w:eastAsia="zh-CN"/>
        </w:rPr>
      </w:pPr>
      <w:r>
        <w:rPr>
          <w:rFonts w:hint="eastAsia" w:asciiTheme="minorEastAsia" w:hAnsiTheme="minorEastAsia" w:eastAsiaTheme="minorEastAsia"/>
          <w:color w:val="auto"/>
          <w:sz w:val="24"/>
          <w:highlight w:val="none"/>
          <w:lang w:val="en-US" w:eastAsia="zh-CN"/>
        </w:rPr>
        <w:t>附表8：</w:t>
      </w:r>
    </w:p>
    <w:tbl>
      <w:tblPr>
        <w:tblStyle w:val="56"/>
        <w:tblW w:w="9543"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78"/>
        <w:gridCol w:w="1365"/>
        <w:gridCol w:w="1305"/>
        <w:gridCol w:w="900"/>
        <w:gridCol w:w="870"/>
        <w:gridCol w:w="1080"/>
        <w:gridCol w:w="1605"/>
        <w:gridCol w:w="1740"/>
      </w:tblGrid>
      <w:tr w14:paraId="72F548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9543" w:type="dxa"/>
            <w:gridSpan w:val="8"/>
            <w:tcBorders>
              <w:top w:val="nil"/>
              <w:left w:val="nil"/>
              <w:bottom w:val="nil"/>
              <w:right w:val="nil"/>
            </w:tcBorders>
            <w:shd w:val="clear" w:color="auto" w:fill="auto"/>
            <w:noWrap/>
            <w:vAlign w:val="center"/>
          </w:tcPr>
          <w:p w14:paraId="74805CFE">
            <w:pPr>
              <w:keepNext w:val="0"/>
              <w:keepLines w:val="0"/>
              <w:widowControl/>
              <w:suppressLineNumbers w:val="0"/>
              <w:spacing w:before="0" w:beforeAutospacing="0" w:after="0" w:afterAutospacing="0"/>
              <w:ind w:left="0" w:right="0"/>
              <w:jc w:val="center"/>
              <w:textAlignment w:val="center"/>
              <w:outlineLvl w:val="9"/>
              <w:rPr>
                <w:rFonts w:ascii="仿宋" w:hAnsi="仿宋" w:eastAsia="仿宋" w:cs="仿宋"/>
                <w:b/>
                <w:bCs/>
                <w:i w:val="0"/>
                <w:iCs w:val="0"/>
                <w:color w:val="auto"/>
                <w:sz w:val="32"/>
                <w:szCs w:val="32"/>
                <w:highlight w:val="none"/>
                <w:u w:val="single"/>
              </w:rPr>
            </w:pPr>
            <w:r>
              <w:rPr>
                <w:rFonts w:hint="eastAsia" w:ascii="仿宋" w:hAnsi="仿宋" w:eastAsia="仿宋" w:cs="仿宋"/>
                <w:b/>
                <w:bCs/>
                <w:i w:val="0"/>
                <w:iCs w:val="0"/>
                <w:color w:val="auto"/>
                <w:kern w:val="0"/>
                <w:sz w:val="32"/>
                <w:szCs w:val="32"/>
                <w:highlight w:val="none"/>
                <w:u w:val="single"/>
                <w:lang w:val="en-US" w:eastAsia="zh-CN" w:bidi="ar"/>
              </w:rPr>
              <w:t>*******项目**标段甲供材料计划表</w:t>
            </w:r>
          </w:p>
        </w:tc>
      </w:tr>
      <w:tr w14:paraId="52C87C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trPr>
        <w:tc>
          <w:tcPr>
            <w:tcW w:w="9543" w:type="dxa"/>
            <w:gridSpan w:val="8"/>
            <w:tcBorders>
              <w:top w:val="nil"/>
              <w:left w:val="nil"/>
              <w:bottom w:val="nil"/>
              <w:right w:val="nil"/>
            </w:tcBorders>
            <w:shd w:val="clear" w:color="auto" w:fill="auto"/>
            <w:noWrap/>
            <w:vAlign w:val="center"/>
          </w:tcPr>
          <w:p w14:paraId="332D743F">
            <w:pPr>
              <w:keepNext w:val="0"/>
              <w:keepLines w:val="0"/>
              <w:widowControl/>
              <w:suppressLineNumbers w:val="0"/>
              <w:spacing w:before="0" w:beforeAutospacing="0" w:after="0" w:afterAutospacing="0"/>
              <w:ind w:left="0" w:right="0"/>
              <w:jc w:val="left"/>
              <w:textAlignment w:val="center"/>
              <w:outlineLvl w:val="9"/>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工程名称：               楼号：                     日期：</w:t>
            </w:r>
          </w:p>
        </w:tc>
      </w:tr>
      <w:tr w14:paraId="6ED117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5" w:hRule="atLeast"/>
        </w:trPr>
        <w:tc>
          <w:tcPr>
            <w:tcW w:w="678" w:type="dxa"/>
            <w:tcBorders>
              <w:top w:val="single" w:color="000000" w:sz="4" w:space="0"/>
              <w:left w:val="single" w:color="000000" w:sz="4" w:space="0"/>
              <w:bottom w:val="single" w:color="000000" w:sz="4" w:space="0"/>
              <w:right w:val="single" w:color="000000" w:sz="4" w:space="0"/>
            </w:tcBorders>
            <w:shd w:val="clear" w:color="auto" w:fill="A6A6A6"/>
            <w:vAlign w:val="center"/>
          </w:tcPr>
          <w:p w14:paraId="16423451">
            <w:pPr>
              <w:keepNext w:val="0"/>
              <w:keepLines w:val="0"/>
              <w:widowControl/>
              <w:suppressLineNumbers w:val="0"/>
              <w:spacing w:before="0" w:beforeAutospacing="0" w:after="0" w:afterAutospacing="0"/>
              <w:ind w:left="0" w:right="0"/>
              <w:jc w:val="center"/>
              <w:textAlignment w:val="center"/>
              <w:outlineLvl w:val="9"/>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序号</w:t>
            </w:r>
          </w:p>
        </w:tc>
        <w:tc>
          <w:tcPr>
            <w:tcW w:w="1365" w:type="dxa"/>
            <w:tcBorders>
              <w:top w:val="single" w:color="000000" w:sz="4" w:space="0"/>
              <w:left w:val="single" w:color="000000" w:sz="4" w:space="0"/>
              <w:bottom w:val="single" w:color="000000" w:sz="4" w:space="0"/>
              <w:right w:val="single" w:color="000000" w:sz="4" w:space="0"/>
            </w:tcBorders>
            <w:shd w:val="clear" w:color="auto" w:fill="A6A6A6"/>
            <w:vAlign w:val="center"/>
          </w:tcPr>
          <w:p w14:paraId="40D9C1DF">
            <w:pPr>
              <w:keepNext w:val="0"/>
              <w:keepLines w:val="0"/>
              <w:widowControl/>
              <w:suppressLineNumbers w:val="0"/>
              <w:spacing w:before="0" w:beforeAutospacing="0" w:after="0" w:afterAutospacing="0"/>
              <w:ind w:left="0" w:right="0"/>
              <w:jc w:val="center"/>
              <w:textAlignment w:val="center"/>
              <w:outlineLvl w:val="9"/>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材料名称</w:t>
            </w:r>
          </w:p>
        </w:tc>
        <w:tc>
          <w:tcPr>
            <w:tcW w:w="1305" w:type="dxa"/>
            <w:tcBorders>
              <w:top w:val="single" w:color="000000" w:sz="4" w:space="0"/>
              <w:left w:val="single" w:color="000000" w:sz="4" w:space="0"/>
              <w:bottom w:val="single" w:color="000000" w:sz="4" w:space="0"/>
              <w:right w:val="single" w:color="000000" w:sz="4" w:space="0"/>
            </w:tcBorders>
            <w:shd w:val="clear" w:color="auto" w:fill="A6A6A6"/>
            <w:vAlign w:val="center"/>
          </w:tcPr>
          <w:p w14:paraId="493900E2">
            <w:pPr>
              <w:keepNext w:val="0"/>
              <w:keepLines w:val="0"/>
              <w:widowControl/>
              <w:suppressLineNumbers w:val="0"/>
              <w:spacing w:before="0" w:beforeAutospacing="0" w:after="0" w:afterAutospacing="0"/>
              <w:ind w:left="0" w:right="0"/>
              <w:jc w:val="center"/>
              <w:textAlignment w:val="center"/>
              <w:outlineLvl w:val="9"/>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规格型号</w:t>
            </w:r>
          </w:p>
        </w:tc>
        <w:tc>
          <w:tcPr>
            <w:tcW w:w="900" w:type="dxa"/>
            <w:tcBorders>
              <w:top w:val="single" w:color="000000" w:sz="4" w:space="0"/>
              <w:left w:val="single" w:color="000000" w:sz="4" w:space="0"/>
              <w:bottom w:val="single" w:color="000000" w:sz="4" w:space="0"/>
              <w:right w:val="single" w:color="000000" w:sz="4" w:space="0"/>
            </w:tcBorders>
            <w:shd w:val="clear" w:color="auto" w:fill="A6A6A6"/>
            <w:vAlign w:val="center"/>
          </w:tcPr>
          <w:p w14:paraId="549B9B77">
            <w:pPr>
              <w:keepNext w:val="0"/>
              <w:keepLines w:val="0"/>
              <w:widowControl/>
              <w:suppressLineNumbers w:val="0"/>
              <w:spacing w:before="0" w:beforeAutospacing="0" w:after="0" w:afterAutospacing="0"/>
              <w:ind w:left="0" w:right="0"/>
              <w:jc w:val="center"/>
              <w:textAlignment w:val="center"/>
              <w:outlineLvl w:val="9"/>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单位</w:t>
            </w:r>
          </w:p>
        </w:tc>
        <w:tc>
          <w:tcPr>
            <w:tcW w:w="870" w:type="dxa"/>
            <w:tcBorders>
              <w:top w:val="single" w:color="000000" w:sz="4" w:space="0"/>
              <w:left w:val="single" w:color="000000" w:sz="4" w:space="0"/>
              <w:bottom w:val="single" w:color="000000" w:sz="4" w:space="0"/>
              <w:right w:val="single" w:color="000000" w:sz="4" w:space="0"/>
            </w:tcBorders>
            <w:shd w:val="clear" w:color="auto" w:fill="A6A6A6"/>
            <w:vAlign w:val="center"/>
          </w:tcPr>
          <w:p w14:paraId="4F696D29">
            <w:pPr>
              <w:keepNext w:val="0"/>
              <w:keepLines w:val="0"/>
              <w:widowControl/>
              <w:suppressLineNumbers w:val="0"/>
              <w:spacing w:before="0" w:beforeAutospacing="0" w:after="0" w:afterAutospacing="0"/>
              <w:ind w:left="0" w:right="0"/>
              <w:jc w:val="center"/>
              <w:textAlignment w:val="center"/>
              <w:outlineLvl w:val="9"/>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数量</w:t>
            </w:r>
          </w:p>
        </w:tc>
        <w:tc>
          <w:tcPr>
            <w:tcW w:w="1080" w:type="dxa"/>
            <w:tcBorders>
              <w:top w:val="single" w:color="000000" w:sz="4" w:space="0"/>
              <w:left w:val="single" w:color="000000" w:sz="4" w:space="0"/>
              <w:bottom w:val="single" w:color="000000" w:sz="4" w:space="0"/>
              <w:right w:val="single" w:color="000000" w:sz="4" w:space="0"/>
            </w:tcBorders>
            <w:shd w:val="clear" w:color="auto" w:fill="A6A6A6"/>
            <w:vAlign w:val="center"/>
          </w:tcPr>
          <w:p w14:paraId="1FB97CAC">
            <w:pPr>
              <w:keepNext w:val="0"/>
              <w:keepLines w:val="0"/>
              <w:widowControl/>
              <w:suppressLineNumbers w:val="0"/>
              <w:spacing w:before="0" w:beforeAutospacing="0" w:after="0" w:afterAutospacing="0"/>
              <w:ind w:left="0" w:right="0"/>
              <w:jc w:val="center"/>
              <w:textAlignment w:val="center"/>
              <w:outlineLvl w:val="9"/>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品牌</w:t>
            </w:r>
          </w:p>
        </w:tc>
        <w:tc>
          <w:tcPr>
            <w:tcW w:w="1605" w:type="dxa"/>
            <w:tcBorders>
              <w:top w:val="single" w:color="000000" w:sz="4" w:space="0"/>
              <w:left w:val="single" w:color="000000" w:sz="4" w:space="0"/>
              <w:bottom w:val="single" w:color="000000" w:sz="4" w:space="0"/>
              <w:right w:val="single" w:color="000000" w:sz="4" w:space="0"/>
            </w:tcBorders>
            <w:shd w:val="clear" w:color="auto" w:fill="A6A6A6"/>
            <w:vAlign w:val="center"/>
          </w:tcPr>
          <w:p w14:paraId="3BF812F5">
            <w:pPr>
              <w:keepNext w:val="0"/>
              <w:keepLines w:val="0"/>
              <w:widowControl/>
              <w:suppressLineNumbers w:val="0"/>
              <w:spacing w:before="0" w:beforeAutospacing="0" w:after="0" w:afterAutospacing="0"/>
              <w:ind w:left="0" w:right="0"/>
              <w:jc w:val="center"/>
              <w:textAlignment w:val="center"/>
              <w:outlineLvl w:val="9"/>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进场日期</w:t>
            </w:r>
          </w:p>
        </w:tc>
        <w:tc>
          <w:tcPr>
            <w:tcW w:w="1740" w:type="dxa"/>
            <w:tcBorders>
              <w:top w:val="single" w:color="000000" w:sz="4" w:space="0"/>
              <w:left w:val="single" w:color="000000" w:sz="4" w:space="0"/>
              <w:bottom w:val="single" w:color="000000" w:sz="4" w:space="0"/>
              <w:right w:val="single" w:color="000000" w:sz="4" w:space="0"/>
            </w:tcBorders>
            <w:shd w:val="clear" w:color="auto" w:fill="A6A6A6"/>
            <w:vAlign w:val="center"/>
          </w:tcPr>
          <w:p w14:paraId="7136585F">
            <w:pPr>
              <w:keepNext w:val="0"/>
              <w:keepLines w:val="0"/>
              <w:widowControl/>
              <w:suppressLineNumbers w:val="0"/>
              <w:spacing w:before="0" w:beforeAutospacing="0" w:after="0" w:afterAutospacing="0"/>
              <w:ind w:left="0" w:right="0"/>
              <w:jc w:val="center"/>
              <w:textAlignment w:val="center"/>
              <w:outlineLvl w:val="9"/>
              <w:rPr>
                <w:rFonts w:hint="eastAsia" w:ascii="仿宋" w:hAnsi="仿宋" w:eastAsia="仿宋" w:cs="仿宋"/>
                <w:b/>
                <w:bCs/>
                <w:i w:val="0"/>
                <w:iCs w:val="0"/>
                <w:color w:val="auto"/>
                <w:sz w:val="22"/>
                <w:szCs w:val="22"/>
                <w:highlight w:val="none"/>
                <w:u w:val="none"/>
              </w:rPr>
            </w:pPr>
            <w:r>
              <w:rPr>
                <w:rFonts w:hint="eastAsia" w:ascii="仿宋" w:hAnsi="仿宋" w:eastAsia="仿宋" w:cs="仿宋"/>
                <w:b/>
                <w:bCs/>
                <w:i w:val="0"/>
                <w:iCs w:val="0"/>
                <w:color w:val="auto"/>
                <w:kern w:val="0"/>
                <w:sz w:val="22"/>
                <w:szCs w:val="22"/>
                <w:highlight w:val="none"/>
                <w:u w:val="none"/>
                <w:lang w:val="en-US" w:eastAsia="zh-CN" w:bidi="ar"/>
              </w:rPr>
              <w:t>备注</w:t>
            </w:r>
          </w:p>
        </w:tc>
      </w:tr>
      <w:tr w14:paraId="2DFD0A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5" w:hRule="atLeast"/>
        </w:trPr>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EAC55">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E2101">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44A5A3">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B3A02">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A6939">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D06D0">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2893D">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48F44">
            <w:pPr>
              <w:keepNext w:val="0"/>
              <w:keepLines w:val="0"/>
              <w:widowControl/>
              <w:suppressLineNumbers w:val="0"/>
              <w:spacing w:before="0" w:beforeAutospacing="0" w:after="0" w:afterAutospacing="0"/>
              <w:ind w:left="0" w:right="0"/>
              <w:jc w:val="both"/>
              <w:textAlignment w:val="center"/>
              <w:outlineLvl w:val="9"/>
              <w:rPr>
                <w:rFonts w:hint="eastAsia" w:ascii="仿宋" w:hAnsi="仿宋" w:eastAsia="仿宋" w:cs="仿宋"/>
                <w:i w:val="0"/>
                <w:iCs w:val="0"/>
                <w:color w:val="auto"/>
                <w:sz w:val="22"/>
                <w:szCs w:val="22"/>
                <w:highlight w:val="none"/>
                <w:u w:val="none"/>
              </w:rPr>
            </w:pPr>
            <w:r>
              <w:rPr>
                <w:rFonts w:hint="eastAsia" w:ascii="仿宋" w:hAnsi="仿宋" w:eastAsia="仿宋" w:cs="仿宋"/>
                <w:i w:val="0"/>
                <w:iCs w:val="0"/>
                <w:color w:val="auto"/>
                <w:kern w:val="0"/>
                <w:sz w:val="22"/>
                <w:szCs w:val="22"/>
                <w:highlight w:val="none"/>
                <w:u w:val="none"/>
                <w:lang w:val="en-US" w:eastAsia="zh-CN" w:bidi="ar"/>
              </w:rPr>
              <w:t>注明是否有图纸等附件</w:t>
            </w:r>
          </w:p>
        </w:tc>
      </w:tr>
      <w:tr w14:paraId="3315D4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5" w:hRule="atLeast"/>
        </w:trPr>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EEB2B">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68B1B">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38969">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992E16">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E91CE">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0AAD06">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FE002">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986F9">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r>
      <w:tr w14:paraId="00BD25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5" w:hRule="atLeast"/>
        </w:trPr>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00868">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DDA7C">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36FC2">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8C361">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810F0">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B4C4B6">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04B97">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E17D4">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r>
      <w:tr w14:paraId="26AC8C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5" w:hRule="atLeast"/>
        </w:trPr>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71870">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187C4">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E54B4">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46CE1">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34B3D">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45ADEC">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E28F64">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54ED9">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r>
      <w:tr w14:paraId="4DBC46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5" w:hRule="atLeast"/>
        </w:trPr>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E296F">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B28A1">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3C473">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5790F">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96065">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B65DF">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228E8">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1866DA">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r>
      <w:tr w14:paraId="7E4CCF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5" w:hRule="atLeast"/>
        </w:trPr>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43037">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37EE47">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09474">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B5ED9">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203C8">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44A88">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70AD8B">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2A642">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r>
      <w:tr w14:paraId="225C4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5" w:hRule="atLeast"/>
        </w:trPr>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55C13">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8B1B1">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60E19">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3022A2">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27948">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4DA94">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4518D">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2071F">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r>
      <w:tr w14:paraId="706286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5" w:hRule="atLeast"/>
        </w:trPr>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C8609">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E9EF8">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9782E">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15005">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726DC">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9F0D5">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925F1">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1AA25">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r>
      <w:tr w14:paraId="159F6E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5" w:hRule="atLeast"/>
        </w:trPr>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CB243">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150CB">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D0F66C">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501CC2">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2490C">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15483C">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E3269">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8FD52D">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r>
      <w:tr w14:paraId="6EFDB4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5" w:hRule="atLeast"/>
        </w:trPr>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AB251">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DD97E">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FC409">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57E6F">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49E36">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7943A4">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0DABD">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D5C3E">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r>
      <w:tr w14:paraId="76DA63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5" w:hRule="atLeast"/>
        </w:trPr>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AE4BE7">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67273">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030C8">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F5BF9">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64465">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F9D06">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FA8FF7">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53D5DC">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r>
      <w:tr w14:paraId="145202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5" w:hRule="atLeast"/>
        </w:trPr>
        <w:tc>
          <w:tcPr>
            <w:tcW w:w="67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887F42">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82382">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B5B7F">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ED1D2B">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7C64EB">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05DD3">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60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1B3B79">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46CF6">
            <w:pPr>
              <w:keepNext w:val="0"/>
              <w:keepLines w:val="0"/>
              <w:suppressLineNumbers w:val="0"/>
              <w:spacing w:before="0" w:beforeAutospacing="0" w:after="0" w:afterAutospacing="0"/>
              <w:ind w:left="0" w:right="0"/>
              <w:jc w:val="both"/>
              <w:outlineLvl w:val="9"/>
              <w:rPr>
                <w:rFonts w:hint="eastAsia" w:ascii="仿宋" w:hAnsi="仿宋" w:eastAsia="仿宋" w:cs="仿宋"/>
                <w:i w:val="0"/>
                <w:iCs w:val="0"/>
                <w:color w:val="auto"/>
                <w:sz w:val="22"/>
                <w:szCs w:val="22"/>
                <w:highlight w:val="none"/>
                <w:u w:val="none"/>
              </w:rPr>
            </w:pPr>
          </w:p>
        </w:tc>
      </w:tr>
      <w:tr w14:paraId="7ECCF7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trPr>
        <w:tc>
          <w:tcPr>
            <w:tcW w:w="9543" w:type="dxa"/>
            <w:gridSpan w:val="8"/>
            <w:tcBorders>
              <w:top w:val="nil"/>
              <w:left w:val="nil"/>
              <w:bottom w:val="nil"/>
              <w:right w:val="nil"/>
            </w:tcBorders>
            <w:shd w:val="clear" w:color="auto" w:fill="auto"/>
            <w:noWrap/>
            <w:vAlign w:val="center"/>
          </w:tcPr>
          <w:p w14:paraId="51ED666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项目部：                       监理单位：                        施工单位（盖章签字）：</w:t>
            </w:r>
          </w:p>
        </w:tc>
      </w:tr>
      <w:tr w14:paraId="478BC1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trPr>
        <w:tc>
          <w:tcPr>
            <w:tcW w:w="9543" w:type="dxa"/>
            <w:gridSpan w:val="8"/>
            <w:tcBorders>
              <w:top w:val="nil"/>
              <w:left w:val="nil"/>
              <w:bottom w:val="nil"/>
              <w:right w:val="nil"/>
            </w:tcBorders>
            <w:shd w:val="clear" w:color="auto" w:fill="auto"/>
            <w:noWrap/>
            <w:vAlign w:val="center"/>
          </w:tcPr>
          <w:p w14:paraId="778D7A8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 xml:space="preserve">日期：                             日期：                             日期：  </w:t>
            </w:r>
          </w:p>
        </w:tc>
      </w:tr>
      <w:tr w14:paraId="4EB74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trPr>
        <w:tc>
          <w:tcPr>
            <w:tcW w:w="9543" w:type="dxa"/>
            <w:gridSpan w:val="8"/>
            <w:tcBorders>
              <w:top w:val="nil"/>
              <w:left w:val="nil"/>
              <w:bottom w:val="nil"/>
              <w:right w:val="nil"/>
            </w:tcBorders>
            <w:shd w:val="clear" w:color="auto" w:fill="auto"/>
            <w:noWrap/>
            <w:vAlign w:val="center"/>
          </w:tcPr>
          <w:p w14:paraId="015A04FA">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成本管理部经理(核对数量)：</w:t>
            </w:r>
          </w:p>
        </w:tc>
      </w:tr>
    </w:tbl>
    <w:p w14:paraId="72BC56EE">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rPr>
      </w:pPr>
    </w:p>
    <w:p w14:paraId="2082614A">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lang w:val="en-US" w:eastAsia="zh-CN"/>
        </w:rPr>
        <w:sectPr>
          <w:pgSz w:w="11900" w:h="16838"/>
          <w:pgMar w:top="1134" w:right="1361" w:bottom="1134" w:left="1361" w:header="567" w:footer="567" w:gutter="0"/>
          <w:pgBorders>
            <w:top w:val="none" w:sz="0" w:space="0"/>
            <w:left w:val="none" w:sz="0" w:space="0"/>
            <w:bottom w:val="none" w:sz="0" w:space="0"/>
            <w:right w:val="none" w:sz="0" w:space="0"/>
          </w:pgBorders>
          <w:cols w:space="720" w:num="1"/>
          <w:docGrid w:linePitch="286" w:charSpace="0"/>
        </w:sectPr>
      </w:pPr>
    </w:p>
    <w:p w14:paraId="14032CA7">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lang w:val="en-US" w:eastAsia="zh-CN"/>
        </w:rPr>
      </w:pPr>
      <w:r>
        <w:rPr>
          <w:rFonts w:hint="eastAsia" w:cs="宋体" w:asciiTheme="minorEastAsia" w:hAnsiTheme="minorEastAsia" w:eastAsiaTheme="minorEastAsia"/>
          <w:color w:val="auto"/>
          <w:szCs w:val="21"/>
          <w:highlight w:val="none"/>
          <w:lang w:val="en-US" w:eastAsia="zh-CN"/>
        </w:rPr>
        <w:t>附表9：</w:t>
      </w:r>
    </w:p>
    <w:tbl>
      <w:tblPr>
        <w:tblStyle w:val="56"/>
        <w:tblW w:w="1458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77"/>
        <w:gridCol w:w="1483"/>
        <w:gridCol w:w="1483"/>
        <w:gridCol w:w="877"/>
        <w:gridCol w:w="877"/>
        <w:gridCol w:w="877"/>
        <w:gridCol w:w="877"/>
        <w:gridCol w:w="877"/>
        <w:gridCol w:w="3385"/>
        <w:gridCol w:w="2967"/>
      </w:tblGrid>
      <w:tr w14:paraId="2EC899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11613" w:type="dxa"/>
            <w:gridSpan w:val="9"/>
            <w:tcBorders>
              <w:top w:val="nil"/>
              <w:left w:val="nil"/>
              <w:bottom w:val="nil"/>
              <w:right w:val="nil"/>
            </w:tcBorders>
            <w:shd w:val="clear" w:color="auto" w:fill="auto"/>
            <w:noWrap/>
            <w:vAlign w:val="center"/>
          </w:tcPr>
          <w:p w14:paraId="2F35D229">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36"/>
                <w:szCs w:val="36"/>
                <w:highlight w:val="none"/>
                <w:u w:val="none"/>
              </w:rPr>
            </w:pPr>
            <w:r>
              <w:rPr>
                <w:rFonts w:hint="eastAsia" w:ascii="宋体" w:hAnsi="宋体" w:eastAsia="宋体" w:cs="宋体"/>
                <w:i w:val="0"/>
                <w:iCs w:val="0"/>
                <w:color w:val="auto"/>
                <w:kern w:val="0"/>
                <w:sz w:val="36"/>
                <w:szCs w:val="36"/>
                <w:highlight w:val="none"/>
                <w:u w:val="none"/>
                <w:lang w:val="en-US" w:eastAsia="zh-CN" w:bidi="ar"/>
              </w:rPr>
              <w:t>*****公司送货单</w:t>
            </w:r>
          </w:p>
        </w:tc>
        <w:tc>
          <w:tcPr>
            <w:tcW w:w="2967" w:type="dxa"/>
            <w:tcBorders>
              <w:top w:val="nil"/>
              <w:left w:val="nil"/>
              <w:bottom w:val="nil"/>
              <w:right w:val="nil"/>
            </w:tcBorders>
            <w:shd w:val="clear" w:color="auto" w:fill="auto"/>
            <w:noWrap/>
            <w:vAlign w:val="center"/>
          </w:tcPr>
          <w:p w14:paraId="258330CE">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r>
      <w:tr w14:paraId="6C169A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613" w:type="dxa"/>
            <w:gridSpan w:val="9"/>
            <w:tcBorders>
              <w:top w:val="nil"/>
              <w:left w:val="nil"/>
              <w:bottom w:val="nil"/>
              <w:right w:val="nil"/>
            </w:tcBorders>
            <w:shd w:val="clear" w:color="auto" w:fill="auto"/>
            <w:noWrap/>
            <w:vAlign w:val="center"/>
          </w:tcPr>
          <w:p w14:paraId="15DA588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买方单位：</w:t>
            </w:r>
          </w:p>
        </w:tc>
        <w:tc>
          <w:tcPr>
            <w:tcW w:w="2967" w:type="dxa"/>
            <w:tcBorders>
              <w:top w:val="nil"/>
              <w:left w:val="nil"/>
              <w:bottom w:val="nil"/>
              <w:right w:val="nil"/>
            </w:tcBorders>
            <w:shd w:val="clear" w:color="auto" w:fill="auto"/>
            <w:noWrap/>
            <w:vAlign w:val="center"/>
          </w:tcPr>
          <w:p w14:paraId="4279690E">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r>
      <w:tr w14:paraId="72415E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613" w:type="dxa"/>
            <w:gridSpan w:val="9"/>
            <w:tcBorders>
              <w:top w:val="nil"/>
              <w:left w:val="nil"/>
              <w:bottom w:val="nil"/>
              <w:right w:val="nil"/>
            </w:tcBorders>
            <w:shd w:val="clear" w:color="auto" w:fill="auto"/>
            <w:noWrap/>
            <w:vAlign w:val="center"/>
          </w:tcPr>
          <w:p w14:paraId="5BDE7602">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项目名称：**项目**标段**楼号</w:t>
            </w:r>
          </w:p>
        </w:tc>
        <w:tc>
          <w:tcPr>
            <w:tcW w:w="2967" w:type="dxa"/>
            <w:tcBorders>
              <w:top w:val="nil"/>
              <w:left w:val="nil"/>
              <w:bottom w:val="nil"/>
              <w:right w:val="nil"/>
            </w:tcBorders>
            <w:shd w:val="clear" w:color="auto" w:fill="auto"/>
            <w:noWrap/>
            <w:vAlign w:val="center"/>
          </w:tcPr>
          <w:p w14:paraId="425E7C5F">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r>
      <w:tr w14:paraId="172290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1613" w:type="dxa"/>
            <w:gridSpan w:val="9"/>
            <w:tcBorders>
              <w:top w:val="nil"/>
              <w:left w:val="nil"/>
              <w:bottom w:val="nil"/>
              <w:right w:val="nil"/>
            </w:tcBorders>
            <w:shd w:val="clear" w:color="auto" w:fill="auto"/>
            <w:noWrap/>
            <w:vAlign w:val="center"/>
          </w:tcPr>
          <w:p w14:paraId="56C65B96">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 xml:space="preserve">收货地点：                              收货联系人及电话：        </w:t>
            </w:r>
          </w:p>
        </w:tc>
        <w:tc>
          <w:tcPr>
            <w:tcW w:w="2967" w:type="dxa"/>
            <w:tcBorders>
              <w:top w:val="nil"/>
              <w:left w:val="nil"/>
              <w:bottom w:val="nil"/>
              <w:right w:val="nil"/>
            </w:tcBorders>
            <w:shd w:val="clear" w:color="auto" w:fill="auto"/>
            <w:noWrap/>
            <w:vAlign w:val="center"/>
          </w:tcPr>
          <w:p w14:paraId="0ACECFEF">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r>
      <w:tr w14:paraId="4CA587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11613" w:type="dxa"/>
            <w:gridSpan w:val="9"/>
            <w:tcBorders>
              <w:top w:val="nil"/>
              <w:left w:val="nil"/>
              <w:bottom w:val="nil"/>
              <w:right w:val="nil"/>
            </w:tcBorders>
            <w:shd w:val="clear" w:color="auto" w:fill="auto"/>
            <w:noWrap/>
            <w:vAlign w:val="center"/>
          </w:tcPr>
          <w:p w14:paraId="50F1720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 xml:space="preserve">                                        订单号：</w:t>
            </w:r>
          </w:p>
        </w:tc>
        <w:tc>
          <w:tcPr>
            <w:tcW w:w="2967" w:type="dxa"/>
            <w:tcBorders>
              <w:top w:val="nil"/>
              <w:left w:val="nil"/>
              <w:bottom w:val="nil"/>
              <w:right w:val="nil"/>
            </w:tcBorders>
            <w:shd w:val="clear" w:color="auto" w:fill="auto"/>
            <w:noWrap/>
            <w:vAlign w:val="center"/>
          </w:tcPr>
          <w:p w14:paraId="5A372365">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r>
      <w:tr w14:paraId="3AC064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D8F61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序号</w:t>
            </w:r>
          </w:p>
        </w:tc>
        <w:tc>
          <w:tcPr>
            <w:tcW w:w="14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E5F1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货物名称</w:t>
            </w:r>
          </w:p>
        </w:tc>
        <w:tc>
          <w:tcPr>
            <w:tcW w:w="14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A936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规格型号</w:t>
            </w: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8A616">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单位</w:t>
            </w: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0255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品牌</w:t>
            </w: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A521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数量</w:t>
            </w: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2437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单价</w:t>
            </w: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DE229">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总价</w:t>
            </w: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7571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备注</w:t>
            </w:r>
          </w:p>
        </w:tc>
        <w:tc>
          <w:tcPr>
            <w:tcW w:w="2967" w:type="dxa"/>
            <w:vMerge w:val="restart"/>
            <w:tcBorders>
              <w:top w:val="nil"/>
              <w:left w:val="nil"/>
              <w:bottom w:val="nil"/>
              <w:right w:val="nil"/>
            </w:tcBorders>
            <w:shd w:val="clear" w:color="auto" w:fill="auto"/>
            <w:vAlign w:val="center"/>
          </w:tcPr>
          <w:p w14:paraId="6C59D4B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第一联：供应商</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第二联：施工单位</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第三联：财务</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第四联：成本</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第五联：工程</w:t>
            </w:r>
          </w:p>
        </w:tc>
      </w:tr>
      <w:tr w14:paraId="1FCE0A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57F6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14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99BD8">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14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C5E78">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55FD9">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E38FE">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209AE">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184B7">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E8C47">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BB660D">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2967" w:type="dxa"/>
            <w:vMerge w:val="continue"/>
            <w:tcBorders>
              <w:top w:val="nil"/>
              <w:left w:val="nil"/>
              <w:bottom w:val="nil"/>
              <w:right w:val="nil"/>
            </w:tcBorders>
            <w:shd w:val="clear" w:color="auto" w:fill="auto"/>
            <w:vAlign w:val="center"/>
          </w:tcPr>
          <w:p w14:paraId="7E1C390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737CFF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902F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2</w:t>
            </w:r>
          </w:p>
        </w:tc>
        <w:tc>
          <w:tcPr>
            <w:tcW w:w="14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8C237">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14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4184E">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71409">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95FA2">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1D187">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8C78A">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9E9E0">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70920">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2967" w:type="dxa"/>
            <w:vMerge w:val="continue"/>
            <w:tcBorders>
              <w:top w:val="nil"/>
              <w:left w:val="nil"/>
              <w:bottom w:val="nil"/>
              <w:right w:val="nil"/>
            </w:tcBorders>
            <w:shd w:val="clear" w:color="auto" w:fill="auto"/>
            <w:vAlign w:val="center"/>
          </w:tcPr>
          <w:p w14:paraId="434262B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7BC42E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9DB0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3</w:t>
            </w:r>
          </w:p>
        </w:tc>
        <w:tc>
          <w:tcPr>
            <w:tcW w:w="14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B35E0">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14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56B75">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784F7">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C6540">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1B3B8">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15046">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6E3F7">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7A536">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2967" w:type="dxa"/>
            <w:vMerge w:val="continue"/>
            <w:tcBorders>
              <w:top w:val="nil"/>
              <w:left w:val="nil"/>
              <w:bottom w:val="nil"/>
              <w:right w:val="nil"/>
            </w:tcBorders>
            <w:shd w:val="clear" w:color="auto" w:fill="auto"/>
            <w:vAlign w:val="center"/>
          </w:tcPr>
          <w:p w14:paraId="2724A54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0EE03B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3AE2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4</w:t>
            </w:r>
          </w:p>
        </w:tc>
        <w:tc>
          <w:tcPr>
            <w:tcW w:w="14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B934F">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14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22F09">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C8042">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AACED">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1DD77">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598F1">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6CFDD">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E3418">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2967" w:type="dxa"/>
            <w:vMerge w:val="continue"/>
            <w:tcBorders>
              <w:top w:val="nil"/>
              <w:left w:val="nil"/>
              <w:bottom w:val="nil"/>
              <w:right w:val="nil"/>
            </w:tcBorders>
            <w:shd w:val="clear" w:color="auto" w:fill="auto"/>
            <w:vAlign w:val="center"/>
          </w:tcPr>
          <w:p w14:paraId="753500C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34C1AF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A1299">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5</w:t>
            </w:r>
          </w:p>
        </w:tc>
        <w:tc>
          <w:tcPr>
            <w:tcW w:w="14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017D9">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14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7105E">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3976A">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8BE78">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79DE2">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571EF">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B335D">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10DBF7">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2967" w:type="dxa"/>
            <w:vMerge w:val="continue"/>
            <w:tcBorders>
              <w:top w:val="nil"/>
              <w:left w:val="nil"/>
              <w:bottom w:val="nil"/>
              <w:right w:val="nil"/>
            </w:tcBorders>
            <w:shd w:val="clear" w:color="auto" w:fill="auto"/>
            <w:vAlign w:val="center"/>
          </w:tcPr>
          <w:p w14:paraId="4CBB29E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52D6AD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720"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B2B5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合计</w:t>
            </w: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98993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30A74">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807A0">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47064">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596CF">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2967" w:type="dxa"/>
            <w:vMerge w:val="continue"/>
            <w:tcBorders>
              <w:top w:val="nil"/>
              <w:left w:val="nil"/>
              <w:bottom w:val="nil"/>
              <w:right w:val="nil"/>
            </w:tcBorders>
            <w:shd w:val="clear" w:color="auto" w:fill="auto"/>
            <w:vAlign w:val="center"/>
          </w:tcPr>
          <w:p w14:paraId="2322B0C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0FA158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1613" w:type="dxa"/>
            <w:gridSpan w:val="9"/>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8469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4"/>
                <w:szCs w:val="24"/>
                <w:highlight w:val="none"/>
                <w:u w:val="none"/>
              </w:rPr>
            </w:pPr>
          </w:p>
        </w:tc>
        <w:tc>
          <w:tcPr>
            <w:tcW w:w="2967" w:type="dxa"/>
            <w:vMerge w:val="continue"/>
            <w:tcBorders>
              <w:top w:val="nil"/>
              <w:left w:val="nil"/>
              <w:bottom w:val="nil"/>
              <w:right w:val="nil"/>
            </w:tcBorders>
            <w:shd w:val="clear" w:color="auto" w:fill="auto"/>
            <w:vAlign w:val="center"/>
          </w:tcPr>
          <w:p w14:paraId="6ABA97B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08566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8228"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C02B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质量验收意见：</w:t>
            </w: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B716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建设单位工程师签字：</w:t>
            </w:r>
          </w:p>
        </w:tc>
        <w:tc>
          <w:tcPr>
            <w:tcW w:w="2967" w:type="dxa"/>
            <w:vMerge w:val="continue"/>
            <w:tcBorders>
              <w:top w:val="nil"/>
              <w:left w:val="nil"/>
              <w:bottom w:val="nil"/>
              <w:right w:val="nil"/>
            </w:tcBorders>
            <w:shd w:val="clear" w:color="auto" w:fill="auto"/>
            <w:vAlign w:val="center"/>
          </w:tcPr>
          <w:p w14:paraId="1A29A9D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328344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8228"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AE02E">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数量、质量验收意见：</w:t>
            </w: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89B9A">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施工单位签字（盖章）：</w:t>
            </w:r>
          </w:p>
        </w:tc>
        <w:tc>
          <w:tcPr>
            <w:tcW w:w="2967" w:type="dxa"/>
            <w:vMerge w:val="continue"/>
            <w:tcBorders>
              <w:top w:val="nil"/>
              <w:left w:val="nil"/>
              <w:bottom w:val="nil"/>
              <w:right w:val="nil"/>
            </w:tcBorders>
            <w:shd w:val="clear" w:color="auto" w:fill="auto"/>
            <w:vAlign w:val="center"/>
          </w:tcPr>
          <w:p w14:paraId="6CB3179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65C01F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8228"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3B71E">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数量、质量验收意见：</w:t>
            </w:r>
          </w:p>
        </w:tc>
        <w:tc>
          <w:tcPr>
            <w:tcW w:w="26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5F455">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监理单位签字（盖章）：</w:t>
            </w:r>
          </w:p>
        </w:tc>
        <w:tc>
          <w:tcPr>
            <w:tcW w:w="2967" w:type="dxa"/>
            <w:vMerge w:val="continue"/>
            <w:tcBorders>
              <w:top w:val="nil"/>
              <w:left w:val="nil"/>
              <w:bottom w:val="nil"/>
              <w:right w:val="nil"/>
            </w:tcBorders>
            <w:shd w:val="clear" w:color="auto" w:fill="auto"/>
            <w:vAlign w:val="center"/>
          </w:tcPr>
          <w:p w14:paraId="6AE4947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0C511B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8228" w:type="dxa"/>
            <w:gridSpan w:val="8"/>
            <w:tcBorders>
              <w:top w:val="nil"/>
              <w:left w:val="nil"/>
              <w:bottom w:val="nil"/>
              <w:right w:val="nil"/>
            </w:tcBorders>
            <w:shd w:val="clear" w:color="auto" w:fill="auto"/>
            <w:noWrap/>
            <w:vAlign w:val="center"/>
          </w:tcPr>
          <w:p w14:paraId="06DFC1B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送货单位：</w:t>
            </w:r>
          </w:p>
        </w:tc>
        <w:tc>
          <w:tcPr>
            <w:tcW w:w="2683" w:type="dxa"/>
            <w:tcBorders>
              <w:top w:val="nil"/>
              <w:left w:val="nil"/>
              <w:bottom w:val="nil"/>
              <w:right w:val="nil"/>
            </w:tcBorders>
            <w:shd w:val="clear" w:color="auto" w:fill="auto"/>
            <w:noWrap/>
            <w:vAlign w:val="center"/>
          </w:tcPr>
          <w:p w14:paraId="1A0C3C3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送货人签字：</w:t>
            </w:r>
          </w:p>
        </w:tc>
        <w:tc>
          <w:tcPr>
            <w:tcW w:w="2967" w:type="dxa"/>
            <w:vMerge w:val="continue"/>
            <w:tcBorders>
              <w:top w:val="nil"/>
              <w:left w:val="nil"/>
              <w:bottom w:val="nil"/>
              <w:right w:val="nil"/>
            </w:tcBorders>
            <w:shd w:val="clear" w:color="auto" w:fill="auto"/>
            <w:vAlign w:val="center"/>
          </w:tcPr>
          <w:p w14:paraId="4A629C7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49B289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877" w:type="dxa"/>
            <w:tcBorders>
              <w:top w:val="nil"/>
              <w:left w:val="nil"/>
              <w:bottom w:val="nil"/>
              <w:right w:val="nil"/>
            </w:tcBorders>
            <w:shd w:val="clear" w:color="auto" w:fill="auto"/>
            <w:noWrap/>
            <w:vAlign w:val="center"/>
          </w:tcPr>
          <w:p w14:paraId="1512107A">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1483" w:type="dxa"/>
            <w:tcBorders>
              <w:top w:val="nil"/>
              <w:left w:val="nil"/>
              <w:bottom w:val="nil"/>
              <w:right w:val="nil"/>
            </w:tcBorders>
            <w:shd w:val="clear" w:color="auto" w:fill="auto"/>
            <w:noWrap/>
            <w:vAlign w:val="center"/>
          </w:tcPr>
          <w:p w14:paraId="45B96D95">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1483" w:type="dxa"/>
            <w:tcBorders>
              <w:top w:val="nil"/>
              <w:left w:val="nil"/>
              <w:bottom w:val="nil"/>
              <w:right w:val="nil"/>
            </w:tcBorders>
            <w:shd w:val="clear" w:color="auto" w:fill="auto"/>
            <w:noWrap/>
            <w:vAlign w:val="center"/>
          </w:tcPr>
          <w:p w14:paraId="4B6E971C">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nil"/>
              <w:left w:val="nil"/>
              <w:bottom w:val="nil"/>
              <w:right w:val="nil"/>
            </w:tcBorders>
            <w:shd w:val="clear" w:color="auto" w:fill="auto"/>
            <w:noWrap/>
            <w:vAlign w:val="center"/>
          </w:tcPr>
          <w:p w14:paraId="39434769">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nil"/>
              <w:left w:val="nil"/>
              <w:bottom w:val="nil"/>
              <w:right w:val="nil"/>
            </w:tcBorders>
            <w:shd w:val="clear" w:color="auto" w:fill="auto"/>
            <w:noWrap/>
            <w:vAlign w:val="center"/>
          </w:tcPr>
          <w:p w14:paraId="65BCE254">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nil"/>
              <w:left w:val="nil"/>
              <w:bottom w:val="nil"/>
              <w:right w:val="nil"/>
            </w:tcBorders>
            <w:shd w:val="clear" w:color="auto" w:fill="auto"/>
            <w:noWrap/>
            <w:vAlign w:val="center"/>
          </w:tcPr>
          <w:p w14:paraId="7AF28C1B">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nil"/>
              <w:left w:val="nil"/>
              <w:bottom w:val="nil"/>
              <w:right w:val="nil"/>
            </w:tcBorders>
            <w:shd w:val="clear" w:color="auto" w:fill="auto"/>
            <w:noWrap/>
            <w:vAlign w:val="center"/>
          </w:tcPr>
          <w:p w14:paraId="19BA966F">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877" w:type="dxa"/>
            <w:tcBorders>
              <w:top w:val="nil"/>
              <w:left w:val="nil"/>
              <w:bottom w:val="nil"/>
              <w:right w:val="nil"/>
            </w:tcBorders>
            <w:shd w:val="clear" w:color="auto" w:fill="auto"/>
            <w:noWrap/>
            <w:vAlign w:val="center"/>
          </w:tcPr>
          <w:p w14:paraId="7D8338DA">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4"/>
                <w:szCs w:val="24"/>
                <w:highlight w:val="none"/>
                <w:u w:val="none"/>
              </w:rPr>
            </w:pPr>
          </w:p>
        </w:tc>
        <w:tc>
          <w:tcPr>
            <w:tcW w:w="2683" w:type="dxa"/>
            <w:tcBorders>
              <w:top w:val="nil"/>
              <w:left w:val="nil"/>
              <w:bottom w:val="nil"/>
              <w:right w:val="nil"/>
            </w:tcBorders>
            <w:shd w:val="clear" w:color="auto" w:fill="auto"/>
            <w:noWrap/>
            <w:vAlign w:val="center"/>
          </w:tcPr>
          <w:p w14:paraId="3EC4D146">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收货时间：</w:t>
            </w:r>
          </w:p>
        </w:tc>
        <w:tc>
          <w:tcPr>
            <w:tcW w:w="2967" w:type="dxa"/>
            <w:vMerge w:val="continue"/>
            <w:tcBorders>
              <w:top w:val="nil"/>
              <w:left w:val="nil"/>
              <w:bottom w:val="nil"/>
              <w:right w:val="nil"/>
            </w:tcBorders>
            <w:shd w:val="clear" w:color="auto" w:fill="auto"/>
            <w:vAlign w:val="center"/>
          </w:tcPr>
          <w:p w14:paraId="5E7FE78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bl>
    <w:p w14:paraId="21BE7354">
      <w:pPr>
        <w:adjustRightInd w:val="0"/>
        <w:snapToGrid w:val="0"/>
        <w:spacing w:line="360" w:lineRule="auto"/>
        <w:ind w:firstLine="480"/>
        <w:outlineLvl w:val="9"/>
        <w:rPr>
          <w:rFonts w:hint="default" w:cs="宋体" w:asciiTheme="minorEastAsia" w:hAnsiTheme="minorEastAsia" w:eastAsiaTheme="minorEastAsia"/>
          <w:color w:val="auto"/>
          <w:szCs w:val="21"/>
          <w:highlight w:val="none"/>
          <w:lang w:val="en-US" w:eastAsia="zh-CN"/>
        </w:rPr>
      </w:pPr>
    </w:p>
    <w:p w14:paraId="14AEB8AB">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rPr>
        <w:sectPr>
          <w:pgSz w:w="16838" w:h="11900" w:orient="landscape"/>
          <w:pgMar w:top="1361" w:right="1134" w:bottom="1361" w:left="1134" w:header="567" w:footer="567" w:gutter="0"/>
          <w:pgBorders>
            <w:top w:val="none" w:sz="0" w:space="0"/>
            <w:left w:val="none" w:sz="0" w:space="0"/>
            <w:bottom w:val="none" w:sz="0" w:space="0"/>
            <w:right w:val="none" w:sz="0" w:space="0"/>
          </w:pgBorders>
          <w:cols w:space="0" w:num="1"/>
          <w:rtlGutter w:val="0"/>
          <w:docGrid w:linePitch="286" w:charSpace="0"/>
        </w:sectPr>
      </w:pPr>
    </w:p>
    <w:p w14:paraId="1222EB0A">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lang w:val="en-US" w:eastAsia="zh-CN"/>
        </w:rPr>
      </w:pPr>
      <w:r>
        <w:rPr>
          <w:rFonts w:hint="eastAsia" w:cs="宋体" w:asciiTheme="minorEastAsia" w:hAnsiTheme="minorEastAsia" w:eastAsiaTheme="minorEastAsia"/>
          <w:color w:val="auto"/>
          <w:szCs w:val="21"/>
          <w:highlight w:val="none"/>
          <w:lang w:val="en-US" w:eastAsia="zh-CN"/>
        </w:rPr>
        <w:t>附表10：</w:t>
      </w:r>
    </w:p>
    <w:p w14:paraId="72CECF39">
      <w:pPr>
        <w:jc w:val="center"/>
        <w:outlineLvl w:val="9"/>
        <w:rPr>
          <w:rFonts w:hAnsi="宋体"/>
          <w:b/>
          <w:color w:val="auto"/>
          <w:sz w:val="28"/>
          <w:szCs w:val="28"/>
          <w:highlight w:val="none"/>
        </w:rPr>
      </w:pPr>
      <w:r>
        <w:rPr>
          <w:rFonts w:hint="eastAsia" w:hAnsi="宋体"/>
          <w:b/>
          <w:color w:val="auto"/>
          <w:sz w:val="28"/>
          <w:szCs w:val="28"/>
          <w:highlight w:val="none"/>
          <w:lang w:eastAsia="zh-CN"/>
        </w:rPr>
        <w:t>进场材料</w:t>
      </w:r>
      <w:r>
        <w:rPr>
          <w:rFonts w:hint="eastAsia" w:hAnsi="宋体"/>
          <w:b/>
          <w:color w:val="auto"/>
          <w:sz w:val="28"/>
          <w:szCs w:val="28"/>
          <w:highlight w:val="none"/>
        </w:rPr>
        <w:t>退货单</w:t>
      </w:r>
    </w:p>
    <w:p w14:paraId="36F29006">
      <w:pPr>
        <w:spacing w:line="240" w:lineRule="atLeast"/>
        <w:outlineLvl w:val="9"/>
        <w:rPr>
          <w:rFonts w:ascii="宋体"/>
          <w:color w:val="auto"/>
          <w:sz w:val="24"/>
          <w:highlight w:val="none"/>
        </w:rPr>
      </w:pPr>
      <w:r>
        <w:rPr>
          <w:rFonts w:hint="eastAsia" w:ascii="宋体"/>
          <w:color w:val="auto"/>
          <w:sz w:val="24"/>
          <w:highlight w:val="none"/>
        </w:rPr>
        <w:t>项目名称：</w:t>
      </w:r>
    </w:p>
    <w:p w14:paraId="481F4B34">
      <w:pPr>
        <w:spacing w:line="240" w:lineRule="atLeast"/>
        <w:outlineLvl w:val="9"/>
        <w:rPr>
          <w:rFonts w:ascii="宋体"/>
          <w:color w:val="auto"/>
          <w:sz w:val="24"/>
          <w:highlight w:val="none"/>
        </w:rPr>
      </w:pPr>
      <w:r>
        <w:rPr>
          <w:rFonts w:hint="eastAsia" w:ascii="宋体"/>
          <w:color w:val="auto"/>
          <w:sz w:val="24"/>
          <w:highlight w:val="none"/>
        </w:rPr>
        <w:t>工程名称：</w:t>
      </w:r>
    </w:p>
    <w:p w14:paraId="0256A25C">
      <w:pPr>
        <w:spacing w:line="240" w:lineRule="atLeast"/>
        <w:outlineLvl w:val="9"/>
        <w:rPr>
          <w:rFonts w:ascii="宋体"/>
          <w:color w:val="auto"/>
          <w:sz w:val="24"/>
          <w:highlight w:val="none"/>
        </w:rPr>
      </w:pPr>
      <w:r>
        <w:rPr>
          <w:rFonts w:hint="eastAsia" w:ascii="宋体"/>
          <w:color w:val="auto"/>
          <w:sz w:val="24"/>
          <w:highlight w:val="none"/>
        </w:rPr>
        <w:t>施工单位：</w:t>
      </w:r>
    </w:p>
    <w:tbl>
      <w:tblPr>
        <w:tblStyle w:val="56"/>
        <w:tblW w:w="15195"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7" w:type="dxa"/>
          <w:bottom w:w="0" w:type="dxa"/>
          <w:right w:w="107" w:type="dxa"/>
        </w:tblCellMar>
      </w:tblPr>
      <w:tblGrid>
        <w:gridCol w:w="717"/>
        <w:gridCol w:w="901"/>
        <w:gridCol w:w="1225"/>
        <w:gridCol w:w="851"/>
        <w:gridCol w:w="283"/>
        <w:gridCol w:w="1134"/>
        <w:gridCol w:w="709"/>
        <w:gridCol w:w="851"/>
        <w:gridCol w:w="425"/>
        <w:gridCol w:w="709"/>
        <w:gridCol w:w="1275"/>
        <w:gridCol w:w="1134"/>
        <w:gridCol w:w="993"/>
        <w:gridCol w:w="1701"/>
        <w:gridCol w:w="1072"/>
        <w:gridCol w:w="1215"/>
      </w:tblGrid>
      <w:tr w14:paraId="57A8D5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trHeight w:val="480" w:hRule="atLeast"/>
        </w:trPr>
        <w:tc>
          <w:tcPr>
            <w:tcW w:w="2843" w:type="dxa"/>
            <w:gridSpan w:val="3"/>
            <w:noWrap w:val="0"/>
            <w:tcMar>
              <w:left w:w="0" w:type="dxa"/>
              <w:right w:w="0" w:type="dxa"/>
            </w:tcMar>
            <w:vAlign w:val="center"/>
          </w:tcPr>
          <w:p w14:paraId="32C1C506">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供货合同名称</w:t>
            </w:r>
          </w:p>
        </w:tc>
        <w:tc>
          <w:tcPr>
            <w:tcW w:w="3828" w:type="dxa"/>
            <w:gridSpan w:val="5"/>
            <w:noWrap w:val="0"/>
            <w:tcMar>
              <w:left w:w="0" w:type="dxa"/>
              <w:right w:w="0" w:type="dxa"/>
            </w:tcMar>
            <w:vAlign w:val="center"/>
          </w:tcPr>
          <w:p w14:paraId="2C0A7DB2">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2409" w:type="dxa"/>
            <w:gridSpan w:val="3"/>
            <w:noWrap w:val="0"/>
            <w:tcMar>
              <w:left w:w="0" w:type="dxa"/>
              <w:right w:w="0" w:type="dxa"/>
            </w:tcMar>
            <w:vAlign w:val="center"/>
          </w:tcPr>
          <w:p w14:paraId="1DB95E43">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供货单位</w:t>
            </w:r>
          </w:p>
        </w:tc>
        <w:tc>
          <w:tcPr>
            <w:tcW w:w="3828" w:type="dxa"/>
            <w:gridSpan w:val="3"/>
            <w:noWrap w:val="0"/>
            <w:tcMar>
              <w:left w:w="0" w:type="dxa"/>
              <w:right w:w="0" w:type="dxa"/>
            </w:tcMar>
            <w:vAlign w:val="center"/>
          </w:tcPr>
          <w:p w14:paraId="6E872D19">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072" w:type="dxa"/>
            <w:noWrap w:val="0"/>
            <w:tcMar>
              <w:left w:w="0" w:type="dxa"/>
              <w:right w:w="0" w:type="dxa"/>
            </w:tcMar>
            <w:vAlign w:val="center"/>
          </w:tcPr>
          <w:p w14:paraId="1D6DD80D">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退货日期</w:t>
            </w:r>
          </w:p>
        </w:tc>
        <w:tc>
          <w:tcPr>
            <w:tcW w:w="1215" w:type="dxa"/>
            <w:noWrap w:val="0"/>
            <w:vAlign w:val="center"/>
          </w:tcPr>
          <w:p w14:paraId="53BB8C79">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r>
      <w:tr w14:paraId="5BB1DE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7" w:type="dxa"/>
            <w:bottom w:w="0" w:type="dxa"/>
            <w:right w:w="107" w:type="dxa"/>
          </w:tblCellMar>
        </w:tblPrEx>
        <w:trPr>
          <w:cantSplit/>
          <w:trHeight w:val="480" w:hRule="atLeast"/>
        </w:trPr>
        <w:tc>
          <w:tcPr>
            <w:tcW w:w="717" w:type="dxa"/>
            <w:tcBorders>
              <w:bottom w:val="single" w:color="auto" w:sz="6" w:space="0"/>
            </w:tcBorders>
            <w:noWrap w:val="0"/>
            <w:tcMar>
              <w:left w:w="0" w:type="dxa"/>
              <w:right w:w="0" w:type="dxa"/>
            </w:tcMar>
            <w:vAlign w:val="center"/>
          </w:tcPr>
          <w:p w14:paraId="297641BF">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序号</w:t>
            </w:r>
          </w:p>
        </w:tc>
        <w:tc>
          <w:tcPr>
            <w:tcW w:w="2126" w:type="dxa"/>
            <w:gridSpan w:val="2"/>
            <w:tcBorders>
              <w:bottom w:val="single" w:color="auto" w:sz="6" w:space="0"/>
            </w:tcBorders>
            <w:noWrap w:val="0"/>
            <w:tcMar>
              <w:left w:w="0" w:type="dxa"/>
              <w:right w:w="0" w:type="dxa"/>
            </w:tcMar>
            <w:vAlign w:val="center"/>
          </w:tcPr>
          <w:p w14:paraId="34A11E46">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lang w:eastAsia="zh-CN"/>
              </w:rPr>
              <w:t>材料</w:t>
            </w:r>
            <w:r>
              <w:rPr>
                <w:rFonts w:hint="eastAsia" w:ascii="宋体"/>
                <w:color w:val="auto"/>
                <w:sz w:val="24"/>
                <w:highlight w:val="none"/>
              </w:rPr>
              <w:t>名称</w:t>
            </w:r>
          </w:p>
        </w:tc>
        <w:tc>
          <w:tcPr>
            <w:tcW w:w="1134" w:type="dxa"/>
            <w:gridSpan w:val="2"/>
            <w:tcBorders>
              <w:bottom w:val="single" w:color="auto" w:sz="6" w:space="0"/>
            </w:tcBorders>
            <w:noWrap w:val="0"/>
            <w:tcMar>
              <w:left w:w="0" w:type="dxa"/>
              <w:right w:w="0" w:type="dxa"/>
            </w:tcMar>
            <w:vAlign w:val="center"/>
          </w:tcPr>
          <w:p w14:paraId="293FA007">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品牌</w:t>
            </w:r>
          </w:p>
        </w:tc>
        <w:tc>
          <w:tcPr>
            <w:tcW w:w="1843" w:type="dxa"/>
            <w:gridSpan w:val="2"/>
            <w:tcBorders>
              <w:bottom w:val="single" w:color="auto" w:sz="6" w:space="0"/>
            </w:tcBorders>
            <w:noWrap w:val="0"/>
            <w:tcMar>
              <w:left w:w="0" w:type="dxa"/>
              <w:right w:w="0" w:type="dxa"/>
            </w:tcMar>
            <w:vAlign w:val="center"/>
          </w:tcPr>
          <w:p w14:paraId="2D1C357F">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规格型号</w:t>
            </w:r>
          </w:p>
        </w:tc>
        <w:tc>
          <w:tcPr>
            <w:tcW w:w="851" w:type="dxa"/>
            <w:tcBorders>
              <w:bottom w:val="single" w:color="auto" w:sz="6" w:space="0"/>
            </w:tcBorders>
            <w:noWrap w:val="0"/>
            <w:tcMar>
              <w:left w:w="0" w:type="dxa"/>
              <w:right w:w="0" w:type="dxa"/>
            </w:tcMar>
            <w:vAlign w:val="center"/>
          </w:tcPr>
          <w:p w14:paraId="2A870185">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单位</w:t>
            </w:r>
          </w:p>
        </w:tc>
        <w:tc>
          <w:tcPr>
            <w:tcW w:w="1134" w:type="dxa"/>
            <w:gridSpan w:val="2"/>
            <w:tcBorders>
              <w:bottom w:val="single" w:color="auto" w:sz="6" w:space="0"/>
            </w:tcBorders>
            <w:noWrap w:val="0"/>
            <w:tcMar>
              <w:left w:w="0" w:type="dxa"/>
              <w:right w:w="0" w:type="dxa"/>
            </w:tcMar>
            <w:vAlign w:val="center"/>
          </w:tcPr>
          <w:p w14:paraId="208C6588">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到货数量</w:t>
            </w:r>
          </w:p>
        </w:tc>
        <w:tc>
          <w:tcPr>
            <w:tcW w:w="1275" w:type="dxa"/>
            <w:tcBorders>
              <w:bottom w:val="single" w:color="auto" w:sz="6" w:space="0"/>
            </w:tcBorders>
            <w:noWrap w:val="0"/>
            <w:tcMar>
              <w:left w:w="0" w:type="dxa"/>
              <w:right w:w="0" w:type="dxa"/>
            </w:tcMar>
            <w:vAlign w:val="center"/>
          </w:tcPr>
          <w:p w14:paraId="6E28AF91">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退货数量</w:t>
            </w:r>
          </w:p>
        </w:tc>
        <w:tc>
          <w:tcPr>
            <w:tcW w:w="1134" w:type="dxa"/>
            <w:tcBorders>
              <w:bottom w:val="single" w:color="auto" w:sz="6" w:space="0"/>
            </w:tcBorders>
            <w:noWrap w:val="0"/>
            <w:tcMar>
              <w:left w:w="0" w:type="dxa"/>
              <w:right w:w="0" w:type="dxa"/>
            </w:tcMar>
            <w:vAlign w:val="center"/>
          </w:tcPr>
          <w:p w14:paraId="0DBE359A">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送检数量</w:t>
            </w:r>
          </w:p>
        </w:tc>
        <w:tc>
          <w:tcPr>
            <w:tcW w:w="2694" w:type="dxa"/>
            <w:gridSpan w:val="2"/>
            <w:tcBorders>
              <w:bottom w:val="single" w:color="auto" w:sz="6" w:space="0"/>
            </w:tcBorders>
            <w:noWrap w:val="0"/>
            <w:tcMar>
              <w:left w:w="0" w:type="dxa"/>
              <w:right w:w="0" w:type="dxa"/>
            </w:tcMar>
            <w:vAlign w:val="center"/>
          </w:tcPr>
          <w:p w14:paraId="720D1E83">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检测结果</w:t>
            </w:r>
          </w:p>
        </w:tc>
        <w:tc>
          <w:tcPr>
            <w:tcW w:w="2287" w:type="dxa"/>
            <w:gridSpan w:val="2"/>
            <w:tcBorders>
              <w:bottom w:val="single" w:color="auto" w:sz="6" w:space="0"/>
            </w:tcBorders>
            <w:noWrap w:val="0"/>
            <w:tcMar>
              <w:left w:w="0" w:type="dxa"/>
              <w:right w:w="0" w:type="dxa"/>
            </w:tcMar>
            <w:vAlign w:val="center"/>
          </w:tcPr>
          <w:p w14:paraId="1B18B2EB">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退货原因</w:t>
            </w:r>
          </w:p>
        </w:tc>
      </w:tr>
      <w:tr w14:paraId="3ABAF4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7" w:type="dxa"/>
            <w:bottom w:w="0" w:type="dxa"/>
            <w:right w:w="107" w:type="dxa"/>
          </w:tblCellMar>
        </w:tblPrEx>
        <w:trPr>
          <w:cantSplit/>
          <w:trHeight w:val="480" w:hRule="atLeast"/>
        </w:trPr>
        <w:tc>
          <w:tcPr>
            <w:tcW w:w="717" w:type="dxa"/>
            <w:tcBorders>
              <w:bottom w:val="single" w:color="auto" w:sz="6" w:space="0"/>
            </w:tcBorders>
            <w:noWrap w:val="0"/>
            <w:tcMar>
              <w:left w:w="0" w:type="dxa"/>
              <w:right w:w="0" w:type="dxa"/>
            </w:tcMar>
            <w:vAlign w:val="center"/>
          </w:tcPr>
          <w:p w14:paraId="59CF47AA">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2126" w:type="dxa"/>
            <w:gridSpan w:val="2"/>
            <w:tcBorders>
              <w:bottom w:val="single" w:color="auto" w:sz="6" w:space="0"/>
            </w:tcBorders>
            <w:noWrap w:val="0"/>
            <w:tcMar>
              <w:left w:w="0" w:type="dxa"/>
              <w:right w:w="0" w:type="dxa"/>
            </w:tcMar>
            <w:vAlign w:val="center"/>
          </w:tcPr>
          <w:p w14:paraId="018F0AD4">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134" w:type="dxa"/>
            <w:gridSpan w:val="2"/>
            <w:tcBorders>
              <w:bottom w:val="single" w:color="auto" w:sz="6" w:space="0"/>
            </w:tcBorders>
            <w:noWrap w:val="0"/>
            <w:tcMar>
              <w:left w:w="0" w:type="dxa"/>
              <w:right w:w="0" w:type="dxa"/>
            </w:tcMar>
            <w:vAlign w:val="center"/>
          </w:tcPr>
          <w:p w14:paraId="7F14562F">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843" w:type="dxa"/>
            <w:gridSpan w:val="2"/>
            <w:tcBorders>
              <w:bottom w:val="single" w:color="auto" w:sz="6" w:space="0"/>
            </w:tcBorders>
            <w:noWrap w:val="0"/>
            <w:tcMar>
              <w:left w:w="0" w:type="dxa"/>
              <w:right w:w="0" w:type="dxa"/>
            </w:tcMar>
            <w:vAlign w:val="center"/>
          </w:tcPr>
          <w:p w14:paraId="3779A2E9">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851" w:type="dxa"/>
            <w:tcBorders>
              <w:bottom w:val="single" w:color="auto" w:sz="6" w:space="0"/>
            </w:tcBorders>
            <w:noWrap w:val="0"/>
            <w:tcMar>
              <w:left w:w="0" w:type="dxa"/>
              <w:right w:w="0" w:type="dxa"/>
            </w:tcMar>
            <w:vAlign w:val="center"/>
          </w:tcPr>
          <w:p w14:paraId="4102F906">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134" w:type="dxa"/>
            <w:gridSpan w:val="2"/>
            <w:tcBorders>
              <w:bottom w:val="single" w:color="auto" w:sz="6" w:space="0"/>
            </w:tcBorders>
            <w:noWrap w:val="0"/>
            <w:tcMar>
              <w:left w:w="0" w:type="dxa"/>
              <w:right w:w="0" w:type="dxa"/>
            </w:tcMar>
            <w:vAlign w:val="center"/>
          </w:tcPr>
          <w:p w14:paraId="47B3BD70">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275" w:type="dxa"/>
            <w:tcBorders>
              <w:bottom w:val="single" w:color="auto" w:sz="6" w:space="0"/>
            </w:tcBorders>
            <w:noWrap w:val="0"/>
            <w:tcMar>
              <w:left w:w="0" w:type="dxa"/>
              <w:right w:w="0" w:type="dxa"/>
            </w:tcMar>
            <w:vAlign w:val="center"/>
          </w:tcPr>
          <w:p w14:paraId="75A4B078">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134" w:type="dxa"/>
            <w:tcBorders>
              <w:bottom w:val="single" w:color="auto" w:sz="6" w:space="0"/>
            </w:tcBorders>
            <w:noWrap w:val="0"/>
            <w:tcMar>
              <w:left w:w="0" w:type="dxa"/>
              <w:right w:w="0" w:type="dxa"/>
            </w:tcMar>
            <w:vAlign w:val="center"/>
          </w:tcPr>
          <w:p w14:paraId="50C2F3D7">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2694" w:type="dxa"/>
            <w:gridSpan w:val="2"/>
            <w:tcBorders>
              <w:bottom w:val="single" w:color="auto" w:sz="6" w:space="0"/>
            </w:tcBorders>
            <w:noWrap w:val="0"/>
            <w:tcMar>
              <w:left w:w="0" w:type="dxa"/>
              <w:right w:w="0" w:type="dxa"/>
            </w:tcMar>
            <w:vAlign w:val="center"/>
          </w:tcPr>
          <w:p w14:paraId="6629F390">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2287" w:type="dxa"/>
            <w:gridSpan w:val="2"/>
            <w:tcBorders>
              <w:bottom w:val="single" w:color="auto" w:sz="6" w:space="0"/>
            </w:tcBorders>
            <w:noWrap w:val="0"/>
            <w:tcMar>
              <w:left w:w="0" w:type="dxa"/>
              <w:right w:w="0" w:type="dxa"/>
            </w:tcMar>
            <w:vAlign w:val="center"/>
          </w:tcPr>
          <w:p w14:paraId="1199402D">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r>
      <w:tr w14:paraId="1669951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7" w:type="dxa"/>
            <w:bottom w:w="0" w:type="dxa"/>
            <w:right w:w="107" w:type="dxa"/>
          </w:tblCellMar>
        </w:tblPrEx>
        <w:trPr>
          <w:cantSplit/>
          <w:trHeight w:val="480" w:hRule="atLeast"/>
        </w:trPr>
        <w:tc>
          <w:tcPr>
            <w:tcW w:w="717" w:type="dxa"/>
            <w:tcBorders>
              <w:bottom w:val="single" w:color="auto" w:sz="6" w:space="0"/>
            </w:tcBorders>
            <w:noWrap w:val="0"/>
            <w:tcMar>
              <w:left w:w="0" w:type="dxa"/>
              <w:right w:w="0" w:type="dxa"/>
            </w:tcMar>
            <w:vAlign w:val="center"/>
          </w:tcPr>
          <w:p w14:paraId="797F446A">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2126" w:type="dxa"/>
            <w:gridSpan w:val="2"/>
            <w:tcBorders>
              <w:bottom w:val="single" w:color="auto" w:sz="6" w:space="0"/>
            </w:tcBorders>
            <w:noWrap w:val="0"/>
            <w:tcMar>
              <w:left w:w="0" w:type="dxa"/>
              <w:right w:w="0" w:type="dxa"/>
            </w:tcMar>
            <w:vAlign w:val="center"/>
          </w:tcPr>
          <w:p w14:paraId="400E8D29">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134" w:type="dxa"/>
            <w:gridSpan w:val="2"/>
            <w:tcBorders>
              <w:bottom w:val="single" w:color="auto" w:sz="6" w:space="0"/>
            </w:tcBorders>
            <w:noWrap w:val="0"/>
            <w:tcMar>
              <w:left w:w="0" w:type="dxa"/>
              <w:right w:w="0" w:type="dxa"/>
            </w:tcMar>
            <w:vAlign w:val="center"/>
          </w:tcPr>
          <w:p w14:paraId="48F1DF6B">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843" w:type="dxa"/>
            <w:gridSpan w:val="2"/>
            <w:tcBorders>
              <w:bottom w:val="single" w:color="auto" w:sz="6" w:space="0"/>
            </w:tcBorders>
            <w:noWrap w:val="0"/>
            <w:tcMar>
              <w:left w:w="0" w:type="dxa"/>
              <w:right w:w="0" w:type="dxa"/>
            </w:tcMar>
            <w:vAlign w:val="center"/>
          </w:tcPr>
          <w:p w14:paraId="4C9C8199">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851" w:type="dxa"/>
            <w:tcBorders>
              <w:bottom w:val="single" w:color="auto" w:sz="6" w:space="0"/>
            </w:tcBorders>
            <w:noWrap w:val="0"/>
            <w:tcMar>
              <w:left w:w="0" w:type="dxa"/>
              <w:right w:w="0" w:type="dxa"/>
            </w:tcMar>
            <w:vAlign w:val="center"/>
          </w:tcPr>
          <w:p w14:paraId="0906C5B2">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134" w:type="dxa"/>
            <w:gridSpan w:val="2"/>
            <w:tcBorders>
              <w:bottom w:val="single" w:color="auto" w:sz="6" w:space="0"/>
            </w:tcBorders>
            <w:noWrap w:val="0"/>
            <w:tcMar>
              <w:left w:w="0" w:type="dxa"/>
              <w:right w:w="0" w:type="dxa"/>
            </w:tcMar>
            <w:vAlign w:val="center"/>
          </w:tcPr>
          <w:p w14:paraId="5D07D7F0">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275" w:type="dxa"/>
            <w:tcBorders>
              <w:bottom w:val="single" w:color="auto" w:sz="6" w:space="0"/>
            </w:tcBorders>
            <w:noWrap w:val="0"/>
            <w:tcMar>
              <w:left w:w="0" w:type="dxa"/>
              <w:right w:w="0" w:type="dxa"/>
            </w:tcMar>
            <w:vAlign w:val="center"/>
          </w:tcPr>
          <w:p w14:paraId="00C830DF">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134" w:type="dxa"/>
            <w:tcBorders>
              <w:bottom w:val="single" w:color="auto" w:sz="6" w:space="0"/>
            </w:tcBorders>
            <w:noWrap w:val="0"/>
            <w:tcMar>
              <w:left w:w="0" w:type="dxa"/>
              <w:right w:w="0" w:type="dxa"/>
            </w:tcMar>
            <w:vAlign w:val="center"/>
          </w:tcPr>
          <w:p w14:paraId="090AD092">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2694" w:type="dxa"/>
            <w:gridSpan w:val="2"/>
            <w:tcBorders>
              <w:bottom w:val="single" w:color="auto" w:sz="6" w:space="0"/>
            </w:tcBorders>
            <w:noWrap w:val="0"/>
            <w:tcMar>
              <w:left w:w="0" w:type="dxa"/>
              <w:right w:w="0" w:type="dxa"/>
            </w:tcMar>
            <w:vAlign w:val="center"/>
          </w:tcPr>
          <w:p w14:paraId="73F90462">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2287" w:type="dxa"/>
            <w:gridSpan w:val="2"/>
            <w:tcBorders>
              <w:bottom w:val="single" w:color="auto" w:sz="6" w:space="0"/>
            </w:tcBorders>
            <w:noWrap w:val="0"/>
            <w:tcMar>
              <w:left w:w="0" w:type="dxa"/>
              <w:right w:w="0" w:type="dxa"/>
            </w:tcMar>
            <w:vAlign w:val="center"/>
          </w:tcPr>
          <w:p w14:paraId="4A0CBBE1">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r>
      <w:tr w14:paraId="3CFEFFC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7" w:type="dxa"/>
            <w:bottom w:w="0" w:type="dxa"/>
            <w:right w:w="107" w:type="dxa"/>
          </w:tblCellMar>
        </w:tblPrEx>
        <w:trPr>
          <w:cantSplit/>
          <w:trHeight w:val="480" w:hRule="atLeast"/>
        </w:trPr>
        <w:tc>
          <w:tcPr>
            <w:tcW w:w="717" w:type="dxa"/>
            <w:tcBorders>
              <w:bottom w:val="single" w:color="auto" w:sz="6" w:space="0"/>
            </w:tcBorders>
            <w:noWrap w:val="0"/>
            <w:tcMar>
              <w:left w:w="0" w:type="dxa"/>
              <w:right w:w="0" w:type="dxa"/>
            </w:tcMar>
            <w:vAlign w:val="center"/>
          </w:tcPr>
          <w:p w14:paraId="4F372F11">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2126" w:type="dxa"/>
            <w:gridSpan w:val="2"/>
            <w:tcBorders>
              <w:bottom w:val="single" w:color="auto" w:sz="6" w:space="0"/>
            </w:tcBorders>
            <w:noWrap w:val="0"/>
            <w:tcMar>
              <w:left w:w="0" w:type="dxa"/>
              <w:right w:w="0" w:type="dxa"/>
            </w:tcMar>
            <w:vAlign w:val="center"/>
          </w:tcPr>
          <w:p w14:paraId="451D70FF">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134" w:type="dxa"/>
            <w:gridSpan w:val="2"/>
            <w:tcBorders>
              <w:bottom w:val="single" w:color="auto" w:sz="6" w:space="0"/>
            </w:tcBorders>
            <w:noWrap w:val="0"/>
            <w:tcMar>
              <w:left w:w="0" w:type="dxa"/>
              <w:right w:w="0" w:type="dxa"/>
            </w:tcMar>
            <w:vAlign w:val="center"/>
          </w:tcPr>
          <w:p w14:paraId="57DF8417">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843" w:type="dxa"/>
            <w:gridSpan w:val="2"/>
            <w:tcBorders>
              <w:bottom w:val="single" w:color="auto" w:sz="6" w:space="0"/>
            </w:tcBorders>
            <w:noWrap w:val="0"/>
            <w:tcMar>
              <w:left w:w="0" w:type="dxa"/>
              <w:right w:w="0" w:type="dxa"/>
            </w:tcMar>
            <w:vAlign w:val="center"/>
          </w:tcPr>
          <w:p w14:paraId="5402C9B8">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851" w:type="dxa"/>
            <w:tcBorders>
              <w:bottom w:val="single" w:color="auto" w:sz="6" w:space="0"/>
            </w:tcBorders>
            <w:noWrap w:val="0"/>
            <w:tcMar>
              <w:left w:w="0" w:type="dxa"/>
              <w:right w:w="0" w:type="dxa"/>
            </w:tcMar>
            <w:vAlign w:val="center"/>
          </w:tcPr>
          <w:p w14:paraId="72ACA108">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134" w:type="dxa"/>
            <w:gridSpan w:val="2"/>
            <w:tcBorders>
              <w:bottom w:val="single" w:color="auto" w:sz="6" w:space="0"/>
            </w:tcBorders>
            <w:noWrap w:val="0"/>
            <w:tcMar>
              <w:left w:w="0" w:type="dxa"/>
              <w:right w:w="0" w:type="dxa"/>
            </w:tcMar>
            <w:vAlign w:val="center"/>
          </w:tcPr>
          <w:p w14:paraId="471CA056">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275" w:type="dxa"/>
            <w:tcBorders>
              <w:bottom w:val="single" w:color="auto" w:sz="6" w:space="0"/>
            </w:tcBorders>
            <w:noWrap w:val="0"/>
            <w:tcMar>
              <w:left w:w="0" w:type="dxa"/>
              <w:right w:w="0" w:type="dxa"/>
            </w:tcMar>
            <w:vAlign w:val="center"/>
          </w:tcPr>
          <w:p w14:paraId="7F52CF33">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134" w:type="dxa"/>
            <w:tcBorders>
              <w:bottom w:val="single" w:color="auto" w:sz="6" w:space="0"/>
            </w:tcBorders>
            <w:noWrap w:val="0"/>
            <w:tcMar>
              <w:left w:w="0" w:type="dxa"/>
              <w:right w:w="0" w:type="dxa"/>
            </w:tcMar>
            <w:vAlign w:val="center"/>
          </w:tcPr>
          <w:p w14:paraId="24EB0F0D">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2694" w:type="dxa"/>
            <w:gridSpan w:val="2"/>
            <w:tcBorders>
              <w:bottom w:val="single" w:color="auto" w:sz="6" w:space="0"/>
            </w:tcBorders>
            <w:noWrap w:val="0"/>
            <w:tcMar>
              <w:left w:w="0" w:type="dxa"/>
              <w:right w:w="0" w:type="dxa"/>
            </w:tcMar>
            <w:vAlign w:val="center"/>
          </w:tcPr>
          <w:p w14:paraId="3B4E69CD">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2287" w:type="dxa"/>
            <w:gridSpan w:val="2"/>
            <w:tcBorders>
              <w:bottom w:val="single" w:color="auto" w:sz="6" w:space="0"/>
            </w:tcBorders>
            <w:noWrap w:val="0"/>
            <w:tcMar>
              <w:left w:w="0" w:type="dxa"/>
              <w:right w:w="0" w:type="dxa"/>
            </w:tcMar>
            <w:vAlign w:val="center"/>
          </w:tcPr>
          <w:p w14:paraId="1D9AFF44">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r>
      <w:tr w14:paraId="1A0735C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7" w:type="dxa"/>
            <w:bottom w:w="0" w:type="dxa"/>
            <w:right w:w="107" w:type="dxa"/>
          </w:tblCellMar>
        </w:tblPrEx>
        <w:trPr>
          <w:cantSplit/>
          <w:trHeight w:val="480" w:hRule="atLeast"/>
        </w:trPr>
        <w:tc>
          <w:tcPr>
            <w:tcW w:w="15195" w:type="dxa"/>
            <w:gridSpan w:val="16"/>
            <w:noWrap w:val="0"/>
            <w:tcMar>
              <w:left w:w="0" w:type="dxa"/>
              <w:right w:w="0" w:type="dxa"/>
            </w:tcMar>
            <w:vAlign w:val="center"/>
          </w:tcPr>
          <w:p w14:paraId="6EDB567E">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签字确认</w:t>
            </w:r>
          </w:p>
        </w:tc>
      </w:tr>
      <w:tr w14:paraId="4B4F51D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7" w:type="dxa"/>
            <w:bottom w:w="0" w:type="dxa"/>
            <w:right w:w="107" w:type="dxa"/>
          </w:tblCellMar>
        </w:tblPrEx>
        <w:trPr>
          <w:cantSplit/>
          <w:trHeight w:val="670" w:hRule="atLeast"/>
        </w:trPr>
        <w:tc>
          <w:tcPr>
            <w:tcW w:w="1618" w:type="dxa"/>
            <w:gridSpan w:val="2"/>
            <w:noWrap w:val="0"/>
            <w:tcMar>
              <w:left w:w="0" w:type="dxa"/>
              <w:right w:w="0" w:type="dxa"/>
            </w:tcMar>
            <w:vAlign w:val="center"/>
          </w:tcPr>
          <w:p w14:paraId="0D39F618">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施工单位</w:t>
            </w:r>
          </w:p>
        </w:tc>
        <w:tc>
          <w:tcPr>
            <w:tcW w:w="2076" w:type="dxa"/>
            <w:gridSpan w:val="2"/>
            <w:noWrap w:val="0"/>
            <w:tcMar>
              <w:left w:w="0" w:type="dxa"/>
              <w:right w:w="0" w:type="dxa"/>
            </w:tcMar>
            <w:vAlign w:val="center"/>
          </w:tcPr>
          <w:p w14:paraId="278F7C30">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417" w:type="dxa"/>
            <w:gridSpan w:val="2"/>
            <w:noWrap w:val="0"/>
            <w:tcMar>
              <w:left w:w="0" w:type="dxa"/>
              <w:right w:w="0" w:type="dxa"/>
            </w:tcMar>
            <w:vAlign w:val="center"/>
          </w:tcPr>
          <w:p w14:paraId="3FC46495">
            <w:pPr>
              <w:keepNext w:val="0"/>
              <w:keepLines w:val="0"/>
              <w:suppressLineNumbers w:val="0"/>
              <w:spacing w:before="0" w:beforeAutospacing="0" w:after="0" w:afterAutospacing="0" w:line="240" w:lineRule="atLeast"/>
              <w:ind w:left="0" w:right="0"/>
              <w:jc w:val="center"/>
              <w:outlineLvl w:val="9"/>
              <w:rPr>
                <w:rFonts w:hint="eastAsia" w:ascii="宋体" w:eastAsia="宋体"/>
                <w:color w:val="auto"/>
                <w:sz w:val="24"/>
                <w:highlight w:val="none"/>
                <w:lang w:val="en-US" w:eastAsia="zh-CN"/>
              </w:rPr>
            </w:pPr>
            <w:r>
              <w:rPr>
                <w:rFonts w:hint="eastAsia" w:ascii="宋体"/>
                <w:color w:val="auto"/>
                <w:sz w:val="24"/>
                <w:highlight w:val="none"/>
              </w:rPr>
              <w:t>监理</w:t>
            </w:r>
            <w:r>
              <w:rPr>
                <w:rFonts w:hint="eastAsia" w:ascii="宋体"/>
                <w:color w:val="auto"/>
                <w:sz w:val="24"/>
                <w:highlight w:val="none"/>
                <w:lang w:eastAsia="zh-CN"/>
              </w:rPr>
              <w:t>部</w:t>
            </w:r>
          </w:p>
        </w:tc>
        <w:tc>
          <w:tcPr>
            <w:tcW w:w="1985" w:type="dxa"/>
            <w:gridSpan w:val="3"/>
            <w:noWrap w:val="0"/>
            <w:tcMar>
              <w:left w:w="0" w:type="dxa"/>
              <w:right w:w="0" w:type="dxa"/>
            </w:tcMar>
            <w:vAlign w:val="center"/>
          </w:tcPr>
          <w:p w14:paraId="6D38E699">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984" w:type="dxa"/>
            <w:gridSpan w:val="2"/>
            <w:noWrap w:val="0"/>
            <w:tcMar>
              <w:left w:w="0" w:type="dxa"/>
              <w:right w:w="0" w:type="dxa"/>
            </w:tcMar>
            <w:vAlign w:val="center"/>
          </w:tcPr>
          <w:p w14:paraId="27983B60">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r>
              <w:rPr>
                <w:rFonts w:hint="eastAsia" w:ascii="宋体"/>
                <w:color w:val="auto"/>
                <w:sz w:val="24"/>
                <w:highlight w:val="none"/>
              </w:rPr>
              <w:t>项目部</w:t>
            </w:r>
          </w:p>
        </w:tc>
        <w:tc>
          <w:tcPr>
            <w:tcW w:w="2127" w:type="dxa"/>
            <w:gridSpan w:val="2"/>
            <w:noWrap w:val="0"/>
            <w:tcMar>
              <w:left w:w="0" w:type="dxa"/>
              <w:right w:w="0" w:type="dxa"/>
            </w:tcMar>
            <w:vAlign w:val="center"/>
          </w:tcPr>
          <w:p w14:paraId="30B8F28A">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c>
          <w:tcPr>
            <w:tcW w:w="1701" w:type="dxa"/>
            <w:noWrap w:val="0"/>
            <w:tcMar>
              <w:left w:w="0" w:type="dxa"/>
              <w:right w:w="0" w:type="dxa"/>
            </w:tcMar>
            <w:vAlign w:val="center"/>
          </w:tcPr>
          <w:p w14:paraId="5FF845DB">
            <w:pPr>
              <w:keepNext w:val="0"/>
              <w:keepLines w:val="0"/>
              <w:suppressLineNumbers w:val="0"/>
              <w:spacing w:before="0" w:beforeAutospacing="0" w:after="0" w:afterAutospacing="0" w:line="240" w:lineRule="atLeast"/>
              <w:ind w:left="0" w:right="0"/>
              <w:jc w:val="center"/>
              <w:outlineLvl w:val="9"/>
              <w:rPr>
                <w:rFonts w:hint="eastAsia" w:ascii="宋体"/>
                <w:color w:val="auto"/>
                <w:sz w:val="24"/>
                <w:highlight w:val="none"/>
              </w:rPr>
            </w:pPr>
            <w:r>
              <w:rPr>
                <w:rFonts w:hint="eastAsia" w:ascii="宋体"/>
                <w:color w:val="auto"/>
                <w:sz w:val="24"/>
                <w:highlight w:val="none"/>
              </w:rPr>
              <w:t>供货单位</w:t>
            </w:r>
          </w:p>
          <w:p w14:paraId="2AC34E16">
            <w:pPr>
              <w:keepNext w:val="0"/>
              <w:keepLines w:val="0"/>
              <w:suppressLineNumbers w:val="0"/>
              <w:spacing w:before="0" w:beforeAutospacing="0" w:after="0" w:afterAutospacing="0" w:line="240" w:lineRule="atLeast"/>
              <w:ind w:left="0" w:right="0"/>
              <w:jc w:val="center"/>
              <w:outlineLvl w:val="9"/>
              <w:rPr>
                <w:rFonts w:hint="eastAsia" w:ascii="宋体" w:eastAsia="宋体"/>
                <w:color w:val="auto"/>
                <w:sz w:val="24"/>
                <w:highlight w:val="none"/>
                <w:lang w:eastAsia="zh-CN"/>
              </w:rPr>
            </w:pPr>
            <w:r>
              <w:rPr>
                <w:rFonts w:hint="eastAsia" w:ascii="宋体"/>
                <w:color w:val="auto"/>
                <w:sz w:val="24"/>
                <w:highlight w:val="none"/>
                <w:lang w:eastAsia="zh-CN"/>
              </w:rPr>
              <w:t>（甲供材选填）</w:t>
            </w:r>
          </w:p>
        </w:tc>
        <w:tc>
          <w:tcPr>
            <w:tcW w:w="2287" w:type="dxa"/>
            <w:gridSpan w:val="2"/>
            <w:noWrap w:val="0"/>
            <w:tcMar>
              <w:left w:w="0" w:type="dxa"/>
              <w:right w:w="0" w:type="dxa"/>
            </w:tcMar>
            <w:vAlign w:val="center"/>
          </w:tcPr>
          <w:p w14:paraId="0C6E6FF7">
            <w:pPr>
              <w:keepNext w:val="0"/>
              <w:keepLines w:val="0"/>
              <w:suppressLineNumbers w:val="0"/>
              <w:spacing w:before="0" w:beforeAutospacing="0" w:after="0" w:afterAutospacing="0" w:line="240" w:lineRule="atLeast"/>
              <w:ind w:left="0" w:right="0"/>
              <w:jc w:val="center"/>
              <w:outlineLvl w:val="9"/>
              <w:rPr>
                <w:rFonts w:ascii="宋体"/>
                <w:color w:val="auto"/>
                <w:sz w:val="24"/>
                <w:highlight w:val="none"/>
              </w:rPr>
            </w:pPr>
          </w:p>
        </w:tc>
      </w:tr>
      <w:tr w14:paraId="5C8F218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7" w:type="dxa"/>
            <w:bottom w:w="0" w:type="dxa"/>
            <w:right w:w="107" w:type="dxa"/>
          </w:tblCellMar>
        </w:tblPrEx>
        <w:trPr>
          <w:cantSplit/>
          <w:trHeight w:val="587" w:hRule="atLeast"/>
        </w:trPr>
        <w:tc>
          <w:tcPr>
            <w:tcW w:w="15195" w:type="dxa"/>
            <w:gridSpan w:val="16"/>
            <w:tcBorders>
              <w:bottom w:val="single" w:color="auto" w:sz="6" w:space="0"/>
            </w:tcBorders>
            <w:noWrap w:val="0"/>
            <w:tcMar>
              <w:left w:w="0" w:type="dxa"/>
              <w:right w:w="0" w:type="dxa"/>
            </w:tcMar>
            <w:vAlign w:val="top"/>
          </w:tcPr>
          <w:p w14:paraId="4205CFD7">
            <w:pPr>
              <w:keepNext w:val="0"/>
              <w:keepLines w:val="0"/>
              <w:suppressLineNumbers w:val="0"/>
              <w:spacing w:before="0" w:beforeAutospacing="0" w:after="0" w:afterAutospacing="0" w:line="240" w:lineRule="atLeast"/>
              <w:ind w:left="0" w:right="0"/>
              <w:outlineLvl w:val="9"/>
              <w:rPr>
                <w:rFonts w:ascii="宋体"/>
                <w:color w:val="auto"/>
                <w:sz w:val="24"/>
                <w:highlight w:val="none"/>
              </w:rPr>
            </w:pPr>
            <w:r>
              <w:rPr>
                <w:rFonts w:hint="eastAsia" w:ascii="宋体"/>
                <w:color w:val="auto"/>
                <w:sz w:val="24"/>
                <w:highlight w:val="none"/>
              </w:rPr>
              <w:t xml:space="preserve">备注： </w:t>
            </w:r>
          </w:p>
        </w:tc>
      </w:tr>
    </w:tbl>
    <w:p w14:paraId="46D0AB21">
      <w:pPr>
        <w:spacing w:line="360" w:lineRule="auto"/>
        <w:outlineLvl w:val="9"/>
        <w:rPr>
          <w:rFonts w:hint="eastAsia" w:ascii="宋体" w:hAnsi="宋体" w:eastAsia="宋体" w:cs="宋体"/>
          <w:color w:val="auto"/>
          <w:highlight w:val="none"/>
        </w:rPr>
      </w:pPr>
      <w:r>
        <w:rPr>
          <w:rFonts w:hint="eastAsia" w:ascii="宋体" w:hAnsi="宋体" w:eastAsia="宋体" w:cs="宋体"/>
          <w:color w:val="auto"/>
          <w:highlight w:val="none"/>
        </w:rPr>
        <w:t>说明：1本退货单由监理单位组织填写，需参与验收的各方共同签字确认后方有效，签字方各执一份，同时，由</w:t>
      </w:r>
      <w:r>
        <w:rPr>
          <w:rFonts w:hint="eastAsia" w:ascii="宋体" w:hAnsi="宋体" w:eastAsia="宋体" w:cs="宋体"/>
          <w:color w:val="auto"/>
          <w:highlight w:val="none"/>
          <w:lang w:eastAsia="zh-CN"/>
        </w:rPr>
        <w:t>项目部</w:t>
      </w:r>
      <w:r>
        <w:rPr>
          <w:rFonts w:hint="eastAsia" w:ascii="宋体" w:hAnsi="宋体" w:eastAsia="宋体" w:cs="宋体"/>
          <w:snapToGrid w:val="0"/>
          <w:color w:val="auto"/>
          <w:kern w:val="0"/>
          <w:szCs w:val="21"/>
          <w:highlight w:val="none"/>
        </w:rPr>
        <w:t>、成本</w:t>
      </w:r>
      <w:r>
        <w:rPr>
          <w:rFonts w:hint="eastAsia" w:ascii="宋体" w:hAnsi="宋体" w:eastAsia="宋体" w:cs="宋体"/>
          <w:snapToGrid w:val="0"/>
          <w:color w:val="auto"/>
          <w:kern w:val="0"/>
          <w:szCs w:val="21"/>
          <w:highlight w:val="none"/>
          <w:lang w:eastAsia="zh-CN"/>
        </w:rPr>
        <w:t>管理部（甲供材选择）、</w:t>
      </w:r>
      <w:r>
        <w:rPr>
          <w:rFonts w:hint="eastAsia" w:ascii="宋体" w:hAnsi="宋体" w:eastAsia="宋体" w:cs="宋体"/>
          <w:snapToGrid w:val="0"/>
          <w:color w:val="auto"/>
          <w:kern w:val="0"/>
          <w:szCs w:val="21"/>
          <w:highlight w:val="none"/>
          <w:lang w:val="en-US" w:eastAsia="zh-CN"/>
        </w:rPr>
        <w:t>招标采供部（甲供材选择）</w:t>
      </w:r>
      <w:r>
        <w:rPr>
          <w:rFonts w:hint="eastAsia" w:ascii="宋体" w:hAnsi="宋体" w:eastAsia="宋体" w:cs="宋体"/>
          <w:color w:val="auto"/>
          <w:highlight w:val="none"/>
        </w:rPr>
        <w:t>备案一份。</w:t>
      </w:r>
    </w:p>
    <w:p w14:paraId="4DC1D301">
      <w:pPr>
        <w:spacing w:line="360" w:lineRule="auto"/>
        <w:outlineLvl w:val="9"/>
        <w:rPr>
          <w:rFonts w:hint="eastAsia" w:ascii="宋体" w:hAnsi="宋体" w:eastAsia="宋体" w:cs="宋体"/>
          <w:color w:val="auto"/>
          <w:highlight w:val="none"/>
        </w:rPr>
      </w:pPr>
      <w:r>
        <w:rPr>
          <w:rFonts w:hint="eastAsia" w:ascii="宋体" w:hAnsi="宋体" w:eastAsia="宋体" w:cs="宋体"/>
          <w:color w:val="auto"/>
          <w:highlight w:val="none"/>
        </w:rPr>
        <w:t xml:space="preserve">      2、</w:t>
      </w:r>
      <w:r>
        <w:rPr>
          <w:rFonts w:hint="eastAsia" w:ascii="宋体" w:hAnsi="宋体" w:eastAsia="宋体" w:cs="宋体"/>
          <w:color w:val="auto"/>
          <w:highlight w:val="none"/>
          <w:lang w:eastAsia="zh-CN"/>
        </w:rPr>
        <w:t>当材料为甲供材时，</w:t>
      </w:r>
      <w:r>
        <w:rPr>
          <w:rFonts w:hint="eastAsia" w:ascii="宋体" w:hAnsi="宋体" w:eastAsia="宋体" w:cs="宋体"/>
          <w:color w:val="auto"/>
          <w:highlight w:val="none"/>
        </w:rPr>
        <w:t>本退货单经各方签字确认后，同批次的甲供材进场验收单作废。</w:t>
      </w:r>
    </w:p>
    <w:p w14:paraId="12B76A82">
      <w:pPr>
        <w:spacing w:line="360" w:lineRule="auto"/>
        <w:outlineLvl w:val="9"/>
        <w:rPr>
          <w:rFonts w:hint="eastAsia" w:ascii="宋体" w:hAnsi="宋体" w:eastAsia="宋体" w:cs="宋体"/>
          <w:color w:val="auto"/>
          <w:highlight w:val="none"/>
        </w:rPr>
      </w:pPr>
      <w:r>
        <w:rPr>
          <w:rFonts w:hint="eastAsia" w:ascii="宋体" w:hAnsi="宋体" w:eastAsia="宋体" w:cs="宋体"/>
          <w:color w:val="auto"/>
          <w:highlight w:val="none"/>
        </w:rPr>
        <w:t xml:space="preserve">      3、本退货单将作为供货单位和施工单位的结算依据之一。</w:t>
      </w:r>
    </w:p>
    <w:p w14:paraId="53FA73B9">
      <w:pPr>
        <w:spacing w:line="360" w:lineRule="auto"/>
        <w:outlineLvl w:val="9"/>
        <w:rPr>
          <w:rFonts w:hint="eastAsia" w:ascii="宋体" w:hAnsi="宋体" w:eastAsia="宋体" w:cs="宋体"/>
          <w:color w:val="auto"/>
          <w:highlight w:val="none"/>
        </w:rPr>
      </w:pPr>
      <w:r>
        <w:rPr>
          <w:rFonts w:hint="eastAsia" w:ascii="宋体" w:hAnsi="宋体" w:eastAsia="宋体" w:cs="宋体"/>
          <w:color w:val="auto"/>
          <w:highlight w:val="none"/>
        </w:rPr>
        <w:t xml:space="preserve">      4、检测报告作为本退货单的附件。</w:t>
      </w:r>
    </w:p>
    <w:p w14:paraId="14B6D93E">
      <w:pPr>
        <w:adjustRightInd w:val="0"/>
        <w:snapToGrid w:val="0"/>
        <w:spacing w:line="360" w:lineRule="auto"/>
        <w:ind w:firstLine="480"/>
        <w:outlineLvl w:val="9"/>
        <w:rPr>
          <w:rFonts w:hint="default" w:cs="宋体" w:asciiTheme="minorEastAsia" w:hAnsiTheme="minorEastAsia" w:eastAsiaTheme="minorEastAsia"/>
          <w:color w:val="auto"/>
          <w:szCs w:val="21"/>
          <w:highlight w:val="none"/>
          <w:lang w:val="en-US" w:eastAsia="zh-CN"/>
        </w:rPr>
      </w:pPr>
    </w:p>
    <w:p w14:paraId="53E64A3B">
      <w:pPr>
        <w:adjustRightInd w:val="0"/>
        <w:snapToGrid w:val="0"/>
        <w:spacing w:line="360" w:lineRule="auto"/>
        <w:ind w:firstLine="480"/>
        <w:outlineLvl w:val="9"/>
        <w:rPr>
          <w:rFonts w:hint="default" w:cs="宋体" w:asciiTheme="minorEastAsia" w:hAnsiTheme="minorEastAsia" w:eastAsiaTheme="minorEastAsia"/>
          <w:color w:val="auto"/>
          <w:szCs w:val="21"/>
          <w:highlight w:val="none"/>
          <w:lang w:val="en-US" w:eastAsia="zh-CN"/>
        </w:rPr>
        <w:sectPr>
          <w:pgSz w:w="16838" w:h="11900" w:orient="landscape"/>
          <w:pgMar w:top="1361" w:right="1134" w:bottom="1361" w:left="1134" w:header="567" w:footer="567" w:gutter="0"/>
          <w:pgBorders>
            <w:top w:val="none" w:sz="0" w:space="0"/>
            <w:left w:val="none" w:sz="0" w:space="0"/>
            <w:bottom w:val="none" w:sz="0" w:space="0"/>
            <w:right w:val="none" w:sz="0" w:space="0"/>
          </w:pgBorders>
          <w:cols w:space="0" w:num="1"/>
          <w:rtlGutter w:val="0"/>
          <w:docGrid w:linePitch="286" w:charSpace="0"/>
        </w:sectPr>
      </w:pPr>
    </w:p>
    <w:p w14:paraId="740D0A29">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附件十</w:t>
      </w:r>
      <w:r>
        <w:rPr>
          <w:rFonts w:hint="eastAsia" w:cs="宋体" w:asciiTheme="minorEastAsia" w:hAnsiTheme="minorEastAsia" w:eastAsiaTheme="minorEastAsia"/>
          <w:color w:val="auto"/>
          <w:szCs w:val="21"/>
          <w:highlight w:val="none"/>
          <w:lang w:val="en-US" w:eastAsia="zh-CN"/>
        </w:rPr>
        <w:t>七</w:t>
      </w:r>
      <w:r>
        <w:rPr>
          <w:rFonts w:hint="eastAsia" w:cs="宋体" w:asciiTheme="minorEastAsia" w:hAnsiTheme="minorEastAsia" w:eastAsiaTheme="minorEastAsia"/>
          <w:color w:val="auto"/>
          <w:szCs w:val="21"/>
          <w:highlight w:val="none"/>
        </w:rPr>
        <w:t>：</w:t>
      </w:r>
    </w:p>
    <w:p w14:paraId="7ECA13BD">
      <w:pPr>
        <w:ind w:firstLine="643"/>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工程结算编制指引</w:t>
      </w:r>
    </w:p>
    <w:p w14:paraId="56749954">
      <w:pPr>
        <w:widowControl/>
        <w:spacing w:line="360" w:lineRule="auto"/>
        <w:jc w:val="left"/>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一、结算流程</w:t>
      </w:r>
    </w:p>
    <w:p w14:paraId="49F795D3">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22432" behindDoc="0" locked="0" layoutInCell="1" allowOverlap="1">
                <wp:simplePos x="0" y="0"/>
                <wp:positionH relativeFrom="column">
                  <wp:posOffset>-354330</wp:posOffset>
                </wp:positionH>
                <wp:positionV relativeFrom="paragraph">
                  <wp:posOffset>81280</wp:posOffset>
                </wp:positionV>
                <wp:extent cx="1715770" cy="571500"/>
                <wp:effectExtent l="4445" t="4445" r="13335" b="14605"/>
                <wp:wrapNone/>
                <wp:docPr id="1631578994" name="圆角矩形 1631578994"/>
                <wp:cNvGraphicFramePr/>
                <a:graphic xmlns:a="http://schemas.openxmlformats.org/drawingml/2006/main">
                  <a:graphicData uri="http://schemas.microsoft.com/office/word/2010/wordprocessingShape">
                    <wps:wsp>
                      <wps:cNvSpPr>
                        <a:spLocks noChangeArrowheads="1"/>
                      </wps:cNvSpPr>
                      <wps:spPr bwMode="auto">
                        <a:xfrm>
                          <a:off x="0" y="0"/>
                          <a:ext cx="1715770" cy="571500"/>
                        </a:xfrm>
                        <a:prstGeom prst="roundRect">
                          <a:avLst>
                            <a:gd name="adj" fmla="val 16667"/>
                          </a:avLst>
                        </a:prstGeom>
                        <a:solidFill>
                          <a:srgbClr val="FFFFFF"/>
                        </a:solidFill>
                        <a:ln w="9525">
                          <a:solidFill>
                            <a:srgbClr val="000000"/>
                          </a:solidFill>
                          <a:round/>
                        </a:ln>
                        <a:effectLst/>
                      </wps:spPr>
                      <wps:txbx>
                        <w:txbxContent>
                          <w:p w14:paraId="4FD7A487">
                            <w:r>
                              <w:rPr>
                                <w:rFonts w:hint="eastAsia"/>
                                <w:szCs w:val="21"/>
                              </w:rPr>
                              <w:t>施工单位具备结算条件并提供竣工图纸、结算资料</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27.9pt;margin-top:6.4pt;height:45pt;width:135.1pt;z-index:251922432;mso-width-relative:page;mso-height-relative:page;" fillcolor="#FFFFFF" filled="t" stroked="t" coordsize="21600,21600" arcsize="0.166666666666667" o:gfxdata="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LcO9s1QAAAAoBAAAPAAAAAAAAAAEAIAAAACIAAABkcnMvZG93bnJldi54bWxQSwECFAAU&#10;AAAACACHTuJAfJrw+2YCAADEBAAADgAAAAAAAAABACAAAAAkAQAAZHJzL2Uyb0RvYy54bWxQSwUG&#10;AAAAAAYABgBZAQAA/AUAAAAA&#10;">
                <v:fill on="t" focussize="0,0"/>
                <v:stroke color="#000000" joinstyle="round"/>
                <v:imagedata o:title=""/>
                <o:lock v:ext="edit" aspectratio="f"/>
                <v:textbox>
                  <w:txbxContent>
                    <w:p w14:paraId="4FD7A487">
                      <w:r>
                        <w:rPr>
                          <w:rFonts w:hint="eastAsia"/>
                          <w:szCs w:val="21"/>
                        </w:rPr>
                        <w:t>施工单位具备结算条件并提供竣工图纸、结算资料</w:t>
                      </w:r>
                    </w:p>
                  </w:txbxContent>
                </v:textbox>
              </v:roundrect>
            </w:pict>
          </mc:Fallback>
        </mc:AlternateContent>
      </w:r>
    </w:p>
    <w:p w14:paraId="0EF47AE3">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29600" behindDoc="0" locked="0" layoutInCell="1" allowOverlap="1">
                <wp:simplePos x="0" y="0"/>
                <wp:positionH relativeFrom="column">
                  <wp:posOffset>4015740</wp:posOffset>
                </wp:positionH>
                <wp:positionV relativeFrom="paragraph">
                  <wp:posOffset>-1905</wp:posOffset>
                </wp:positionV>
                <wp:extent cx="1480185" cy="347980"/>
                <wp:effectExtent l="4445" t="4445" r="20320" b="9525"/>
                <wp:wrapNone/>
                <wp:docPr id="1631578993" name="圆角矩形 1631578993"/>
                <wp:cNvGraphicFramePr/>
                <a:graphic xmlns:a="http://schemas.openxmlformats.org/drawingml/2006/main">
                  <a:graphicData uri="http://schemas.microsoft.com/office/word/2010/wordprocessingShape">
                    <wps:wsp>
                      <wps:cNvSpPr>
                        <a:spLocks noChangeArrowheads="1"/>
                      </wps:cNvSpPr>
                      <wps:spPr bwMode="auto">
                        <a:xfrm>
                          <a:off x="0" y="0"/>
                          <a:ext cx="1480185" cy="347980"/>
                        </a:xfrm>
                        <a:prstGeom prst="roundRect">
                          <a:avLst>
                            <a:gd name="adj" fmla="val 16667"/>
                          </a:avLst>
                        </a:prstGeom>
                        <a:solidFill>
                          <a:srgbClr val="FFFFFF"/>
                        </a:solidFill>
                        <a:ln w="9525">
                          <a:solidFill>
                            <a:srgbClr val="000000"/>
                          </a:solidFill>
                          <a:round/>
                        </a:ln>
                        <a:effectLst/>
                      </wps:spPr>
                      <wps:txbx>
                        <w:txbxContent>
                          <w:p w14:paraId="45695975">
                            <w:r>
                              <w:rPr>
                                <w:rFonts w:hint="eastAsia"/>
                                <w:szCs w:val="21"/>
                              </w:rPr>
                              <w:t>施工单位提交结算书</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316.2pt;margin-top:-0.15pt;height:27.4pt;width:116.55pt;z-index:251929600;mso-width-relative:page;mso-height-relative:page;" fillcolor="#FFFFFF" filled="t" stroked="t" coordsize="21600,21600" arcsize="0.166666666666667" o:gfxdata="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RbU4Q1gAAAAgBAAAPAAAAAAAAAAEAIAAAACIAAABkcnMvZG93bnJldi54bWxQSwEC&#10;FAAUAAAACACHTuJAp49DjGgCAADEBAAADgAAAAAAAAABACAAAAAlAQAAZHJzL2Uyb0RvYy54bWxQ&#10;SwUGAAAAAAYABgBZAQAA/wUAAAAA&#10;">
                <v:fill on="t" focussize="0,0"/>
                <v:stroke color="#000000" joinstyle="round"/>
                <v:imagedata o:title=""/>
                <o:lock v:ext="edit" aspectratio="f"/>
                <v:textbox>
                  <w:txbxContent>
                    <w:p w14:paraId="45695975">
                      <w:r>
                        <w:rPr>
                          <w:rFonts w:hint="eastAsia"/>
                          <w:szCs w:val="21"/>
                        </w:rPr>
                        <w:t>施工单位提交结算书</w:t>
                      </w:r>
                    </w:p>
                  </w:txbxContent>
                </v:textbox>
              </v:roundrect>
            </w:pict>
          </mc:Fallback>
        </mc:AlternateContent>
      </w: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23456" behindDoc="0" locked="0" layoutInCell="1" allowOverlap="1">
                <wp:simplePos x="0" y="0"/>
                <wp:positionH relativeFrom="column">
                  <wp:posOffset>428625</wp:posOffset>
                </wp:positionH>
                <wp:positionV relativeFrom="paragraph">
                  <wp:posOffset>346075</wp:posOffset>
                </wp:positionV>
                <wp:extent cx="0" cy="342900"/>
                <wp:effectExtent l="38100" t="0" r="38100" b="0"/>
                <wp:wrapNone/>
                <wp:docPr id="1631578992" name="直接箭头连接符 1631578992"/>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33.75pt;margin-top:27.25pt;height:27pt;width:0pt;z-index:251923456;mso-width-relative:page;mso-height-relative:page;" filled="f" stroked="t" coordsize="21600,21600" o:gfxdata="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51kyANcAAAAI&#10;AQAADwAAAAAAAAABACAAAAAiAAAAZHJzL2Rvd25yZXYueG1sUEsBAhQAFAAAAAgAh07iQDYSKDUd&#10;AgAACwQAAA4AAAAAAAAAAQAgAAAAJgEAAGRycy9lMm9Eb2MueG1sUEsFBgAAAAAGAAYAWQEAALUF&#10;AAAAAA==&#10;">
                <v:fill on="f" focussize="0,0"/>
                <v:stroke color="#000000" joinstyle="round" endarrow="block"/>
                <v:imagedata o:title=""/>
                <o:lock v:ext="edit" aspectratio="f"/>
              </v:shape>
            </w:pict>
          </mc:Fallback>
        </mc:AlternateContent>
      </w:r>
    </w:p>
    <w:p w14:paraId="16158010">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31648" behindDoc="0" locked="0" layoutInCell="1" allowOverlap="1">
                <wp:simplePos x="0" y="0"/>
                <wp:positionH relativeFrom="column">
                  <wp:posOffset>3056890</wp:posOffset>
                </wp:positionH>
                <wp:positionV relativeFrom="paragraph">
                  <wp:posOffset>873125</wp:posOffset>
                </wp:positionV>
                <wp:extent cx="2544445" cy="942975"/>
                <wp:effectExtent l="0" t="0" r="9525" b="46355"/>
                <wp:wrapNone/>
                <wp:docPr id="1631578991" name="肘形连接符 1631578991"/>
                <wp:cNvGraphicFramePr/>
                <a:graphic xmlns:a="http://schemas.openxmlformats.org/drawingml/2006/main">
                  <a:graphicData uri="http://schemas.microsoft.com/office/word/2010/wordprocessingShape">
                    <wps:wsp>
                      <wps:cNvCnPr>
                        <a:cxnSpLocks noChangeShapeType="1"/>
                      </wps:cNvCnPr>
                      <wps:spPr bwMode="auto">
                        <a:xfrm rot="5400000">
                          <a:off x="0" y="0"/>
                          <a:ext cx="2544445" cy="942975"/>
                        </a:xfrm>
                        <a:prstGeom prst="bentConnector3">
                          <a:avLst>
                            <a:gd name="adj1" fmla="val 100148"/>
                          </a:avLst>
                        </a:prstGeom>
                        <a:noFill/>
                        <a:ln w="9525">
                          <a:solidFill>
                            <a:srgbClr val="000000"/>
                          </a:solidFill>
                          <a:miter lim="800000"/>
                          <a:tailEnd type="triangle" w="med" len="med"/>
                        </a:ln>
                        <a:effectLst/>
                      </wps:spPr>
                      <wps:bodyPr/>
                    </wps:wsp>
                  </a:graphicData>
                </a:graphic>
              </wp:anchor>
            </w:drawing>
          </mc:Choice>
          <mc:Fallback>
            <w:pict>
              <v:shape id="_x0000_s1026" o:spid="_x0000_s1026" o:spt="34" type="#_x0000_t34" style="position:absolute;left:0pt;margin-left:240.7pt;margin-top:68.75pt;height:74.25pt;width:200.35pt;rotation:5898240f;z-index:251931648;mso-width-relative:page;mso-height-relative:page;" filled="f" stroked="t" coordsize="21600,21600" o:gfxdata="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L91OJd0AAAALAQAADwAAAAAAAAAB&#10;ACAAAAAiAAAAZHJzL2Rvd25yZXYueG1sUEsBAhQAFAAAAAgAh07iQOAIIGVEAgAAUAQAAA4AAAAA&#10;AAAAAQAgAAAALAEAAGRycy9lMm9Eb2MueG1sUEsFBgAAAAAGAAYAWQEAAOIFAAAAAA==&#10;" adj="21632">
                <v:fill on="f" focussize="0,0"/>
                <v:stroke color="#000000" miterlimit="8" joinstyle="miter" endarrow="block"/>
                <v:imagedata o:title=""/>
                <o:lock v:ext="edit" aspectratio="f"/>
              </v:shape>
            </w:pict>
          </mc:Fallback>
        </mc:AlternateContent>
      </w: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25504" behindDoc="0" locked="0" layoutInCell="1" allowOverlap="1">
                <wp:simplePos x="0" y="0"/>
                <wp:positionH relativeFrom="column">
                  <wp:posOffset>-190500</wp:posOffset>
                </wp:positionH>
                <wp:positionV relativeFrom="paragraph">
                  <wp:posOffset>292735</wp:posOffset>
                </wp:positionV>
                <wp:extent cx="1304925" cy="342900"/>
                <wp:effectExtent l="4445" t="4445" r="5080" b="14605"/>
                <wp:wrapNone/>
                <wp:docPr id="1631578990" name="圆角矩形 1631578990"/>
                <wp:cNvGraphicFramePr/>
                <a:graphic xmlns:a="http://schemas.openxmlformats.org/drawingml/2006/main">
                  <a:graphicData uri="http://schemas.microsoft.com/office/word/2010/wordprocessingShape">
                    <wps:wsp>
                      <wps:cNvSpPr>
                        <a:spLocks noChangeArrowheads="1"/>
                      </wps:cNvSpPr>
                      <wps:spPr bwMode="auto">
                        <a:xfrm>
                          <a:off x="0" y="0"/>
                          <a:ext cx="1304925" cy="342900"/>
                        </a:xfrm>
                        <a:prstGeom prst="roundRect">
                          <a:avLst>
                            <a:gd name="adj" fmla="val 16667"/>
                          </a:avLst>
                        </a:prstGeom>
                        <a:solidFill>
                          <a:srgbClr val="FFFFFF"/>
                        </a:solidFill>
                        <a:ln w="9525">
                          <a:solidFill>
                            <a:srgbClr val="000000"/>
                          </a:solidFill>
                          <a:round/>
                        </a:ln>
                        <a:effectLst/>
                      </wps:spPr>
                      <wps:txbx>
                        <w:txbxContent>
                          <w:p w14:paraId="3BDD2940">
                            <w:pPr>
                              <w:ind w:firstLine="420"/>
                            </w:pPr>
                            <w:r>
                              <w:rPr>
                                <w:rFonts w:hint="eastAsia"/>
                                <w:szCs w:val="21"/>
                              </w:rPr>
                              <w:t>监理审核</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5pt;margin-top:23.05pt;height:27pt;width:102.75pt;z-index:251925504;mso-width-relative:page;mso-height-relative:page;" fillcolor="#FFFFFF" filled="t" stroked="t" coordsize="21600,21600" arcsize="0.166666666666667" o:gfxdata="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OA3n8PWAAAACgEAAA8AAAAAAAAAAQAgAAAAIgAAAGRycy9kb3ducmV2LnhtbFBLAQIUABQA&#10;AAAIAIdO4kAO/9IrZAIAAMQEAAAOAAAAAAAAAAEAIAAAACUBAABkcnMvZTJvRG9jLnhtbFBLBQYA&#10;AAAABgAGAFkBAAD7BQAAAAA=&#10;">
                <v:fill on="t" focussize="0,0"/>
                <v:stroke color="#000000" joinstyle="round"/>
                <v:imagedata o:title=""/>
                <o:lock v:ext="edit" aspectratio="f"/>
                <v:textbox>
                  <w:txbxContent>
                    <w:p w14:paraId="3BDD2940">
                      <w:pPr>
                        <w:ind w:firstLine="420"/>
                      </w:pPr>
                      <w:r>
                        <w:rPr>
                          <w:rFonts w:hint="eastAsia"/>
                          <w:szCs w:val="21"/>
                        </w:rPr>
                        <w:t>监理审核</w:t>
                      </w:r>
                    </w:p>
                  </w:txbxContent>
                </v:textbox>
              </v:roundrect>
            </w:pict>
          </mc:Fallback>
        </mc:AlternateContent>
      </w:r>
    </w:p>
    <w:p w14:paraId="35CF9452">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24480" behindDoc="0" locked="0" layoutInCell="1" allowOverlap="1">
                <wp:simplePos x="0" y="0"/>
                <wp:positionH relativeFrom="column">
                  <wp:posOffset>428625</wp:posOffset>
                </wp:positionH>
                <wp:positionV relativeFrom="paragraph">
                  <wp:posOffset>239395</wp:posOffset>
                </wp:positionV>
                <wp:extent cx="0" cy="342900"/>
                <wp:effectExtent l="38100" t="0" r="38100" b="0"/>
                <wp:wrapNone/>
                <wp:docPr id="1631578989" name="直接箭头连接符 1631578989"/>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33.75pt;margin-top:18.85pt;height:27pt;width:0pt;z-index:251924480;mso-width-relative:page;mso-height-relative:page;" filled="f" stroked="t" coordsize="21600,21600" o:gfxdata="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h+3Op1gAAAAcB&#10;AAAPAAAAAAAAAAEAIAAAACIAAABkcnMvZG93bnJldi54bWxQSwECFAAUAAAACACHTuJAPqNOEB0C&#10;AAALBAAADgAAAAAAAAABACAAAAAlAQAAZHJzL2Uyb0RvYy54bWxQSwUGAAAAAAYABgBZAQAAtAUA&#10;AAAA&#10;">
                <v:fill on="f" focussize="0,0"/>
                <v:stroke color="#000000" joinstyle="round" endarrow="block"/>
                <v:imagedata o:title=""/>
                <o:lock v:ext="edit" aspectratio="f"/>
              </v:shape>
            </w:pict>
          </mc:Fallback>
        </mc:AlternateContent>
      </w:r>
    </w:p>
    <w:p w14:paraId="739B83C0">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26528" behindDoc="0" locked="0" layoutInCell="1" allowOverlap="1">
                <wp:simplePos x="0" y="0"/>
                <wp:positionH relativeFrom="column">
                  <wp:posOffset>-190500</wp:posOffset>
                </wp:positionH>
                <wp:positionV relativeFrom="paragraph">
                  <wp:posOffset>186055</wp:posOffset>
                </wp:positionV>
                <wp:extent cx="1304925" cy="390525"/>
                <wp:effectExtent l="4445" t="5080" r="5080" b="4445"/>
                <wp:wrapNone/>
                <wp:docPr id="1631578988" name="圆角矩形 1631578988"/>
                <wp:cNvGraphicFramePr/>
                <a:graphic xmlns:a="http://schemas.openxmlformats.org/drawingml/2006/main">
                  <a:graphicData uri="http://schemas.microsoft.com/office/word/2010/wordprocessingShape">
                    <wps:wsp>
                      <wps:cNvSpPr>
                        <a:spLocks noChangeArrowheads="1"/>
                      </wps:cNvSpPr>
                      <wps:spPr bwMode="auto">
                        <a:xfrm>
                          <a:off x="0" y="0"/>
                          <a:ext cx="1304925" cy="390525"/>
                        </a:xfrm>
                        <a:prstGeom prst="roundRect">
                          <a:avLst>
                            <a:gd name="adj" fmla="val 16667"/>
                          </a:avLst>
                        </a:prstGeom>
                        <a:solidFill>
                          <a:srgbClr val="FFFFFF"/>
                        </a:solidFill>
                        <a:ln w="9525">
                          <a:solidFill>
                            <a:srgbClr val="000000"/>
                          </a:solidFill>
                          <a:round/>
                        </a:ln>
                        <a:effectLst/>
                      </wps:spPr>
                      <wps:txbx>
                        <w:txbxContent>
                          <w:p w14:paraId="478A37C0">
                            <w:r>
                              <w:rPr>
                                <w:rFonts w:hint="eastAsia"/>
                                <w:szCs w:val="21"/>
                              </w:rPr>
                              <w:t>项目部审核、移交</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5pt;margin-top:14.65pt;height:30.75pt;width:102.75pt;z-index:251926528;mso-width-relative:page;mso-height-relative:page;" fillcolor="#FFFFFF" filled="t" stroked="t" coordsize="21600,21600" arcsize="0.166666666666667" o:gfxdata="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8fdk61gAAAAkBAAAPAAAAAAAAAAEAIAAAACIAAABkcnMvZG93bnJldi54bWxQSwECFAAUAAAA&#10;CACHTuJAdZeg6GICAADEBAAADgAAAAAAAAABACAAAAAlAQAAZHJzL2Uyb0RvYy54bWxQSwUGAAAA&#10;AAYABgBZAQAA+QUAAAAA&#10;">
                <v:fill on="t" focussize="0,0"/>
                <v:stroke color="#000000" joinstyle="round"/>
                <v:imagedata o:title=""/>
                <o:lock v:ext="edit" aspectratio="f"/>
                <v:textbox>
                  <w:txbxContent>
                    <w:p w14:paraId="478A37C0">
                      <w:r>
                        <w:rPr>
                          <w:rFonts w:hint="eastAsia"/>
                          <w:szCs w:val="21"/>
                        </w:rPr>
                        <w:t>项目部审核、移交</w:t>
                      </w:r>
                    </w:p>
                  </w:txbxContent>
                </v:textbox>
              </v:roundrect>
            </w:pict>
          </mc:Fallback>
        </mc:AlternateContent>
      </w:r>
    </w:p>
    <w:p w14:paraId="0DD73801">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27552" behindDoc="0" locked="0" layoutInCell="1" allowOverlap="1">
                <wp:simplePos x="0" y="0"/>
                <wp:positionH relativeFrom="column">
                  <wp:posOffset>428625</wp:posOffset>
                </wp:positionH>
                <wp:positionV relativeFrom="paragraph">
                  <wp:posOffset>180340</wp:posOffset>
                </wp:positionV>
                <wp:extent cx="0" cy="342900"/>
                <wp:effectExtent l="38100" t="0" r="38100" b="0"/>
                <wp:wrapNone/>
                <wp:docPr id="1631578987" name="直接箭头连接符 1631578987"/>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33.75pt;margin-top:14.2pt;height:27pt;width:0pt;z-index:251927552;mso-width-relative:page;mso-height-relative:page;" filled="f" stroked="t" coordsize="21600,21600" o:gfxdata="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nQhlHdcAAAAH&#10;AQAADwAAAAAAAAABACAAAAAiAAAAZHJzL2Rvd25yZXYueG1sUEsBAhQAFAAAAAgAh07iQE44dLsd&#10;AgAACwQAAA4AAAAAAAAAAQAgAAAAJgEAAGRycy9lMm9Eb2MueG1sUEsFBgAAAAAGAAYAWQEAALUF&#10;AAAAAA==&#10;">
                <v:fill on="f" focussize="0,0"/>
                <v:stroke color="#000000" joinstyle="round" endarrow="block"/>
                <v:imagedata o:title=""/>
                <o:lock v:ext="edit" aspectratio="f"/>
              </v:shape>
            </w:pict>
          </mc:Fallback>
        </mc:AlternateContent>
      </w:r>
    </w:p>
    <w:p w14:paraId="689942E2">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28576" behindDoc="0" locked="0" layoutInCell="1" allowOverlap="1">
                <wp:simplePos x="0" y="0"/>
                <wp:positionH relativeFrom="column">
                  <wp:posOffset>-190500</wp:posOffset>
                </wp:positionH>
                <wp:positionV relativeFrom="paragraph">
                  <wp:posOffset>127000</wp:posOffset>
                </wp:positionV>
                <wp:extent cx="1304925" cy="342900"/>
                <wp:effectExtent l="4445" t="4445" r="5080" b="14605"/>
                <wp:wrapNone/>
                <wp:docPr id="1631578986" name="圆角矩形 1631578986"/>
                <wp:cNvGraphicFramePr/>
                <a:graphic xmlns:a="http://schemas.openxmlformats.org/drawingml/2006/main">
                  <a:graphicData uri="http://schemas.microsoft.com/office/word/2010/wordprocessingShape">
                    <wps:wsp>
                      <wps:cNvSpPr>
                        <a:spLocks noChangeArrowheads="1"/>
                      </wps:cNvSpPr>
                      <wps:spPr bwMode="auto">
                        <a:xfrm>
                          <a:off x="0" y="0"/>
                          <a:ext cx="1304925" cy="342900"/>
                        </a:xfrm>
                        <a:prstGeom prst="roundRect">
                          <a:avLst>
                            <a:gd name="adj" fmla="val 16667"/>
                          </a:avLst>
                        </a:prstGeom>
                        <a:solidFill>
                          <a:srgbClr val="FFFFFF"/>
                        </a:solidFill>
                        <a:ln w="9525">
                          <a:solidFill>
                            <a:srgbClr val="000000"/>
                          </a:solidFill>
                          <a:round/>
                        </a:ln>
                        <a:effectLst/>
                      </wps:spPr>
                      <wps:txbx>
                        <w:txbxContent>
                          <w:p w14:paraId="04C6A36E">
                            <w:r>
                              <w:rPr>
                                <w:rFonts w:hint="eastAsia"/>
                                <w:szCs w:val="21"/>
                              </w:rPr>
                              <w:t>经发档案馆归档</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5pt;margin-top:10pt;height:27pt;width:102.75pt;z-index:251928576;mso-width-relative:page;mso-height-relative:page;" fillcolor="#FFFFFF" filled="t" stroked="t" coordsize="21600,21600" arcsize="0.166666666666667" o:gfxdata="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M9G7JbVAAAACQEAAA8AAAAAAAAAAQAgAAAAIgAAAGRycy9kb3ducmV2LnhtbFBLAQIUABQA&#10;AAAIAIdO4kCGgB07ZQIAAMQEAAAOAAAAAAAAAAEAIAAAACQBAABkcnMvZTJvRG9jLnhtbFBLBQYA&#10;AAAABgAGAFkBAAD7BQAAAAA=&#10;">
                <v:fill on="t" focussize="0,0"/>
                <v:stroke color="#000000" joinstyle="round"/>
                <v:imagedata o:title=""/>
                <o:lock v:ext="edit" aspectratio="f"/>
                <v:textbox>
                  <w:txbxContent>
                    <w:p w14:paraId="04C6A36E">
                      <w:r>
                        <w:rPr>
                          <w:rFonts w:hint="eastAsia"/>
                          <w:szCs w:val="21"/>
                        </w:rPr>
                        <w:t>经发档案馆归档</w:t>
                      </w:r>
                    </w:p>
                  </w:txbxContent>
                </v:textbox>
              </v:roundrect>
            </w:pict>
          </mc:Fallback>
        </mc:AlternateContent>
      </w:r>
    </w:p>
    <w:p w14:paraId="6DBFF0E2">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32672" behindDoc="0" locked="0" layoutInCell="1" allowOverlap="1">
                <wp:simplePos x="0" y="0"/>
                <wp:positionH relativeFrom="column">
                  <wp:posOffset>428625</wp:posOffset>
                </wp:positionH>
                <wp:positionV relativeFrom="paragraph">
                  <wp:posOffset>148590</wp:posOffset>
                </wp:positionV>
                <wp:extent cx="1343025" cy="552450"/>
                <wp:effectExtent l="635" t="4445" r="8890" b="52705"/>
                <wp:wrapNone/>
                <wp:docPr id="1631578985" name="肘形连接符 1631578985"/>
                <wp:cNvGraphicFramePr/>
                <a:graphic xmlns:a="http://schemas.openxmlformats.org/drawingml/2006/main">
                  <a:graphicData uri="http://schemas.microsoft.com/office/word/2010/wordprocessingShape">
                    <wps:wsp>
                      <wps:cNvCnPr>
                        <a:cxnSpLocks noChangeShapeType="1"/>
                      </wps:cNvCnPr>
                      <wps:spPr bwMode="auto">
                        <a:xfrm>
                          <a:off x="0" y="0"/>
                          <a:ext cx="1343025" cy="552450"/>
                        </a:xfrm>
                        <a:prstGeom prst="bentConnector3">
                          <a:avLst>
                            <a:gd name="adj1" fmla="val 329"/>
                          </a:avLst>
                        </a:prstGeom>
                        <a:noFill/>
                        <a:ln w="9525">
                          <a:solidFill>
                            <a:srgbClr val="000000"/>
                          </a:solidFill>
                          <a:miter lim="800000"/>
                          <a:tailEnd type="triangle" w="med" len="med"/>
                        </a:ln>
                        <a:effectLst/>
                      </wps:spPr>
                      <wps:bodyPr/>
                    </wps:wsp>
                  </a:graphicData>
                </a:graphic>
              </wp:anchor>
            </w:drawing>
          </mc:Choice>
          <mc:Fallback>
            <w:pict>
              <v:shape id="_x0000_s1026" o:spid="_x0000_s1026" o:spt="34" type="#_x0000_t34" style="position:absolute;left:0pt;margin-left:33.75pt;margin-top:11.7pt;height:43.5pt;width:105.75pt;z-index:251932672;mso-width-relative:page;mso-height-relative:page;" filled="f" stroked="t" coordsize="21600,21600" o:gfxdata="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4haCnZAAAACQEAAA8AAAAAAAAAAQAgAAAAIgAAAGRycy9k&#10;b3ducmV2LnhtbFBLAQIUABQAAAAIAIdO4kBVuGx/OgIAAD8EAAAOAAAAAAAAAAEAIAAAACgBAABk&#10;cnMvZTJvRG9jLnhtbFBLBQYAAAAABgAGAFkBAADUBQAAAAA=&#10;" adj="71">
                <v:fill on="f" focussize="0,0"/>
                <v:stroke color="#000000" miterlimit="8" joinstyle="miter" endarrow="block"/>
                <v:imagedata o:title=""/>
                <o:lock v:ext="edit" aspectratio="f"/>
              </v:shape>
            </w:pict>
          </mc:Fallback>
        </mc:AlternateContent>
      </w:r>
    </w:p>
    <w:p w14:paraId="3EF6B01D">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30624" behindDoc="0" locked="0" layoutInCell="1" allowOverlap="1">
                <wp:simplePos x="0" y="0"/>
                <wp:positionH relativeFrom="column">
                  <wp:posOffset>1876425</wp:posOffset>
                </wp:positionH>
                <wp:positionV relativeFrom="paragraph">
                  <wp:posOffset>57150</wp:posOffset>
                </wp:positionV>
                <wp:extent cx="1857375" cy="571500"/>
                <wp:effectExtent l="4445" t="4445" r="5080" b="14605"/>
                <wp:wrapNone/>
                <wp:docPr id="1631578984" name="圆角矩形 1631578984"/>
                <wp:cNvGraphicFramePr/>
                <a:graphic xmlns:a="http://schemas.openxmlformats.org/drawingml/2006/main">
                  <a:graphicData uri="http://schemas.microsoft.com/office/word/2010/wordprocessingShape">
                    <wps:wsp>
                      <wps:cNvSpPr>
                        <a:spLocks noChangeArrowheads="1"/>
                      </wps:cNvSpPr>
                      <wps:spPr bwMode="auto">
                        <a:xfrm>
                          <a:off x="0" y="0"/>
                          <a:ext cx="1857375" cy="571500"/>
                        </a:xfrm>
                        <a:prstGeom prst="roundRect">
                          <a:avLst>
                            <a:gd name="adj" fmla="val 16667"/>
                          </a:avLst>
                        </a:prstGeom>
                        <a:solidFill>
                          <a:srgbClr val="FFFFFF"/>
                        </a:solidFill>
                        <a:ln w="9525">
                          <a:solidFill>
                            <a:srgbClr val="000000"/>
                          </a:solidFill>
                          <a:round/>
                        </a:ln>
                        <a:effectLst/>
                      </wps:spPr>
                      <wps:txbx>
                        <w:txbxContent>
                          <w:p w14:paraId="7F7F589A">
                            <w:r>
                              <w:rPr>
                                <w:rFonts w:hint="eastAsia"/>
                                <w:szCs w:val="21"/>
                              </w:rPr>
                              <w:t>成本部借阅竣工图纸、接收结算资料及结算书</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47.75pt;margin-top:4.5pt;height:45pt;width:146.25pt;z-index:251930624;mso-width-relative:page;mso-height-relative:page;" fillcolor="#FFFFFF" filled="t" stroked="t" coordsize="21600,21600" arcsize="0.166666666666667" o:gfxdata="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GXx490gAAAAgBAAAPAAAAAAAAAAEAIAAAACIAAABkcnMvZG93bnJldi54bWxQSwECFAAU&#10;AAAACACHTuJACVZxMmkCAADEBAAADgAAAAAAAAABACAAAAAhAQAAZHJzL2Uyb0RvYy54bWxQSwUG&#10;AAAAAAYABgBZAQAA/AUAAAAA&#10;">
                <v:fill on="t" focussize="0,0"/>
                <v:stroke color="#000000" joinstyle="round"/>
                <v:imagedata o:title=""/>
                <o:lock v:ext="edit" aspectratio="f"/>
                <v:textbox>
                  <w:txbxContent>
                    <w:p w14:paraId="7F7F589A">
                      <w:r>
                        <w:rPr>
                          <w:rFonts w:hint="eastAsia"/>
                          <w:szCs w:val="21"/>
                        </w:rPr>
                        <w:t>成本部借阅竣工图纸、接收结算资料及结算书</w:t>
                      </w:r>
                    </w:p>
                  </w:txbxContent>
                </v:textbox>
              </v:roundrect>
            </w:pict>
          </mc:Fallback>
        </mc:AlternateContent>
      </w:r>
    </w:p>
    <w:p w14:paraId="1FF1873D">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34720" behindDoc="0" locked="0" layoutInCell="1" allowOverlap="1">
                <wp:simplePos x="0" y="0"/>
                <wp:positionH relativeFrom="column">
                  <wp:posOffset>2714625</wp:posOffset>
                </wp:positionH>
                <wp:positionV relativeFrom="paragraph">
                  <wp:posOffset>232410</wp:posOffset>
                </wp:positionV>
                <wp:extent cx="0" cy="247650"/>
                <wp:effectExtent l="38100" t="0" r="38100" b="0"/>
                <wp:wrapNone/>
                <wp:docPr id="1631578983" name="直接箭头连接符 1631578983"/>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13.75pt;margin-top:18.3pt;height:19.5pt;width:0pt;z-index:251934720;mso-width-relative:page;mso-height-relative:page;" filled="f" stroked="t" coordsize="21600,21600" o:gfxdata="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UO1ry2QAA&#10;AAkBAAAPAAAAAAAAAAEAIAAAACIAAABkcnMvZG93bnJldi54bWxQSwECFAAUAAAACACHTuJA9M6c&#10;TB0CAAALBAAADgAAAAAAAAABACAAAAAoAQAAZHJzL2Uyb0RvYy54bWxQSwUGAAAAAAYABgBZAQAA&#10;twUAAAAA&#10;">
                <v:fill on="f" focussize="0,0"/>
                <v:stroke color="#000000" joinstyle="round" endarrow="block"/>
                <v:imagedata o:title=""/>
                <o:lock v:ext="edit" aspectratio="f"/>
              </v:shape>
            </w:pict>
          </mc:Fallback>
        </mc:AlternateContent>
      </w:r>
    </w:p>
    <w:p w14:paraId="7AB4F0EE">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33696" behindDoc="0" locked="0" layoutInCell="1" allowOverlap="1">
                <wp:simplePos x="0" y="0"/>
                <wp:positionH relativeFrom="column">
                  <wp:posOffset>2009775</wp:posOffset>
                </wp:positionH>
                <wp:positionV relativeFrom="paragraph">
                  <wp:posOffset>131445</wp:posOffset>
                </wp:positionV>
                <wp:extent cx="1419225" cy="571500"/>
                <wp:effectExtent l="4445" t="4445" r="5080" b="14605"/>
                <wp:wrapNone/>
                <wp:docPr id="1631578982" name="圆角矩形 1631578982"/>
                <wp:cNvGraphicFramePr/>
                <a:graphic xmlns:a="http://schemas.openxmlformats.org/drawingml/2006/main">
                  <a:graphicData uri="http://schemas.microsoft.com/office/word/2010/wordprocessingShape">
                    <wps:wsp>
                      <wps:cNvSpPr>
                        <a:spLocks noChangeArrowheads="1"/>
                      </wps:cNvSpPr>
                      <wps:spPr bwMode="auto">
                        <a:xfrm>
                          <a:off x="0" y="0"/>
                          <a:ext cx="1419225" cy="571500"/>
                        </a:xfrm>
                        <a:prstGeom prst="roundRect">
                          <a:avLst>
                            <a:gd name="adj" fmla="val 16667"/>
                          </a:avLst>
                        </a:prstGeom>
                        <a:solidFill>
                          <a:srgbClr val="FFFFFF"/>
                        </a:solidFill>
                        <a:ln w="9525">
                          <a:solidFill>
                            <a:srgbClr val="000000"/>
                          </a:solidFill>
                          <a:round/>
                        </a:ln>
                        <a:effectLst/>
                      </wps:spPr>
                      <wps:txbx>
                        <w:txbxContent>
                          <w:p w14:paraId="00F89CB4">
                            <w:r>
                              <w:rPr>
                                <w:rFonts w:hint="eastAsia"/>
                                <w:szCs w:val="21"/>
                              </w:rPr>
                              <w:t>结算资料移交咨询单位，编制结算初稿</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58.25pt;margin-top:10.35pt;height:45pt;width:111.75pt;z-index:251933696;mso-width-relative:page;mso-height-relative:page;" fillcolor="#FFFFFF" filled="t" stroked="t" coordsize="21600,21600" arcsize="0.166666666666667" o:gfxdata="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hyzRB1QAAAAoBAAAPAAAAAAAAAAEAIAAAACIAAABkcnMvZG93bnJldi54bWxQSwECFAAUAAAA&#10;CACHTuJABgLhcmMCAADEBAAADgAAAAAAAAABACAAAAAkAQAAZHJzL2Uyb0RvYy54bWxQSwUGAAAA&#10;AAYABgBZAQAA+QUAAAAA&#10;">
                <v:fill on="t" focussize="0,0"/>
                <v:stroke color="#000000" joinstyle="round"/>
                <v:imagedata o:title=""/>
                <o:lock v:ext="edit" aspectratio="f"/>
                <v:textbox>
                  <w:txbxContent>
                    <w:p w14:paraId="00F89CB4">
                      <w:r>
                        <w:rPr>
                          <w:rFonts w:hint="eastAsia"/>
                          <w:szCs w:val="21"/>
                        </w:rPr>
                        <w:t>结算资料移交咨询单位，编制结算初稿</w:t>
                      </w:r>
                    </w:p>
                  </w:txbxContent>
                </v:textbox>
              </v:roundrect>
            </w:pict>
          </mc:Fallback>
        </mc:AlternateContent>
      </w:r>
    </w:p>
    <w:p w14:paraId="6576B977">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36768" behindDoc="0" locked="0" layoutInCell="1" allowOverlap="1">
                <wp:simplePos x="0" y="0"/>
                <wp:positionH relativeFrom="column">
                  <wp:posOffset>2714625</wp:posOffset>
                </wp:positionH>
                <wp:positionV relativeFrom="paragraph">
                  <wp:posOffset>306705</wp:posOffset>
                </wp:positionV>
                <wp:extent cx="635" cy="230505"/>
                <wp:effectExtent l="37465" t="0" r="38100" b="17145"/>
                <wp:wrapNone/>
                <wp:docPr id="1631578981" name="直接箭头连接符 1631578981"/>
                <wp:cNvGraphicFramePr/>
                <a:graphic xmlns:a="http://schemas.openxmlformats.org/drawingml/2006/main">
                  <a:graphicData uri="http://schemas.microsoft.com/office/word/2010/wordprocessingShape">
                    <wps:wsp>
                      <wps:cNvCnPr>
                        <a:cxnSpLocks noChangeShapeType="1"/>
                      </wps:cNvCnPr>
                      <wps:spPr bwMode="auto">
                        <a:xfrm>
                          <a:off x="0" y="0"/>
                          <a:ext cx="635" cy="230505"/>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13.75pt;margin-top:24.15pt;height:18.15pt;width:0.05pt;z-index:251936768;mso-width-relative:page;mso-height-relative:page;" filled="f" stroked="t" coordsize="21600,21600" o:gfxdata="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8AoLvZ&#10;AAAACQEAAA8AAAAAAAAAAQAgAAAAIgAAAGRycy9kb3ducmV2LnhtbFBLAQIUABQAAAAIAIdO4kBB&#10;bg0/HwIAAA0EAAAOAAAAAAAAAAEAIAAAACgBAABkcnMvZTJvRG9jLnhtbFBLBQYAAAAABgAGAFkB&#10;AAC5BQAAAAA=&#10;">
                <v:fill on="f" focussize="0,0"/>
                <v:stroke color="#000000" joinstyle="round" endarrow="block"/>
                <v:imagedata o:title=""/>
                <o:lock v:ext="edit" aspectratio="f"/>
              </v:shape>
            </w:pict>
          </mc:Fallback>
        </mc:AlternateContent>
      </w:r>
    </w:p>
    <w:p w14:paraId="5F75B50F">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35744" behindDoc="0" locked="0" layoutInCell="1" allowOverlap="1">
                <wp:simplePos x="0" y="0"/>
                <wp:positionH relativeFrom="column">
                  <wp:posOffset>704215</wp:posOffset>
                </wp:positionH>
                <wp:positionV relativeFrom="paragraph">
                  <wp:posOffset>170815</wp:posOffset>
                </wp:positionV>
                <wp:extent cx="4065905" cy="709295"/>
                <wp:effectExtent l="27940" t="5080" r="40005" b="9525"/>
                <wp:wrapNone/>
                <wp:docPr id="1631578980" name="流程图: 决策 1631578980"/>
                <wp:cNvGraphicFramePr/>
                <a:graphic xmlns:a="http://schemas.openxmlformats.org/drawingml/2006/main">
                  <a:graphicData uri="http://schemas.microsoft.com/office/word/2010/wordprocessingShape">
                    <wps:wsp>
                      <wps:cNvSpPr>
                        <a:spLocks noChangeArrowheads="1"/>
                      </wps:cNvSpPr>
                      <wps:spPr bwMode="auto">
                        <a:xfrm>
                          <a:off x="0" y="0"/>
                          <a:ext cx="4065905" cy="709295"/>
                        </a:xfrm>
                        <a:prstGeom prst="flowChartDecision">
                          <a:avLst/>
                        </a:prstGeom>
                        <a:solidFill>
                          <a:srgbClr val="FFFFFF"/>
                        </a:solidFill>
                        <a:ln w="9525">
                          <a:solidFill>
                            <a:srgbClr val="000000"/>
                          </a:solidFill>
                          <a:miter lim="800000"/>
                        </a:ln>
                        <a:effectLst/>
                      </wps:spPr>
                      <wps:txbx>
                        <w:txbxContent>
                          <w:p w14:paraId="7A163AB4">
                            <w:r>
                              <w:rPr>
                                <w:rFonts w:hint="eastAsia"/>
                              </w:rPr>
                              <w:t>结算书移交咨询单位，组织核对，解决争议问题。成本部审核</w:t>
                            </w:r>
                          </w:p>
                        </w:txbxContent>
                      </wps:txbx>
                      <wps:bodyPr rot="0" vert="horz" wrap="square" lIns="91440" tIns="45720" rIns="91440" bIns="45720" anchor="t" anchorCtr="0" upright="1">
                        <a:noAutofit/>
                      </wps:bodyPr>
                    </wps:wsp>
                  </a:graphicData>
                </a:graphic>
              </wp:anchor>
            </w:drawing>
          </mc:Choice>
          <mc:Fallback>
            <w:pict>
              <v:shape id="_x0000_s1026" o:spid="_x0000_s1026" o:spt="110" type="#_x0000_t110" style="position:absolute;left:0pt;margin-left:55.45pt;margin-top:13.45pt;height:55.85pt;width:320.15pt;z-index:251935744;mso-width-relative:page;mso-height-relative:page;" fillcolor="#FFFFFF" filled="t" stroked="t" coordsize="21600,21600" o:gfxdata="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9SQUZ2QAAAAoBAAAPAAAAAAAAAAEAIAAAACIAAABkcnMvZG93bnJldi54bWxQSwECFAAU&#10;AAAACACHTuJATDUp+mICAACyBAAADgAAAAAAAAABACAAAAAoAQAAZHJzL2Uyb0RvYy54bWxQSwUG&#10;AAAAAAYABgBZAQAA/AUAAAAA&#10;">
                <v:fill on="t" focussize="0,0"/>
                <v:stroke color="#000000" miterlimit="8" joinstyle="miter"/>
                <v:imagedata o:title=""/>
                <o:lock v:ext="edit" aspectratio="f"/>
                <v:textbox>
                  <w:txbxContent>
                    <w:p w14:paraId="7A163AB4">
                      <w:r>
                        <w:rPr>
                          <w:rFonts w:hint="eastAsia"/>
                        </w:rPr>
                        <w:t>结算书移交咨询单位，组织核对，解决争议问题。成本部审核</w:t>
                      </w:r>
                    </w:p>
                  </w:txbxContent>
                </v:textbox>
              </v:shape>
            </w:pict>
          </mc:Fallback>
        </mc:AlternateContent>
      </w:r>
    </w:p>
    <w:p w14:paraId="548F9C8B">
      <w:pPr>
        <w:spacing w:line="360" w:lineRule="auto"/>
        <w:ind w:left="780" w:firstLine="482"/>
        <w:outlineLvl w:val="9"/>
        <w:rPr>
          <w:rFonts w:cs="宋体" w:asciiTheme="minorEastAsia" w:hAnsiTheme="minorEastAsia" w:eastAsiaTheme="minorEastAsia"/>
          <w:b/>
          <w:color w:val="auto"/>
          <w:szCs w:val="21"/>
          <w:highlight w:val="none"/>
        </w:rPr>
      </w:pPr>
    </w:p>
    <w:p w14:paraId="0B1AA60A">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37792" behindDoc="0" locked="0" layoutInCell="1" allowOverlap="1">
                <wp:simplePos x="0" y="0"/>
                <wp:positionH relativeFrom="column">
                  <wp:posOffset>2715260</wp:posOffset>
                </wp:positionH>
                <wp:positionV relativeFrom="paragraph">
                  <wp:posOffset>203835</wp:posOffset>
                </wp:positionV>
                <wp:extent cx="0" cy="666750"/>
                <wp:effectExtent l="38100" t="0" r="38100" b="0"/>
                <wp:wrapNone/>
                <wp:docPr id="1631578979" name="直接箭头连接符 1631578979"/>
                <wp:cNvGraphicFramePr/>
                <a:graphic xmlns:a="http://schemas.openxmlformats.org/drawingml/2006/main">
                  <a:graphicData uri="http://schemas.microsoft.com/office/word/2010/wordprocessingShape">
                    <wps:wsp>
                      <wps:cNvCnPr>
                        <a:cxnSpLocks noChangeShapeType="1"/>
                      </wps:cNvCnPr>
                      <wps:spPr bwMode="auto">
                        <a:xfrm>
                          <a:off x="0" y="0"/>
                          <a:ext cx="0" cy="66675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13.8pt;margin-top:16.05pt;height:52.5pt;width:0pt;z-index:251937792;mso-width-relative:page;mso-height-relative:page;" filled="f" stroked="t" coordsize="21600,21600" o:gfxdata="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qNHUQ2QAA&#10;AAoBAAAPAAAAAAAAAAEAIAAAACIAAABkcnMvZG93bnJldi54bWxQSwECFAAUAAAACACHTuJARm4Y&#10;5R0CAAALBAAADgAAAAAAAAABACAAAAAoAQAAZHJzL2Uyb0RvYy54bWxQSwUGAAAAAAYABgBZAQAA&#10;twUAAAAA&#10;">
                <v:fill on="f" focussize="0,0"/>
                <v:stroke color="#000000" joinstyle="round" endarrow="block"/>
                <v:imagedata o:title=""/>
                <o:lock v:ext="edit" aspectratio="f"/>
              </v:shape>
            </w:pict>
          </mc:Fallback>
        </mc:AlternateContent>
      </w:r>
    </w:p>
    <w:p w14:paraId="34EDB25C">
      <w:pPr>
        <w:spacing w:line="360" w:lineRule="auto"/>
        <w:ind w:left="780" w:firstLine="482"/>
        <w:outlineLvl w:val="9"/>
        <w:rPr>
          <w:rFonts w:cs="宋体" w:asciiTheme="minorEastAsia" w:hAnsiTheme="minorEastAsia" w:eastAsiaTheme="minorEastAsia"/>
          <w:b/>
          <w:color w:val="auto"/>
          <w:szCs w:val="21"/>
          <w:highlight w:val="none"/>
        </w:rPr>
      </w:pPr>
    </w:p>
    <w:p w14:paraId="155D7765">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38816" behindDoc="0" locked="0" layoutInCell="1" allowOverlap="1">
                <wp:simplePos x="0" y="0"/>
                <wp:positionH relativeFrom="column">
                  <wp:posOffset>1771650</wp:posOffset>
                </wp:positionH>
                <wp:positionV relativeFrom="paragraph">
                  <wp:posOffset>78105</wp:posOffset>
                </wp:positionV>
                <wp:extent cx="2085975" cy="571500"/>
                <wp:effectExtent l="4445" t="4445" r="5080" b="14605"/>
                <wp:wrapNone/>
                <wp:docPr id="1631578978" name="圆角矩形 1631578978"/>
                <wp:cNvGraphicFramePr/>
                <a:graphic xmlns:a="http://schemas.openxmlformats.org/drawingml/2006/main">
                  <a:graphicData uri="http://schemas.microsoft.com/office/word/2010/wordprocessingShape">
                    <wps:wsp>
                      <wps:cNvSpPr>
                        <a:spLocks noChangeArrowheads="1"/>
                      </wps:cNvSpPr>
                      <wps:spPr bwMode="auto">
                        <a:xfrm>
                          <a:off x="0" y="0"/>
                          <a:ext cx="2085975" cy="571500"/>
                        </a:xfrm>
                        <a:prstGeom prst="roundRect">
                          <a:avLst>
                            <a:gd name="adj" fmla="val 16667"/>
                          </a:avLst>
                        </a:prstGeom>
                        <a:solidFill>
                          <a:srgbClr val="FFFFFF"/>
                        </a:solidFill>
                        <a:ln w="9525">
                          <a:solidFill>
                            <a:srgbClr val="000000"/>
                          </a:solidFill>
                          <a:round/>
                        </a:ln>
                        <a:effectLst/>
                      </wps:spPr>
                      <wps:txbx>
                        <w:txbxContent>
                          <w:p w14:paraId="403042E5">
                            <w:r>
                              <w:rPr>
                                <w:rFonts w:hint="eastAsia"/>
                                <w:szCs w:val="21"/>
                              </w:rPr>
                              <w:t>咨询单位出具结算报告书，归还结算资料、结算书、竣工图纸</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39.5pt;margin-top:6.15pt;height:45pt;width:164.25pt;z-index:251938816;mso-width-relative:page;mso-height-relative:page;" fillcolor="#FFFFFF" filled="t" stroked="t" coordsize="21600,21600" arcsize="0.166666666666667" o:gfxdata="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Jd2eq1gAAAAoBAAAPAAAAAAAAAAEAIAAAACIAAABkcnMvZG93bnJldi54bWxQSwEC&#10;FAAUAAAACACHTuJADRRk32gCAADEBAAADgAAAAAAAAABACAAAAAlAQAAZHJzL2Uyb0RvYy54bWxQ&#10;SwUGAAAAAAYABgBZAQAA/wUAAAAA&#10;">
                <v:fill on="t" focussize="0,0"/>
                <v:stroke color="#000000" joinstyle="round"/>
                <v:imagedata o:title=""/>
                <o:lock v:ext="edit" aspectratio="f"/>
                <v:textbox>
                  <w:txbxContent>
                    <w:p w14:paraId="403042E5">
                      <w:r>
                        <w:rPr>
                          <w:rFonts w:hint="eastAsia"/>
                          <w:szCs w:val="21"/>
                        </w:rPr>
                        <w:t>咨询单位出具结算报告书，归还结算资料、结算书、竣工图纸</w:t>
                      </w:r>
                    </w:p>
                  </w:txbxContent>
                </v:textbox>
              </v:roundrect>
            </w:pict>
          </mc:Fallback>
        </mc:AlternateContent>
      </w: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40864" behindDoc="0" locked="0" layoutInCell="1" allowOverlap="1">
                <wp:simplePos x="0" y="0"/>
                <wp:positionH relativeFrom="column">
                  <wp:posOffset>1038225</wp:posOffset>
                </wp:positionH>
                <wp:positionV relativeFrom="paragraph">
                  <wp:posOffset>325755</wp:posOffset>
                </wp:positionV>
                <wp:extent cx="657225" cy="0"/>
                <wp:effectExtent l="0" t="38100" r="9525" b="38100"/>
                <wp:wrapNone/>
                <wp:docPr id="1631578977" name="直接箭头连接符 1631578977"/>
                <wp:cNvGraphicFramePr/>
                <a:graphic xmlns:a="http://schemas.openxmlformats.org/drawingml/2006/main">
                  <a:graphicData uri="http://schemas.microsoft.com/office/word/2010/wordprocessingShape">
                    <wps:wsp>
                      <wps:cNvCnPr>
                        <a:cxnSpLocks noChangeShapeType="1"/>
                      </wps:cNvCnPr>
                      <wps:spPr bwMode="auto">
                        <a:xfrm flipH="1">
                          <a:off x="0" y="0"/>
                          <a:ext cx="657225" cy="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flip:x;margin-left:81.75pt;margin-top:25.65pt;height:0pt;width:51.75pt;z-index:251940864;mso-width-relative:page;mso-height-relative:page;" filled="f" stroked="t" coordsize="21600,21600" o:gfxdata="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1kloi9cA&#10;AAAJAQAADwAAAAAAAAABACAAAAAiAAAAZHJzL2Rvd25yZXYueG1sUEsBAhQAFAAAAAgAh07iQC3U&#10;zvwgAgAAFQQAAA4AAAAAAAAAAQAgAAAAJgEAAGRycy9lMm9Eb2MueG1sUEsFBgAAAAAGAAYAWQEA&#10;ALgFAAAAAA==&#10;">
                <v:fill on="f" focussize="0,0"/>
                <v:stroke color="#000000" joinstyle="round" endarrow="block"/>
                <v:imagedata o:title=""/>
                <o:lock v:ext="edit" aspectratio="f"/>
              </v:shape>
            </w:pict>
          </mc:Fallback>
        </mc:AlternateContent>
      </w: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41888" behindDoc="0" locked="0" layoutInCell="1" allowOverlap="1">
                <wp:simplePos x="0" y="0"/>
                <wp:positionH relativeFrom="column">
                  <wp:posOffset>-247650</wp:posOffset>
                </wp:positionH>
                <wp:positionV relativeFrom="paragraph">
                  <wp:posOffset>78105</wp:posOffset>
                </wp:positionV>
                <wp:extent cx="1304925" cy="571500"/>
                <wp:effectExtent l="4445" t="5080" r="5080" b="13970"/>
                <wp:wrapNone/>
                <wp:docPr id="1631578976" name="圆角矩形 1631578976"/>
                <wp:cNvGraphicFramePr/>
                <a:graphic xmlns:a="http://schemas.openxmlformats.org/drawingml/2006/main">
                  <a:graphicData uri="http://schemas.microsoft.com/office/word/2010/wordprocessingShape">
                    <wps:wsp>
                      <wps:cNvSpPr>
                        <a:spLocks noChangeArrowheads="1"/>
                      </wps:cNvSpPr>
                      <wps:spPr bwMode="auto">
                        <a:xfrm>
                          <a:off x="0" y="0"/>
                          <a:ext cx="1304925" cy="571500"/>
                        </a:xfrm>
                        <a:prstGeom prst="roundRect">
                          <a:avLst>
                            <a:gd name="adj" fmla="val 16667"/>
                          </a:avLst>
                        </a:prstGeom>
                        <a:solidFill>
                          <a:srgbClr val="FFFFFF"/>
                        </a:solidFill>
                        <a:ln w="9525">
                          <a:solidFill>
                            <a:srgbClr val="000000"/>
                          </a:solidFill>
                          <a:round/>
                        </a:ln>
                        <a:effectLst/>
                      </wps:spPr>
                      <wps:txbx>
                        <w:txbxContent>
                          <w:p w14:paraId="432626F8">
                            <w:r>
                              <w:rPr>
                                <w:rFonts w:hint="eastAsia"/>
                                <w:szCs w:val="21"/>
                              </w:rPr>
                              <w:t>结算报告书会签、盖章</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9.5pt;margin-top:6.15pt;height:45pt;width:102.75pt;z-index:251941888;mso-width-relative:page;mso-height-relative:page;" fillcolor="#FFFFFF" filled="t" stroked="t" coordsize="21600,21600" arcsize="0.166666666666667" o:gfxdata="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Ichf91gAAAAoBAAAPAAAAAAAAAAEAIAAAACIAAABkcnMvZG93bnJldi54bWxQSwECFAAU&#10;AAAACACHTuJACu85c2UCAADEBAAADgAAAAAAAAABACAAAAAlAQAAZHJzL2Uyb0RvYy54bWxQSwUG&#10;AAAAAAYABgBZAQAA/AUAAAAA&#10;">
                <v:fill on="t" focussize="0,0"/>
                <v:stroke color="#000000" joinstyle="round"/>
                <v:imagedata o:title=""/>
                <o:lock v:ext="edit" aspectratio="f"/>
                <v:textbox>
                  <w:txbxContent>
                    <w:p w14:paraId="432626F8">
                      <w:r>
                        <w:rPr>
                          <w:rFonts w:hint="eastAsia"/>
                          <w:szCs w:val="21"/>
                        </w:rPr>
                        <w:t>结算报告书会签、盖章</w:t>
                      </w:r>
                    </w:p>
                  </w:txbxContent>
                </v:textbox>
              </v:roundrect>
            </w:pict>
          </mc:Fallback>
        </mc:AlternateContent>
      </w:r>
    </w:p>
    <w:p w14:paraId="07053477">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42912" behindDoc="0" locked="0" layoutInCell="1" allowOverlap="1">
                <wp:simplePos x="0" y="0"/>
                <wp:positionH relativeFrom="column">
                  <wp:posOffset>428625</wp:posOffset>
                </wp:positionH>
                <wp:positionV relativeFrom="paragraph">
                  <wp:posOffset>358140</wp:posOffset>
                </wp:positionV>
                <wp:extent cx="1200150" cy="409575"/>
                <wp:effectExtent l="4445" t="0" r="14605" b="47625"/>
                <wp:wrapNone/>
                <wp:docPr id="1631578975" name="肘形连接符 1631578975"/>
                <wp:cNvGraphicFramePr/>
                <a:graphic xmlns:a="http://schemas.openxmlformats.org/drawingml/2006/main">
                  <a:graphicData uri="http://schemas.microsoft.com/office/word/2010/wordprocessingShape">
                    <wps:wsp>
                      <wps:cNvCnPr>
                        <a:cxnSpLocks noChangeShapeType="1"/>
                      </wps:cNvCnPr>
                      <wps:spPr bwMode="auto">
                        <a:xfrm>
                          <a:off x="0" y="0"/>
                          <a:ext cx="1200150" cy="409575"/>
                        </a:xfrm>
                        <a:prstGeom prst="bentConnector3">
                          <a:avLst>
                            <a:gd name="adj1" fmla="val 0"/>
                          </a:avLst>
                        </a:prstGeom>
                        <a:noFill/>
                        <a:ln w="9525">
                          <a:solidFill>
                            <a:srgbClr val="000000"/>
                          </a:solidFill>
                          <a:miter lim="800000"/>
                          <a:tailEnd type="triangle" w="med" len="med"/>
                        </a:ln>
                        <a:effectLst/>
                      </wps:spPr>
                      <wps:bodyPr/>
                    </wps:wsp>
                  </a:graphicData>
                </a:graphic>
              </wp:anchor>
            </w:drawing>
          </mc:Choice>
          <mc:Fallback>
            <w:pict>
              <v:shape id="_x0000_s1026" o:spid="_x0000_s1026" o:spt="34" type="#_x0000_t34" style="position:absolute;left:0pt;margin-left:33.75pt;margin-top:28.2pt;height:32.25pt;width:94.5pt;z-index:251942912;mso-width-relative:page;mso-height-relative:page;" filled="f" stroked="t" coordsize="21600,21600" o:gfxdata="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tZX2l1wAAAAkBAAAPAAAAAAAAAAEAIAAAACIAAABkcnMvZG93bnJl&#10;di54bWxQSwECFAAUAAAACACHTuJAByIiajcCAAA9BAAADgAAAAAAAAABACAAAAAmAQAAZHJzL2Uy&#10;b0RvYy54bWxQSwUGAAAAAAYABgBZAQAAzwUAAAAA&#10;" adj="0">
                <v:fill on="f" focussize="0,0"/>
                <v:stroke color="#000000" miterlimit="8" joinstyle="miter" endarrow="block"/>
                <v:imagedata o:title=""/>
                <o:lock v:ext="edit" aspectratio="f"/>
              </v:shape>
            </w:pict>
          </mc:Fallback>
        </mc:AlternateContent>
      </w:r>
    </w:p>
    <w:p w14:paraId="6D56AC26">
      <w:pPr>
        <w:spacing w:line="360" w:lineRule="auto"/>
        <w:ind w:left="780" w:firstLine="482"/>
        <w:outlineLvl w:val="9"/>
        <w:rPr>
          <w:rFonts w:cs="宋体" w:asciiTheme="minorEastAsia" w:hAnsiTheme="minorEastAsia" w:eastAsiaTheme="minorEastAsia"/>
          <w:b/>
          <w:color w:val="auto"/>
          <w:szCs w:val="21"/>
          <w:highlight w:val="none"/>
        </w:rPr>
      </w:pP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39840" behindDoc="0" locked="0" layoutInCell="1" allowOverlap="1">
                <wp:simplePos x="0" y="0"/>
                <wp:positionH relativeFrom="column">
                  <wp:posOffset>1695450</wp:posOffset>
                </wp:positionH>
                <wp:positionV relativeFrom="paragraph">
                  <wp:posOffset>76200</wp:posOffset>
                </wp:positionV>
                <wp:extent cx="2038350" cy="466725"/>
                <wp:effectExtent l="4445" t="4445" r="14605" b="5080"/>
                <wp:wrapNone/>
                <wp:docPr id="1631578974" name="圆角矩形 1631578974"/>
                <wp:cNvGraphicFramePr/>
                <a:graphic xmlns:a="http://schemas.openxmlformats.org/drawingml/2006/main">
                  <a:graphicData uri="http://schemas.microsoft.com/office/word/2010/wordprocessingShape">
                    <wps:wsp>
                      <wps:cNvSpPr>
                        <a:spLocks noChangeArrowheads="1"/>
                      </wps:cNvSpPr>
                      <wps:spPr bwMode="auto">
                        <a:xfrm>
                          <a:off x="0" y="0"/>
                          <a:ext cx="2038350" cy="466725"/>
                        </a:xfrm>
                        <a:prstGeom prst="roundRect">
                          <a:avLst>
                            <a:gd name="adj" fmla="val 16667"/>
                          </a:avLst>
                        </a:prstGeom>
                        <a:solidFill>
                          <a:srgbClr val="FFFFFF"/>
                        </a:solidFill>
                        <a:ln w="9525">
                          <a:solidFill>
                            <a:srgbClr val="000000"/>
                          </a:solidFill>
                          <a:round/>
                        </a:ln>
                        <a:effectLst/>
                      </wps:spPr>
                      <wps:txbx>
                        <w:txbxContent>
                          <w:p w14:paraId="70279407">
                            <w:r>
                              <w:rPr>
                                <w:rFonts w:hint="eastAsia"/>
                                <w:szCs w:val="21"/>
                              </w:rPr>
                              <w:t>成本部归还竣工图纸，并移交结算书、结算资料、结算报告书</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33.5pt;margin-top:6pt;height:36.75pt;width:160.5pt;z-index:251939840;mso-width-relative:page;mso-height-relative:page;" fillcolor="#FFFFFF" filled="t" stroked="t" coordsize="21600,21600" arcsize="0.166666666666667" o:gfxdata="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Jo2yDVAAAACQEAAA8AAAAAAAAAAQAgAAAAIgAAAGRycy9kb3ducmV2LnhtbFBLAQIUABQAAAAI&#10;AIdO4kC02au8YgIAAMQEAAAOAAAAAAAAAAEAIAAAACQBAABkcnMvZTJvRG9jLnhtbFBLBQYAAAAA&#10;BgAGAFkBAAD4BQAAAAA=&#10;">
                <v:fill on="t" focussize="0,0"/>
                <v:stroke color="#000000" joinstyle="round"/>
                <v:imagedata o:title=""/>
                <o:lock v:ext="edit" aspectratio="f"/>
                <v:textbox>
                  <w:txbxContent>
                    <w:p w14:paraId="70279407">
                      <w:r>
                        <w:rPr>
                          <w:rFonts w:hint="eastAsia"/>
                          <w:szCs w:val="21"/>
                        </w:rPr>
                        <w:t>成本部归还竣工图纸，并移交结算书、结算资料、结算报告书</w:t>
                      </w:r>
                    </w:p>
                  </w:txbxContent>
                </v:textbox>
              </v:roundrect>
            </w:pict>
          </mc:Fallback>
        </mc:AlternateContent>
      </w: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44960" behindDoc="0" locked="0" layoutInCell="1" allowOverlap="1">
                <wp:simplePos x="0" y="0"/>
                <wp:positionH relativeFrom="column">
                  <wp:posOffset>3771900</wp:posOffset>
                </wp:positionH>
                <wp:positionV relativeFrom="paragraph">
                  <wp:posOffset>371475</wp:posOffset>
                </wp:positionV>
                <wp:extent cx="504825" cy="0"/>
                <wp:effectExtent l="0" t="38100" r="9525" b="38100"/>
                <wp:wrapNone/>
                <wp:docPr id="1631578973" name="直接箭头连接符 1631578973"/>
                <wp:cNvGraphicFramePr/>
                <a:graphic xmlns:a="http://schemas.openxmlformats.org/drawingml/2006/main">
                  <a:graphicData uri="http://schemas.microsoft.com/office/word/2010/wordprocessingShape">
                    <wps:wsp>
                      <wps:cNvCnPr>
                        <a:cxnSpLocks noChangeShapeType="1"/>
                      </wps:cNvCnPr>
                      <wps:spPr bwMode="auto">
                        <a:xfrm>
                          <a:off x="0" y="0"/>
                          <a:ext cx="504825" cy="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297pt;margin-top:29.25pt;height:0pt;width:39.75pt;z-index:251944960;mso-width-relative:page;mso-height-relative:page;" filled="f" stroked="t" coordsize="21600,21600" o:gfxdata="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HS3zC2AAAAAkB&#10;AAAPAAAAAAAAAAEAIAAAACIAAABkcnMvZG93bnJldi54bWxQSwECFAAUAAAACACHTuJALTJklBsC&#10;AAALBAAADgAAAAAAAAABACAAAAAnAQAAZHJzL2Uyb0RvYy54bWxQSwUGAAAAAAYABgBZAQAAtAUA&#10;AAAA&#10;">
                <v:fill on="f" focussize="0,0"/>
                <v:stroke color="#000000" joinstyle="round" endarrow="block"/>
                <v:imagedata o:title=""/>
                <o:lock v:ext="edit" aspectratio="f"/>
              </v:shape>
            </w:pict>
          </mc:Fallback>
        </mc:AlternateContent>
      </w:r>
      <w:r>
        <w:rPr>
          <w:rFonts w:cs="宋体" w:asciiTheme="minorEastAsia" w:hAnsiTheme="minorEastAsia" w:eastAsiaTheme="minorEastAsia"/>
          <w:b/>
          <w:color w:val="auto"/>
          <w:szCs w:val="21"/>
          <w:highlight w:val="none"/>
        </w:rPr>
        <mc:AlternateContent>
          <mc:Choice Requires="wps">
            <w:drawing>
              <wp:anchor distT="0" distB="0" distL="114300" distR="114300" simplePos="0" relativeHeight="251943936" behindDoc="0" locked="0" layoutInCell="1" allowOverlap="1">
                <wp:simplePos x="0" y="0"/>
                <wp:positionH relativeFrom="column">
                  <wp:posOffset>4362450</wp:posOffset>
                </wp:positionH>
                <wp:positionV relativeFrom="paragraph">
                  <wp:posOffset>200025</wp:posOffset>
                </wp:positionV>
                <wp:extent cx="1304925" cy="342900"/>
                <wp:effectExtent l="4445" t="4445" r="5080" b="14605"/>
                <wp:wrapNone/>
                <wp:docPr id="1631578972" name="圆角矩形 1631578972"/>
                <wp:cNvGraphicFramePr/>
                <a:graphic xmlns:a="http://schemas.openxmlformats.org/drawingml/2006/main">
                  <a:graphicData uri="http://schemas.microsoft.com/office/word/2010/wordprocessingShape">
                    <wps:wsp>
                      <wps:cNvSpPr>
                        <a:spLocks noChangeArrowheads="1"/>
                      </wps:cNvSpPr>
                      <wps:spPr bwMode="auto">
                        <a:xfrm>
                          <a:off x="0" y="0"/>
                          <a:ext cx="1304925" cy="342900"/>
                        </a:xfrm>
                        <a:prstGeom prst="roundRect">
                          <a:avLst>
                            <a:gd name="adj" fmla="val 16667"/>
                          </a:avLst>
                        </a:prstGeom>
                        <a:solidFill>
                          <a:srgbClr val="FFFFFF"/>
                        </a:solidFill>
                        <a:ln w="9525">
                          <a:solidFill>
                            <a:srgbClr val="000000"/>
                          </a:solidFill>
                          <a:round/>
                        </a:ln>
                        <a:effectLst/>
                      </wps:spPr>
                      <wps:txbx>
                        <w:txbxContent>
                          <w:p w14:paraId="2C4553D6">
                            <w:r>
                              <w:rPr>
                                <w:rFonts w:hint="eastAsia"/>
                                <w:szCs w:val="21"/>
                              </w:rPr>
                              <w:t>经发档案馆归档</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343.5pt;margin-top:15.75pt;height:27pt;width:102.75pt;z-index:251943936;mso-width-relative:page;mso-height-relative:page;" fillcolor="#FFFFFF" filled="t" stroked="t" coordsize="21600,21600" arcsize="0.166666666666667" o:gfxdata="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WkiebdUAAAAJAQAADwAAAAAAAAABACAAAAAiAAAAZHJzL2Rvd25yZXYueG1sUEsBAhQAFAAA&#10;AAgAh07iQPixeZNkAgAAxAQAAA4AAAAAAAAAAQAgAAAAJAEAAGRycy9lMm9Eb2MueG1sUEsFBgAA&#10;AAAGAAYAWQEAAPoFAAAAAA==&#10;">
                <v:fill on="t" focussize="0,0"/>
                <v:stroke color="#000000" joinstyle="round"/>
                <v:imagedata o:title=""/>
                <o:lock v:ext="edit" aspectratio="f"/>
                <v:textbox>
                  <w:txbxContent>
                    <w:p w14:paraId="2C4553D6">
                      <w:r>
                        <w:rPr>
                          <w:rFonts w:hint="eastAsia"/>
                          <w:szCs w:val="21"/>
                        </w:rPr>
                        <w:t>经发档案馆归档</w:t>
                      </w:r>
                    </w:p>
                  </w:txbxContent>
                </v:textbox>
              </v:roundrect>
            </w:pict>
          </mc:Fallback>
        </mc:AlternateContent>
      </w:r>
    </w:p>
    <w:p w14:paraId="05F01F6A">
      <w:pPr>
        <w:spacing w:line="360" w:lineRule="auto"/>
        <w:ind w:left="780" w:firstLine="482"/>
        <w:outlineLvl w:val="9"/>
        <w:rPr>
          <w:rFonts w:cs="宋体" w:asciiTheme="minorEastAsia" w:hAnsiTheme="minorEastAsia" w:eastAsiaTheme="minorEastAsia"/>
          <w:b/>
          <w:color w:val="auto"/>
          <w:szCs w:val="21"/>
          <w:highlight w:val="none"/>
        </w:rPr>
      </w:pPr>
    </w:p>
    <w:p w14:paraId="06BB3C8D">
      <w:pPr>
        <w:widowControl/>
        <w:spacing w:line="360" w:lineRule="auto"/>
        <w:jc w:val="left"/>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二、结算编制及审核条件：</w:t>
      </w:r>
    </w:p>
    <w:p w14:paraId="7A55297E">
      <w:pPr>
        <w:widowControl/>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1.施工单位完成工程设计图纸和合同约定的各项内容，以及建设单位委托的其他零星工作，并符合相关验收标准。</w:t>
      </w:r>
    </w:p>
    <w:p w14:paraId="4AEF5543">
      <w:pPr>
        <w:widowControl/>
        <w:tabs>
          <w:tab w:val="left" w:pos="360"/>
        </w:tabs>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2.施工单位向建设单位提交工程竣工报告，竣工验收已通过，并取得竣工验收报告。</w:t>
      </w:r>
    </w:p>
    <w:p w14:paraId="68E4A04A">
      <w:pPr>
        <w:widowControl/>
        <w:tabs>
          <w:tab w:val="left" w:pos="360"/>
        </w:tabs>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3.施工单位竣工图绘制完毕，并移交竣工图档案管理部门。</w:t>
      </w:r>
    </w:p>
    <w:p w14:paraId="1663C74F">
      <w:pPr>
        <w:widowControl/>
        <w:spacing w:line="360" w:lineRule="auto"/>
        <w:jc w:val="left"/>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三、施工单位报送结算范围</w:t>
      </w:r>
    </w:p>
    <w:tbl>
      <w:tblPr>
        <w:tblStyle w:val="5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57"/>
        <w:gridCol w:w="6837"/>
      </w:tblGrid>
      <w:tr w14:paraId="4A823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1" w:type="pct"/>
          </w:tcPr>
          <w:p w14:paraId="1B3475E3">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序号</w:t>
            </w:r>
          </w:p>
        </w:tc>
        <w:tc>
          <w:tcPr>
            <w:tcW w:w="3639" w:type="pct"/>
          </w:tcPr>
          <w:p w14:paraId="19B30BEC">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工程名称</w:t>
            </w:r>
          </w:p>
        </w:tc>
      </w:tr>
      <w:tr w14:paraId="28486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1" w:type="pct"/>
          </w:tcPr>
          <w:p w14:paraId="0848713C">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w:t>
            </w:r>
          </w:p>
        </w:tc>
        <w:tc>
          <w:tcPr>
            <w:tcW w:w="3639" w:type="pct"/>
          </w:tcPr>
          <w:p w14:paraId="424D65FA">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总包</w:t>
            </w:r>
          </w:p>
        </w:tc>
      </w:tr>
      <w:tr w14:paraId="6DC66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1" w:type="pct"/>
          </w:tcPr>
          <w:p w14:paraId="260B8E73">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w:t>
            </w:r>
          </w:p>
        </w:tc>
        <w:tc>
          <w:tcPr>
            <w:tcW w:w="3639" w:type="pct"/>
          </w:tcPr>
          <w:p w14:paraId="2EF7C2D3">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****暂估价工程</w:t>
            </w:r>
          </w:p>
        </w:tc>
      </w:tr>
      <w:tr w14:paraId="0A2C5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1" w:type="pct"/>
          </w:tcPr>
          <w:p w14:paraId="0C5D5615">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w:t>
            </w:r>
          </w:p>
        </w:tc>
        <w:tc>
          <w:tcPr>
            <w:tcW w:w="3639" w:type="pct"/>
          </w:tcPr>
          <w:p w14:paraId="39934A6F">
            <w:pPr>
              <w:keepNext w:val="0"/>
              <w:keepLines w:val="0"/>
              <w:suppressLineNumbers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w:t>
            </w:r>
          </w:p>
        </w:tc>
      </w:tr>
    </w:tbl>
    <w:p w14:paraId="4411CEFE">
      <w:pPr>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施工单位应按照合同及补充协议规定，结算总金额包含其约定范围内的所有内容。</w:t>
      </w:r>
    </w:p>
    <w:p w14:paraId="56FBBC55">
      <w:pPr>
        <w:widowControl/>
        <w:spacing w:line="360" w:lineRule="auto"/>
        <w:jc w:val="left"/>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四、结算时间要求</w:t>
      </w:r>
    </w:p>
    <w:p w14:paraId="3E965B91">
      <w:pPr>
        <w:ind w:firstLine="480"/>
        <w:jc w:val="right"/>
        <w:outlineLvl w:val="9"/>
        <w:rPr>
          <w:rFonts w:hint="eastAsia" w:cs="宋体" w:asciiTheme="minorEastAsia" w:hAnsiTheme="minorEastAsia" w:eastAsiaTheme="minorEastAsia"/>
          <w:color w:val="auto"/>
          <w:kern w:val="0"/>
          <w:szCs w:val="21"/>
          <w:highlight w:val="none"/>
        </w:rPr>
        <w:sectPr>
          <w:pgSz w:w="11900" w:h="16838"/>
          <w:pgMar w:top="1134" w:right="1361" w:bottom="1134" w:left="1361" w:header="567" w:footer="567" w:gutter="0"/>
          <w:pgBorders>
            <w:top w:val="none" w:sz="0" w:space="0"/>
            <w:left w:val="none" w:sz="0" w:space="0"/>
            <w:bottom w:val="none" w:sz="0" w:space="0"/>
            <w:right w:val="none" w:sz="0" w:space="0"/>
          </w:pgBorders>
          <w:cols w:space="720" w:num="1"/>
          <w:docGrid w:linePitch="286" w:charSpace="0"/>
        </w:sectPr>
      </w:pPr>
    </w:p>
    <w:tbl>
      <w:tblPr>
        <w:tblStyle w:val="56"/>
        <w:tblW w:w="9768" w:type="dxa"/>
        <w:tblInd w:w="-34" w:type="dxa"/>
        <w:tblLayout w:type="autofit"/>
        <w:tblCellMar>
          <w:top w:w="0" w:type="dxa"/>
          <w:left w:w="108" w:type="dxa"/>
          <w:bottom w:w="0" w:type="dxa"/>
          <w:right w:w="108" w:type="dxa"/>
        </w:tblCellMar>
      </w:tblPr>
      <w:tblGrid>
        <w:gridCol w:w="1419"/>
        <w:gridCol w:w="701"/>
        <w:gridCol w:w="701"/>
        <w:gridCol w:w="701"/>
        <w:gridCol w:w="701"/>
        <w:gridCol w:w="701"/>
        <w:gridCol w:w="701"/>
        <w:gridCol w:w="701"/>
        <w:gridCol w:w="701"/>
        <w:gridCol w:w="701"/>
        <w:gridCol w:w="788"/>
        <w:gridCol w:w="788"/>
        <w:gridCol w:w="788"/>
        <w:gridCol w:w="788"/>
        <w:gridCol w:w="788"/>
        <w:gridCol w:w="788"/>
        <w:gridCol w:w="788"/>
        <w:gridCol w:w="788"/>
        <w:gridCol w:w="788"/>
      </w:tblGrid>
      <w:tr w14:paraId="02B069A7">
        <w:tblPrEx>
          <w:tblCellMar>
            <w:top w:w="0" w:type="dxa"/>
            <w:left w:w="108" w:type="dxa"/>
            <w:bottom w:w="0" w:type="dxa"/>
            <w:right w:w="108" w:type="dxa"/>
          </w:tblCellMar>
        </w:tblPrEx>
        <w:trPr>
          <w:trHeight w:val="270" w:hRule="atLeast"/>
        </w:trPr>
        <w:tc>
          <w:tcPr>
            <w:tcW w:w="1667" w:type="dxa"/>
            <w:tcBorders>
              <w:top w:val="single" w:color="auto" w:sz="4" w:space="0"/>
              <w:left w:val="single" w:color="auto" w:sz="4" w:space="0"/>
              <w:bottom w:val="nil"/>
              <w:right w:val="nil"/>
            </w:tcBorders>
            <w:shd w:val="clear" w:color="auto" w:fill="auto"/>
            <w:noWrap/>
            <w:vAlign w:val="center"/>
          </w:tcPr>
          <w:p w14:paraId="13D7414B">
            <w:pPr>
              <w:keepNext w:val="0"/>
              <w:keepLines w:val="0"/>
              <w:suppressLineNumbers w:val="0"/>
              <w:spacing w:before="0" w:beforeAutospacing="0" w:after="0" w:afterAutospacing="0"/>
              <w:ind w:left="0" w:right="0" w:firstLine="480"/>
              <w:jc w:val="right"/>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mc:AlternateContent>
                <mc:Choice Requires="wps">
                  <w:drawing>
                    <wp:anchor distT="0" distB="0" distL="114300" distR="114300" simplePos="0" relativeHeight="251945984" behindDoc="0" locked="0" layoutInCell="1" allowOverlap="1">
                      <wp:simplePos x="0" y="0"/>
                      <wp:positionH relativeFrom="column">
                        <wp:posOffset>-43180</wp:posOffset>
                      </wp:positionH>
                      <wp:positionV relativeFrom="paragraph">
                        <wp:posOffset>27305</wp:posOffset>
                      </wp:positionV>
                      <wp:extent cx="1406525" cy="365760"/>
                      <wp:effectExtent l="1270" t="4445" r="1905" b="10795"/>
                      <wp:wrapNone/>
                      <wp:docPr id="1631578971" name="直接箭头连接符 1631578971"/>
                      <wp:cNvGraphicFramePr/>
                      <a:graphic xmlns:a="http://schemas.openxmlformats.org/drawingml/2006/main">
                        <a:graphicData uri="http://schemas.microsoft.com/office/word/2010/wordprocessingShape">
                          <wps:wsp>
                            <wps:cNvCnPr>
                              <a:cxnSpLocks noChangeShapeType="1"/>
                            </wps:cNvCnPr>
                            <wps:spPr bwMode="auto">
                              <a:xfrm>
                                <a:off x="0" y="0"/>
                                <a:ext cx="1406525" cy="365760"/>
                              </a:xfrm>
                              <a:prstGeom prst="straightConnector1">
                                <a:avLst/>
                              </a:prstGeom>
                              <a:noFill/>
                              <a:ln w="9525">
                                <a:solidFill>
                                  <a:srgbClr val="000000"/>
                                </a:solidFill>
                                <a:round/>
                              </a:ln>
                              <a:effectLst/>
                            </wps:spPr>
                            <wps:bodyPr/>
                          </wps:wsp>
                        </a:graphicData>
                      </a:graphic>
                    </wp:anchor>
                  </w:drawing>
                </mc:Choice>
                <mc:Fallback>
                  <w:pict>
                    <v:shape id="_x0000_s1026" o:spid="_x0000_s1026" o:spt="32" type="#_x0000_t32" style="position:absolute;left:0pt;margin-left:-3.4pt;margin-top:2.15pt;height:28.8pt;width:110.75pt;z-index:251945984;mso-width-relative:page;mso-height-relative:page;" filled="f" stroked="t" coordsize="21600,21600" o:gfxdata="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&#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JpCzzWAAAABwEAAA8AAAAAAAAAAQAgAAAAIgAAAGRy&#10;cy9kb3ducmV2LnhtbFBLAQIUABQAAAAIAIdO4kCUiw+rBwIAAOMDAAAOAAAAAAAAAAEAIAAAACUB&#10;AABkcnMvZTJvRG9jLnhtbFBLBQYAAAAABgAGAFkBAACeBQAAAAA=&#10;">
                      <v:fill on="f" focussize="0,0"/>
                      <v:stroke color="#000000" joinstyle="round"/>
                      <v:imagedata o:title=""/>
                      <o:lock v:ext="edit" aspectratio="f"/>
                    </v:shape>
                  </w:pict>
                </mc:Fallback>
              </mc:AlternateContent>
            </w:r>
            <w:r>
              <w:rPr>
                <w:rFonts w:hint="eastAsia" w:cs="宋体" w:asciiTheme="minorEastAsia" w:hAnsiTheme="minorEastAsia" w:eastAsiaTheme="minorEastAsia"/>
                <w:color w:val="auto"/>
                <w:kern w:val="0"/>
                <w:szCs w:val="21"/>
                <w:highlight w:val="none"/>
              </w:rPr>
              <w:t>月份</w:t>
            </w:r>
          </w:p>
        </w:tc>
        <w:tc>
          <w:tcPr>
            <w:tcW w:w="451"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6637F3D5">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C9788B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508412BD">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3月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29745165">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4月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00319715">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5月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5D0A155">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6月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0BFED53">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7月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113A472">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8月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5EB4D03A">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9月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799D4F99">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10月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0D5D505">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11月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3478BEEC">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12月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2769F59C">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13月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537C0127">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14月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3C085D12">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15月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0EB08422">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16月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3C1C1F98">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17月</w:t>
            </w:r>
          </w:p>
        </w:tc>
        <w:tc>
          <w:tcPr>
            <w:tcW w:w="4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0ABCA8A">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18月</w:t>
            </w:r>
          </w:p>
        </w:tc>
      </w:tr>
      <w:tr w14:paraId="223F4A8F">
        <w:tblPrEx>
          <w:tblCellMar>
            <w:top w:w="0" w:type="dxa"/>
            <w:left w:w="108" w:type="dxa"/>
            <w:bottom w:w="0" w:type="dxa"/>
            <w:right w:w="108" w:type="dxa"/>
          </w:tblCellMar>
        </w:tblPrEx>
        <w:trPr>
          <w:trHeight w:val="270" w:hRule="atLeast"/>
        </w:trPr>
        <w:tc>
          <w:tcPr>
            <w:tcW w:w="1667" w:type="dxa"/>
            <w:tcBorders>
              <w:top w:val="nil"/>
              <w:left w:val="single" w:color="auto" w:sz="4" w:space="0"/>
              <w:bottom w:val="single" w:color="auto" w:sz="4" w:space="0"/>
              <w:right w:val="nil"/>
            </w:tcBorders>
            <w:shd w:val="clear" w:color="auto" w:fill="auto"/>
            <w:vAlign w:val="center"/>
          </w:tcPr>
          <w:p w14:paraId="706A989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项目</w:t>
            </w:r>
          </w:p>
        </w:tc>
        <w:tc>
          <w:tcPr>
            <w:tcW w:w="451" w:type="dxa"/>
            <w:vMerge w:val="continue"/>
            <w:tcBorders>
              <w:top w:val="single" w:color="auto" w:sz="4" w:space="0"/>
              <w:left w:val="single" w:color="auto" w:sz="4" w:space="0"/>
              <w:bottom w:val="single" w:color="auto" w:sz="4" w:space="0"/>
              <w:right w:val="single" w:color="auto" w:sz="4" w:space="0"/>
            </w:tcBorders>
            <w:vAlign w:val="center"/>
          </w:tcPr>
          <w:p w14:paraId="15A4E304">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5EE81A3C">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308FFEDF">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6C95D7EA">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4044DFBD">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4E4974F1">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10D9D075">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6E0117D9">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62C65FA1">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504F3CCC">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088CD61E">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3B5ED57C">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001CEAC5">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467C2B4B">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1580815A">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56E2ABD8">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383BF583">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vMerge w:val="continue"/>
            <w:tcBorders>
              <w:top w:val="single" w:color="auto" w:sz="4" w:space="0"/>
              <w:left w:val="single" w:color="auto" w:sz="4" w:space="0"/>
              <w:bottom w:val="single" w:color="auto" w:sz="4" w:space="0"/>
              <w:right w:val="single" w:color="auto" w:sz="4" w:space="0"/>
            </w:tcBorders>
            <w:vAlign w:val="center"/>
          </w:tcPr>
          <w:p w14:paraId="7D379D22">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r>
      <w:tr w14:paraId="4D499082">
        <w:tblPrEx>
          <w:tblCellMar>
            <w:top w:w="0" w:type="dxa"/>
            <w:left w:w="108" w:type="dxa"/>
            <w:bottom w:w="0" w:type="dxa"/>
            <w:right w:w="108" w:type="dxa"/>
          </w:tblCellMar>
        </w:tblPrEx>
        <w:trPr>
          <w:trHeight w:val="390" w:hRule="atLeast"/>
        </w:trPr>
        <w:tc>
          <w:tcPr>
            <w:tcW w:w="1667" w:type="dxa"/>
            <w:tcBorders>
              <w:top w:val="nil"/>
              <w:left w:val="single" w:color="auto" w:sz="4" w:space="0"/>
              <w:bottom w:val="single" w:color="auto" w:sz="4" w:space="0"/>
              <w:right w:val="single" w:color="auto" w:sz="4" w:space="0"/>
            </w:tcBorders>
            <w:shd w:val="clear" w:color="auto" w:fill="auto"/>
            <w:vAlign w:val="center"/>
          </w:tcPr>
          <w:p w14:paraId="55E1121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施工单位结算资料上报</w:t>
            </w:r>
          </w:p>
        </w:tc>
        <w:tc>
          <w:tcPr>
            <w:tcW w:w="1351" w:type="dxa"/>
            <w:gridSpan w:val="3"/>
            <w:tcBorders>
              <w:top w:val="nil"/>
              <w:left w:val="nil"/>
              <w:bottom w:val="single" w:color="auto" w:sz="4" w:space="0"/>
              <w:right w:val="single" w:color="auto" w:sz="4" w:space="0"/>
            </w:tcBorders>
            <w:shd w:val="clear" w:color="auto" w:fill="auto"/>
            <w:noWrap/>
            <w:vAlign w:val="center"/>
          </w:tcPr>
          <w:p w14:paraId="339F28E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mc:AlternateContent>
                <mc:Choice Requires="wps">
                  <w:drawing>
                    <wp:anchor distT="0" distB="0" distL="114300" distR="114300" simplePos="0" relativeHeight="251914240" behindDoc="0" locked="0" layoutInCell="1" allowOverlap="1">
                      <wp:simplePos x="0" y="0"/>
                      <wp:positionH relativeFrom="column">
                        <wp:posOffset>67945</wp:posOffset>
                      </wp:positionH>
                      <wp:positionV relativeFrom="paragraph">
                        <wp:posOffset>78740</wp:posOffset>
                      </wp:positionV>
                      <wp:extent cx="1073785" cy="4445"/>
                      <wp:effectExtent l="0" t="19050" r="12065" b="33655"/>
                      <wp:wrapNone/>
                      <wp:docPr id="152" name="直接连接符 10"/>
                      <wp:cNvGraphicFramePr/>
                      <a:graphic xmlns:a="http://schemas.openxmlformats.org/drawingml/2006/main">
                        <a:graphicData uri="http://schemas.microsoft.com/office/word/2010/wordprocessingShape">
                          <wps:wsp>
                            <wps:cNvCnPr/>
                            <wps:spPr>
                              <a:xfrm flipV="1">
                                <a:off x="0" y="0"/>
                                <a:ext cx="1073785" cy="4445"/>
                              </a:xfrm>
                              <a:prstGeom prst="line">
                                <a:avLst/>
                              </a:prstGeom>
                              <a:ln w="38100" cap="flat" cmpd="sng">
                                <a:solidFill>
                                  <a:srgbClr val="000000"/>
                                </a:solidFill>
                                <a:prstDash val="solid"/>
                                <a:miter/>
                                <a:headEnd type="none" w="med" len="med"/>
                                <a:tailEnd type="none" w="med" len="med"/>
                              </a:ln>
                              <a:effectLst/>
                            </wps:spPr>
                            <wps:bodyPr upright="1"/>
                          </wps:wsp>
                        </a:graphicData>
                      </a:graphic>
                    </wp:anchor>
                  </w:drawing>
                </mc:Choice>
                <mc:Fallback>
                  <w:pict>
                    <v:line id="直接连接符 10" o:spid="_x0000_s1026" o:spt="20" style="position:absolute;left:0pt;flip:y;margin-left:5.35pt;margin-top:6.2pt;height:0.35pt;width:84.55pt;z-index:251914240;mso-width-relative:page;mso-height-relative:page;" filled="f" stroked="t" coordsize="21600,21600" o:gfxdata="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nf96DRAAAACAEAAA8AAAAAAAAAAQAgAAAAIgAAAGRy&#10;cy9kb3ducmV2LnhtbFBLAQIUABQAAAAIAIdO4kDIFqE8DAIAAA0EAAAOAAAAAAAAAAEAIAAAACAB&#10;AABkcnMvZTJvRG9jLnhtbFBLBQYAAAAABgAGAFkBAACeBQAAAAA=&#10;">
                      <v:fill on="f" focussize="0,0"/>
                      <v:stroke weight="3pt" color="#000000" joinstyle="miter"/>
                      <v:imagedata o:title=""/>
                      <o:lock v:ext="edit" aspectratio="f"/>
                    </v:line>
                  </w:pict>
                </mc:Fallback>
              </mc:AlternateContent>
            </w:r>
          </w:p>
        </w:tc>
        <w:tc>
          <w:tcPr>
            <w:tcW w:w="450" w:type="dxa"/>
            <w:tcBorders>
              <w:top w:val="nil"/>
              <w:left w:val="nil"/>
              <w:bottom w:val="single" w:color="auto" w:sz="4" w:space="0"/>
              <w:right w:val="single" w:color="auto" w:sz="4" w:space="0"/>
            </w:tcBorders>
            <w:shd w:val="clear" w:color="auto" w:fill="auto"/>
            <w:noWrap/>
            <w:vAlign w:val="center"/>
          </w:tcPr>
          <w:p w14:paraId="657A2D3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46D6172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4674171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2566696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768700C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6C6CECE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022AAA0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34CE307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5415838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3E1972A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75EDD9E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4A9EDA5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4E4495A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1FB2F5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674ACDD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36A86C32">
        <w:tblPrEx>
          <w:tblCellMar>
            <w:top w:w="0" w:type="dxa"/>
            <w:left w:w="108" w:type="dxa"/>
            <w:bottom w:w="0" w:type="dxa"/>
            <w:right w:w="108" w:type="dxa"/>
          </w:tblCellMar>
        </w:tblPrEx>
        <w:trPr>
          <w:trHeight w:val="390" w:hRule="atLeast"/>
        </w:trPr>
        <w:tc>
          <w:tcPr>
            <w:tcW w:w="1667" w:type="dxa"/>
            <w:tcBorders>
              <w:top w:val="nil"/>
              <w:left w:val="single" w:color="auto" w:sz="4" w:space="0"/>
              <w:bottom w:val="single" w:color="auto" w:sz="4" w:space="0"/>
              <w:right w:val="single" w:color="auto" w:sz="4" w:space="0"/>
            </w:tcBorders>
            <w:shd w:val="clear" w:color="auto" w:fill="auto"/>
            <w:vAlign w:val="center"/>
          </w:tcPr>
          <w:p w14:paraId="3BE0350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施工单位结算书上报</w:t>
            </w:r>
          </w:p>
        </w:tc>
        <w:tc>
          <w:tcPr>
            <w:tcW w:w="2701" w:type="dxa"/>
            <w:gridSpan w:val="6"/>
            <w:tcBorders>
              <w:top w:val="nil"/>
              <w:left w:val="nil"/>
              <w:bottom w:val="single" w:color="auto" w:sz="4" w:space="0"/>
              <w:right w:val="single" w:color="auto" w:sz="4" w:space="0"/>
            </w:tcBorders>
            <w:shd w:val="clear" w:color="auto" w:fill="auto"/>
            <w:noWrap/>
            <w:vAlign w:val="center"/>
          </w:tcPr>
          <w:p w14:paraId="7ECF1D0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mc:AlternateContent>
                <mc:Choice Requires="wps">
                  <w:drawing>
                    <wp:anchor distT="0" distB="0" distL="114300" distR="114300" simplePos="0" relativeHeight="251913216" behindDoc="0" locked="0" layoutInCell="1" allowOverlap="1">
                      <wp:simplePos x="0" y="0"/>
                      <wp:positionH relativeFrom="column">
                        <wp:posOffset>85725</wp:posOffset>
                      </wp:positionH>
                      <wp:positionV relativeFrom="paragraph">
                        <wp:posOffset>89535</wp:posOffset>
                      </wp:positionV>
                      <wp:extent cx="2332355" cy="5715"/>
                      <wp:effectExtent l="0" t="19050" r="10795" b="32385"/>
                      <wp:wrapNone/>
                      <wp:docPr id="151" name="直接连接符 52"/>
                      <wp:cNvGraphicFramePr/>
                      <a:graphic xmlns:a="http://schemas.openxmlformats.org/drawingml/2006/main">
                        <a:graphicData uri="http://schemas.microsoft.com/office/word/2010/wordprocessingShape">
                          <wps:wsp>
                            <wps:cNvCnPr/>
                            <wps:spPr>
                              <a:xfrm flipV="1">
                                <a:off x="0" y="0"/>
                                <a:ext cx="2332355" cy="5715"/>
                              </a:xfrm>
                              <a:prstGeom prst="line">
                                <a:avLst/>
                              </a:prstGeom>
                              <a:ln w="38100" cap="flat" cmpd="sng">
                                <a:solidFill>
                                  <a:srgbClr val="000000"/>
                                </a:solidFill>
                                <a:prstDash val="solid"/>
                                <a:miter/>
                                <a:headEnd type="none" w="med" len="med"/>
                                <a:tailEnd type="none" w="med" len="med"/>
                              </a:ln>
                              <a:effectLst/>
                            </wps:spPr>
                            <wps:bodyPr upright="1"/>
                          </wps:wsp>
                        </a:graphicData>
                      </a:graphic>
                    </wp:anchor>
                  </w:drawing>
                </mc:Choice>
                <mc:Fallback>
                  <w:pict>
                    <v:line id="直接连接符 52" o:spid="_x0000_s1026" o:spt="20" style="position:absolute;left:0pt;flip:y;margin-left:6.75pt;margin-top:7.05pt;height:0.45pt;width:183.65pt;z-index:251913216;mso-width-relative:page;mso-height-relative:page;" filled="f" stroked="t" coordsize="21600,21600" o:gfxdata="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dIS6p0AAAAAgBAAAPAAAAAAAAAAEAIAAAACIAAABkcnMv&#10;ZG93bnJldi54bWxQSwECFAAUAAAACACHTuJAZpevbQsCAAANBAAADgAAAAAAAAABACAAAAAfAQAA&#10;ZHJzL2Uyb0RvYy54bWxQSwUGAAAAAAYABgBZAQAAnAUAAAAA&#10;">
                      <v:fill on="f" focussize="0,0"/>
                      <v:stroke weight="3pt" color="#000000" joinstyle="miter"/>
                      <v:imagedata o:title=""/>
                      <o:lock v:ext="edit" aspectratio="f"/>
                    </v:line>
                  </w:pict>
                </mc:Fallback>
              </mc:AlternateContent>
            </w:r>
          </w:p>
        </w:tc>
        <w:tc>
          <w:tcPr>
            <w:tcW w:w="450" w:type="dxa"/>
            <w:tcBorders>
              <w:top w:val="nil"/>
              <w:left w:val="nil"/>
              <w:bottom w:val="single" w:color="auto" w:sz="4" w:space="0"/>
              <w:right w:val="single" w:color="auto" w:sz="4" w:space="0"/>
            </w:tcBorders>
            <w:shd w:val="clear" w:color="auto" w:fill="auto"/>
            <w:noWrap/>
            <w:vAlign w:val="center"/>
          </w:tcPr>
          <w:p w14:paraId="7B3340F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734BA5C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00003C6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7F866E1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D5DC0C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40E0B4A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707C923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3A0CBF7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6F3A541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EE58B5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7AA0C1B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7E28AC2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0C6D074E">
        <w:tblPrEx>
          <w:tblCellMar>
            <w:top w:w="0" w:type="dxa"/>
            <w:left w:w="108" w:type="dxa"/>
            <w:bottom w:w="0" w:type="dxa"/>
            <w:right w:w="108" w:type="dxa"/>
          </w:tblCellMar>
        </w:tblPrEx>
        <w:trPr>
          <w:trHeight w:val="390" w:hRule="atLeast"/>
        </w:trPr>
        <w:tc>
          <w:tcPr>
            <w:tcW w:w="1667" w:type="dxa"/>
            <w:tcBorders>
              <w:top w:val="nil"/>
              <w:left w:val="single" w:color="auto" w:sz="4" w:space="0"/>
              <w:bottom w:val="single" w:color="auto" w:sz="4" w:space="0"/>
              <w:right w:val="single" w:color="auto" w:sz="4" w:space="0"/>
            </w:tcBorders>
            <w:shd w:val="clear" w:color="auto" w:fill="auto"/>
            <w:vAlign w:val="center"/>
          </w:tcPr>
          <w:p w14:paraId="2ED4B50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施工单位竣工图纸提交</w:t>
            </w:r>
          </w:p>
        </w:tc>
        <w:tc>
          <w:tcPr>
            <w:tcW w:w="1351" w:type="dxa"/>
            <w:gridSpan w:val="3"/>
            <w:tcBorders>
              <w:top w:val="nil"/>
              <w:left w:val="nil"/>
              <w:bottom w:val="single" w:color="auto" w:sz="4" w:space="0"/>
              <w:right w:val="single" w:color="auto" w:sz="4" w:space="0"/>
            </w:tcBorders>
            <w:shd w:val="clear" w:color="auto" w:fill="auto"/>
            <w:noWrap/>
            <w:vAlign w:val="center"/>
          </w:tcPr>
          <w:p w14:paraId="4190836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mc:AlternateContent>
                <mc:Choice Requires="wps">
                  <w:drawing>
                    <wp:anchor distT="0" distB="0" distL="114300" distR="114300" simplePos="0" relativeHeight="251915264" behindDoc="0" locked="0" layoutInCell="1" allowOverlap="1">
                      <wp:simplePos x="0" y="0"/>
                      <wp:positionH relativeFrom="column">
                        <wp:posOffset>44450</wp:posOffset>
                      </wp:positionH>
                      <wp:positionV relativeFrom="paragraph">
                        <wp:posOffset>114300</wp:posOffset>
                      </wp:positionV>
                      <wp:extent cx="1116330" cy="8255"/>
                      <wp:effectExtent l="0" t="19050" r="7620" b="29845"/>
                      <wp:wrapNone/>
                      <wp:docPr id="153" name="直接连接符 13"/>
                      <wp:cNvGraphicFramePr/>
                      <a:graphic xmlns:a="http://schemas.openxmlformats.org/drawingml/2006/main">
                        <a:graphicData uri="http://schemas.microsoft.com/office/word/2010/wordprocessingShape">
                          <wps:wsp>
                            <wps:cNvCnPr/>
                            <wps:spPr>
                              <a:xfrm>
                                <a:off x="0" y="0"/>
                                <a:ext cx="1116330" cy="8255"/>
                              </a:xfrm>
                              <a:prstGeom prst="line">
                                <a:avLst/>
                              </a:prstGeom>
                              <a:ln w="38100" cap="flat" cmpd="sng">
                                <a:solidFill>
                                  <a:srgbClr val="000000"/>
                                </a:solidFill>
                                <a:prstDash val="solid"/>
                                <a:miter/>
                                <a:headEnd type="none" w="med" len="med"/>
                                <a:tailEnd type="none" w="med" len="med"/>
                              </a:ln>
                              <a:effectLst/>
                            </wps:spPr>
                            <wps:bodyPr upright="1"/>
                          </wps:wsp>
                        </a:graphicData>
                      </a:graphic>
                    </wp:anchor>
                  </w:drawing>
                </mc:Choice>
                <mc:Fallback>
                  <w:pict>
                    <v:line id="直接连接符 13" o:spid="_x0000_s1026" o:spt="20" style="position:absolute;left:0pt;margin-left:3.5pt;margin-top:9pt;height:0.65pt;width:87.9pt;z-index:251915264;mso-width-relative:page;mso-height-relative:page;" filled="f" stroked="t" coordsize="21600,21600" o:gfxdata="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XznHNNYAAAAHAQAADwAAAAAAAAABACAAAAAiAAAAZHJzL2Rv&#10;d25yZXYueG1sUEsBAhQAFAAAAAgAh07iQEp/+CADAgAAAwQAAA4AAAAAAAAAAQAgAAAAJQEAAGRy&#10;cy9lMm9Eb2MueG1sUEsFBgAAAAAGAAYAWQEAAJoFAAAAAA==&#10;">
                      <v:fill on="f" focussize="0,0"/>
                      <v:stroke weight="3pt" color="#000000" joinstyle="miter"/>
                      <v:imagedata o:title=""/>
                      <o:lock v:ext="edit" aspectratio="f"/>
                    </v:line>
                  </w:pict>
                </mc:Fallback>
              </mc:AlternateContent>
            </w:r>
          </w:p>
        </w:tc>
        <w:tc>
          <w:tcPr>
            <w:tcW w:w="450" w:type="dxa"/>
            <w:tcBorders>
              <w:top w:val="nil"/>
              <w:left w:val="nil"/>
              <w:bottom w:val="single" w:color="auto" w:sz="4" w:space="0"/>
              <w:right w:val="single" w:color="auto" w:sz="4" w:space="0"/>
            </w:tcBorders>
            <w:shd w:val="clear" w:color="auto" w:fill="auto"/>
            <w:noWrap/>
            <w:vAlign w:val="center"/>
          </w:tcPr>
          <w:p w14:paraId="5FC9CEE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4712DEF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3D4D4A7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4213A0C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F6897E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23764A4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517050C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32D1347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D0D320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6DF02A7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69A3709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2B1228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48CBB2A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61BC31A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5BD72B6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52FB4CF4">
        <w:tblPrEx>
          <w:tblCellMar>
            <w:top w:w="0" w:type="dxa"/>
            <w:left w:w="108" w:type="dxa"/>
            <w:bottom w:w="0" w:type="dxa"/>
            <w:right w:w="108" w:type="dxa"/>
          </w:tblCellMar>
        </w:tblPrEx>
        <w:trPr>
          <w:trHeight w:val="810" w:hRule="atLeast"/>
        </w:trPr>
        <w:tc>
          <w:tcPr>
            <w:tcW w:w="1667" w:type="dxa"/>
            <w:tcBorders>
              <w:top w:val="nil"/>
              <w:left w:val="single" w:color="auto" w:sz="4" w:space="0"/>
              <w:bottom w:val="single" w:color="auto" w:sz="4" w:space="0"/>
              <w:right w:val="single" w:color="auto" w:sz="4" w:space="0"/>
            </w:tcBorders>
            <w:shd w:val="clear" w:color="auto" w:fill="auto"/>
            <w:vAlign w:val="center"/>
          </w:tcPr>
          <w:p w14:paraId="678022C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咨询单位计算工程量，组价，出结算初稿</w:t>
            </w:r>
          </w:p>
        </w:tc>
        <w:tc>
          <w:tcPr>
            <w:tcW w:w="451" w:type="dxa"/>
            <w:tcBorders>
              <w:top w:val="nil"/>
              <w:left w:val="nil"/>
              <w:bottom w:val="single" w:color="auto" w:sz="4" w:space="0"/>
              <w:right w:val="single" w:color="auto" w:sz="4" w:space="0"/>
            </w:tcBorders>
            <w:shd w:val="clear" w:color="auto" w:fill="auto"/>
            <w:noWrap/>
            <w:vAlign w:val="center"/>
          </w:tcPr>
          <w:p w14:paraId="372B504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371755A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060FEB7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2CF84EF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776E1A7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58E2C2F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900" w:type="dxa"/>
            <w:gridSpan w:val="2"/>
            <w:tcBorders>
              <w:top w:val="nil"/>
              <w:left w:val="nil"/>
              <w:bottom w:val="single" w:color="auto" w:sz="4" w:space="0"/>
              <w:right w:val="single" w:color="auto" w:sz="4" w:space="0"/>
            </w:tcBorders>
            <w:shd w:val="clear" w:color="auto" w:fill="auto"/>
            <w:noWrap/>
            <w:vAlign w:val="center"/>
          </w:tcPr>
          <w:p w14:paraId="642FBCB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mc:AlternateContent>
                <mc:Choice Requires="wps">
                  <w:drawing>
                    <wp:anchor distT="0" distB="0" distL="114300" distR="114300" simplePos="0" relativeHeight="251947008" behindDoc="0" locked="0" layoutInCell="1" allowOverlap="1">
                      <wp:simplePos x="0" y="0"/>
                      <wp:positionH relativeFrom="column">
                        <wp:posOffset>13970</wp:posOffset>
                      </wp:positionH>
                      <wp:positionV relativeFrom="paragraph">
                        <wp:posOffset>112395</wp:posOffset>
                      </wp:positionV>
                      <wp:extent cx="723900" cy="3810"/>
                      <wp:effectExtent l="0" t="0" r="0" b="0"/>
                      <wp:wrapNone/>
                      <wp:docPr id="1631578970" name="直接箭头连接符 1631578970"/>
                      <wp:cNvGraphicFramePr/>
                      <a:graphic xmlns:a="http://schemas.openxmlformats.org/drawingml/2006/main">
                        <a:graphicData uri="http://schemas.microsoft.com/office/word/2010/wordprocessingShape">
                          <wps:wsp>
                            <wps:cNvCnPr>
                              <a:cxnSpLocks noChangeShapeType="1"/>
                            </wps:cNvCnPr>
                            <wps:spPr bwMode="auto">
                              <a:xfrm flipV="1">
                                <a:off x="0" y="0"/>
                                <a:ext cx="723900" cy="3810"/>
                              </a:xfrm>
                              <a:prstGeom prst="straightConnector1">
                                <a:avLst/>
                              </a:prstGeom>
                              <a:noFill/>
                              <a:ln w="28575">
                                <a:solidFill>
                                  <a:srgbClr val="000000"/>
                                </a:solidFill>
                                <a:round/>
                              </a:ln>
                              <a:effectLst/>
                            </wps:spPr>
                            <wps:bodyPr/>
                          </wps:wsp>
                        </a:graphicData>
                      </a:graphic>
                    </wp:anchor>
                  </w:drawing>
                </mc:Choice>
                <mc:Fallback>
                  <w:pict>
                    <v:shape id="_x0000_s1026" o:spid="_x0000_s1026" o:spt="32" type="#_x0000_t32" style="position:absolute;left:0pt;flip:y;margin-left:1.1pt;margin-top:8.85pt;height:0.3pt;width:57pt;z-index:251947008;mso-width-relative:page;mso-height-relative:page;" filled="f" stroked="t" coordsize="21600,21600" o:gfxdata="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f+5FedIAAAAHAQAADwAAAAAAAAABACAAAAAiAAAA&#10;ZHJzL2Rvd25yZXYueG1sUEsBAhQAFAAAAAgAh07iQC1dh5YNAgAA6wMAAA4AAAAAAAAAAQAgAAAA&#10;IQEAAGRycy9lMm9Eb2MueG1sUEsFBgAAAAAGAAYAWQEAAKAFAAAAAA==&#10;">
                      <v:fill on="f" focussize="0,0"/>
                      <v:stroke weight="2.25pt" color="#000000" joinstyle="round"/>
                      <v:imagedata o:title=""/>
                      <o:lock v:ext="edit" aspectratio="f"/>
                    </v:shape>
                  </w:pict>
                </mc:Fallback>
              </mc:AlternateContent>
            </w:r>
            <w:r>
              <w:rPr>
                <w:rFonts w:cs="宋体" w:asciiTheme="minorEastAsia" w:hAnsiTheme="minorEastAsia" w:eastAsiaTheme="minorEastAsia"/>
                <w:color w:val="auto"/>
                <w:kern w:val="0"/>
                <w:szCs w:val="21"/>
                <w:highlight w:val="none"/>
              </w:rPr>
              <mc:AlternateContent>
                <mc:Choice Requires="wps">
                  <w:drawing>
                    <wp:anchor distT="0" distB="0" distL="114300" distR="114300" simplePos="0" relativeHeight="251917312" behindDoc="0" locked="0" layoutInCell="1" allowOverlap="1">
                      <wp:simplePos x="0" y="0"/>
                      <wp:positionH relativeFrom="column">
                        <wp:posOffset>2327910</wp:posOffset>
                      </wp:positionH>
                      <wp:positionV relativeFrom="paragraph">
                        <wp:posOffset>-7678420</wp:posOffset>
                      </wp:positionV>
                      <wp:extent cx="371475" cy="47625"/>
                      <wp:effectExtent l="2540" t="19050" r="6985" b="28575"/>
                      <wp:wrapNone/>
                      <wp:docPr id="155" name="直接连接符 9"/>
                      <wp:cNvGraphicFramePr/>
                      <a:graphic xmlns:a="http://schemas.openxmlformats.org/drawingml/2006/main">
                        <a:graphicData uri="http://schemas.microsoft.com/office/word/2010/wordprocessingShape">
                          <wps:wsp>
                            <wps:cNvCnPr/>
                            <wps:spPr>
                              <a:xfrm>
                                <a:off x="0" y="0"/>
                                <a:ext cx="371475" cy="47625"/>
                              </a:xfrm>
                              <a:prstGeom prst="line">
                                <a:avLst/>
                              </a:prstGeom>
                              <a:ln w="38100" cap="flat" cmpd="sng">
                                <a:solidFill>
                                  <a:srgbClr val="000000"/>
                                </a:solidFill>
                                <a:prstDash val="solid"/>
                                <a:miter/>
                                <a:headEnd type="none" w="med" len="med"/>
                                <a:tailEnd type="none" w="med" len="med"/>
                              </a:ln>
                              <a:effectLst/>
                            </wps:spPr>
                            <wps:bodyPr upright="1"/>
                          </wps:wsp>
                        </a:graphicData>
                      </a:graphic>
                    </wp:anchor>
                  </w:drawing>
                </mc:Choice>
                <mc:Fallback>
                  <w:pict>
                    <v:line id="直接连接符 9" o:spid="_x0000_s1026" o:spt="20" style="position:absolute;left:0pt;margin-left:183.3pt;margin-top:-604.6pt;height:3.75pt;width:29.25pt;z-index:251917312;mso-width-relative:page;mso-height-relative:page;" filled="f" stroked="t" coordsize="21600,21600" o:gfxdata="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86HUzdAAAADwEAAA8AAAAAAAAAAQAgAAAAIgAA&#10;AGRycy9kb3ducmV2LnhtbFBLAQIUABQAAAAIAIdO4kAqeNhLAwIAAAIEAAAOAAAAAAAAAAEAIAAA&#10;ACwBAABkcnMvZTJvRG9jLnhtbFBLBQYAAAAABgAGAFkBAAChBQAAAAA=&#10;">
                      <v:fill on="f" focussize="0,0"/>
                      <v:stroke weight="3pt" color="#000000" joinstyle="miter"/>
                      <v:imagedata o:title=""/>
                      <o:lock v:ext="edit" aspectratio="f"/>
                    </v:line>
                  </w:pict>
                </mc:Fallback>
              </mc:AlternateContent>
            </w:r>
          </w:p>
        </w:tc>
        <w:tc>
          <w:tcPr>
            <w:tcW w:w="450" w:type="dxa"/>
            <w:tcBorders>
              <w:top w:val="nil"/>
              <w:left w:val="nil"/>
              <w:bottom w:val="single" w:color="auto" w:sz="4" w:space="0"/>
              <w:right w:val="single" w:color="auto" w:sz="4" w:space="0"/>
            </w:tcBorders>
            <w:shd w:val="clear" w:color="auto" w:fill="auto"/>
            <w:noWrap/>
            <w:vAlign w:val="center"/>
          </w:tcPr>
          <w:p w14:paraId="2C93BD1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44D92F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5994E9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7DF166E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6275A7A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DFA6AA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65A53DF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4973C21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600167D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399DFBA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52A65A5A">
        <w:tblPrEx>
          <w:tblCellMar>
            <w:top w:w="0" w:type="dxa"/>
            <w:left w:w="108" w:type="dxa"/>
            <w:bottom w:w="0" w:type="dxa"/>
            <w:right w:w="108" w:type="dxa"/>
          </w:tblCellMar>
        </w:tblPrEx>
        <w:trPr>
          <w:trHeight w:val="915" w:hRule="atLeast"/>
        </w:trPr>
        <w:tc>
          <w:tcPr>
            <w:tcW w:w="1667" w:type="dxa"/>
            <w:tcBorders>
              <w:top w:val="nil"/>
              <w:left w:val="single" w:color="auto" w:sz="4" w:space="0"/>
              <w:bottom w:val="single" w:color="auto" w:sz="4" w:space="0"/>
              <w:right w:val="single" w:color="auto" w:sz="4" w:space="0"/>
            </w:tcBorders>
            <w:shd w:val="clear" w:color="auto" w:fill="auto"/>
            <w:vAlign w:val="center"/>
          </w:tcPr>
          <w:p w14:paraId="2D5A111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组织咨询单位与施工单位结算核对、处理争议问题</w:t>
            </w:r>
          </w:p>
        </w:tc>
        <w:tc>
          <w:tcPr>
            <w:tcW w:w="451" w:type="dxa"/>
            <w:tcBorders>
              <w:top w:val="nil"/>
              <w:left w:val="nil"/>
              <w:bottom w:val="single" w:color="auto" w:sz="4" w:space="0"/>
              <w:right w:val="single" w:color="auto" w:sz="4" w:space="0"/>
            </w:tcBorders>
            <w:shd w:val="clear" w:color="auto" w:fill="auto"/>
            <w:noWrap/>
            <w:vAlign w:val="center"/>
          </w:tcPr>
          <w:p w14:paraId="2075BDE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3794361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70AC2C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335FE4F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06954CC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05650A2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1B07A6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553B6C2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3150" w:type="dxa"/>
            <w:gridSpan w:val="7"/>
            <w:tcBorders>
              <w:top w:val="nil"/>
              <w:left w:val="nil"/>
              <w:bottom w:val="single" w:color="auto" w:sz="4" w:space="0"/>
              <w:right w:val="single" w:color="auto" w:sz="4" w:space="0"/>
            </w:tcBorders>
            <w:shd w:val="clear" w:color="auto" w:fill="auto"/>
            <w:noWrap/>
            <w:vAlign w:val="center"/>
          </w:tcPr>
          <w:p w14:paraId="26764CE4">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mc:AlternateContent>
                <mc:Choice Requires="wps">
                  <w:drawing>
                    <wp:anchor distT="0" distB="0" distL="114300" distR="114300" simplePos="0" relativeHeight="251918336" behindDoc="0" locked="0" layoutInCell="1" allowOverlap="1">
                      <wp:simplePos x="0" y="0"/>
                      <wp:positionH relativeFrom="column">
                        <wp:posOffset>152400</wp:posOffset>
                      </wp:positionH>
                      <wp:positionV relativeFrom="paragraph">
                        <wp:posOffset>404495</wp:posOffset>
                      </wp:positionV>
                      <wp:extent cx="3009900" cy="19050"/>
                      <wp:effectExtent l="0" t="19050" r="0" b="19050"/>
                      <wp:wrapNone/>
                      <wp:docPr id="156" name="直接连接符 53"/>
                      <wp:cNvGraphicFramePr/>
                      <a:graphic xmlns:a="http://schemas.openxmlformats.org/drawingml/2006/main">
                        <a:graphicData uri="http://schemas.microsoft.com/office/word/2010/wordprocessingShape">
                          <wps:wsp>
                            <wps:cNvCnPr/>
                            <wps:spPr>
                              <a:xfrm>
                                <a:off x="0" y="0"/>
                                <a:ext cx="3009900" cy="19050"/>
                              </a:xfrm>
                              <a:prstGeom prst="line">
                                <a:avLst/>
                              </a:prstGeom>
                              <a:ln w="38100" cap="flat" cmpd="sng">
                                <a:solidFill>
                                  <a:srgbClr val="000000"/>
                                </a:solidFill>
                                <a:prstDash val="solid"/>
                                <a:miter/>
                                <a:headEnd type="none" w="med" len="med"/>
                                <a:tailEnd type="none" w="med" len="med"/>
                              </a:ln>
                              <a:effectLst/>
                            </wps:spPr>
                            <wps:bodyPr upright="1"/>
                          </wps:wsp>
                        </a:graphicData>
                      </a:graphic>
                    </wp:anchor>
                  </w:drawing>
                </mc:Choice>
                <mc:Fallback>
                  <w:pict>
                    <v:line id="直接连接符 53" o:spid="_x0000_s1026" o:spt="20" style="position:absolute;left:0pt;margin-left:12pt;margin-top:31.85pt;height:1.5pt;width:237pt;z-index:251918336;mso-width-relative:page;mso-height-relative:page;" filled="f" stroked="t" coordsize="21600,21600" o:gfxdata="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&#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AoFRTZAAAACAEAAA8AAAAAAAAAAQAgAAAAIgAAAGRy&#10;cy9kb3ducmV2LnhtbFBLAQIUABQAAAAIAIdO4kA5F7CcBAIAAAQEAAAOAAAAAAAAAAEAIAAAACgB&#10;AABkcnMvZTJvRG9jLnhtbFBLBQYAAAAABgAGAFkBAACeBQAAAAA=&#10;">
                      <v:fill on="f" focussize="0,0"/>
                      <v:stroke weight="3pt" color="#000000" joinstyle="miter"/>
                      <v:imagedata o:title=""/>
                      <o:lock v:ext="edit" aspectratio="f"/>
                    </v:line>
                  </w:pict>
                </mc:Fallback>
              </mc:AlternateContent>
            </w:r>
          </w:p>
          <w:p w14:paraId="1D97DD2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vAlign w:val="center"/>
          </w:tcPr>
          <w:p w14:paraId="13F3446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p>
          <w:p w14:paraId="094AD1B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p>
        </w:tc>
        <w:tc>
          <w:tcPr>
            <w:tcW w:w="450" w:type="dxa"/>
            <w:tcBorders>
              <w:top w:val="nil"/>
              <w:left w:val="nil"/>
              <w:bottom w:val="single" w:color="auto" w:sz="4" w:space="0"/>
              <w:right w:val="single" w:color="auto" w:sz="4" w:space="0"/>
            </w:tcBorders>
            <w:shd w:val="clear" w:color="auto" w:fill="auto"/>
            <w:vAlign w:val="center"/>
          </w:tcPr>
          <w:p w14:paraId="6E3D89D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p>
          <w:p w14:paraId="4942734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p>
        </w:tc>
        <w:tc>
          <w:tcPr>
            <w:tcW w:w="450" w:type="dxa"/>
            <w:tcBorders>
              <w:top w:val="nil"/>
              <w:left w:val="nil"/>
              <w:bottom w:val="single" w:color="auto" w:sz="4" w:space="0"/>
              <w:right w:val="single" w:color="auto" w:sz="4" w:space="0"/>
            </w:tcBorders>
            <w:shd w:val="clear" w:color="auto" w:fill="auto"/>
            <w:noWrap/>
            <w:vAlign w:val="center"/>
          </w:tcPr>
          <w:p w14:paraId="5C9D545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7B7395C1">
        <w:tblPrEx>
          <w:tblCellMar>
            <w:top w:w="0" w:type="dxa"/>
            <w:left w:w="108" w:type="dxa"/>
            <w:bottom w:w="0" w:type="dxa"/>
            <w:right w:w="108" w:type="dxa"/>
          </w:tblCellMar>
        </w:tblPrEx>
        <w:trPr>
          <w:trHeight w:val="915" w:hRule="atLeast"/>
        </w:trPr>
        <w:tc>
          <w:tcPr>
            <w:tcW w:w="1667" w:type="dxa"/>
            <w:tcBorders>
              <w:top w:val="nil"/>
              <w:left w:val="single" w:color="auto" w:sz="4" w:space="0"/>
              <w:bottom w:val="single" w:color="auto" w:sz="4" w:space="0"/>
              <w:right w:val="single" w:color="auto" w:sz="4" w:space="0"/>
            </w:tcBorders>
            <w:shd w:val="clear" w:color="auto" w:fill="auto"/>
            <w:vAlign w:val="center"/>
          </w:tcPr>
          <w:p w14:paraId="5AB004D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成本部结算审核、指标分析，咨询单位结算报告书调整，定稿</w:t>
            </w:r>
          </w:p>
        </w:tc>
        <w:tc>
          <w:tcPr>
            <w:tcW w:w="451" w:type="dxa"/>
            <w:tcBorders>
              <w:top w:val="nil"/>
              <w:left w:val="nil"/>
              <w:bottom w:val="single" w:color="auto" w:sz="4" w:space="0"/>
              <w:right w:val="single" w:color="auto" w:sz="4" w:space="0"/>
            </w:tcBorders>
            <w:shd w:val="clear" w:color="auto" w:fill="auto"/>
            <w:noWrap/>
            <w:vAlign w:val="center"/>
          </w:tcPr>
          <w:p w14:paraId="74716F3F">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tcBorders>
              <w:top w:val="nil"/>
              <w:left w:val="nil"/>
              <w:bottom w:val="single" w:color="auto" w:sz="4" w:space="0"/>
              <w:right w:val="single" w:color="auto" w:sz="4" w:space="0"/>
            </w:tcBorders>
            <w:shd w:val="clear" w:color="auto" w:fill="auto"/>
            <w:noWrap/>
            <w:vAlign w:val="center"/>
          </w:tcPr>
          <w:p w14:paraId="3F3E1336">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tcBorders>
              <w:top w:val="nil"/>
              <w:left w:val="nil"/>
              <w:bottom w:val="single" w:color="auto" w:sz="4" w:space="0"/>
              <w:right w:val="single" w:color="auto" w:sz="4" w:space="0"/>
            </w:tcBorders>
            <w:shd w:val="clear" w:color="auto" w:fill="auto"/>
            <w:noWrap/>
            <w:vAlign w:val="center"/>
          </w:tcPr>
          <w:p w14:paraId="4A91AC5A">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tcBorders>
              <w:top w:val="nil"/>
              <w:left w:val="nil"/>
              <w:bottom w:val="single" w:color="auto" w:sz="4" w:space="0"/>
              <w:right w:val="single" w:color="auto" w:sz="4" w:space="0"/>
            </w:tcBorders>
            <w:shd w:val="clear" w:color="auto" w:fill="auto"/>
            <w:noWrap/>
            <w:vAlign w:val="center"/>
          </w:tcPr>
          <w:p w14:paraId="190647B2">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tcBorders>
              <w:top w:val="nil"/>
              <w:left w:val="nil"/>
              <w:bottom w:val="single" w:color="auto" w:sz="4" w:space="0"/>
              <w:right w:val="single" w:color="auto" w:sz="4" w:space="0"/>
            </w:tcBorders>
            <w:shd w:val="clear" w:color="auto" w:fill="auto"/>
            <w:noWrap/>
            <w:vAlign w:val="center"/>
          </w:tcPr>
          <w:p w14:paraId="40C05D51">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tcBorders>
              <w:top w:val="nil"/>
              <w:left w:val="nil"/>
              <w:bottom w:val="single" w:color="auto" w:sz="4" w:space="0"/>
              <w:right w:val="single" w:color="auto" w:sz="4" w:space="0"/>
            </w:tcBorders>
            <w:shd w:val="clear" w:color="auto" w:fill="auto"/>
            <w:noWrap/>
            <w:vAlign w:val="center"/>
          </w:tcPr>
          <w:p w14:paraId="67828DB4">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tcBorders>
              <w:top w:val="nil"/>
              <w:left w:val="nil"/>
              <w:bottom w:val="single" w:color="auto" w:sz="4" w:space="0"/>
              <w:right w:val="single" w:color="auto" w:sz="4" w:space="0"/>
            </w:tcBorders>
            <w:shd w:val="clear" w:color="auto" w:fill="auto"/>
            <w:noWrap/>
            <w:vAlign w:val="center"/>
          </w:tcPr>
          <w:p w14:paraId="4C77C094">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tcBorders>
              <w:top w:val="nil"/>
              <w:left w:val="nil"/>
              <w:bottom w:val="single" w:color="auto" w:sz="4" w:space="0"/>
              <w:right w:val="single" w:color="auto" w:sz="4" w:space="0"/>
            </w:tcBorders>
            <w:shd w:val="clear" w:color="auto" w:fill="auto"/>
            <w:noWrap/>
            <w:vAlign w:val="center"/>
          </w:tcPr>
          <w:p w14:paraId="558323B2">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3150" w:type="dxa"/>
            <w:gridSpan w:val="7"/>
            <w:tcBorders>
              <w:top w:val="nil"/>
              <w:left w:val="nil"/>
              <w:bottom w:val="single" w:color="auto" w:sz="4" w:space="0"/>
              <w:right w:val="single" w:color="auto" w:sz="4" w:space="0"/>
            </w:tcBorders>
            <w:shd w:val="clear" w:color="auto" w:fill="auto"/>
            <w:noWrap/>
            <w:vAlign w:val="center"/>
          </w:tcPr>
          <w:p w14:paraId="76AA743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mc:AlternateContent>
                <mc:Choice Requires="wps">
                  <w:drawing>
                    <wp:anchor distT="0" distB="0" distL="114300" distR="114300" simplePos="0" relativeHeight="251919360" behindDoc="0" locked="0" layoutInCell="1" allowOverlap="1">
                      <wp:simplePos x="0" y="0"/>
                      <wp:positionH relativeFrom="column">
                        <wp:posOffset>200025</wp:posOffset>
                      </wp:positionH>
                      <wp:positionV relativeFrom="paragraph">
                        <wp:posOffset>554990</wp:posOffset>
                      </wp:positionV>
                      <wp:extent cx="2962275" cy="19050"/>
                      <wp:effectExtent l="0" t="19050" r="9525" b="19050"/>
                      <wp:wrapNone/>
                      <wp:docPr id="157" name="直接连接符 11"/>
                      <wp:cNvGraphicFramePr/>
                      <a:graphic xmlns:a="http://schemas.openxmlformats.org/drawingml/2006/main">
                        <a:graphicData uri="http://schemas.microsoft.com/office/word/2010/wordprocessingShape">
                          <wps:wsp>
                            <wps:cNvCnPr/>
                            <wps:spPr>
                              <a:xfrm>
                                <a:off x="0" y="0"/>
                                <a:ext cx="2962275" cy="19050"/>
                              </a:xfrm>
                              <a:prstGeom prst="line">
                                <a:avLst/>
                              </a:prstGeom>
                              <a:ln w="38100" cap="flat" cmpd="sng">
                                <a:solidFill>
                                  <a:srgbClr val="000000"/>
                                </a:solidFill>
                                <a:prstDash val="solid"/>
                                <a:miter/>
                                <a:headEnd type="none" w="med" len="med"/>
                                <a:tailEnd type="none" w="med" len="med"/>
                              </a:ln>
                              <a:effectLst/>
                            </wps:spPr>
                            <wps:bodyPr upright="1"/>
                          </wps:wsp>
                        </a:graphicData>
                      </a:graphic>
                    </wp:anchor>
                  </w:drawing>
                </mc:Choice>
                <mc:Fallback>
                  <w:pict>
                    <v:line id="直接连接符 11" o:spid="_x0000_s1026" o:spt="20" style="position:absolute;left:0pt;margin-left:15.75pt;margin-top:43.7pt;height:1.5pt;width:233.25pt;z-index:251919360;mso-width-relative:page;mso-height-relative:page;" filled="f" stroked="t" coordsize="21600,21600" o:gfxdata="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japr5NkAAAAIAQAADwAAAAAAAAABACAAAAAiAAAA&#10;ZHJzL2Rvd25yZXYueG1sUEsBAhQAFAAAAAgAh07iQABsvAkGAgAABAQAAA4AAAAAAAAAAQAgAAAA&#10;KAEAAGRycy9lMm9Eb2MueG1sUEsFBgAAAAAGAAYAWQEAAKAFAAAAAA==&#10;">
                      <v:fill on="f" focussize="0,0"/>
                      <v:stroke weight="3pt" color="#000000" joinstyle="miter"/>
                      <v:imagedata o:title=""/>
                      <o:lock v:ext="edit" aspectratio="f"/>
                    </v:line>
                  </w:pict>
                </mc:Fallback>
              </mc:AlternateContent>
            </w:r>
            <w:r>
              <w:rPr>
                <w:rFonts w:cs="宋体" w:asciiTheme="minorEastAsia" w:hAnsiTheme="minorEastAsia" w:eastAsiaTheme="minorEastAsia"/>
                <w:color w:val="auto"/>
                <w:szCs w:val="21"/>
                <w:highlight w:val="none"/>
              </w:rPr>
              <mc:AlternateContent>
                <mc:Choice Requires="wps">
                  <w:drawing>
                    <wp:anchor distT="0" distB="0" distL="114300" distR="114300" simplePos="0" relativeHeight="251920384" behindDoc="0" locked="0" layoutInCell="1" allowOverlap="1">
                      <wp:simplePos x="0" y="0"/>
                      <wp:positionH relativeFrom="column">
                        <wp:posOffset>3996690</wp:posOffset>
                      </wp:positionH>
                      <wp:positionV relativeFrom="paragraph">
                        <wp:posOffset>8571865</wp:posOffset>
                      </wp:positionV>
                      <wp:extent cx="371475" cy="47625"/>
                      <wp:effectExtent l="2540" t="19050" r="6985" b="28575"/>
                      <wp:wrapNone/>
                      <wp:docPr id="158" name="直接连接符 15"/>
                      <wp:cNvGraphicFramePr/>
                      <a:graphic xmlns:a="http://schemas.openxmlformats.org/drawingml/2006/main">
                        <a:graphicData uri="http://schemas.microsoft.com/office/word/2010/wordprocessingShape">
                          <wps:wsp>
                            <wps:cNvCnPr/>
                            <wps:spPr>
                              <a:xfrm>
                                <a:off x="0" y="0"/>
                                <a:ext cx="371475" cy="47625"/>
                              </a:xfrm>
                              <a:prstGeom prst="line">
                                <a:avLst/>
                              </a:prstGeom>
                              <a:ln w="38100" cap="flat" cmpd="sng">
                                <a:solidFill>
                                  <a:srgbClr val="000000"/>
                                </a:solidFill>
                                <a:prstDash val="solid"/>
                                <a:miter/>
                                <a:headEnd type="none" w="med" len="med"/>
                                <a:tailEnd type="none" w="med" len="med"/>
                              </a:ln>
                              <a:effectLst/>
                            </wps:spPr>
                            <wps:bodyPr upright="1"/>
                          </wps:wsp>
                        </a:graphicData>
                      </a:graphic>
                    </wp:anchor>
                  </w:drawing>
                </mc:Choice>
                <mc:Fallback>
                  <w:pict>
                    <v:line id="直接连接符 15" o:spid="_x0000_s1026" o:spt="20" style="position:absolute;left:0pt;margin-left:314.7pt;margin-top:674.95pt;height:3.75pt;width:29.25pt;z-index:251920384;mso-width-relative:page;mso-height-relative:page;" filled="f" stroked="t" coordsize="21600,21600" o:gfxdata="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tLtJN0AAAANAQAADwAAAAAAAAABACAAAAAi&#10;AAAAZHJzL2Rvd25yZXYueG1sUEsBAhQAFAAAAAgAh07iQNf1Qs8FAgAAAwQAAA4AAAAAAAAAAQAg&#10;AAAALAEAAGRycy9lMm9Eb2MueG1sUEsFBgAAAAAGAAYAWQEAAKMFAAAAAA==&#10;">
                      <v:fill on="f" focussize="0,0"/>
                      <v:stroke weight="3pt" color="#000000" joinstyle="miter"/>
                      <v:imagedata o:title=""/>
                      <o:lock v:ext="edit" aspectratio="f"/>
                    </v:line>
                  </w:pict>
                </mc:Fallback>
              </mc:AlternateContent>
            </w:r>
          </w:p>
        </w:tc>
        <w:tc>
          <w:tcPr>
            <w:tcW w:w="900" w:type="dxa"/>
            <w:gridSpan w:val="2"/>
            <w:tcBorders>
              <w:top w:val="nil"/>
              <w:left w:val="nil"/>
              <w:bottom w:val="single" w:color="auto" w:sz="4" w:space="0"/>
              <w:right w:val="single" w:color="auto" w:sz="4" w:space="0"/>
            </w:tcBorders>
            <w:shd w:val="clear" w:color="auto" w:fill="auto"/>
            <w:vAlign w:val="center"/>
          </w:tcPr>
          <w:p w14:paraId="09BEE01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p>
        </w:tc>
        <w:tc>
          <w:tcPr>
            <w:tcW w:w="450" w:type="dxa"/>
            <w:tcBorders>
              <w:top w:val="nil"/>
              <w:left w:val="nil"/>
              <w:bottom w:val="single" w:color="auto" w:sz="4" w:space="0"/>
              <w:right w:val="single" w:color="auto" w:sz="4" w:space="0"/>
            </w:tcBorders>
            <w:shd w:val="clear" w:color="auto" w:fill="auto"/>
            <w:noWrap/>
            <w:vAlign w:val="center"/>
          </w:tcPr>
          <w:p w14:paraId="7CD3BD0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p>
        </w:tc>
      </w:tr>
      <w:tr w14:paraId="1B5F9F4E">
        <w:tblPrEx>
          <w:tblCellMar>
            <w:top w:w="0" w:type="dxa"/>
            <w:left w:w="108" w:type="dxa"/>
            <w:bottom w:w="0" w:type="dxa"/>
            <w:right w:w="108" w:type="dxa"/>
          </w:tblCellMar>
        </w:tblPrEx>
        <w:trPr>
          <w:trHeight w:val="660" w:hRule="atLeast"/>
        </w:trPr>
        <w:tc>
          <w:tcPr>
            <w:tcW w:w="1667" w:type="dxa"/>
            <w:tcBorders>
              <w:top w:val="nil"/>
              <w:left w:val="single" w:color="auto" w:sz="4" w:space="0"/>
              <w:bottom w:val="single" w:color="auto" w:sz="4" w:space="0"/>
              <w:right w:val="single" w:color="auto" w:sz="4" w:space="0"/>
            </w:tcBorders>
            <w:shd w:val="clear" w:color="auto" w:fill="auto"/>
            <w:vAlign w:val="center"/>
          </w:tcPr>
          <w:p w14:paraId="3C2167A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成本部结算报告书会签盖章、资料移交</w:t>
            </w:r>
          </w:p>
        </w:tc>
        <w:tc>
          <w:tcPr>
            <w:tcW w:w="451" w:type="dxa"/>
            <w:tcBorders>
              <w:top w:val="nil"/>
              <w:left w:val="nil"/>
              <w:bottom w:val="single" w:color="auto" w:sz="4" w:space="0"/>
              <w:right w:val="single" w:color="auto" w:sz="4" w:space="0"/>
            </w:tcBorders>
            <w:shd w:val="clear" w:color="auto" w:fill="auto"/>
            <w:noWrap/>
            <w:vAlign w:val="center"/>
          </w:tcPr>
          <w:p w14:paraId="08D373C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60D6BC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790FDE7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0A49E7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6DFB13B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63F7D50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2E74D4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754C3FC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622C98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260E0D1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3B44144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2E5378A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60825F1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1A57F70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6CBF8A6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3540A3E4">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450" w:type="dxa"/>
            <w:tcBorders>
              <w:top w:val="nil"/>
              <w:left w:val="nil"/>
              <w:bottom w:val="single" w:color="auto" w:sz="4" w:space="0"/>
              <w:right w:val="single" w:color="auto" w:sz="4" w:space="0"/>
            </w:tcBorders>
            <w:shd w:val="clear" w:color="auto" w:fill="auto"/>
            <w:noWrap/>
            <w:vAlign w:val="center"/>
          </w:tcPr>
          <w:p w14:paraId="1F38FB6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50" w:type="dxa"/>
            <w:tcBorders>
              <w:top w:val="nil"/>
              <w:left w:val="nil"/>
              <w:bottom w:val="single" w:color="auto" w:sz="4" w:space="0"/>
              <w:right w:val="single" w:color="auto" w:sz="4" w:space="0"/>
            </w:tcBorders>
            <w:shd w:val="clear" w:color="auto" w:fill="auto"/>
            <w:noWrap/>
            <w:vAlign w:val="center"/>
          </w:tcPr>
          <w:p w14:paraId="08FFD88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mc:AlternateContent>
                <mc:Choice Requires="wps">
                  <w:drawing>
                    <wp:anchor distT="0" distB="0" distL="114300" distR="114300" simplePos="0" relativeHeight="251916288" behindDoc="0" locked="0" layoutInCell="1" allowOverlap="1">
                      <wp:simplePos x="0" y="0"/>
                      <wp:positionH relativeFrom="column">
                        <wp:posOffset>9525</wp:posOffset>
                      </wp:positionH>
                      <wp:positionV relativeFrom="paragraph">
                        <wp:posOffset>90170</wp:posOffset>
                      </wp:positionV>
                      <wp:extent cx="352425" cy="19050"/>
                      <wp:effectExtent l="1270" t="19050" r="8255" b="19050"/>
                      <wp:wrapNone/>
                      <wp:docPr id="154" name="直接连接符 14"/>
                      <wp:cNvGraphicFramePr/>
                      <a:graphic xmlns:a="http://schemas.openxmlformats.org/drawingml/2006/main">
                        <a:graphicData uri="http://schemas.microsoft.com/office/word/2010/wordprocessingShape">
                          <wps:wsp>
                            <wps:cNvCnPr/>
                            <wps:spPr>
                              <a:xfrm flipV="1">
                                <a:off x="0" y="0"/>
                                <a:ext cx="352425" cy="19050"/>
                              </a:xfrm>
                              <a:prstGeom prst="line">
                                <a:avLst/>
                              </a:prstGeom>
                              <a:ln w="38100" cap="flat" cmpd="sng">
                                <a:solidFill>
                                  <a:srgbClr val="000000"/>
                                </a:solidFill>
                                <a:prstDash val="solid"/>
                                <a:miter/>
                                <a:headEnd type="none" w="med" len="med"/>
                                <a:tailEnd type="none" w="med" len="med"/>
                              </a:ln>
                              <a:effectLst/>
                            </wps:spPr>
                            <wps:bodyPr upright="1"/>
                          </wps:wsp>
                        </a:graphicData>
                      </a:graphic>
                    </wp:anchor>
                  </w:drawing>
                </mc:Choice>
                <mc:Fallback>
                  <w:pict>
                    <v:line id="直接连接符 14" o:spid="_x0000_s1026" o:spt="20" style="position:absolute;left:0pt;flip:y;margin-left:0.75pt;margin-top:7.1pt;height:1.5pt;width:27.75pt;z-index:251916288;mso-width-relative:page;mso-height-relative:page;" filled="f" stroked="t" coordsize="21600,21600" o:gfxdata="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C8w9AAAAAGAQAADwAAAAAAAAABACAAAAAiAAAAZHJz&#10;L2Rvd25yZXYueG1sUEsBAhQAFAAAAAgAh07iQH3+z3MMAgAADQQAAA4AAAAAAAAAAQAgAAAAHwEA&#10;AGRycy9lMm9Eb2MueG1sUEsFBgAAAAAGAAYAWQEAAJ0FAAAAAA==&#10;">
                      <v:fill on="f" focussize="0,0"/>
                      <v:stroke weight="3pt" color="#000000" joinstyle="miter"/>
                      <v:imagedata o:title=""/>
                      <o:lock v:ext="edit" aspectratio="f"/>
                    </v:line>
                  </w:pict>
                </mc:Fallback>
              </mc:AlternateContent>
            </w:r>
            <w:r>
              <w:rPr>
                <w:rFonts w:hint="eastAsia" w:cs="宋体" w:asciiTheme="minorEastAsia" w:hAnsiTheme="minorEastAsia" w:eastAsiaTheme="minorEastAsia"/>
                <w:color w:val="auto"/>
                <w:kern w:val="0"/>
                <w:szCs w:val="21"/>
                <w:highlight w:val="none"/>
              </w:rPr>
              <w:t>　</w:t>
            </w:r>
          </w:p>
        </w:tc>
      </w:tr>
    </w:tbl>
    <w:p w14:paraId="1BC0CD11">
      <w:pPr>
        <w:widowControl/>
        <w:spacing w:line="360" w:lineRule="auto"/>
        <w:jc w:val="left"/>
        <w:outlineLvl w:val="9"/>
        <w:rPr>
          <w:rFonts w:hint="eastAsia" w:cs="宋体" w:asciiTheme="minorEastAsia" w:hAnsiTheme="minorEastAsia" w:eastAsiaTheme="minorEastAsia"/>
          <w:b/>
          <w:color w:val="auto"/>
          <w:szCs w:val="21"/>
          <w:highlight w:val="none"/>
        </w:rPr>
        <w:sectPr>
          <w:pgSz w:w="16838" w:h="11900" w:orient="landscape"/>
          <w:pgMar w:top="1361" w:right="1134" w:bottom="1361" w:left="1134" w:header="567" w:footer="567" w:gutter="0"/>
          <w:pgBorders>
            <w:top w:val="none" w:sz="0" w:space="0"/>
            <w:left w:val="none" w:sz="0" w:space="0"/>
            <w:bottom w:val="none" w:sz="0" w:space="0"/>
            <w:right w:val="none" w:sz="0" w:space="0"/>
          </w:pgBorders>
          <w:cols w:space="0" w:num="1"/>
          <w:rtlGutter w:val="0"/>
          <w:docGrid w:linePitch="286" w:charSpace="0"/>
        </w:sectPr>
      </w:pPr>
    </w:p>
    <w:p w14:paraId="6155AE07">
      <w:pPr>
        <w:widowControl/>
        <w:spacing w:line="360" w:lineRule="auto"/>
        <w:jc w:val="left"/>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五、结算编制原则：</w:t>
      </w:r>
    </w:p>
    <w:p w14:paraId="40E61146">
      <w:pPr>
        <w:widowControl/>
        <w:tabs>
          <w:tab w:val="left" w:pos="900"/>
        </w:tabs>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1.工程结算由结算书、结算资料、工程竣工图纸三部分组成。</w:t>
      </w:r>
    </w:p>
    <w:p w14:paraId="56B69C95">
      <w:pPr>
        <w:widowControl/>
        <w:tabs>
          <w:tab w:val="left" w:pos="900"/>
        </w:tabs>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2.结算的编制依据、编制范围，按合同及补充协议约定的相关条款编制。</w:t>
      </w:r>
    </w:p>
    <w:p w14:paraId="23976371">
      <w:pPr>
        <w:widowControl/>
        <w:tabs>
          <w:tab w:val="left" w:pos="900"/>
        </w:tabs>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3.结算书各单位工程按中标预算、量差及漏项、设计变更、工程签证、人工费调差、材料费调差、总承包服务费、各类扣款(除水电费及咨询成果费)等汇总总造价的框架编制。</w:t>
      </w:r>
    </w:p>
    <w:p w14:paraId="751DCEC2">
      <w:pPr>
        <w:pStyle w:val="74"/>
        <w:widowControl/>
        <w:spacing w:line="360" w:lineRule="auto"/>
        <w:ind w:left="0" w:firstLine="0"/>
        <w:jc w:val="left"/>
        <w:outlineLvl w:val="9"/>
        <w:rPr>
          <w:rFonts w:asciiTheme="minorEastAsia" w:hAnsiTheme="minorEastAsia" w:eastAsiaTheme="minorEastAsia"/>
          <w:b/>
          <w:color w:val="auto"/>
          <w:szCs w:val="21"/>
          <w:highlight w:val="none"/>
        </w:rPr>
      </w:pPr>
      <w:r>
        <w:rPr>
          <w:rFonts w:hint="eastAsia" w:asciiTheme="minorEastAsia" w:hAnsiTheme="minorEastAsia" w:eastAsiaTheme="minorEastAsia"/>
          <w:b/>
          <w:color w:val="auto"/>
          <w:szCs w:val="21"/>
          <w:highlight w:val="none"/>
          <w:lang w:val="en-US"/>
        </w:rPr>
        <w:t>六、</w:t>
      </w:r>
      <w:r>
        <w:rPr>
          <w:rFonts w:hint="eastAsia" w:asciiTheme="minorEastAsia" w:hAnsiTheme="minorEastAsia" w:eastAsiaTheme="minorEastAsia"/>
          <w:b/>
          <w:color w:val="auto"/>
          <w:szCs w:val="21"/>
          <w:highlight w:val="none"/>
        </w:rPr>
        <w:t>竣工图纸编制要求：</w:t>
      </w:r>
    </w:p>
    <w:p w14:paraId="358D22D6">
      <w:pPr>
        <w:pStyle w:val="74"/>
        <w:widowControl/>
        <w:tabs>
          <w:tab w:val="left" w:pos="900"/>
        </w:tabs>
        <w:spacing w:line="360" w:lineRule="auto"/>
        <w:ind w:left="0" w:firstLine="0"/>
        <w:jc w:val="left"/>
        <w:outlineLvl w:val="9"/>
        <w:rPr>
          <w:rFonts w:asciiTheme="minorEastAsia" w:hAnsiTheme="minorEastAsia" w:eastAsiaTheme="minorEastAsia"/>
          <w:b/>
          <w:color w:val="auto"/>
          <w:szCs w:val="21"/>
          <w:highlight w:val="none"/>
        </w:rPr>
      </w:pPr>
      <w:r>
        <w:rPr>
          <w:rFonts w:asciiTheme="minorEastAsia" w:hAnsiTheme="minorEastAsia" w:eastAsiaTheme="minorEastAsia"/>
          <w:color w:val="auto"/>
          <w:szCs w:val="21"/>
          <w:highlight w:val="none"/>
          <w:lang w:val="en-US"/>
        </w:rPr>
        <w:t>1.</w:t>
      </w:r>
      <w:r>
        <w:rPr>
          <w:rFonts w:hint="eastAsia" w:asciiTheme="minorEastAsia" w:hAnsiTheme="minorEastAsia" w:eastAsiaTheme="minorEastAsia"/>
          <w:color w:val="auto"/>
          <w:szCs w:val="21"/>
          <w:highlight w:val="none"/>
        </w:rPr>
        <w:t>施工单位需在建设单位下发的施工蓝图上绘制竣工图。</w:t>
      </w:r>
    </w:p>
    <w:p w14:paraId="4E08637E">
      <w:pPr>
        <w:pStyle w:val="74"/>
        <w:widowControl/>
        <w:tabs>
          <w:tab w:val="left" w:pos="900"/>
        </w:tabs>
        <w:spacing w:line="360" w:lineRule="auto"/>
        <w:ind w:left="0" w:firstLine="0"/>
        <w:jc w:val="left"/>
        <w:outlineLvl w:val="9"/>
        <w:rPr>
          <w:rFonts w:asciiTheme="minorEastAsia" w:hAnsiTheme="minorEastAsia" w:eastAsiaTheme="minorEastAsia"/>
          <w:color w:val="auto"/>
          <w:szCs w:val="21"/>
          <w:highlight w:val="none"/>
        </w:rPr>
      </w:pPr>
      <w:r>
        <w:rPr>
          <w:rFonts w:asciiTheme="minorEastAsia" w:hAnsiTheme="minorEastAsia" w:eastAsiaTheme="minorEastAsia"/>
          <w:color w:val="auto"/>
          <w:szCs w:val="21"/>
          <w:highlight w:val="none"/>
          <w:lang w:val="en-US"/>
        </w:rPr>
        <w:t>3.</w:t>
      </w:r>
      <w:r>
        <w:rPr>
          <w:rFonts w:hint="eastAsia" w:asciiTheme="minorEastAsia" w:hAnsiTheme="minorEastAsia" w:eastAsiaTheme="minorEastAsia"/>
          <w:color w:val="auto"/>
          <w:szCs w:val="21"/>
          <w:highlight w:val="none"/>
        </w:rPr>
        <w:t>竣工图纸必须将所有的变更索引标注到图纸上。</w:t>
      </w:r>
    </w:p>
    <w:p w14:paraId="12C91958">
      <w:pPr>
        <w:pStyle w:val="74"/>
        <w:widowControl/>
        <w:tabs>
          <w:tab w:val="left" w:pos="900"/>
        </w:tabs>
        <w:spacing w:line="360" w:lineRule="auto"/>
        <w:ind w:left="0" w:firstLine="0"/>
        <w:jc w:val="left"/>
        <w:outlineLvl w:val="9"/>
        <w:rPr>
          <w:rFonts w:asciiTheme="minorEastAsia" w:hAnsiTheme="minorEastAsia" w:eastAsiaTheme="minorEastAsia"/>
          <w:color w:val="auto"/>
          <w:szCs w:val="21"/>
          <w:highlight w:val="none"/>
        </w:rPr>
      </w:pPr>
      <w:r>
        <w:rPr>
          <w:rFonts w:asciiTheme="minorEastAsia" w:hAnsiTheme="minorEastAsia" w:eastAsiaTheme="minorEastAsia"/>
          <w:color w:val="auto"/>
          <w:szCs w:val="21"/>
          <w:highlight w:val="none"/>
          <w:lang w:val="en-US"/>
        </w:rPr>
        <w:t>3.</w:t>
      </w:r>
      <w:r>
        <w:rPr>
          <w:rFonts w:hint="eastAsia" w:asciiTheme="minorEastAsia" w:hAnsiTheme="minorEastAsia" w:eastAsiaTheme="minorEastAsia"/>
          <w:color w:val="auto"/>
          <w:szCs w:val="21"/>
          <w:highlight w:val="none"/>
        </w:rPr>
        <w:t>监理及建设单位项目部工程负责人在每张图纸上审核签字，建设单位项目经理在各专业图纸首页审核签字。</w:t>
      </w:r>
    </w:p>
    <w:p w14:paraId="45C51A83">
      <w:pPr>
        <w:pStyle w:val="74"/>
        <w:widowControl/>
        <w:tabs>
          <w:tab w:val="left" w:pos="900"/>
        </w:tabs>
        <w:spacing w:line="360" w:lineRule="auto"/>
        <w:ind w:left="0" w:firstLine="0"/>
        <w:jc w:val="left"/>
        <w:outlineLvl w:val="9"/>
        <w:rPr>
          <w:rFonts w:asciiTheme="minorEastAsia" w:hAnsiTheme="minorEastAsia" w:eastAsiaTheme="minorEastAsia"/>
          <w:color w:val="auto"/>
          <w:szCs w:val="21"/>
          <w:highlight w:val="none"/>
        </w:rPr>
      </w:pPr>
      <w:r>
        <w:rPr>
          <w:rFonts w:asciiTheme="minorEastAsia" w:hAnsiTheme="minorEastAsia" w:eastAsiaTheme="minorEastAsia"/>
          <w:color w:val="auto"/>
          <w:szCs w:val="21"/>
          <w:highlight w:val="none"/>
          <w:lang w:val="en-US"/>
        </w:rPr>
        <w:t>4.</w:t>
      </w:r>
      <w:r>
        <w:rPr>
          <w:rFonts w:hint="eastAsia" w:asciiTheme="minorEastAsia" w:hAnsiTheme="minorEastAsia" w:eastAsiaTheme="minorEastAsia"/>
          <w:color w:val="auto"/>
          <w:szCs w:val="21"/>
          <w:highlight w:val="none"/>
        </w:rPr>
        <w:t>每张图纸需加盖竣工章及建设单位项目章。</w:t>
      </w:r>
    </w:p>
    <w:p w14:paraId="065C93EC">
      <w:pPr>
        <w:pStyle w:val="74"/>
        <w:widowControl/>
        <w:tabs>
          <w:tab w:val="left" w:pos="900"/>
        </w:tabs>
        <w:spacing w:line="360" w:lineRule="auto"/>
        <w:ind w:left="0" w:firstLine="0"/>
        <w:jc w:val="left"/>
        <w:outlineLvl w:val="9"/>
        <w:rPr>
          <w:rFonts w:asciiTheme="minorEastAsia" w:hAnsiTheme="minorEastAsia" w:eastAsiaTheme="minorEastAsia"/>
          <w:color w:val="auto"/>
          <w:szCs w:val="21"/>
          <w:highlight w:val="none"/>
        </w:rPr>
      </w:pPr>
      <w:r>
        <w:rPr>
          <w:rFonts w:asciiTheme="minorEastAsia" w:hAnsiTheme="minorEastAsia" w:eastAsiaTheme="minorEastAsia"/>
          <w:color w:val="auto"/>
          <w:szCs w:val="21"/>
          <w:highlight w:val="none"/>
          <w:lang w:val="en-US"/>
        </w:rPr>
        <w:t>5.</w:t>
      </w:r>
      <w:r>
        <w:rPr>
          <w:rFonts w:hint="eastAsia" w:asciiTheme="minorEastAsia" w:hAnsiTheme="minorEastAsia" w:eastAsiaTheme="minorEastAsia"/>
          <w:color w:val="auto"/>
          <w:szCs w:val="21"/>
          <w:highlight w:val="none"/>
        </w:rPr>
        <w:t>施工单位竣工图经审核确认无误后，需移交建设单位竣工图档案管理部门。</w:t>
      </w:r>
    </w:p>
    <w:p w14:paraId="798E50D0">
      <w:pPr>
        <w:pStyle w:val="74"/>
        <w:widowControl/>
        <w:spacing w:line="360" w:lineRule="auto"/>
        <w:ind w:left="0" w:firstLine="0"/>
        <w:jc w:val="left"/>
        <w:outlineLvl w:val="9"/>
        <w:rPr>
          <w:rFonts w:asciiTheme="minorEastAsia" w:hAnsiTheme="minorEastAsia" w:eastAsiaTheme="minorEastAsia"/>
          <w:b/>
          <w:color w:val="auto"/>
          <w:szCs w:val="21"/>
          <w:highlight w:val="none"/>
        </w:rPr>
      </w:pPr>
      <w:r>
        <w:rPr>
          <w:rFonts w:hint="eastAsia" w:asciiTheme="minorEastAsia" w:hAnsiTheme="minorEastAsia" w:eastAsiaTheme="minorEastAsia"/>
          <w:b/>
          <w:color w:val="auto"/>
          <w:szCs w:val="21"/>
          <w:highlight w:val="none"/>
          <w:lang w:val="en-US"/>
        </w:rPr>
        <w:t>七、</w:t>
      </w:r>
      <w:r>
        <w:rPr>
          <w:rFonts w:hint="eastAsia" w:asciiTheme="minorEastAsia" w:hAnsiTheme="minorEastAsia" w:eastAsiaTheme="minorEastAsia"/>
          <w:b/>
          <w:color w:val="auto"/>
          <w:szCs w:val="21"/>
          <w:highlight w:val="none"/>
        </w:rPr>
        <w:t>结算资料内容及装订顺序：</w:t>
      </w:r>
    </w:p>
    <w:p w14:paraId="5DFCCF60">
      <w:pPr>
        <w:widowControl/>
        <w:tabs>
          <w:tab w:val="left" w:pos="0"/>
        </w:tabs>
        <w:spacing w:line="360" w:lineRule="auto"/>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1.工程结算封面：项目名称、建设单位、施工单位</w:t>
      </w:r>
      <w:r>
        <w:rPr>
          <w:rFonts w:hint="eastAsia" w:cs="宋体" w:asciiTheme="minorEastAsia" w:hAnsiTheme="minorEastAsia" w:eastAsiaTheme="minorEastAsia"/>
          <w:color w:val="auto"/>
          <w:kern w:val="0"/>
          <w:szCs w:val="21"/>
          <w:highlight w:val="none"/>
        </w:rPr>
        <w:t>、</w:t>
      </w:r>
      <w:r>
        <w:rPr>
          <w:rFonts w:hint="eastAsia" w:cs="宋体" w:asciiTheme="minorEastAsia" w:hAnsiTheme="minorEastAsia" w:eastAsiaTheme="minorEastAsia"/>
          <w:color w:val="auto"/>
          <w:szCs w:val="21"/>
          <w:highlight w:val="none"/>
        </w:rPr>
        <w:t>结算编制时间，并加盖施工单位公章。</w:t>
      </w:r>
    </w:p>
    <w:p w14:paraId="68DABC81">
      <w:pPr>
        <w:pStyle w:val="74"/>
        <w:widowControl/>
        <w:spacing w:line="360" w:lineRule="auto"/>
        <w:ind w:left="0" w:firstLine="0"/>
        <w:jc w:val="left"/>
        <w:outlineLvl w:val="9"/>
        <w:rPr>
          <w:rFonts w:asciiTheme="minorEastAsia" w:hAnsiTheme="minorEastAsia" w:eastAsiaTheme="minorEastAsia"/>
          <w:color w:val="auto"/>
          <w:szCs w:val="21"/>
          <w:highlight w:val="none"/>
        </w:rPr>
      </w:pPr>
      <w:r>
        <w:rPr>
          <w:rFonts w:asciiTheme="minorEastAsia" w:hAnsiTheme="minorEastAsia" w:eastAsiaTheme="minorEastAsia"/>
          <w:color w:val="auto"/>
          <w:szCs w:val="21"/>
          <w:highlight w:val="none"/>
          <w:lang w:val="en-US"/>
        </w:rPr>
        <w:t>2.</w:t>
      </w:r>
      <w:r>
        <w:rPr>
          <w:rFonts w:hint="eastAsia" w:asciiTheme="minorEastAsia" w:hAnsiTheme="minorEastAsia" w:eastAsiaTheme="minorEastAsia"/>
          <w:color w:val="auto"/>
          <w:szCs w:val="21"/>
          <w:highlight w:val="none"/>
        </w:rPr>
        <w:t>工程结算资料明细表（附目录、标注页码）</w:t>
      </w:r>
    </w:p>
    <w:p w14:paraId="1F2F4010">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2.1工程结算申请单(详见附表一）（二份原件）</w:t>
      </w:r>
    </w:p>
    <w:p w14:paraId="5EF5AC1B">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2.2工程开工报告、竣工验收报告 </w:t>
      </w:r>
      <w:r>
        <w:rPr>
          <w:rFonts w:hint="eastAsia" w:cs="宋体" w:asciiTheme="minorEastAsia" w:hAnsiTheme="minorEastAsia" w:eastAsiaTheme="minorEastAsia"/>
          <w:color w:val="auto"/>
          <w:szCs w:val="21"/>
          <w:highlight w:val="none"/>
        </w:rPr>
        <w:t>（二份复印件）</w:t>
      </w:r>
    </w:p>
    <w:p w14:paraId="3BB34DF2">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2.3水电费结算表（详见附表二）及各月水电费单（二份，水电费结算表原件，各月水电费单复印件）</w:t>
      </w:r>
    </w:p>
    <w:p w14:paraId="70B8303D">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2.4扣款单汇总表（详见附表三）及各类扣款明细（二份，扣款单汇总表原件，各类扣款明细复印件）</w:t>
      </w:r>
    </w:p>
    <w:p w14:paraId="39610A5E">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2.5施工期规费缴纳凭证（二份复印件）</w:t>
      </w:r>
    </w:p>
    <w:p w14:paraId="50B7222C">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2.6施工合同及补充协议（二份复印件）</w:t>
      </w:r>
    </w:p>
    <w:p w14:paraId="333E955E">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2.7中标商务标、技术标（电子光盘一套）</w:t>
      </w:r>
    </w:p>
    <w:p w14:paraId="2FA34F99">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2.8总、分包施工范围交接记录（一份原件，一份复印件）</w:t>
      </w:r>
    </w:p>
    <w:p w14:paraId="4A9D99BA">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2.9设计变更、现场工程签证单、交底纪要等（一份原件，一份复印件）</w:t>
      </w:r>
    </w:p>
    <w:p w14:paraId="06CD6EA6">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2.10材料认质认价单及综合单价认价单（一份原件，一份复印件）</w:t>
      </w:r>
    </w:p>
    <w:p w14:paraId="7B061AD2">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2.11竣工图纸（电子光盘一套）</w:t>
      </w:r>
    </w:p>
    <w:p w14:paraId="597425D0">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2.12其他相关资料（一份原件，一份复印件）</w:t>
      </w:r>
    </w:p>
    <w:p w14:paraId="7EF1EFF7">
      <w:pPr>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资料上报前，需提前与建设单位成本部项目负责人核对交底纪要、工程设计变更单、现场工程签证单、材料认质认价单原件，核对无误后，按以上内容列出变更签证明细表（详见附表四），并后附相关资料，在明细表中标注资料页码。</w:t>
      </w:r>
    </w:p>
    <w:p w14:paraId="2A26EACE">
      <w:pPr>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以上资料按总包、暂估价工程分册装订，一式二份，一套原件，一套复印件，由施工单位整理后统一交监理单位进行审核，资料一次提交完整，不允许补报。以上资料需附目录并用打码器标注页码。暂估价工程单位不需要单独办理工程结算申请单、水电费结算表。</w:t>
      </w:r>
    </w:p>
    <w:p w14:paraId="2E80D0C8">
      <w:pPr>
        <w:pStyle w:val="74"/>
        <w:widowControl/>
        <w:spacing w:line="360" w:lineRule="auto"/>
        <w:ind w:left="0" w:firstLine="0"/>
        <w:jc w:val="left"/>
        <w:outlineLvl w:val="9"/>
        <w:rPr>
          <w:rFonts w:asciiTheme="minorEastAsia" w:hAnsiTheme="minorEastAsia" w:eastAsiaTheme="minorEastAsia"/>
          <w:b/>
          <w:color w:val="auto"/>
          <w:szCs w:val="21"/>
          <w:highlight w:val="none"/>
        </w:rPr>
      </w:pPr>
      <w:r>
        <w:rPr>
          <w:rFonts w:hint="eastAsia" w:asciiTheme="minorEastAsia" w:hAnsiTheme="minorEastAsia" w:eastAsiaTheme="minorEastAsia"/>
          <w:b/>
          <w:color w:val="auto"/>
          <w:szCs w:val="21"/>
          <w:highlight w:val="none"/>
          <w:lang w:val="en-US"/>
        </w:rPr>
        <w:t>八、</w:t>
      </w:r>
      <w:r>
        <w:rPr>
          <w:rFonts w:hint="eastAsia" w:asciiTheme="minorEastAsia" w:hAnsiTheme="minorEastAsia" w:eastAsiaTheme="minorEastAsia"/>
          <w:b/>
          <w:color w:val="auto"/>
          <w:szCs w:val="21"/>
          <w:highlight w:val="none"/>
        </w:rPr>
        <w:t>工程结算书的编制要求：</w:t>
      </w:r>
    </w:p>
    <w:p w14:paraId="4536107D">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1.工程结算书内容及装订顺序</w:t>
      </w:r>
    </w:p>
    <w:p w14:paraId="3E0EF320">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1.1工程结算书总封面。总封面上应明确：项目名称、工程总结算价（大、小写均应标明）、建设单位、施工单位、结算编制时间等内容。并加盖结算施工单位公章及造价人员执业用章；</w:t>
      </w:r>
    </w:p>
    <w:p w14:paraId="146E40F8">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1.2工程结算编制说明。主要说明工程概况、结算编制范围、结算编制依据以及其它需说明的与结算编制有关的问题；</w:t>
      </w:r>
    </w:p>
    <w:p w14:paraId="1A6E38EF">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1.3工程结算汇总表。按总包、暂估价工程结算金额汇总，如总包、幕墙、公装、景观等；</w:t>
      </w:r>
    </w:p>
    <w:p w14:paraId="150CF9D7">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1.4总包（暂估价）工程结算书封面。封面上应明确：工程名称、工程结算价（大、小写均应标明）、建设单位、施工单位、结算编制时间等内容，并加盖施工单位公章及造价人员执业用章；</w:t>
      </w:r>
    </w:p>
    <w:p w14:paraId="3584474D">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1.5总包（暂估价）工程结算书汇总表。按单项工程汇总，详见附表五；</w:t>
      </w:r>
    </w:p>
    <w:p w14:paraId="056201CD">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1.6总包（暂估价）工程单项工程汇总表，按单位工程汇总，如土建、电气、给排水等，详见附表六；</w:t>
      </w:r>
      <w:bookmarkStart w:id="735" w:name="_MON_1688288959"/>
      <w:bookmarkEnd w:id="735"/>
    </w:p>
    <w:p w14:paraId="27B32A96">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   除工程结算汇总表外，总包、暂估价工程结算书均按以上要求分册编制。</w:t>
      </w:r>
    </w:p>
    <w:p w14:paraId="6785B73F">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2、工程结算书的相关要求：</w:t>
      </w:r>
    </w:p>
    <w:p w14:paraId="55030A7D">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2.1变更、签证、图纸会审纪要一单一算，按单位工程分部单列，结算中标明变更、签证的编号；</w:t>
      </w:r>
    </w:p>
    <w:p w14:paraId="32667412">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2.2如有人工费调整，按月进度审核记录时间节点报送；</w:t>
      </w:r>
    </w:p>
    <w:p w14:paraId="0C10E71A">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2.3新组价的清单计价项目必须提供单价分析表。</w:t>
      </w:r>
    </w:p>
    <w:p w14:paraId="3A57B040">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rPr>
        <w:t>4</w:t>
      </w:r>
      <w:r>
        <w:rPr>
          <w:rFonts w:cs="宋体" w:asciiTheme="minorEastAsia" w:hAnsiTheme="minorEastAsia" w:eastAsiaTheme="minorEastAsia"/>
          <w:color w:val="auto"/>
          <w:szCs w:val="21"/>
          <w:highlight w:val="none"/>
        </w:rPr>
        <w:t>工作联系单、技术核定单等资料不能作为结算依据，应将其转为相应的变更、签证资料。</w:t>
      </w:r>
    </w:p>
    <w:p w14:paraId="5B950C3C">
      <w:pPr>
        <w:spacing w:line="360" w:lineRule="auto"/>
        <w:ind w:firstLine="105" w:firstLineChars="5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w:t>
      </w:r>
      <w:r>
        <w:rPr>
          <w:rFonts w:hint="eastAsia" w:cs="宋体" w:asciiTheme="minorEastAsia" w:hAnsiTheme="minorEastAsia" w:eastAsiaTheme="minorEastAsia"/>
          <w:color w:val="auto"/>
          <w:szCs w:val="21"/>
          <w:highlight w:val="none"/>
        </w:rPr>
        <w:t>5</w:t>
      </w:r>
      <w:r>
        <w:rPr>
          <w:rFonts w:cs="宋体" w:asciiTheme="minorEastAsia" w:hAnsiTheme="minorEastAsia" w:eastAsiaTheme="minorEastAsia"/>
          <w:color w:val="auto"/>
          <w:szCs w:val="21"/>
          <w:highlight w:val="none"/>
        </w:rPr>
        <w:t>工程结算书需报二套纸版、一套电子光盘。</w:t>
      </w:r>
    </w:p>
    <w:p w14:paraId="7FA37398">
      <w:pPr>
        <w:pStyle w:val="74"/>
        <w:widowControl/>
        <w:spacing w:line="360" w:lineRule="auto"/>
        <w:ind w:left="0" w:firstLine="0"/>
        <w:jc w:val="left"/>
        <w:outlineLvl w:val="9"/>
        <w:rPr>
          <w:rFonts w:asciiTheme="minorEastAsia" w:hAnsiTheme="minorEastAsia" w:eastAsiaTheme="minorEastAsia"/>
          <w:b/>
          <w:color w:val="auto"/>
          <w:szCs w:val="21"/>
          <w:highlight w:val="none"/>
        </w:rPr>
      </w:pPr>
      <w:r>
        <w:rPr>
          <w:rFonts w:hint="eastAsia" w:asciiTheme="minorEastAsia" w:hAnsiTheme="minorEastAsia" w:eastAsiaTheme="minorEastAsia"/>
          <w:b/>
          <w:color w:val="auto"/>
          <w:szCs w:val="21"/>
          <w:highlight w:val="none"/>
          <w:lang w:val="en-US"/>
        </w:rPr>
        <w:t>九、</w:t>
      </w:r>
      <w:r>
        <w:rPr>
          <w:rFonts w:hint="eastAsia" w:asciiTheme="minorEastAsia" w:hAnsiTheme="minorEastAsia" w:eastAsiaTheme="minorEastAsia"/>
          <w:b/>
          <w:color w:val="auto"/>
          <w:szCs w:val="21"/>
          <w:highlight w:val="none"/>
        </w:rPr>
        <w:t>核对要求：</w:t>
      </w:r>
    </w:p>
    <w:p w14:paraId="778DEC49">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为保证工程结算核对的顺利进行，施工单位应提供结算核对授权委托书（详见附表七），委托书上应明确施工单位法人委托结算的负责人及各专业预算员的姓名、专业、核对范围、联系电话并附所有人身份证复印件。</w:t>
      </w:r>
    </w:p>
    <w:p w14:paraId="6FF9411D">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2.结算核对过程中，核对人员在结算核对记录表（详见附表八）上对每日核对内容签字确认，阶段提交核对结果并签字确认。</w:t>
      </w:r>
    </w:p>
    <w:p w14:paraId="2EA34377">
      <w:pPr>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3.各施工单位慎重上报结算造价，按照合同约定，超出审定工程结算造价3％部分的</w:t>
      </w:r>
      <w:r>
        <w:rPr>
          <w:rFonts w:hint="eastAsia" w:cs="宋体" w:asciiTheme="minorEastAsia" w:hAnsiTheme="minorEastAsia" w:eastAsiaTheme="minorEastAsia"/>
          <w:color w:val="auto"/>
          <w:szCs w:val="21"/>
          <w:highlight w:val="none"/>
        </w:rPr>
        <w:t>审核服务</w:t>
      </w:r>
      <w:r>
        <w:rPr>
          <w:rFonts w:cs="宋体" w:asciiTheme="minorEastAsia" w:hAnsiTheme="minorEastAsia" w:eastAsiaTheme="minorEastAsia"/>
          <w:color w:val="auto"/>
          <w:szCs w:val="21"/>
          <w:highlight w:val="none"/>
        </w:rPr>
        <w:t>费用由承包人承担。</w:t>
      </w:r>
    </w:p>
    <w:p w14:paraId="1DED2394">
      <w:pPr>
        <w:spacing w:line="360" w:lineRule="auto"/>
        <w:outlineLvl w:val="9"/>
        <w:rPr>
          <w:rFonts w:cs="宋体" w:asciiTheme="minorEastAsia" w:hAnsiTheme="minorEastAsia" w:eastAsiaTheme="minorEastAsia"/>
          <w:color w:val="auto"/>
          <w:szCs w:val="21"/>
          <w:highlight w:val="none"/>
        </w:rPr>
        <w:sectPr>
          <w:pgSz w:w="11906" w:h="16838"/>
          <w:pgMar w:top="2098" w:right="1474" w:bottom="1984" w:left="1587" w:header="851" w:footer="992" w:gutter="0"/>
          <w:pgBorders>
            <w:top w:val="none" w:sz="0" w:space="0"/>
            <w:left w:val="none" w:sz="0" w:space="0"/>
            <w:bottom w:val="none" w:sz="0" w:space="0"/>
            <w:right w:val="none" w:sz="0" w:space="0"/>
          </w:pgBorders>
          <w:cols w:space="720" w:num="1"/>
          <w:docGrid w:type="lines" w:linePitch="312" w:charSpace="0"/>
        </w:sectPr>
      </w:pPr>
    </w:p>
    <w:p w14:paraId="62F7AE99">
      <w:pPr>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附表一</w:t>
      </w:r>
    </w:p>
    <w:p w14:paraId="48154EC5">
      <w:pPr>
        <w:ind w:firstLine="64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工程结算申请单</w:t>
      </w:r>
    </w:p>
    <w:p w14:paraId="3AFBBC34">
      <w:pPr>
        <w:ind w:firstLine="105" w:firstLineChars="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序号：</w:t>
      </w:r>
      <w:r>
        <w:rPr>
          <w:rFonts w:cs="宋体" w:asciiTheme="minorEastAsia" w:hAnsiTheme="minorEastAsia" w:eastAsiaTheme="minorEastAsia"/>
          <w:color w:val="auto"/>
          <w:szCs w:val="21"/>
          <w:highlight w:val="none"/>
        </w:rPr>
        <w:t>QW/JFDC- JHCBB-005</w:t>
      </w:r>
    </w:p>
    <w:tbl>
      <w:tblPr>
        <w:tblStyle w:val="56"/>
        <w:tblW w:w="9606" w:type="dxa"/>
        <w:tblInd w:w="0" w:type="dxa"/>
        <w:tblLayout w:type="fixed"/>
        <w:tblCellMar>
          <w:top w:w="0" w:type="dxa"/>
          <w:left w:w="108" w:type="dxa"/>
          <w:bottom w:w="0" w:type="dxa"/>
          <w:right w:w="108" w:type="dxa"/>
        </w:tblCellMar>
      </w:tblPr>
      <w:tblGrid>
        <w:gridCol w:w="534"/>
        <w:gridCol w:w="850"/>
        <w:gridCol w:w="1136"/>
        <w:gridCol w:w="1135"/>
        <w:gridCol w:w="523"/>
        <w:gridCol w:w="611"/>
        <w:gridCol w:w="690"/>
        <w:gridCol w:w="161"/>
        <w:gridCol w:w="1135"/>
        <w:gridCol w:w="1276"/>
        <w:gridCol w:w="1555"/>
      </w:tblGrid>
      <w:tr w14:paraId="056C63B4">
        <w:tblPrEx>
          <w:tblCellMar>
            <w:top w:w="0" w:type="dxa"/>
            <w:left w:w="108" w:type="dxa"/>
            <w:bottom w:w="0" w:type="dxa"/>
            <w:right w:w="108" w:type="dxa"/>
          </w:tblCellMar>
        </w:tblPrEx>
        <w:trPr>
          <w:trHeight w:val="614" w:hRule="atLeast"/>
        </w:trPr>
        <w:tc>
          <w:tcPr>
            <w:tcW w:w="1384" w:type="dxa"/>
            <w:gridSpan w:val="2"/>
            <w:tcBorders>
              <w:top w:val="single" w:color="auto" w:sz="4" w:space="0"/>
              <w:left w:val="single" w:color="auto" w:sz="4" w:space="0"/>
              <w:bottom w:val="single" w:color="auto" w:sz="4" w:space="0"/>
              <w:right w:val="single" w:color="auto" w:sz="4" w:space="0"/>
            </w:tcBorders>
            <w:vAlign w:val="center"/>
          </w:tcPr>
          <w:p w14:paraId="503E1CE9">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项目名称</w:t>
            </w:r>
          </w:p>
        </w:tc>
        <w:tc>
          <w:tcPr>
            <w:tcW w:w="2794" w:type="dxa"/>
            <w:gridSpan w:val="3"/>
            <w:tcBorders>
              <w:top w:val="single" w:color="auto" w:sz="4" w:space="0"/>
              <w:left w:val="single" w:color="auto" w:sz="4" w:space="0"/>
              <w:bottom w:val="single" w:color="auto" w:sz="4" w:space="0"/>
              <w:right w:val="single" w:color="auto" w:sz="4" w:space="0"/>
            </w:tcBorders>
            <w:vAlign w:val="center"/>
          </w:tcPr>
          <w:p w14:paraId="21150947">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c>
          <w:tcPr>
            <w:tcW w:w="1301" w:type="dxa"/>
            <w:gridSpan w:val="2"/>
            <w:tcBorders>
              <w:top w:val="single" w:color="auto" w:sz="4" w:space="0"/>
              <w:left w:val="single" w:color="auto" w:sz="4" w:space="0"/>
              <w:bottom w:val="single" w:color="auto" w:sz="4" w:space="0"/>
              <w:right w:val="single" w:color="auto" w:sz="4" w:space="0"/>
            </w:tcBorders>
            <w:vAlign w:val="center"/>
          </w:tcPr>
          <w:p w14:paraId="5FCCD5B4">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施工单位</w:t>
            </w:r>
          </w:p>
        </w:tc>
        <w:tc>
          <w:tcPr>
            <w:tcW w:w="4127" w:type="dxa"/>
            <w:gridSpan w:val="4"/>
            <w:tcBorders>
              <w:top w:val="single" w:color="auto" w:sz="4" w:space="0"/>
              <w:left w:val="single" w:color="auto" w:sz="4" w:space="0"/>
              <w:bottom w:val="single" w:color="auto" w:sz="4" w:space="0"/>
              <w:right w:val="single" w:color="auto" w:sz="4" w:space="0"/>
            </w:tcBorders>
            <w:vAlign w:val="center"/>
          </w:tcPr>
          <w:p w14:paraId="7C1200E9">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r w14:paraId="286A080D">
        <w:tblPrEx>
          <w:tblCellMar>
            <w:top w:w="0" w:type="dxa"/>
            <w:left w:w="108" w:type="dxa"/>
            <w:bottom w:w="0" w:type="dxa"/>
            <w:right w:w="108" w:type="dxa"/>
          </w:tblCellMar>
        </w:tblPrEx>
        <w:trPr>
          <w:trHeight w:val="549" w:hRule="atLeast"/>
        </w:trPr>
        <w:tc>
          <w:tcPr>
            <w:tcW w:w="1384" w:type="dxa"/>
            <w:gridSpan w:val="2"/>
            <w:tcBorders>
              <w:top w:val="single" w:color="auto" w:sz="4" w:space="0"/>
              <w:left w:val="single" w:color="auto" w:sz="4" w:space="0"/>
              <w:bottom w:val="single" w:color="auto" w:sz="4" w:space="0"/>
              <w:right w:val="single" w:color="auto" w:sz="4" w:space="0"/>
            </w:tcBorders>
            <w:vAlign w:val="center"/>
          </w:tcPr>
          <w:p w14:paraId="54CE8A3E">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合同名称</w:t>
            </w:r>
          </w:p>
        </w:tc>
        <w:tc>
          <w:tcPr>
            <w:tcW w:w="2794" w:type="dxa"/>
            <w:gridSpan w:val="3"/>
            <w:tcBorders>
              <w:top w:val="single" w:color="auto" w:sz="4" w:space="0"/>
              <w:left w:val="single" w:color="auto" w:sz="4" w:space="0"/>
              <w:bottom w:val="single" w:color="auto" w:sz="4" w:space="0"/>
              <w:right w:val="single" w:color="auto" w:sz="4" w:space="0"/>
            </w:tcBorders>
            <w:vAlign w:val="center"/>
          </w:tcPr>
          <w:p w14:paraId="4943195F">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c>
          <w:tcPr>
            <w:tcW w:w="1301" w:type="dxa"/>
            <w:gridSpan w:val="2"/>
            <w:tcBorders>
              <w:top w:val="single" w:color="auto" w:sz="4" w:space="0"/>
              <w:left w:val="single" w:color="auto" w:sz="4" w:space="0"/>
              <w:bottom w:val="single" w:color="auto" w:sz="4" w:space="0"/>
              <w:right w:val="single" w:color="auto" w:sz="4" w:space="0"/>
            </w:tcBorders>
            <w:vAlign w:val="center"/>
          </w:tcPr>
          <w:p w14:paraId="0C7772B5">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工程内容</w:t>
            </w:r>
          </w:p>
        </w:tc>
        <w:tc>
          <w:tcPr>
            <w:tcW w:w="4127" w:type="dxa"/>
            <w:gridSpan w:val="4"/>
            <w:tcBorders>
              <w:top w:val="single" w:color="auto" w:sz="4" w:space="0"/>
              <w:left w:val="single" w:color="auto" w:sz="4" w:space="0"/>
              <w:bottom w:val="single" w:color="auto" w:sz="4" w:space="0"/>
              <w:right w:val="single" w:color="auto" w:sz="4" w:space="0"/>
            </w:tcBorders>
            <w:vAlign w:val="center"/>
          </w:tcPr>
          <w:p w14:paraId="0C5F8652">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文</w:t>
            </w:r>
          </w:p>
        </w:tc>
      </w:tr>
      <w:tr w14:paraId="40A14479">
        <w:tblPrEx>
          <w:tblCellMar>
            <w:top w:w="0" w:type="dxa"/>
            <w:left w:w="108" w:type="dxa"/>
            <w:bottom w:w="0" w:type="dxa"/>
            <w:right w:w="108" w:type="dxa"/>
          </w:tblCellMar>
        </w:tblPrEx>
        <w:trPr>
          <w:trHeight w:val="431" w:hRule="atLeast"/>
        </w:trPr>
        <w:tc>
          <w:tcPr>
            <w:tcW w:w="1384" w:type="dxa"/>
            <w:gridSpan w:val="2"/>
            <w:tcBorders>
              <w:top w:val="single" w:color="auto" w:sz="4" w:space="0"/>
              <w:left w:val="single" w:color="auto" w:sz="4" w:space="0"/>
              <w:bottom w:val="single" w:color="auto" w:sz="4" w:space="0"/>
              <w:right w:val="single" w:color="auto" w:sz="4" w:space="0"/>
            </w:tcBorders>
            <w:vAlign w:val="center"/>
          </w:tcPr>
          <w:p w14:paraId="62BBCB30">
            <w:pPr>
              <w:pStyle w:val="112"/>
              <w:keepNext w:val="0"/>
              <w:keepLines w:val="0"/>
              <w:suppressLineNumbers w:val="0"/>
              <w:spacing w:before="0" w:beforeAutospacing="0" w:after="0" w:afterAutospacing="0"/>
              <w:ind w:left="0" w:right="0" w:firstLine="420"/>
              <w:jc w:val="center"/>
              <w:outlineLvl w:val="9"/>
              <w:rPr>
                <w:rFonts w:asciiTheme="minorEastAsia" w:hAnsiTheme="minorEastAsia" w:eastAsiaTheme="minorEastAsia"/>
                <w:color w:val="auto"/>
                <w:kern w:val="2"/>
                <w:sz w:val="21"/>
                <w:szCs w:val="21"/>
                <w:highlight w:val="none"/>
              </w:rPr>
            </w:pPr>
            <w:r>
              <w:rPr>
                <w:rFonts w:hint="eastAsia" w:asciiTheme="minorEastAsia" w:hAnsiTheme="minorEastAsia" w:eastAsiaTheme="minorEastAsia"/>
                <w:color w:val="auto"/>
                <w:kern w:val="2"/>
                <w:sz w:val="21"/>
                <w:szCs w:val="21"/>
                <w:highlight w:val="none"/>
              </w:rPr>
              <w:t>结算造价内容</w:t>
            </w:r>
          </w:p>
        </w:tc>
        <w:tc>
          <w:tcPr>
            <w:tcW w:w="4256" w:type="dxa"/>
            <w:gridSpan w:val="6"/>
            <w:tcBorders>
              <w:top w:val="single" w:color="auto" w:sz="4" w:space="0"/>
              <w:left w:val="single" w:color="auto" w:sz="4" w:space="0"/>
              <w:bottom w:val="single" w:color="auto" w:sz="4" w:space="0"/>
              <w:right w:val="single" w:color="auto" w:sz="4" w:space="0"/>
            </w:tcBorders>
            <w:vAlign w:val="center"/>
          </w:tcPr>
          <w:p w14:paraId="34C2A63D">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金额（元）</w:t>
            </w:r>
          </w:p>
        </w:tc>
        <w:tc>
          <w:tcPr>
            <w:tcW w:w="3966" w:type="dxa"/>
            <w:gridSpan w:val="3"/>
            <w:tcBorders>
              <w:top w:val="single" w:color="auto" w:sz="4" w:space="0"/>
              <w:left w:val="single" w:color="auto" w:sz="4" w:space="0"/>
              <w:bottom w:val="single" w:color="auto" w:sz="4" w:space="0"/>
              <w:right w:val="single" w:color="auto" w:sz="4" w:space="0"/>
            </w:tcBorders>
            <w:vAlign w:val="center"/>
          </w:tcPr>
          <w:p w14:paraId="1EFFCD5B">
            <w:pPr>
              <w:keepNext w:val="0"/>
              <w:keepLines w:val="0"/>
              <w:widowControl/>
              <w:suppressLineNumbers w:val="0"/>
              <w:spacing w:before="0" w:beforeAutospacing="0" w:after="0" w:afterAutospacing="0"/>
              <w:ind w:left="0" w:right="0" w:firstLine="1365" w:firstLineChars="65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备注</w:t>
            </w:r>
          </w:p>
        </w:tc>
      </w:tr>
      <w:tr w14:paraId="623459D4">
        <w:tblPrEx>
          <w:tblCellMar>
            <w:top w:w="0" w:type="dxa"/>
            <w:left w:w="108" w:type="dxa"/>
            <w:bottom w:w="0" w:type="dxa"/>
            <w:right w:w="108" w:type="dxa"/>
          </w:tblCellMar>
        </w:tblPrEx>
        <w:trPr>
          <w:trHeight w:val="550" w:hRule="atLeast"/>
        </w:trPr>
        <w:tc>
          <w:tcPr>
            <w:tcW w:w="1384" w:type="dxa"/>
            <w:gridSpan w:val="2"/>
            <w:tcBorders>
              <w:top w:val="single" w:color="auto" w:sz="4" w:space="0"/>
              <w:left w:val="single" w:color="auto" w:sz="4" w:space="0"/>
              <w:bottom w:val="single" w:color="auto" w:sz="4" w:space="0"/>
              <w:right w:val="single" w:color="auto" w:sz="4" w:space="0"/>
            </w:tcBorders>
            <w:vAlign w:val="center"/>
          </w:tcPr>
          <w:p w14:paraId="00592CCA">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合同造价</w:t>
            </w:r>
          </w:p>
        </w:tc>
        <w:tc>
          <w:tcPr>
            <w:tcW w:w="4256" w:type="dxa"/>
            <w:gridSpan w:val="6"/>
            <w:tcBorders>
              <w:top w:val="single" w:color="auto" w:sz="4" w:space="0"/>
              <w:left w:val="single" w:color="auto" w:sz="4" w:space="0"/>
              <w:bottom w:val="single" w:color="auto" w:sz="4" w:space="0"/>
              <w:right w:val="single" w:color="auto" w:sz="4" w:space="0"/>
            </w:tcBorders>
            <w:vAlign w:val="center"/>
          </w:tcPr>
          <w:p w14:paraId="4AC492DF">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c>
          <w:tcPr>
            <w:tcW w:w="3966" w:type="dxa"/>
            <w:gridSpan w:val="3"/>
            <w:tcBorders>
              <w:top w:val="single" w:color="auto" w:sz="4" w:space="0"/>
              <w:left w:val="single" w:color="auto" w:sz="4" w:space="0"/>
              <w:bottom w:val="single" w:color="auto" w:sz="4" w:space="0"/>
              <w:right w:val="single" w:color="auto" w:sz="4" w:space="0"/>
            </w:tcBorders>
            <w:vAlign w:val="center"/>
          </w:tcPr>
          <w:p w14:paraId="265790C0">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r w14:paraId="64F916F0">
        <w:tblPrEx>
          <w:tblCellMar>
            <w:top w:w="0" w:type="dxa"/>
            <w:left w:w="108" w:type="dxa"/>
            <w:bottom w:w="0" w:type="dxa"/>
            <w:right w:w="108" w:type="dxa"/>
          </w:tblCellMar>
        </w:tblPrEx>
        <w:tc>
          <w:tcPr>
            <w:tcW w:w="1384" w:type="dxa"/>
            <w:gridSpan w:val="2"/>
            <w:tcBorders>
              <w:top w:val="single" w:color="auto" w:sz="4" w:space="0"/>
              <w:left w:val="single" w:color="auto" w:sz="4" w:space="0"/>
              <w:bottom w:val="single" w:color="auto" w:sz="4" w:space="0"/>
              <w:right w:val="single" w:color="auto" w:sz="4" w:space="0"/>
            </w:tcBorders>
            <w:vAlign w:val="center"/>
          </w:tcPr>
          <w:p w14:paraId="44FB3363">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施工单位报送结算造价</w:t>
            </w:r>
          </w:p>
        </w:tc>
        <w:tc>
          <w:tcPr>
            <w:tcW w:w="4256" w:type="dxa"/>
            <w:gridSpan w:val="6"/>
            <w:tcBorders>
              <w:top w:val="single" w:color="auto" w:sz="4" w:space="0"/>
              <w:left w:val="single" w:color="auto" w:sz="4" w:space="0"/>
              <w:bottom w:val="single" w:color="auto" w:sz="4" w:space="0"/>
              <w:right w:val="single" w:color="auto" w:sz="4" w:space="0"/>
            </w:tcBorders>
            <w:vAlign w:val="center"/>
          </w:tcPr>
          <w:p w14:paraId="53DEB990">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c>
          <w:tcPr>
            <w:tcW w:w="3966" w:type="dxa"/>
            <w:gridSpan w:val="3"/>
            <w:tcBorders>
              <w:top w:val="single" w:color="auto" w:sz="4" w:space="0"/>
              <w:left w:val="single" w:color="auto" w:sz="4" w:space="0"/>
              <w:bottom w:val="single" w:color="auto" w:sz="4" w:space="0"/>
              <w:right w:val="single" w:color="auto" w:sz="4" w:space="0"/>
            </w:tcBorders>
            <w:vAlign w:val="center"/>
          </w:tcPr>
          <w:p w14:paraId="3D95F10C">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r w14:paraId="3DD8C1A9">
        <w:tblPrEx>
          <w:tblCellMar>
            <w:top w:w="0" w:type="dxa"/>
            <w:left w:w="108" w:type="dxa"/>
            <w:bottom w:w="0" w:type="dxa"/>
            <w:right w:w="108" w:type="dxa"/>
          </w:tblCellMar>
        </w:tblPrEx>
        <w:tc>
          <w:tcPr>
            <w:tcW w:w="1384" w:type="dxa"/>
            <w:gridSpan w:val="2"/>
            <w:tcBorders>
              <w:top w:val="single" w:color="auto" w:sz="4" w:space="0"/>
              <w:left w:val="single" w:color="auto" w:sz="4" w:space="0"/>
              <w:bottom w:val="single" w:color="auto" w:sz="4" w:space="0"/>
              <w:right w:val="single" w:color="auto" w:sz="4" w:space="0"/>
            </w:tcBorders>
            <w:vAlign w:val="center"/>
          </w:tcPr>
          <w:p w14:paraId="63A4BFEF">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水电费扣款情况</w:t>
            </w:r>
          </w:p>
        </w:tc>
        <w:tc>
          <w:tcPr>
            <w:tcW w:w="4256" w:type="dxa"/>
            <w:gridSpan w:val="6"/>
            <w:tcBorders>
              <w:top w:val="single" w:color="auto" w:sz="4" w:space="0"/>
              <w:left w:val="single" w:color="auto" w:sz="4" w:space="0"/>
              <w:bottom w:val="single" w:color="auto" w:sz="4" w:space="0"/>
              <w:right w:val="single" w:color="auto" w:sz="4" w:space="0"/>
            </w:tcBorders>
            <w:vAlign w:val="center"/>
          </w:tcPr>
          <w:p w14:paraId="25FD8AB2">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水费：</w:t>
            </w:r>
            <w:r>
              <w:rPr>
                <w:rFonts w:asciiTheme="minorEastAsia" w:hAnsiTheme="minorEastAsia" w:eastAsiaTheme="minorEastAsia"/>
                <w:color w:val="auto"/>
                <w:szCs w:val="21"/>
                <w:highlight w:val="none"/>
                <w:u w:val="single"/>
              </w:rPr>
              <w:t>/</w:t>
            </w:r>
            <w:r>
              <w:rPr>
                <w:rFonts w:hint="eastAsia" w:asciiTheme="minorEastAsia" w:hAnsiTheme="minorEastAsia" w:eastAsiaTheme="minorEastAsia"/>
                <w:color w:val="auto"/>
                <w:szCs w:val="21"/>
                <w:highlight w:val="none"/>
              </w:rPr>
              <w:t>元电费：</w:t>
            </w:r>
            <w:r>
              <w:rPr>
                <w:rFonts w:asciiTheme="minorEastAsia" w:hAnsiTheme="minorEastAsia" w:eastAsiaTheme="minorEastAsia"/>
                <w:color w:val="auto"/>
                <w:szCs w:val="21"/>
                <w:highlight w:val="none"/>
                <w:u w:val="single"/>
              </w:rPr>
              <w:t>/</w:t>
            </w:r>
            <w:r>
              <w:rPr>
                <w:rFonts w:hint="eastAsia" w:asciiTheme="minorEastAsia" w:hAnsiTheme="minorEastAsia" w:eastAsiaTheme="minorEastAsia"/>
                <w:color w:val="auto"/>
                <w:szCs w:val="21"/>
                <w:highlight w:val="none"/>
              </w:rPr>
              <w:t>元</w:t>
            </w:r>
          </w:p>
        </w:tc>
        <w:tc>
          <w:tcPr>
            <w:tcW w:w="3966" w:type="dxa"/>
            <w:gridSpan w:val="3"/>
            <w:tcBorders>
              <w:top w:val="single" w:color="auto" w:sz="4" w:space="0"/>
              <w:left w:val="single" w:color="auto" w:sz="4" w:space="0"/>
              <w:bottom w:val="single" w:color="auto" w:sz="4" w:space="0"/>
              <w:right w:val="single" w:color="auto" w:sz="4" w:space="0"/>
            </w:tcBorders>
            <w:vAlign w:val="center"/>
          </w:tcPr>
          <w:p w14:paraId="2225ED64">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r w14:paraId="216D4826">
        <w:tblPrEx>
          <w:tblCellMar>
            <w:top w:w="0" w:type="dxa"/>
            <w:left w:w="108" w:type="dxa"/>
            <w:bottom w:w="0" w:type="dxa"/>
            <w:right w:w="108" w:type="dxa"/>
          </w:tblCellMar>
        </w:tblPrEx>
        <w:trPr>
          <w:trHeight w:val="704" w:hRule="atLeast"/>
        </w:trPr>
        <w:tc>
          <w:tcPr>
            <w:tcW w:w="1384" w:type="dxa"/>
            <w:gridSpan w:val="2"/>
            <w:vMerge w:val="restart"/>
            <w:tcBorders>
              <w:top w:val="single" w:color="auto" w:sz="4" w:space="0"/>
              <w:left w:val="single" w:color="auto" w:sz="4" w:space="0"/>
              <w:bottom w:val="single" w:color="auto" w:sz="4" w:space="0"/>
              <w:right w:val="single" w:color="auto" w:sz="4" w:space="0"/>
            </w:tcBorders>
            <w:vAlign w:val="center"/>
          </w:tcPr>
          <w:p w14:paraId="67DBCBB4">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结算资料内容</w:t>
            </w:r>
          </w:p>
        </w:tc>
        <w:tc>
          <w:tcPr>
            <w:tcW w:w="1136" w:type="dxa"/>
            <w:tcBorders>
              <w:top w:val="single" w:color="auto" w:sz="4" w:space="0"/>
              <w:left w:val="single" w:color="auto" w:sz="4" w:space="0"/>
              <w:bottom w:val="single" w:color="auto" w:sz="4" w:space="0"/>
              <w:right w:val="single" w:color="auto" w:sz="4" w:space="0"/>
            </w:tcBorders>
            <w:vAlign w:val="center"/>
          </w:tcPr>
          <w:p w14:paraId="33DBB7C2">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竣工图纸（套）</w:t>
            </w:r>
          </w:p>
        </w:tc>
        <w:tc>
          <w:tcPr>
            <w:tcW w:w="1135" w:type="dxa"/>
            <w:tcBorders>
              <w:top w:val="single" w:color="auto" w:sz="4" w:space="0"/>
              <w:left w:val="single" w:color="auto" w:sz="4" w:space="0"/>
              <w:bottom w:val="single" w:color="auto" w:sz="4" w:space="0"/>
              <w:right w:val="single" w:color="auto" w:sz="4" w:space="0"/>
            </w:tcBorders>
            <w:vAlign w:val="center"/>
          </w:tcPr>
          <w:p w14:paraId="4F115B6E">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现场签证单（份）</w:t>
            </w:r>
          </w:p>
        </w:tc>
        <w:tc>
          <w:tcPr>
            <w:tcW w:w="1134" w:type="dxa"/>
            <w:gridSpan w:val="2"/>
            <w:tcBorders>
              <w:top w:val="single" w:color="auto" w:sz="4" w:space="0"/>
              <w:left w:val="single" w:color="auto" w:sz="4" w:space="0"/>
              <w:bottom w:val="single" w:color="auto" w:sz="4" w:space="0"/>
              <w:right w:val="single" w:color="auto" w:sz="4" w:space="0"/>
            </w:tcBorders>
            <w:vAlign w:val="center"/>
          </w:tcPr>
          <w:p w14:paraId="174D2BEE">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工作联系单（份）</w:t>
            </w:r>
          </w:p>
        </w:tc>
        <w:tc>
          <w:tcPr>
            <w:tcW w:w="851" w:type="dxa"/>
            <w:gridSpan w:val="2"/>
            <w:tcBorders>
              <w:top w:val="single" w:color="auto" w:sz="4" w:space="0"/>
              <w:left w:val="single" w:color="auto" w:sz="4" w:space="0"/>
              <w:bottom w:val="single" w:color="auto" w:sz="4" w:space="0"/>
              <w:right w:val="single" w:color="auto" w:sz="4" w:space="0"/>
            </w:tcBorders>
            <w:vAlign w:val="center"/>
          </w:tcPr>
          <w:p w14:paraId="590578A7">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变更单（份）</w:t>
            </w:r>
          </w:p>
        </w:tc>
        <w:tc>
          <w:tcPr>
            <w:tcW w:w="1135" w:type="dxa"/>
            <w:tcBorders>
              <w:top w:val="single" w:color="auto" w:sz="4" w:space="0"/>
              <w:left w:val="single" w:color="auto" w:sz="4" w:space="0"/>
              <w:bottom w:val="single" w:color="auto" w:sz="4" w:space="0"/>
              <w:right w:val="single" w:color="auto" w:sz="4" w:space="0"/>
            </w:tcBorders>
            <w:vAlign w:val="center"/>
          </w:tcPr>
          <w:p w14:paraId="167DB21B">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认质认价单（份）</w:t>
            </w:r>
          </w:p>
        </w:tc>
        <w:tc>
          <w:tcPr>
            <w:tcW w:w="1276" w:type="dxa"/>
            <w:tcBorders>
              <w:top w:val="single" w:color="auto" w:sz="4" w:space="0"/>
              <w:left w:val="single" w:color="auto" w:sz="4" w:space="0"/>
              <w:bottom w:val="single" w:color="auto" w:sz="4" w:space="0"/>
              <w:right w:val="single" w:color="auto" w:sz="4" w:space="0"/>
            </w:tcBorders>
            <w:vAlign w:val="center"/>
          </w:tcPr>
          <w:p w14:paraId="230AD7DB">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材料表（份</w:t>
            </w:r>
            <w:r>
              <w:rPr>
                <w:rFonts w:asciiTheme="minorEastAsia" w:hAnsiTheme="minorEastAsia" w:eastAsiaTheme="minorEastAsia"/>
                <w:color w:val="auto"/>
                <w:szCs w:val="21"/>
                <w:highlight w:val="none"/>
              </w:rPr>
              <w:t>/</w:t>
            </w:r>
            <w:r>
              <w:rPr>
                <w:rFonts w:hint="eastAsia" w:asciiTheme="minorEastAsia" w:hAnsiTheme="minorEastAsia" w:eastAsiaTheme="minorEastAsia"/>
                <w:color w:val="auto"/>
                <w:szCs w:val="21"/>
                <w:highlight w:val="none"/>
              </w:rPr>
              <w:t>页））</w:t>
            </w:r>
          </w:p>
        </w:tc>
        <w:tc>
          <w:tcPr>
            <w:tcW w:w="1555" w:type="dxa"/>
            <w:tcBorders>
              <w:top w:val="single" w:color="auto" w:sz="4" w:space="0"/>
              <w:left w:val="single" w:color="auto" w:sz="4" w:space="0"/>
              <w:bottom w:val="single" w:color="auto" w:sz="4" w:space="0"/>
              <w:right w:val="single" w:color="auto" w:sz="4" w:space="0"/>
            </w:tcBorders>
            <w:vAlign w:val="center"/>
          </w:tcPr>
          <w:p w14:paraId="3915E0B5">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其他资料（份）</w:t>
            </w:r>
          </w:p>
        </w:tc>
      </w:tr>
      <w:tr w14:paraId="11B7CE75">
        <w:tblPrEx>
          <w:tblCellMar>
            <w:top w:w="0" w:type="dxa"/>
            <w:left w:w="108" w:type="dxa"/>
            <w:bottom w:w="0" w:type="dxa"/>
            <w:right w:w="108" w:type="dxa"/>
          </w:tblCellMar>
        </w:tblPrEx>
        <w:trPr>
          <w:trHeight w:val="487" w:hRule="atLeast"/>
        </w:trPr>
        <w:tc>
          <w:tcPr>
            <w:tcW w:w="1384" w:type="dxa"/>
            <w:gridSpan w:val="2"/>
            <w:vMerge w:val="continue"/>
            <w:tcBorders>
              <w:top w:val="single" w:color="auto" w:sz="4" w:space="0"/>
              <w:left w:val="single" w:color="auto" w:sz="4" w:space="0"/>
              <w:bottom w:val="single" w:color="auto" w:sz="4" w:space="0"/>
              <w:right w:val="single" w:color="auto" w:sz="4" w:space="0"/>
            </w:tcBorders>
            <w:vAlign w:val="center"/>
          </w:tcPr>
          <w:p w14:paraId="6652F8EC">
            <w:pPr>
              <w:keepNext w:val="0"/>
              <w:keepLines w:val="0"/>
              <w:widowControl/>
              <w:suppressLineNumbers w:val="0"/>
              <w:spacing w:before="0" w:beforeAutospacing="0" w:after="0" w:afterAutospacing="0"/>
              <w:ind w:left="0" w:right="0"/>
              <w:jc w:val="left"/>
              <w:outlineLvl w:val="9"/>
              <w:rPr>
                <w:rFonts w:asciiTheme="minorEastAsia" w:hAnsiTheme="minorEastAsia" w:eastAsiaTheme="minorEastAsia"/>
                <w:color w:val="auto"/>
                <w:szCs w:val="21"/>
                <w:highlight w:val="none"/>
              </w:rPr>
            </w:pPr>
          </w:p>
        </w:tc>
        <w:tc>
          <w:tcPr>
            <w:tcW w:w="1136" w:type="dxa"/>
            <w:tcBorders>
              <w:top w:val="single" w:color="auto" w:sz="4" w:space="0"/>
              <w:left w:val="single" w:color="auto" w:sz="4" w:space="0"/>
              <w:bottom w:val="single" w:color="auto" w:sz="4" w:space="0"/>
              <w:right w:val="single" w:color="auto" w:sz="4" w:space="0"/>
            </w:tcBorders>
            <w:vAlign w:val="center"/>
          </w:tcPr>
          <w:p w14:paraId="166D913F">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c>
          <w:tcPr>
            <w:tcW w:w="1135" w:type="dxa"/>
            <w:tcBorders>
              <w:top w:val="single" w:color="auto" w:sz="4" w:space="0"/>
              <w:left w:val="single" w:color="auto" w:sz="4" w:space="0"/>
              <w:bottom w:val="single" w:color="auto" w:sz="4" w:space="0"/>
              <w:right w:val="single" w:color="auto" w:sz="4" w:space="0"/>
            </w:tcBorders>
            <w:vAlign w:val="center"/>
          </w:tcPr>
          <w:p w14:paraId="532F508E">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c>
          <w:tcPr>
            <w:tcW w:w="1134" w:type="dxa"/>
            <w:gridSpan w:val="2"/>
            <w:tcBorders>
              <w:top w:val="single" w:color="auto" w:sz="4" w:space="0"/>
              <w:left w:val="single" w:color="auto" w:sz="4" w:space="0"/>
              <w:bottom w:val="single" w:color="auto" w:sz="4" w:space="0"/>
              <w:right w:val="single" w:color="auto" w:sz="4" w:space="0"/>
            </w:tcBorders>
            <w:vAlign w:val="center"/>
          </w:tcPr>
          <w:p w14:paraId="0C683862">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c>
          <w:tcPr>
            <w:tcW w:w="851" w:type="dxa"/>
            <w:gridSpan w:val="2"/>
            <w:tcBorders>
              <w:top w:val="single" w:color="auto" w:sz="4" w:space="0"/>
              <w:left w:val="single" w:color="auto" w:sz="4" w:space="0"/>
              <w:bottom w:val="single" w:color="auto" w:sz="4" w:space="0"/>
              <w:right w:val="single" w:color="auto" w:sz="4" w:space="0"/>
            </w:tcBorders>
            <w:vAlign w:val="center"/>
          </w:tcPr>
          <w:p w14:paraId="0F57B345">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c>
          <w:tcPr>
            <w:tcW w:w="1135" w:type="dxa"/>
            <w:tcBorders>
              <w:top w:val="single" w:color="auto" w:sz="4" w:space="0"/>
              <w:left w:val="single" w:color="auto" w:sz="4" w:space="0"/>
              <w:bottom w:val="single" w:color="auto" w:sz="4" w:space="0"/>
              <w:right w:val="single" w:color="auto" w:sz="4" w:space="0"/>
            </w:tcBorders>
            <w:vAlign w:val="center"/>
          </w:tcPr>
          <w:p w14:paraId="191DCD1A">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14:paraId="2C2BDB14">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c>
          <w:tcPr>
            <w:tcW w:w="1555" w:type="dxa"/>
            <w:tcBorders>
              <w:top w:val="single" w:color="auto" w:sz="4" w:space="0"/>
              <w:left w:val="single" w:color="auto" w:sz="4" w:space="0"/>
              <w:bottom w:val="single" w:color="auto" w:sz="4" w:space="0"/>
              <w:right w:val="single" w:color="auto" w:sz="4" w:space="0"/>
            </w:tcBorders>
            <w:vAlign w:val="center"/>
          </w:tcPr>
          <w:p w14:paraId="1286E7EB">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r w14:paraId="2C479676">
        <w:tblPrEx>
          <w:tblCellMar>
            <w:top w:w="0" w:type="dxa"/>
            <w:left w:w="108" w:type="dxa"/>
            <w:bottom w:w="0" w:type="dxa"/>
            <w:right w:w="108" w:type="dxa"/>
          </w:tblCellMar>
        </w:tblPrEx>
        <w:tc>
          <w:tcPr>
            <w:tcW w:w="1384" w:type="dxa"/>
            <w:gridSpan w:val="2"/>
            <w:tcBorders>
              <w:top w:val="single" w:color="auto" w:sz="4" w:space="0"/>
              <w:left w:val="single" w:color="auto" w:sz="4" w:space="0"/>
              <w:bottom w:val="single" w:color="auto" w:sz="4" w:space="0"/>
              <w:right w:val="single" w:color="auto" w:sz="4" w:space="0"/>
            </w:tcBorders>
            <w:vAlign w:val="center"/>
          </w:tcPr>
          <w:p w14:paraId="2C53E143">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建设单位档案管理部门竣工资料接收确认</w:t>
            </w:r>
          </w:p>
        </w:tc>
        <w:tc>
          <w:tcPr>
            <w:tcW w:w="8222" w:type="dxa"/>
            <w:gridSpan w:val="9"/>
            <w:tcBorders>
              <w:top w:val="single" w:color="auto" w:sz="4" w:space="0"/>
              <w:left w:val="single" w:color="auto" w:sz="4" w:space="0"/>
              <w:bottom w:val="single" w:color="auto" w:sz="4" w:space="0"/>
              <w:right w:val="single" w:color="auto" w:sz="4" w:space="0"/>
            </w:tcBorders>
            <w:vAlign w:val="center"/>
          </w:tcPr>
          <w:p w14:paraId="4D18C87D">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r w14:paraId="44BA59D6">
        <w:tblPrEx>
          <w:tblCellMar>
            <w:top w:w="0" w:type="dxa"/>
            <w:left w:w="108" w:type="dxa"/>
            <w:bottom w:w="0" w:type="dxa"/>
            <w:right w:w="108" w:type="dxa"/>
          </w:tblCellMar>
        </w:tblPrEx>
        <w:tc>
          <w:tcPr>
            <w:tcW w:w="534" w:type="dxa"/>
            <w:vMerge w:val="restart"/>
            <w:tcBorders>
              <w:top w:val="single" w:color="auto" w:sz="4" w:space="0"/>
              <w:left w:val="single" w:color="auto" w:sz="4" w:space="0"/>
              <w:bottom w:val="single" w:color="auto" w:sz="4" w:space="0"/>
              <w:right w:val="single" w:color="auto" w:sz="4" w:space="0"/>
            </w:tcBorders>
            <w:vAlign w:val="center"/>
          </w:tcPr>
          <w:p w14:paraId="0AA32738">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会签栏</w:t>
            </w:r>
          </w:p>
        </w:tc>
        <w:tc>
          <w:tcPr>
            <w:tcW w:w="850" w:type="dxa"/>
            <w:tcBorders>
              <w:top w:val="single" w:color="auto" w:sz="4" w:space="0"/>
              <w:left w:val="single" w:color="auto" w:sz="4" w:space="0"/>
              <w:bottom w:val="single" w:color="auto" w:sz="4" w:space="0"/>
              <w:right w:val="single" w:color="auto" w:sz="4" w:space="0"/>
            </w:tcBorders>
            <w:vAlign w:val="center"/>
          </w:tcPr>
          <w:p w14:paraId="1D14170B">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总包单位负责人</w:t>
            </w:r>
          </w:p>
        </w:tc>
        <w:tc>
          <w:tcPr>
            <w:tcW w:w="8222" w:type="dxa"/>
            <w:gridSpan w:val="9"/>
            <w:tcBorders>
              <w:top w:val="single" w:color="auto" w:sz="4" w:space="0"/>
              <w:left w:val="single" w:color="auto" w:sz="4" w:space="0"/>
              <w:bottom w:val="single" w:color="auto" w:sz="4" w:space="0"/>
              <w:right w:val="single" w:color="auto" w:sz="4" w:space="0"/>
            </w:tcBorders>
            <w:vAlign w:val="center"/>
          </w:tcPr>
          <w:p w14:paraId="13E3C264">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r w14:paraId="69D218C4">
        <w:tblPrEx>
          <w:tblCellMar>
            <w:top w:w="0" w:type="dxa"/>
            <w:left w:w="108" w:type="dxa"/>
            <w:bottom w:w="0" w:type="dxa"/>
            <w:right w:w="108" w:type="dxa"/>
          </w:tblCellMar>
        </w:tblPrEx>
        <w:tc>
          <w:tcPr>
            <w:tcW w:w="534" w:type="dxa"/>
            <w:vMerge w:val="continue"/>
            <w:tcBorders>
              <w:top w:val="single" w:color="auto" w:sz="4" w:space="0"/>
              <w:left w:val="single" w:color="auto" w:sz="4" w:space="0"/>
              <w:bottom w:val="single" w:color="auto" w:sz="4" w:space="0"/>
              <w:right w:val="single" w:color="auto" w:sz="4" w:space="0"/>
            </w:tcBorders>
            <w:vAlign w:val="center"/>
          </w:tcPr>
          <w:p w14:paraId="185C7B92">
            <w:pPr>
              <w:keepNext w:val="0"/>
              <w:keepLines w:val="0"/>
              <w:widowControl/>
              <w:suppressLineNumbers w:val="0"/>
              <w:spacing w:before="0" w:beforeAutospacing="0" w:after="0" w:afterAutospacing="0"/>
              <w:ind w:left="0" w:right="0"/>
              <w:jc w:val="left"/>
              <w:outlineLvl w:val="9"/>
              <w:rPr>
                <w:rFonts w:asciiTheme="minorEastAsia" w:hAnsiTheme="minorEastAsia" w:eastAsiaTheme="minorEastAsia"/>
                <w:color w:val="auto"/>
                <w:szCs w:val="21"/>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14:paraId="77201629">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监理工程师</w:t>
            </w:r>
          </w:p>
        </w:tc>
        <w:tc>
          <w:tcPr>
            <w:tcW w:w="8222" w:type="dxa"/>
            <w:gridSpan w:val="9"/>
            <w:tcBorders>
              <w:top w:val="single" w:color="auto" w:sz="4" w:space="0"/>
              <w:left w:val="single" w:color="auto" w:sz="4" w:space="0"/>
              <w:bottom w:val="single" w:color="auto" w:sz="4" w:space="0"/>
              <w:right w:val="single" w:color="auto" w:sz="4" w:space="0"/>
            </w:tcBorders>
            <w:vAlign w:val="center"/>
          </w:tcPr>
          <w:p w14:paraId="69A41A9A">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r w14:paraId="75D1DD05">
        <w:tblPrEx>
          <w:tblCellMar>
            <w:top w:w="0" w:type="dxa"/>
            <w:left w:w="108" w:type="dxa"/>
            <w:bottom w:w="0" w:type="dxa"/>
            <w:right w:w="108" w:type="dxa"/>
          </w:tblCellMar>
        </w:tblPrEx>
        <w:tc>
          <w:tcPr>
            <w:tcW w:w="534" w:type="dxa"/>
            <w:vMerge w:val="continue"/>
            <w:tcBorders>
              <w:top w:val="single" w:color="auto" w:sz="4" w:space="0"/>
              <w:left w:val="single" w:color="auto" w:sz="4" w:space="0"/>
              <w:bottom w:val="single" w:color="auto" w:sz="4" w:space="0"/>
              <w:right w:val="single" w:color="auto" w:sz="4" w:space="0"/>
            </w:tcBorders>
            <w:vAlign w:val="center"/>
          </w:tcPr>
          <w:p w14:paraId="47652448">
            <w:pPr>
              <w:keepNext w:val="0"/>
              <w:keepLines w:val="0"/>
              <w:widowControl/>
              <w:suppressLineNumbers w:val="0"/>
              <w:spacing w:before="0" w:beforeAutospacing="0" w:after="0" w:afterAutospacing="0"/>
              <w:ind w:left="0" w:right="0"/>
              <w:jc w:val="left"/>
              <w:outlineLvl w:val="9"/>
              <w:rPr>
                <w:rFonts w:asciiTheme="minorEastAsia" w:hAnsiTheme="minorEastAsia" w:eastAsiaTheme="minorEastAsia"/>
                <w:color w:val="auto"/>
                <w:szCs w:val="21"/>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14:paraId="4710FC8E">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项目部专业工程师</w:t>
            </w:r>
          </w:p>
        </w:tc>
        <w:tc>
          <w:tcPr>
            <w:tcW w:w="8222" w:type="dxa"/>
            <w:gridSpan w:val="9"/>
            <w:tcBorders>
              <w:top w:val="single" w:color="auto" w:sz="4" w:space="0"/>
              <w:left w:val="single" w:color="auto" w:sz="4" w:space="0"/>
              <w:bottom w:val="single" w:color="auto" w:sz="4" w:space="0"/>
              <w:right w:val="single" w:color="auto" w:sz="4" w:space="0"/>
            </w:tcBorders>
            <w:vAlign w:val="center"/>
          </w:tcPr>
          <w:p w14:paraId="3D63F034">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r w14:paraId="18E0B248">
        <w:tblPrEx>
          <w:tblCellMar>
            <w:top w:w="0" w:type="dxa"/>
            <w:left w:w="108" w:type="dxa"/>
            <w:bottom w:w="0" w:type="dxa"/>
            <w:right w:w="108" w:type="dxa"/>
          </w:tblCellMar>
        </w:tblPrEx>
        <w:tc>
          <w:tcPr>
            <w:tcW w:w="534" w:type="dxa"/>
            <w:vMerge w:val="continue"/>
            <w:tcBorders>
              <w:top w:val="single" w:color="auto" w:sz="4" w:space="0"/>
              <w:left w:val="single" w:color="auto" w:sz="4" w:space="0"/>
              <w:bottom w:val="single" w:color="auto" w:sz="4" w:space="0"/>
              <w:right w:val="single" w:color="auto" w:sz="4" w:space="0"/>
            </w:tcBorders>
            <w:vAlign w:val="center"/>
          </w:tcPr>
          <w:p w14:paraId="39040005">
            <w:pPr>
              <w:keepNext w:val="0"/>
              <w:keepLines w:val="0"/>
              <w:widowControl/>
              <w:suppressLineNumbers w:val="0"/>
              <w:spacing w:before="0" w:beforeAutospacing="0" w:after="0" w:afterAutospacing="0"/>
              <w:ind w:left="0" w:right="0"/>
              <w:jc w:val="left"/>
              <w:outlineLvl w:val="9"/>
              <w:rPr>
                <w:rFonts w:asciiTheme="minorEastAsia" w:hAnsiTheme="minorEastAsia" w:eastAsiaTheme="minorEastAsia"/>
                <w:color w:val="auto"/>
                <w:szCs w:val="21"/>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14:paraId="574B7F95">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项目部经理</w:t>
            </w:r>
          </w:p>
        </w:tc>
        <w:tc>
          <w:tcPr>
            <w:tcW w:w="8222" w:type="dxa"/>
            <w:gridSpan w:val="9"/>
            <w:tcBorders>
              <w:top w:val="single" w:color="auto" w:sz="4" w:space="0"/>
              <w:left w:val="single" w:color="auto" w:sz="4" w:space="0"/>
              <w:bottom w:val="single" w:color="auto" w:sz="4" w:space="0"/>
              <w:right w:val="single" w:color="auto" w:sz="4" w:space="0"/>
            </w:tcBorders>
            <w:vAlign w:val="center"/>
          </w:tcPr>
          <w:p w14:paraId="7C7581DB">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r w14:paraId="14457276">
        <w:tblPrEx>
          <w:tblCellMar>
            <w:top w:w="0" w:type="dxa"/>
            <w:left w:w="108" w:type="dxa"/>
            <w:bottom w:w="0" w:type="dxa"/>
            <w:right w:w="108" w:type="dxa"/>
          </w:tblCellMar>
        </w:tblPrEx>
        <w:tc>
          <w:tcPr>
            <w:tcW w:w="534" w:type="dxa"/>
            <w:vMerge w:val="continue"/>
            <w:tcBorders>
              <w:top w:val="single" w:color="auto" w:sz="4" w:space="0"/>
              <w:left w:val="single" w:color="auto" w:sz="4" w:space="0"/>
              <w:bottom w:val="single" w:color="auto" w:sz="4" w:space="0"/>
              <w:right w:val="single" w:color="auto" w:sz="4" w:space="0"/>
            </w:tcBorders>
            <w:vAlign w:val="center"/>
          </w:tcPr>
          <w:p w14:paraId="7CF04672">
            <w:pPr>
              <w:keepNext w:val="0"/>
              <w:keepLines w:val="0"/>
              <w:widowControl/>
              <w:suppressLineNumbers w:val="0"/>
              <w:spacing w:before="0" w:beforeAutospacing="0" w:after="0" w:afterAutospacing="0"/>
              <w:ind w:left="0" w:right="0"/>
              <w:jc w:val="left"/>
              <w:outlineLvl w:val="9"/>
              <w:rPr>
                <w:rFonts w:asciiTheme="minorEastAsia" w:hAnsiTheme="minorEastAsia" w:eastAsiaTheme="minorEastAsia"/>
                <w:color w:val="auto"/>
                <w:szCs w:val="21"/>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14:paraId="7F22CA05">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项目部主管领导</w:t>
            </w:r>
          </w:p>
        </w:tc>
        <w:tc>
          <w:tcPr>
            <w:tcW w:w="8222" w:type="dxa"/>
            <w:gridSpan w:val="9"/>
            <w:tcBorders>
              <w:top w:val="single" w:color="auto" w:sz="4" w:space="0"/>
              <w:left w:val="single" w:color="auto" w:sz="4" w:space="0"/>
              <w:bottom w:val="single" w:color="auto" w:sz="4" w:space="0"/>
              <w:right w:val="single" w:color="auto" w:sz="4" w:space="0"/>
            </w:tcBorders>
            <w:vAlign w:val="center"/>
          </w:tcPr>
          <w:p w14:paraId="72B086A2">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r w14:paraId="7EFAB5A5">
        <w:tblPrEx>
          <w:tblCellMar>
            <w:top w:w="0" w:type="dxa"/>
            <w:left w:w="108" w:type="dxa"/>
            <w:bottom w:w="0" w:type="dxa"/>
            <w:right w:w="108" w:type="dxa"/>
          </w:tblCellMar>
        </w:tblPrEx>
        <w:tc>
          <w:tcPr>
            <w:tcW w:w="534" w:type="dxa"/>
            <w:vMerge w:val="continue"/>
            <w:tcBorders>
              <w:top w:val="single" w:color="auto" w:sz="4" w:space="0"/>
              <w:left w:val="single" w:color="auto" w:sz="4" w:space="0"/>
              <w:bottom w:val="single" w:color="auto" w:sz="4" w:space="0"/>
              <w:right w:val="single" w:color="auto" w:sz="4" w:space="0"/>
            </w:tcBorders>
            <w:vAlign w:val="center"/>
          </w:tcPr>
          <w:p w14:paraId="3D84A99B">
            <w:pPr>
              <w:keepNext w:val="0"/>
              <w:keepLines w:val="0"/>
              <w:widowControl/>
              <w:suppressLineNumbers w:val="0"/>
              <w:spacing w:before="0" w:beforeAutospacing="0" w:after="0" w:afterAutospacing="0"/>
              <w:ind w:left="0" w:right="0"/>
              <w:jc w:val="left"/>
              <w:outlineLvl w:val="9"/>
              <w:rPr>
                <w:rFonts w:asciiTheme="minorEastAsia" w:hAnsiTheme="minorEastAsia" w:eastAsiaTheme="minorEastAsia"/>
                <w:color w:val="auto"/>
                <w:szCs w:val="21"/>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14:paraId="1B7014B6">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招标采供部负责人</w:t>
            </w:r>
          </w:p>
        </w:tc>
        <w:tc>
          <w:tcPr>
            <w:tcW w:w="8222" w:type="dxa"/>
            <w:gridSpan w:val="9"/>
            <w:tcBorders>
              <w:top w:val="single" w:color="auto" w:sz="4" w:space="0"/>
              <w:left w:val="single" w:color="auto" w:sz="4" w:space="0"/>
              <w:bottom w:val="single" w:color="auto" w:sz="4" w:space="0"/>
              <w:right w:val="single" w:color="auto" w:sz="4" w:space="0"/>
            </w:tcBorders>
            <w:vAlign w:val="center"/>
          </w:tcPr>
          <w:p w14:paraId="655E214F">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r w14:paraId="6384E3CE">
        <w:tblPrEx>
          <w:tblCellMar>
            <w:top w:w="0" w:type="dxa"/>
            <w:left w:w="108" w:type="dxa"/>
            <w:bottom w:w="0" w:type="dxa"/>
            <w:right w:w="108" w:type="dxa"/>
          </w:tblCellMar>
        </w:tblPrEx>
        <w:tc>
          <w:tcPr>
            <w:tcW w:w="534" w:type="dxa"/>
            <w:vMerge w:val="continue"/>
            <w:tcBorders>
              <w:top w:val="single" w:color="auto" w:sz="4" w:space="0"/>
              <w:left w:val="single" w:color="auto" w:sz="4" w:space="0"/>
              <w:bottom w:val="single" w:color="auto" w:sz="4" w:space="0"/>
              <w:right w:val="single" w:color="auto" w:sz="4" w:space="0"/>
            </w:tcBorders>
            <w:vAlign w:val="center"/>
          </w:tcPr>
          <w:p w14:paraId="6EA5F0F6">
            <w:pPr>
              <w:keepNext w:val="0"/>
              <w:keepLines w:val="0"/>
              <w:widowControl/>
              <w:suppressLineNumbers w:val="0"/>
              <w:spacing w:before="0" w:beforeAutospacing="0" w:after="0" w:afterAutospacing="0"/>
              <w:ind w:left="0" w:right="0"/>
              <w:jc w:val="left"/>
              <w:outlineLvl w:val="9"/>
              <w:rPr>
                <w:rFonts w:asciiTheme="minorEastAsia" w:hAnsiTheme="minorEastAsia" w:eastAsiaTheme="minorEastAsia"/>
                <w:color w:val="auto"/>
                <w:szCs w:val="21"/>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14:paraId="0CCC7355">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成本管理部负责人</w:t>
            </w:r>
          </w:p>
        </w:tc>
        <w:tc>
          <w:tcPr>
            <w:tcW w:w="8222" w:type="dxa"/>
            <w:gridSpan w:val="9"/>
            <w:tcBorders>
              <w:top w:val="single" w:color="auto" w:sz="4" w:space="0"/>
              <w:left w:val="single" w:color="auto" w:sz="4" w:space="0"/>
              <w:bottom w:val="single" w:color="auto" w:sz="4" w:space="0"/>
              <w:right w:val="single" w:color="auto" w:sz="4" w:space="0"/>
            </w:tcBorders>
            <w:vAlign w:val="center"/>
          </w:tcPr>
          <w:p w14:paraId="15CE139A">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r w14:paraId="3DE680C0">
        <w:tblPrEx>
          <w:tblCellMar>
            <w:top w:w="0" w:type="dxa"/>
            <w:left w:w="108" w:type="dxa"/>
            <w:bottom w:w="0" w:type="dxa"/>
            <w:right w:w="108" w:type="dxa"/>
          </w:tblCellMar>
        </w:tblPrEx>
        <w:tc>
          <w:tcPr>
            <w:tcW w:w="534" w:type="dxa"/>
            <w:vMerge w:val="continue"/>
            <w:tcBorders>
              <w:top w:val="single" w:color="auto" w:sz="4" w:space="0"/>
              <w:left w:val="single" w:color="auto" w:sz="4" w:space="0"/>
              <w:bottom w:val="single" w:color="auto" w:sz="4" w:space="0"/>
              <w:right w:val="single" w:color="auto" w:sz="4" w:space="0"/>
            </w:tcBorders>
            <w:vAlign w:val="center"/>
          </w:tcPr>
          <w:p w14:paraId="29EFE0D1">
            <w:pPr>
              <w:keepNext w:val="0"/>
              <w:keepLines w:val="0"/>
              <w:widowControl/>
              <w:suppressLineNumbers w:val="0"/>
              <w:spacing w:before="0" w:beforeAutospacing="0" w:after="0" w:afterAutospacing="0"/>
              <w:ind w:left="0" w:right="0"/>
              <w:jc w:val="left"/>
              <w:outlineLvl w:val="9"/>
              <w:rPr>
                <w:rFonts w:asciiTheme="minorEastAsia" w:hAnsiTheme="minorEastAsia" w:eastAsiaTheme="minorEastAsia"/>
                <w:color w:val="auto"/>
                <w:szCs w:val="21"/>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14:paraId="7FA6D074">
            <w:pPr>
              <w:keepNext w:val="0"/>
              <w:keepLines w:val="0"/>
              <w:widowControl/>
              <w:suppressLineNumbers w:val="0"/>
              <w:spacing w:before="0" w:beforeAutospacing="0" w:after="0" w:afterAutospacing="0"/>
              <w:ind w:left="0" w:right="0"/>
              <w:outlineLvl w:val="9"/>
              <w:rPr>
                <w:rFonts w:asciiTheme="minorEastAsia" w:hAnsiTheme="minorEastAsia" w:eastAsiaTheme="minorEastAsia"/>
                <w:color w:val="auto"/>
                <w:szCs w:val="21"/>
                <w:highlight w:val="none"/>
              </w:rPr>
            </w:pPr>
            <w:r>
              <w:rPr>
                <w:rFonts w:hint="eastAsia" w:asciiTheme="minorEastAsia" w:hAnsiTheme="minorEastAsia" w:eastAsiaTheme="minorEastAsia"/>
                <w:color w:val="auto"/>
                <w:szCs w:val="21"/>
                <w:highlight w:val="none"/>
              </w:rPr>
              <w:t>成本管理部主管领导</w:t>
            </w:r>
          </w:p>
        </w:tc>
        <w:tc>
          <w:tcPr>
            <w:tcW w:w="8222" w:type="dxa"/>
            <w:gridSpan w:val="9"/>
            <w:tcBorders>
              <w:top w:val="single" w:color="auto" w:sz="4" w:space="0"/>
              <w:left w:val="single" w:color="auto" w:sz="4" w:space="0"/>
              <w:bottom w:val="single" w:color="auto" w:sz="4" w:space="0"/>
              <w:right w:val="single" w:color="auto" w:sz="4" w:space="0"/>
            </w:tcBorders>
            <w:vAlign w:val="center"/>
          </w:tcPr>
          <w:p w14:paraId="119B1173">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szCs w:val="21"/>
                <w:highlight w:val="none"/>
              </w:rPr>
            </w:pPr>
          </w:p>
        </w:tc>
      </w:tr>
    </w:tbl>
    <w:p w14:paraId="5EDACD9F">
      <w:pPr>
        <w:pStyle w:val="112"/>
        <w:ind w:firstLine="420"/>
        <w:outlineLvl w:val="9"/>
        <w:rPr>
          <w:rFonts w:cs="宋体" w:asciiTheme="minorEastAsia" w:hAnsiTheme="minorEastAsia" w:eastAsiaTheme="minorEastAsia"/>
          <w:color w:val="auto"/>
          <w:kern w:val="2"/>
          <w:sz w:val="21"/>
          <w:szCs w:val="21"/>
          <w:highlight w:val="none"/>
        </w:rPr>
      </w:pPr>
    </w:p>
    <w:p w14:paraId="07CD5681">
      <w:pPr>
        <w:pStyle w:val="112"/>
        <w:ind w:firstLine="42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申请单位（盖章）：</w:t>
      </w:r>
    </w:p>
    <w:p w14:paraId="5E9695D7">
      <w:pPr>
        <w:pStyle w:val="112"/>
        <w:ind w:firstLine="420"/>
        <w:outlineLvl w:val="9"/>
        <w:rPr>
          <w:rFonts w:cs="宋体" w:asciiTheme="minorEastAsia" w:hAnsiTheme="minorEastAsia" w:eastAsiaTheme="minorEastAsia"/>
          <w:color w:val="auto"/>
          <w:sz w:val="21"/>
          <w:szCs w:val="21"/>
          <w:highlight w:val="none"/>
        </w:rPr>
      </w:pPr>
    </w:p>
    <w:p w14:paraId="20DA0049">
      <w:pPr>
        <w:pStyle w:val="112"/>
        <w:ind w:firstLine="420"/>
        <w:outlineLvl w:val="9"/>
        <w:rPr>
          <w:rFonts w:hint="eastAsia" w:cs="宋体" w:asciiTheme="minorEastAsia" w:hAnsiTheme="minorEastAsia" w:eastAsiaTheme="minorEastAsia"/>
          <w:color w:val="auto"/>
          <w:sz w:val="21"/>
          <w:szCs w:val="21"/>
          <w:highlight w:val="none"/>
        </w:rPr>
        <w:sectPr>
          <w:pgSz w:w="11906" w:h="16838"/>
          <w:pgMar w:top="2098" w:right="1474" w:bottom="1984" w:left="1587"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cs="宋体" w:asciiTheme="minorEastAsia" w:hAnsiTheme="minorEastAsia" w:eastAsiaTheme="minorEastAsia"/>
          <w:color w:val="auto"/>
          <w:sz w:val="21"/>
          <w:szCs w:val="21"/>
          <w:highlight w:val="none"/>
        </w:rPr>
        <w:t>申请时间：</w:t>
      </w:r>
    </w:p>
    <w:p w14:paraId="65D41399">
      <w:pPr>
        <w:pStyle w:val="112"/>
        <w:ind w:left="0" w:leftChars="0" w:firstLine="0" w:firstLineChars="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附表二</w:t>
      </w:r>
    </w:p>
    <w:p w14:paraId="495695C6">
      <w:pPr>
        <w:ind w:firstLine="64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水电费结算表</w:t>
      </w:r>
    </w:p>
    <w:p w14:paraId="59E11CF1">
      <w:pPr>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合同名称：</w:t>
      </w:r>
    </w:p>
    <w:p w14:paraId="78F85D08">
      <w:pPr>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w:t>
      </w:r>
    </w:p>
    <w:tbl>
      <w:tblPr>
        <w:tblStyle w:val="56"/>
        <w:tblW w:w="5000" w:type="pct"/>
        <w:tblInd w:w="0" w:type="dxa"/>
        <w:tblLayout w:type="autofit"/>
        <w:tblCellMar>
          <w:top w:w="0" w:type="dxa"/>
          <w:left w:w="108" w:type="dxa"/>
          <w:bottom w:w="0" w:type="dxa"/>
          <w:right w:w="108" w:type="dxa"/>
        </w:tblCellMar>
      </w:tblPr>
      <w:tblGrid>
        <w:gridCol w:w="1116"/>
        <w:gridCol w:w="2905"/>
        <w:gridCol w:w="697"/>
        <w:gridCol w:w="2184"/>
        <w:gridCol w:w="232"/>
        <w:gridCol w:w="1927"/>
      </w:tblGrid>
      <w:tr w14:paraId="0ED76C65">
        <w:tblPrEx>
          <w:tblCellMar>
            <w:top w:w="0" w:type="dxa"/>
            <w:left w:w="108" w:type="dxa"/>
            <w:bottom w:w="0" w:type="dxa"/>
            <w:right w:w="108" w:type="dxa"/>
          </w:tblCellMar>
        </w:tblPrEx>
        <w:trPr>
          <w:trHeight w:val="270" w:hRule="atLeast"/>
        </w:trPr>
        <w:tc>
          <w:tcPr>
            <w:tcW w:w="55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33C591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序号</w:t>
            </w:r>
          </w:p>
        </w:tc>
        <w:tc>
          <w:tcPr>
            <w:tcW w:w="1919" w:type="pct"/>
            <w:gridSpan w:val="2"/>
            <w:tcBorders>
              <w:top w:val="single" w:color="auto" w:sz="4" w:space="0"/>
              <w:left w:val="nil"/>
              <w:bottom w:val="single" w:color="auto" w:sz="4" w:space="0"/>
              <w:right w:val="single" w:color="auto" w:sz="4" w:space="0"/>
            </w:tcBorders>
            <w:shd w:val="clear" w:color="auto" w:fill="auto"/>
            <w:noWrap/>
            <w:vAlign w:val="center"/>
          </w:tcPr>
          <w:p w14:paraId="1B031CA4">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日期</w:t>
            </w:r>
            <w:r>
              <w:rPr>
                <w:rFonts w:cs="宋体" w:asciiTheme="minorEastAsia" w:hAnsiTheme="minorEastAsia" w:eastAsiaTheme="minorEastAsia"/>
                <w:color w:val="auto"/>
                <w:kern w:val="0"/>
                <w:szCs w:val="21"/>
                <w:highlight w:val="none"/>
              </w:rPr>
              <w:t>/年月</w:t>
            </w:r>
          </w:p>
        </w:tc>
        <w:tc>
          <w:tcPr>
            <w:tcW w:w="1248" w:type="pct"/>
            <w:tcBorders>
              <w:top w:val="single" w:color="auto" w:sz="4" w:space="0"/>
              <w:left w:val="nil"/>
              <w:bottom w:val="single" w:color="auto" w:sz="4" w:space="0"/>
              <w:right w:val="single" w:color="auto" w:sz="4" w:space="0"/>
            </w:tcBorders>
            <w:shd w:val="clear" w:color="auto" w:fill="auto"/>
            <w:noWrap/>
            <w:vAlign w:val="center"/>
          </w:tcPr>
          <w:p w14:paraId="7A24DFD3">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类别</w:t>
            </w:r>
          </w:p>
        </w:tc>
        <w:tc>
          <w:tcPr>
            <w:tcW w:w="1277" w:type="pct"/>
            <w:gridSpan w:val="2"/>
            <w:tcBorders>
              <w:top w:val="single" w:color="auto" w:sz="4" w:space="0"/>
              <w:left w:val="nil"/>
              <w:bottom w:val="single" w:color="auto" w:sz="4" w:space="0"/>
              <w:right w:val="single" w:color="auto" w:sz="4" w:space="0"/>
            </w:tcBorders>
            <w:shd w:val="clear" w:color="auto" w:fill="auto"/>
            <w:noWrap/>
            <w:vAlign w:val="center"/>
          </w:tcPr>
          <w:p w14:paraId="26552F0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金额（元）</w:t>
            </w:r>
          </w:p>
        </w:tc>
      </w:tr>
      <w:tr w14:paraId="49602F45">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368EA294">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w:t>
            </w:r>
          </w:p>
        </w:tc>
        <w:tc>
          <w:tcPr>
            <w:tcW w:w="1919" w:type="pct"/>
            <w:gridSpan w:val="2"/>
            <w:tcBorders>
              <w:top w:val="nil"/>
              <w:left w:val="nil"/>
              <w:bottom w:val="single" w:color="auto" w:sz="4" w:space="0"/>
              <w:right w:val="single" w:color="auto" w:sz="4" w:space="0"/>
            </w:tcBorders>
            <w:shd w:val="clear" w:color="auto" w:fill="auto"/>
            <w:noWrap/>
            <w:vAlign w:val="center"/>
          </w:tcPr>
          <w:p w14:paraId="481A2B9C">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6F4D01B7">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水费</w:t>
            </w:r>
          </w:p>
        </w:tc>
        <w:tc>
          <w:tcPr>
            <w:tcW w:w="1277" w:type="pct"/>
            <w:gridSpan w:val="2"/>
            <w:tcBorders>
              <w:top w:val="nil"/>
              <w:left w:val="nil"/>
              <w:bottom w:val="single" w:color="auto" w:sz="4" w:space="0"/>
              <w:right w:val="single" w:color="auto" w:sz="4" w:space="0"/>
            </w:tcBorders>
            <w:shd w:val="clear" w:color="auto" w:fill="auto"/>
            <w:noWrap/>
            <w:vAlign w:val="center"/>
          </w:tcPr>
          <w:p w14:paraId="759833DA">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2465EE4A">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4CD9966D">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w:t>
            </w:r>
          </w:p>
        </w:tc>
        <w:tc>
          <w:tcPr>
            <w:tcW w:w="1919" w:type="pct"/>
            <w:gridSpan w:val="2"/>
            <w:tcBorders>
              <w:top w:val="nil"/>
              <w:left w:val="nil"/>
              <w:bottom w:val="single" w:color="auto" w:sz="4" w:space="0"/>
              <w:right w:val="single" w:color="auto" w:sz="4" w:space="0"/>
            </w:tcBorders>
            <w:shd w:val="clear" w:color="auto" w:fill="auto"/>
            <w:noWrap/>
            <w:vAlign w:val="center"/>
          </w:tcPr>
          <w:p w14:paraId="551F375D">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79C49D0B">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水费</w:t>
            </w:r>
          </w:p>
        </w:tc>
        <w:tc>
          <w:tcPr>
            <w:tcW w:w="1277" w:type="pct"/>
            <w:gridSpan w:val="2"/>
            <w:tcBorders>
              <w:top w:val="nil"/>
              <w:left w:val="nil"/>
              <w:bottom w:val="single" w:color="auto" w:sz="4" w:space="0"/>
              <w:right w:val="single" w:color="auto" w:sz="4" w:space="0"/>
            </w:tcBorders>
            <w:shd w:val="clear" w:color="auto" w:fill="auto"/>
            <w:noWrap/>
            <w:vAlign w:val="center"/>
          </w:tcPr>
          <w:p w14:paraId="725CFB2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480C498D">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70A1D7D2">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3</w:t>
            </w:r>
          </w:p>
        </w:tc>
        <w:tc>
          <w:tcPr>
            <w:tcW w:w="1919" w:type="pct"/>
            <w:gridSpan w:val="2"/>
            <w:tcBorders>
              <w:top w:val="nil"/>
              <w:left w:val="nil"/>
              <w:bottom w:val="single" w:color="auto" w:sz="4" w:space="0"/>
              <w:right w:val="single" w:color="auto" w:sz="4" w:space="0"/>
            </w:tcBorders>
            <w:shd w:val="clear" w:color="auto" w:fill="auto"/>
            <w:noWrap/>
            <w:vAlign w:val="center"/>
          </w:tcPr>
          <w:p w14:paraId="39768946">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56EA37B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水费</w:t>
            </w:r>
          </w:p>
        </w:tc>
        <w:tc>
          <w:tcPr>
            <w:tcW w:w="1277" w:type="pct"/>
            <w:gridSpan w:val="2"/>
            <w:tcBorders>
              <w:top w:val="nil"/>
              <w:left w:val="nil"/>
              <w:bottom w:val="single" w:color="auto" w:sz="4" w:space="0"/>
              <w:right w:val="single" w:color="auto" w:sz="4" w:space="0"/>
            </w:tcBorders>
            <w:shd w:val="clear" w:color="auto" w:fill="auto"/>
            <w:noWrap/>
            <w:vAlign w:val="center"/>
          </w:tcPr>
          <w:p w14:paraId="5FE16954">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159C7C47">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4CBD1A0E">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4</w:t>
            </w:r>
          </w:p>
        </w:tc>
        <w:tc>
          <w:tcPr>
            <w:tcW w:w="1919" w:type="pct"/>
            <w:gridSpan w:val="2"/>
            <w:tcBorders>
              <w:top w:val="nil"/>
              <w:left w:val="nil"/>
              <w:bottom w:val="single" w:color="auto" w:sz="4" w:space="0"/>
              <w:right w:val="single" w:color="auto" w:sz="4" w:space="0"/>
            </w:tcBorders>
            <w:shd w:val="clear" w:color="auto" w:fill="auto"/>
            <w:noWrap/>
            <w:vAlign w:val="center"/>
          </w:tcPr>
          <w:p w14:paraId="10341397">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56F1694F">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水费</w:t>
            </w:r>
          </w:p>
        </w:tc>
        <w:tc>
          <w:tcPr>
            <w:tcW w:w="1277" w:type="pct"/>
            <w:gridSpan w:val="2"/>
            <w:tcBorders>
              <w:top w:val="nil"/>
              <w:left w:val="nil"/>
              <w:bottom w:val="single" w:color="auto" w:sz="4" w:space="0"/>
              <w:right w:val="single" w:color="auto" w:sz="4" w:space="0"/>
            </w:tcBorders>
            <w:shd w:val="clear" w:color="auto" w:fill="auto"/>
            <w:noWrap/>
            <w:vAlign w:val="center"/>
          </w:tcPr>
          <w:p w14:paraId="45EC6233">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4E916B5F">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098B885D">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5</w:t>
            </w:r>
          </w:p>
        </w:tc>
        <w:tc>
          <w:tcPr>
            <w:tcW w:w="1919" w:type="pct"/>
            <w:gridSpan w:val="2"/>
            <w:tcBorders>
              <w:top w:val="nil"/>
              <w:left w:val="nil"/>
              <w:bottom w:val="single" w:color="auto" w:sz="4" w:space="0"/>
              <w:right w:val="single" w:color="auto" w:sz="4" w:space="0"/>
            </w:tcBorders>
            <w:shd w:val="clear" w:color="auto" w:fill="auto"/>
            <w:noWrap/>
            <w:vAlign w:val="center"/>
          </w:tcPr>
          <w:p w14:paraId="64AD9250">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727A0E4A">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水费</w:t>
            </w:r>
          </w:p>
        </w:tc>
        <w:tc>
          <w:tcPr>
            <w:tcW w:w="1277" w:type="pct"/>
            <w:gridSpan w:val="2"/>
            <w:tcBorders>
              <w:top w:val="nil"/>
              <w:left w:val="nil"/>
              <w:bottom w:val="single" w:color="auto" w:sz="4" w:space="0"/>
              <w:right w:val="single" w:color="auto" w:sz="4" w:space="0"/>
            </w:tcBorders>
            <w:shd w:val="clear" w:color="auto" w:fill="auto"/>
            <w:noWrap/>
            <w:vAlign w:val="center"/>
          </w:tcPr>
          <w:p w14:paraId="5AA2D547">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511120A4">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3E481FF3">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6</w:t>
            </w:r>
          </w:p>
        </w:tc>
        <w:tc>
          <w:tcPr>
            <w:tcW w:w="1919" w:type="pct"/>
            <w:gridSpan w:val="2"/>
            <w:tcBorders>
              <w:top w:val="nil"/>
              <w:left w:val="nil"/>
              <w:bottom w:val="single" w:color="auto" w:sz="4" w:space="0"/>
              <w:right w:val="single" w:color="auto" w:sz="4" w:space="0"/>
            </w:tcBorders>
            <w:shd w:val="clear" w:color="auto" w:fill="auto"/>
            <w:noWrap/>
            <w:vAlign w:val="center"/>
          </w:tcPr>
          <w:p w14:paraId="5281B0A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173A1B3C">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水费</w:t>
            </w:r>
          </w:p>
        </w:tc>
        <w:tc>
          <w:tcPr>
            <w:tcW w:w="1277" w:type="pct"/>
            <w:gridSpan w:val="2"/>
            <w:tcBorders>
              <w:top w:val="nil"/>
              <w:left w:val="nil"/>
              <w:bottom w:val="single" w:color="auto" w:sz="4" w:space="0"/>
              <w:right w:val="single" w:color="auto" w:sz="4" w:space="0"/>
            </w:tcBorders>
            <w:shd w:val="clear" w:color="auto" w:fill="auto"/>
            <w:noWrap/>
            <w:vAlign w:val="center"/>
          </w:tcPr>
          <w:p w14:paraId="3E84612B">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2A298200">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176420A8">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7</w:t>
            </w:r>
          </w:p>
        </w:tc>
        <w:tc>
          <w:tcPr>
            <w:tcW w:w="1919" w:type="pct"/>
            <w:gridSpan w:val="2"/>
            <w:tcBorders>
              <w:top w:val="nil"/>
              <w:left w:val="nil"/>
              <w:bottom w:val="single" w:color="auto" w:sz="4" w:space="0"/>
              <w:right w:val="single" w:color="auto" w:sz="4" w:space="0"/>
            </w:tcBorders>
            <w:shd w:val="clear" w:color="auto" w:fill="auto"/>
            <w:noWrap/>
            <w:vAlign w:val="center"/>
          </w:tcPr>
          <w:p w14:paraId="54142F0A">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17E42D9B">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水费</w:t>
            </w:r>
          </w:p>
        </w:tc>
        <w:tc>
          <w:tcPr>
            <w:tcW w:w="1277" w:type="pct"/>
            <w:gridSpan w:val="2"/>
            <w:tcBorders>
              <w:top w:val="nil"/>
              <w:left w:val="nil"/>
              <w:bottom w:val="single" w:color="auto" w:sz="4" w:space="0"/>
              <w:right w:val="single" w:color="auto" w:sz="4" w:space="0"/>
            </w:tcBorders>
            <w:shd w:val="clear" w:color="auto" w:fill="auto"/>
            <w:noWrap/>
            <w:vAlign w:val="center"/>
          </w:tcPr>
          <w:p w14:paraId="54E14247">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12C42C69">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4C666FE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8</w:t>
            </w:r>
          </w:p>
        </w:tc>
        <w:tc>
          <w:tcPr>
            <w:tcW w:w="1919" w:type="pct"/>
            <w:gridSpan w:val="2"/>
            <w:tcBorders>
              <w:top w:val="nil"/>
              <w:left w:val="nil"/>
              <w:bottom w:val="single" w:color="auto" w:sz="4" w:space="0"/>
              <w:right w:val="single" w:color="auto" w:sz="4" w:space="0"/>
            </w:tcBorders>
            <w:shd w:val="clear" w:color="auto" w:fill="auto"/>
            <w:noWrap/>
            <w:vAlign w:val="center"/>
          </w:tcPr>
          <w:p w14:paraId="0E1B1545">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615B7BAD">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水费</w:t>
            </w:r>
          </w:p>
        </w:tc>
        <w:tc>
          <w:tcPr>
            <w:tcW w:w="1277" w:type="pct"/>
            <w:gridSpan w:val="2"/>
            <w:tcBorders>
              <w:top w:val="nil"/>
              <w:left w:val="nil"/>
              <w:bottom w:val="single" w:color="auto" w:sz="4" w:space="0"/>
              <w:right w:val="single" w:color="auto" w:sz="4" w:space="0"/>
            </w:tcBorders>
            <w:shd w:val="clear" w:color="auto" w:fill="auto"/>
            <w:noWrap/>
            <w:vAlign w:val="center"/>
          </w:tcPr>
          <w:p w14:paraId="476FA2B8">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39B8E2A6">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4AB3C7AD">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9</w:t>
            </w:r>
          </w:p>
        </w:tc>
        <w:tc>
          <w:tcPr>
            <w:tcW w:w="1919" w:type="pct"/>
            <w:gridSpan w:val="2"/>
            <w:tcBorders>
              <w:top w:val="nil"/>
              <w:left w:val="nil"/>
              <w:bottom w:val="single" w:color="auto" w:sz="4" w:space="0"/>
              <w:right w:val="single" w:color="auto" w:sz="4" w:space="0"/>
            </w:tcBorders>
            <w:shd w:val="clear" w:color="auto" w:fill="auto"/>
            <w:noWrap/>
            <w:vAlign w:val="center"/>
          </w:tcPr>
          <w:p w14:paraId="03CB8E3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4356ACFF">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电费</w:t>
            </w:r>
          </w:p>
        </w:tc>
        <w:tc>
          <w:tcPr>
            <w:tcW w:w="1277" w:type="pct"/>
            <w:gridSpan w:val="2"/>
            <w:tcBorders>
              <w:top w:val="nil"/>
              <w:left w:val="nil"/>
              <w:bottom w:val="single" w:color="auto" w:sz="4" w:space="0"/>
              <w:right w:val="single" w:color="auto" w:sz="4" w:space="0"/>
            </w:tcBorders>
            <w:shd w:val="clear" w:color="auto" w:fill="auto"/>
            <w:noWrap/>
            <w:vAlign w:val="center"/>
          </w:tcPr>
          <w:p w14:paraId="30A1056A">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21AA930B">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6F159429">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10</w:t>
            </w:r>
          </w:p>
        </w:tc>
        <w:tc>
          <w:tcPr>
            <w:tcW w:w="1919" w:type="pct"/>
            <w:gridSpan w:val="2"/>
            <w:tcBorders>
              <w:top w:val="nil"/>
              <w:left w:val="nil"/>
              <w:bottom w:val="single" w:color="auto" w:sz="4" w:space="0"/>
              <w:right w:val="single" w:color="auto" w:sz="4" w:space="0"/>
            </w:tcBorders>
            <w:shd w:val="clear" w:color="auto" w:fill="auto"/>
            <w:noWrap/>
            <w:vAlign w:val="center"/>
          </w:tcPr>
          <w:p w14:paraId="54ABDA44">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2C953BC4">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电费</w:t>
            </w:r>
          </w:p>
        </w:tc>
        <w:tc>
          <w:tcPr>
            <w:tcW w:w="1277" w:type="pct"/>
            <w:gridSpan w:val="2"/>
            <w:tcBorders>
              <w:top w:val="nil"/>
              <w:left w:val="nil"/>
              <w:bottom w:val="single" w:color="auto" w:sz="4" w:space="0"/>
              <w:right w:val="single" w:color="auto" w:sz="4" w:space="0"/>
            </w:tcBorders>
            <w:shd w:val="clear" w:color="auto" w:fill="auto"/>
            <w:noWrap/>
            <w:vAlign w:val="center"/>
          </w:tcPr>
          <w:p w14:paraId="04C1DB14">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17FD3CA6">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3EE8B2A3">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11</w:t>
            </w:r>
          </w:p>
        </w:tc>
        <w:tc>
          <w:tcPr>
            <w:tcW w:w="1919" w:type="pct"/>
            <w:gridSpan w:val="2"/>
            <w:tcBorders>
              <w:top w:val="nil"/>
              <w:left w:val="nil"/>
              <w:bottom w:val="single" w:color="auto" w:sz="4" w:space="0"/>
              <w:right w:val="single" w:color="auto" w:sz="4" w:space="0"/>
            </w:tcBorders>
            <w:shd w:val="clear" w:color="auto" w:fill="auto"/>
            <w:noWrap/>
            <w:vAlign w:val="center"/>
          </w:tcPr>
          <w:p w14:paraId="20DBB8B3">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2C29D190">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电费</w:t>
            </w:r>
          </w:p>
        </w:tc>
        <w:tc>
          <w:tcPr>
            <w:tcW w:w="1277" w:type="pct"/>
            <w:gridSpan w:val="2"/>
            <w:tcBorders>
              <w:top w:val="nil"/>
              <w:left w:val="nil"/>
              <w:bottom w:val="single" w:color="auto" w:sz="4" w:space="0"/>
              <w:right w:val="single" w:color="auto" w:sz="4" w:space="0"/>
            </w:tcBorders>
            <w:shd w:val="clear" w:color="auto" w:fill="auto"/>
            <w:noWrap/>
            <w:vAlign w:val="center"/>
          </w:tcPr>
          <w:p w14:paraId="49470FD9">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35B874A8">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5AC608E6">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12</w:t>
            </w:r>
          </w:p>
        </w:tc>
        <w:tc>
          <w:tcPr>
            <w:tcW w:w="1919" w:type="pct"/>
            <w:gridSpan w:val="2"/>
            <w:tcBorders>
              <w:top w:val="nil"/>
              <w:left w:val="nil"/>
              <w:bottom w:val="single" w:color="auto" w:sz="4" w:space="0"/>
              <w:right w:val="single" w:color="auto" w:sz="4" w:space="0"/>
            </w:tcBorders>
            <w:shd w:val="clear" w:color="auto" w:fill="auto"/>
            <w:noWrap/>
            <w:vAlign w:val="center"/>
          </w:tcPr>
          <w:p w14:paraId="2F3ADBFB">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0DDCB0E5">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电费</w:t>
            </w:r>
          </w:p>
        </w:tc>
        <w:tc>
          <w:tcPr>
            <w:tcW w:w="1277" w:type="pct"/>
            <w:gridSpan w:val="2"/>
            <w:tcBorders>
              <w:top w:val="nil"/>
              <w:left w:val="nil"/>
              <w:bottom w:val="single" w:color="auto" w:sz="4" w:space="0"/>
              <w:right w:val="single" w:color="auto" w:sz="4" w:space="0"/>
            </w:tcBorders>
            <w:shd w:val="clear" w:color="auto" w:fill="auto"/>
            <w:noWrap/>
            <w:vAlign w:val="center"/>
          </w:tcPr>
          <w:p w14:paraId="18CFD7EB">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6FE58BA9">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0CF34E37">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13</w:t>
            </w:r>
          </w:p>
        </w:tc>
        <w:tc>
          <w:tcPr>
            <w:tcW w:w="1919" w:type="pct"/>
            <w:gridSpan w:val="2"/>
            <w:tcBorders>
              <w:top w:val="nil"/>
              <w:left w:val="nil"/>
              <w:bottom w:val="single" w:color="auto" w:sz="4" w:space="0"/>
              <w:right w:val="single" w:color="auto" w:sz="4" w:space="0"/>
            </w:tcBorders>
            <w:shd w:val="clear" w:color="auto" w:fill="auto"/>
            <w:noWrap/>
            <w:vAlign w:val="center"/>
          </w:tcPr>
          <w:p w14:paraId="2BF503AF">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32E02322">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电费</w:t>
            </w:r>
          </w:p>
        </w:tc>
        <w:tc>
          <w:tcPr>
            <w:tcW w:w="1277" w:type="pct"/>
            <w:gridSpan w:val="2"/>
            <w:tcBorders>
              <w:top w:val="nil"/>
              <w:left w:val="nil"/>
              <w:bottom w:val="single" w:color="auto" w:sz="4" w:space="0"/>
              <w:right w:val="single" w:color="auto" w:sz="4" w:space="0"/>
            </w:tcBorders>
            <w:shd w:val="clear" w:color="auto" w:fill="auto"/>
            <w:noWrap/>
            <w:vAlign w:val="center"/>
          </w:tcPr>
          <w:p w14:paraId="76471D9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0E22C3E7">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193E60C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14</w:t>
            </w:r>
          </w:p>
        </w:tc>
        <w:tc>
          <w:tcPr>
            <w:tcW w:w="1919" w:type="pct"/>
            <w:gridSpan w:val="2"/>
            <w:tcBorders>
              <w:top w:val="nil"/>
              <w:left w:val="nil"/>
              <w:bottom w:val="single" w:color="auto" w:sz="4" w:space="0"/>
              <w:right w:val="single" w:color="auto" w:sz="4" w:space="0"/>
            </w:tcBorders>
            <w:shd w:val="clear" w:color="auto" w:fill="auto"/>
            <w:noWrap/>
            <w:vAlign w:val="center"/>
          </w:tcPr>
          <w:p w14:paraId="4B8814A9">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4871BA7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电费</w:t>
            </w:r>
          </w:p>
        </w:tc>
        <w:tc>
          <w:tcPr>
            <w:tcW w:w="1277" w:type="pct"/>
            <w:gridSpan w:val="2"/>
            <w:tcBorders>
              <w:top w:val="nil"/>
              <w:left w:val="nil"/>
              <w:bottom w:val="single" w:color="auto" w:sz="4" w:space="0"/>
              <w:right w:val="single" w:color="auto" w:sz="4" w:space="0"/>
            </w:tcBorders>
            <w:shd w:val="clear" w:color="auto" w:fill="auto"/>
            <w:noWrap/>
            <w:vAlign w:val="center"/>
          </w:tcPr>
          <w:p w14:paraId="340CBD3B">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5B4B5582">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748103EF">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15</w:t>
            </w:r>
          </w:p>
        </w:tc>
        <w:tc>
          <w:tcPr>
            <w:tcW w:w="1919" w:type="pct"/>
            <w:gridSpan w:val="2"/>
            <w:tcBorders>
              <w:top w:val="nil"/>
              <w:left w:val="nil"/>
              <w:bottom w:val="single" w:color="auto" w:sz="4" w:space="0"/>
              <w:right w:val="single" w:color="auto" w:sz="4" w:space="0"/>
            </w:tcBorders>
            <w:shd w:val="clear" w:color="auto" w:fill="auto"/>
            <w:noWrap/>
            <w:vAlign w:val="center"/>
          </w:tcPr>
          <w:p w14:paraId="7C2DB0E6">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034A50D0">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电费</w:t>
            </w:r>
          </w:p>
        </w:tc>
        <w:tc>
          <w:tcPr>
            <w:tcW w:w="1277" w:type="pct"/>
            <w:gridSpan w:val="2"/>
            <w:tcBorders>
              <w:top w:val="nil"/>
              <w:left w:val="nil"/>
              <w:bottom w:val="single" w:color="auto" w:sz="4" w:space="0"/>
              <w:right w:val="single" w:color="auto" w:sz="4" w:space="0"/>
            </w:tcBorders>
            <w:shd w:val="clear" w:color="auto" w:fill="auto"/>
            <w:noWrap/>
            <w:vAlign w:val="center"/>
          </w:tcPr>
          <w:p w14:paraId="129581A3">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430C2017">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7E90E477">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16</w:t>
            </w:r>
          </w:p>
        </w:tc>
        <w:tc>
          <w:tcPr>
            <w:tcW w:w="1919" w:type="pct"/>
            <w:gridSpan w:val="2"/>
            <w:tcBorders>
              <w:top w:val="nil"/>
              <w:left w:val="nil"/>
              <w:bottom w:val="single" w:color="auto" w:sz="4" w:space="0"/>
              <w:right w:val="single" w:color="auto" w:sz="4" w:space="0"/>
            </w:tcBorders>
            <w:shd w:val="clear" w:color="auto" w:fill="auto"/>
            <w:noWrap/>
            <w:vAlign w:val="center"/>
          </w:tcPr>
          <w:p w14:paraId="017CD8E8">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76CA912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电费</w:t>
            </w:r>
          </w:p>
        </w:tc>
        <w:tc>
          <w:tcPr>
            <w:tcW w:w="1277" w:type="pct"/>
            <w:gridSpan w:val="2"/>
            <w:tcBorders>
              <w:top w:val="nil"/>
              <w:left w:val="nil"/>
              <w:bottom w:val="single" w:color="auto" w:sz="4" w:space="0"/>
              <w:right w:val="single" w:color="auto" w:sz="4" w:space="0"/>
            </w:tcBorders>
            <w:shd w:val="clear" w:color="auto" w:fill="auto"/>
            <w:noWrap/>
            <w:vAlign w:val="center"/>
          </w:tcPr>
          <w:p w14:paraId="57A76AC2">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65C65A85">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4586F459">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17</w:t>
            </w:r>
          </w:p>
        </w:tc>
        <w:tc>
          <w:tcPr>
            <w:tcW w:w="1919" w:type="pct"/>
            <w:gridSpan w:val="2"/>
            <w:tcBorders>
              <w:top w:val="nil"/>
              <w:left w:val="nil"/>
              <w:bottom w:val="single" w:color="auto" w:sz="4" w:space="0"/>
              <w:right w:val="single" w:color="auto" w:sz="4" w:space="0"/>
            </w:tcBorders>
            <w:shd w:val="clear" w:color="auto" w:fill="auto"/>
            <w:noWrap/>
            <w:vAlign w:val="center"/>
          </w:tcPr>
          <w:p w14:paraId="752F1B70">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6BE706E6">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电费</w:t>
            </w:r>
          </w:p>
        </w:tc>
        <w:tc>
          <w:tcPr>
            <w:tcW w:w="1277" w:type="pct"/>
            <w:gridSpan w:val="2"/>
            <w:tcBorders>
              <w:top w:val="nil"/>
              <w:left w:val="nil"/>
              <w:bottom w:val="single" w:color="auto" w:sz="4" w:space="0"/>
              <w:right w:val="single" w:color="auto" w:sz="4" w:space="0"/>
            </w:tcBorders>
            <w:shd w:val="clear" w:color="auto" w:fill="auto"/>
            <w:noWrap/>
            <w:vAlign w:val="center"/>
          </w:tcPr>
          <w:p w14:paraId="62D64FB9">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6B3C02F0">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6B2396BB">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18</w:t>
            </w:r>
          </w:p>
        </w:tc>
        <w:tc>
          <w:tcPr>
            <w:tcW w:w="1919" w:type="pct"/>
            <w:gridSpan w:val="2"/>
            <w:tcBorders>
              <w:top w:val="nil"/>
              <w:left w:val="nil"/>
              <w:bottom w:val="single" w:color="auto" w:sz="4" w:space="0"/>
              <w:right w:val="single" w:color="auto" w:sz="4" w:space="0"/>
            </w:tcBorders>
            <w:shd w:val="clear" w:color="auto" w:fill="auto"/>
            <w:noWrap/>
            <w:vAlign w:val="center"/>
          </w:tcPr>
          <w:p w14:paraId="64C8096D">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1A61D5FD">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电费</w:t>
            </w:r>
          </w:p>
        </w:tc>
        <w:tc>
          <w:tcPr>
            <w:tcW w:w="1277" w:type="pct"/>
            <w:gridSpan w:val="2"/>
            <w:tcBorders>
              <w:top w:val="nil"/>
              <w:left w:val="nil"/>
              <w:bottom w:val="single" w:color="auto" w:sz="4" w:space="0"/>
              <w:right w:val="single" w:color="auto" w:sz="4" w:space="0"/>
            </w:tcBorders>
            <w:shd w:val="clear" w:color="auto" w:fill="auto"/>
            <w:noWrap/>
            <w:vAlign w:val="center"/>
          </w:tcPr>
          <w:p w14:paraId="01407A26">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693924F4">
        <w:tblPrEx>
          <w:tblCellMar>
            <w:top w:w="0" w:type="dxa"/>
            <w:left w:w="108" w:type="dxa"/>
            <w:bottom w:w="0" w:type="dxa"/>
            <w:right w:w="108" w:type="dxa"/>
          </w:tblCellMar>
        </w:tblPrEx>
        <w:trPr>
          <w:trHeight w:val="270" w:hRule="atLeast"/>
        </w:trPr>
        <w:tc>
          <w:tcPr>
            <w:tcW w:w="556" w:type="pct"/>
            <w:tcBorders>
              <w:top w:val="nil"/>
              <w:left w:val="single" w:color="auto" w:sz="4" w:space="0"/>
              <w:bottom w:val="single" w:color="auto" w:sz="4" w:space="0"/>
              <w:right w:val="single" w:color="auto" w:sz="4" w:space="0"/>
            </w:tcBorders>
            <w:shd w:val="clear" w:color="auto" w:fill="auto"/>
            <w:noWrap/>
            <w:vAlign w:val="center"/>
          </w:tcPr>
          <w:p w14:paraId="345D9605">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合计</w:t>
            </w:r>
          </w:p>
        </w:tc>
        <w:tc>
          <w:tcPr>
            <w:tcW w:w="1919" w:type="pct"/>
            <w:gridSpan w:val="2"/>
            <w:tcBorders>
              <w:top w:val="nil"/>
              <w:left w:val="nil"/>
              <w:bottom w:val="single" w:color="auto" w:sz="4" w:space="0"/>
              <w:right w:val="single" w:color="auto" w:sz="4" w:space="0"/>
            </w:tcBorders>
            <w:shd w:val="clear" w:color="auto" w:fill="auto"/>
            <w:noWrap/>
            <w:vAlign w:val="center"/>
          </w:tcPr>
          <w:p w14:paraId="4B994E5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48" w:type="pct"/>
            <w:tcBorders>
              <w:top w:val="nil"/>
              <w:left w:val="nil"/>
              <w:bottom w:val="single" w:color="auto" w:sz="4" w:space="0"/>
              <w:right w:val="single" w:color="auto" w:sz="4" w:space="0"/>
            </w:tcBorders>
            <w:shd w:val="clear" w:color="auto" w:fill="auto"/>
            <w:noWrap/>
            <w:vAlign w:val="center"/>
          </w:tcPr>
          <w:p w14:paraId="3B6BC08C">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77" w:type="pct"/>
            <w:gridSpan w:val="2"/>
            <w:tcBorders>
              <w:top w:val="nil"/>
              <w:left w:val="nil"/>
              <w:bottom w:val="single" w:color="auto" w:sz="4" w:space="0"/>
              <w:right w:val="single" w:color="auto" w:sz="4" w:space="0"/>
            </w:tcBorders>
            <w:shd w:val="clear" w:color="auto" w:fill="auto"/>
            <w:noWrap/>
            <w:vAlign w:val="center"/>
          </w:tcPr>
          <w:p w14:paraId="3E52E550">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0</w:t>
            </w:r>
          </w:p>
        </w:tc>
      </w:tr>
      <w:tr w14:paraId="1FC0D05D">
        <w:tblPrEx>
          <w:tblCellMar>
            <w:top w:w="0" w:type="dxa"/>
            <w:left w:w="108" w:type="dxa"/>
            <w:bottom w:w="0" w:type="dxa"/>
            <w:right w:w="108" w:type="dxa"/>
          </w:tblCellMar>
        </w:tblPrEx>
        <w:trPr>
          <w:trHeight w:val="570" w:hRule="atLeast"/>
        </w:trPr>
        <w:tc>
          <w:tcPr>
            <w:tcW w:w="2202" w:type="pct"/>
            <w:gridSpan w:val="2"/>
            <w:tcBorders>
              <w:top w:val="single" w:color="auto" w:sz="4" w:space="0"/>
              <w:left w:val="single" w:color="auto" w:sz="4" w:space="0"/>
              <w:bottom w:val="nil"/>
              <w:right w:val="nil"/>
            </w:tcBorders>
            <w:shd w:val="clear" w:color="auto" w:fill="auto"/>
            <w:noWrap/>
          </w:tcPr>
          <w:p w14:paraId="2512C27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项目部（签字盖章）：</w:t>
            </w:r>
          </w:p>
        </w:tc>
        <w:tc>
          <w:tcPr>
            <w:tcW w:w="273" w:type="pct"/>
            <w:tcBorders>
              <w:top w:val="nil"/>
              <w:left w:val="nil"/>
              <w:bottom w:val="nil"/>
              <w:right w:val="single" w:color="auto" w:sz="4" w:space="0"/>
            </w:tcBorders>
            <w:shd w:val="clear" w:color="auto" w:fill="auto"/>
            <w:noWrap/>
          </w:tcPr>
          <w:p w14:paraId="5263378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525" w:type="pct"/>
            <w:gridSpan w:val="3"/>
            <w:tcBorders>
              <w:top w:val="nil"/>
              <w:left w:val="nil"/>
              <w:bottom w:val="nil"/>
              <w:right w:val="single" w:color="auto" w:sz="4" w:space="0"/>
            </w:tcBorders>
            <w:shd w:val="clear" w:color="auto" w:fill="auto"/>
            <w:noWrap/>
          </w:tcPr>
          <w:p w14:paraId="540F83E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施工单位（签字盖章）：</w:t>
            </w:r>
          </w:p>
        </w:tc>
      </w:tr>
      <w:tr w14:paraId="761B090C">
        <w:tblPrEx>
          <w:tblCellMar>
            <w:top w:w="0" w:type="dxa"/>
            <w:left w:w="108" w:type="dxa"/>
            <w:bottom w:w="0" w:type="dxa"/>
            <w:right w:w="108" w:type="dxa"/>
          </w:tblCellMar>
        </w:tblPrEx>
        <w:trPr>
          <w:trHeight w:val="570" w:hRule="atLeast"/>
        </w:trPr>
        <w:tc>
          <w:tcPr>
            <w:tcW w:w="556" w:type="pct"/>
            <w:tcBorders>
              <w:top w:val="nil"/>
              <w:left w:val="single" w:color="auto" w:sz="4" w:space="0"/>
              <w:bottom w:val="nil"/>
              <w:right w:val="nil"/>
            </w:tcBorders>
            <w:shd w:val="clear" w:color="auto" w:fill="auto"/>
            <w:noWrap/>
          </w:tcPr>
          <w:p w14:paraId="2B8FF66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646" w:type="pct"/>
            <w:tcBorders>
              <w:top w:val="nil"/>
              <w:left w:val="nil"/>
              <w:bottom w:val="nil"/>
              <w:right w:val="nil"/>
            </w:tcBorders>
            <w:shd w:val="clear" w:color="auto" w:fill="auto"/>
            <w:noWrap/>
          </w:tcPr>
          <w:p w14:paraId="50AF2AD1">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273" w:type="pct"/>
            <w:tcBorders>
              <w:top w:val="nil"/>
              <w:left w:val="nil"/>
              <w:bottom w:val="nil"/>
              <w:right w:val="single" w:color="auto" w:sz="4" w:space="0"/>
            </w:tcBorders>
            <w:shd w:val="clear" w:color="auto" w:fill="auto"/>
            <w:noWrap/>
          </w:tcPr>
          <w:p w14:paraId="2E7D13B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18" w:type="pct"/>
            <w:gridSpan w:val="2"/>
            <w:tcBorders>
              <w:top w:val="nil"/>
              <w:left w:val="nil"/>
              <w:bottom w:val="nil"/>
              <w:right w:val="nil"/>
            </w:tcBorders>
            <w:shd w:val="clear" w:color="auto" w:fill="auto"/>
            <w:noWrap/>
          </w:tcPr>
          <w:p w14:paraId="70A830C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107" w:type="pct"/>
            <w:tcBorders>
              <w:top w:val="nil"/>
              <w:left w:val="nil"/>
              <w:bottom w:val="nil"/>
              <w:right w:val="single" w:color="auto" w:sz="4" w:space="0"/>
            </w:tcBorders>
            <w:shd w:val="clear" w:color="auto" w:fill="auto"/>
            <w:noWrap/>
          </w:tcPr>
          <w:p w14:paraId="7231D11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28724F95">
        <w:tblPrEx>
          <w:tblCellMar>
            <w:top w:w="0" w:type="dxa"/>
            <w:left w:w="108" w:type="dxa"/>
            <w:bottom w:w="0" w:type="dxa"/>
            <w:right w:w="108" w:type="dxa"/>
          </w:tblCellMar>
        </w:tblPrEx>
        <w:trPr>
          <w:trHeight w:val="570" w:hRule="atLeast"/>
        </w:trPr>
        <w:tc>
          <w:tcPr>
            <w:tcW w:w="556" w:type="pct"/>
            <w:tcBorders>
              <w:top w:val="nil"/>
              <w:left w:val="single" w:color="auto" w:sz="4" w:space="0"/>
              <w:bottom w:val="nil"/>
              <w:right w:val="nil"/>
            </w:tcBorders>
            <w:shd w:val="clear" w:color="auto" w:fill="auto"/>
            <w:noWrap/>
          </w:tcPr>
          <w:p w14:paraId="3052549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646" w:type="pct"/>
            <w:tcBorders>
              <w:top w:val="nil"/>
              <w:left w:val="nil"/>
              <w:bottom w:val="nil"/>
              <w:right w:val="nil"/>
            </w:tcBorders>
            <w:shd w:val="clear" w:color="auto" w:fill="auto"/>
            <w:noWrap/>
          </w:tcPr>
          <w:p w14:paraId="6A66DFC5">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273" w:type="pct"/>
            <w:tcBorders>
              <w:top w:val="nil"/>
              <w:left w:val="nil"/>
              <w:bottom w:val="nil"/>
              <w:right w:val="single" w:color="auto" w:sz="4" w:space="0"/>
            </w:tcBorders>
            <w:shd w:val="clear" w:color="auto" w:fill="auto"/>
            <w:noWrap/>
          </w:tcPr>
          <w:p w14:paraId="12FD910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18" w:type="pct"/>
            <w:gridSpan w:val="2"/>
            <w:tcBorders>
              <w:top w:val="nil"/>
              <w:left w:val="nil"/>
              <w:bottom w:val="nil"/>
              <w:right w:val="nil"/>
            </w:tcBorders>
            <w:shd w:val="clear" w:color="auto" w:fill="auto"/>
            <w:noWrap/>
          </w:tcPr>
          <w:p w14:paraId="63E17F9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107" w:type="pct"/>
            <w:tcBorders>
              <w:top w:val="nil"/>
              <w:left w:val="nil"/>
              <w:bottom w:val="nil"/>
              <w:right w:val="single" w:color="auto" w:sz="4" w:space="0"/>
            </w:tcBorders>
            <w:shd w:val="clear" w:color="auto" w:fill="auto"/>
            <w:noWrap/>
          </w:tcPr>
          <w:p w14:paraId="38DE9BA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343779B5">
        <w:tblPrEx>
          <w:tblCellMar>
            <w:top w:w="0" w:type="dxa"/>
            <w:left w:w="108" w:type="dxa"/>
            <w:bottom w:w="0" w:type="dxa"/>
            <w:right w:w="108" w:type="dxa"/>
          </w:tblCellMar>
        </w:tblPrEx>
        <w:trPr>
          <w:trHeight w:val="570" w:hRule="atLeast"/>
        </w:trPr>
        <w:tc>
          <w:tcPr>
            <w:tcW w:w="556" w:type="pct"/>
            <w:tcBorders>
              <w:top w:val="nil"/>
              <w:left w:val="single" w:color="auto" w:sz="4" w:space="0"/>
              <w:bottom w:val="single" w:color="auto" w:sz="4" w:space="0"/>
              <w:right w:val="nil"/>
            </w:tcBorders>
            <w:shd w:val="clear" w:color="auto" w:fill="auto"/>
            <w:noWrap/>
          </w:tcPr>
          <w:p w14:paraId="1CC584B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646" w:type="pct"/>
            <w:tcBorders>
              <w:top w:val="nil"/>
              <w:left w:val="nil"/>
              <w:bottom w:val="single" w:color="auto" w:sz="4" w:space="0"/>
              <w:right w:val="nil"/>
            </w:tcBorders>
            <w:shd w:val="clear" w:color="auto" w:fill="auto"/>
            <w:noWrap/>
          </w:tcPr>
          <w:p w14:paraId="301849F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73" w:type="pct"/>
            <w:tcBorders>
              <w:top w:val="nil"/>
              <w:left w:val="nil"/>
              <w:bottom w:val="single" w:color="auto" w:sz="4" w:space="0"/>
              <w:right w:val="single" w:color="auto" w:sz="4" w:space="0"/>
            </w:tcBorders>
            <w:shd w:val="clear" w:color="auto" w:fill="auto"/>
            <w:noWrap/>
          </w:tcPr>
          <w:p w14:paraId="09DEF92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18" w:type="pct"/>
            <w:gridSpan w:val="2"/>
            <w:tcBorders>
              <w:top w:val="nil"/>
              <w:left w:val="nil"/>
              <w:bottom w:val="single" w:color="auto" w:sz="4" w:space="0"/>
              <w:right w:val="nil"/>
            </w:tcBorders>
            <w:shd w:val="clear" w:color="auto" w:fill="auto"/>
            <w:noWrap/>
          </w:tcPr>
          <w:p w14:paraId="7069944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107" w:type="pct"/>
            <w:tcBorders>
              <w:top w:val="nil"/>
              <w:left w:val="nil"/>
              <w:bottom w:val="single" w:color="auto" w:sz="4" w:space="0"/>
              <w:right w:val="single" w:color="auto" w:sz="4" w:space="0"/>
            </w:tcBorders>
            <w:shd w:val="clear" w:color="auto" w:fill="auto"/>
            <w:noWrap/>
          </w:tcPr>
          <w:p w14:paraId="7F4DB7C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bl>
    <w:p w14:paraId="6CD5CEAD">
      <w:pPr>
        <w:ind w:firstLine="480"/>
        <w:outlineLvl w:val="9"/>
        <w:rPr>
          <w:rFonts w:hint="eastAsia" w:cs="宋体" w:asciiTheme="minorEastAsia" w:hAnsiTheme="minorEastAsia" w:eastAsiaTheme="minorEastAsia"/>
          <w:color w:val="auto"/>
          <w:szCs w:val="21"/>
          <w:highlight w:val="none"/>
        </w:rPr>
        <w:sectPr>
          <w:pgSz w:w="11906" w:h="16838"/>
          <w:pgMar w:top="2098" w:right="1474" w:bottom="1984" w:left="1587" w:header="851" w:footer="992" w:gutter="0"/>
          <w:pgBorders>
            <w:top w:val="none" w:sz="0" w:space="0"/>
            <w:left w:val="none" w:sz="0" w:space="0"/>
            <w:bottom w:val="none" w:sz="0" w:space="0"/>
            <w:right w:val="none" w:sz="0" w:space="0"/>
          </w:pgBorders>
          <w:cols w:space="720" w:num="1"/>
          <w:docGrid w:type="lines" w:linePitch="312" w:charSpace="0"/>
        </w:sectPr>
      </w:pPr>
    </w:p>
    <w:p w14:paraId="40A62B2E">
      <w:pPr>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附表三</w:t>
      </w:r>
    </w:p>
    <w:p w14:paraId="03B443DA">
      <w:pPr>
        <w:ind w:firstLine="64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扣款单汇总表</w:t>
      </w:r>
    </w:p>
    <w:p w14:paraId="06823160">
      <w:pPr>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合同名称：</w:t>
      </w:r>
    </w:p>
    <w:p w14:paraId="7639C0C6">
      <w:pPr>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w:t>
      </w:r>
    </w:p>
    <w:tbl>
      <w:tblPr>
        <w:tblStyle w:val="56"/>
        <w:tblW w:w="9437" w:type="dxa"/>
        <w:tblInd w:w="95" w:type="dxa"/>
        <w:tblLayout w:type="autofit"/>
        <w:tblCellMar>
          <w:top w:w="0" w:type="dxa"/>
          <w:left w:w="108" w:type="dxa"/>
          <w:bottom w:w="0" w:type="dxa"/>
          <w:right w:w="108" w:type="dxa"/>
        </w:tblCellMar>
      </w:tblPr>
      <w:tblGrid>
        <w:gridCol w:w="1071"/>
        <w:gridCol w:w="2600"/>
        <w:gridCol w:w="1508"/>
        <w:gridCol w:w="1289"/>
        <w:gridCol w:w="2969"/>
      </w:tblGrid>
      <w:tr w14:paraId="7C9A342B">
        <w:tblPrEx>
          <w:tblCellMar>
            <w:top w:w="0" w:type="dxa"/>
            <w:left w:w="108" w:type="dxa"/>
            <w:bottom w:w="0" w:type="dxa"/>
            <w:right w:w="108" w:type="dxa"/>
          </w:tblCellMar>
        </w:tblPrEx>
        <w:trPr>
          <w:trHeight w:val="274" w:hRule="atLeast"/>
        </w:trPr>
        <w:tc>
          <w:tcPr>
            <w:tcW w:w="107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89B06C">
            <w:pPr>
              <w:keepNext w:val="0"/>
              <w:keepLines w:val="0"/>
              <w:suppressLineNumbers w:val="0"/>
              <w:spacing w:before="0" w:beforeAutospacing="0" w:after="0" w:afterAutospacing="0"/>
              <w:ind w:left="0" w:right="0" w:firstLine="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序号</w:t>
            </w:r>
          </w:p>
        </w:tc>
        <w:tc>
          <w:tcPr>
            <w:tcW w:w="2600" w:type="dxa"/>
            <w:tcBorders>
              <w:top w:val="single" w:color="auto" w:sz="4" w:space="0"/>
              <w:left w:val="nil"/>
              <w:bottom w:val="single" w:color="auto" w:sz="4" w:space="0"/>
              <w:right w:val="single" w:color="auto" w:sz="4" w:space="0"/>
            </w:tcBorders>
            <w:shd w:val="clear" w:color="auto" w:fill="auto"/>
            <w:noWrap/>
            <w:vAlign w:val="center"/>
          </w:tcPr>
          <w:p w14:paraId="197C48A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单位工程</w:t>
            </w:r>
          </w:p>
        </w:tc>
        <w:tc>
          <w:tcPr>
            <w:tcW w:w="1508" w:type="dxa"/>
            <w:tcBorders>
              <w:top w:val="single" w:color="auto" w:sz="4" w:space="0"/>
              <w:left w:val="nil"/>
              <w:bottom w:val="single" w:color="auto" w:sz="4" w:space="0"/>
              <w:right w:val="single" w:color="auto" w:sz="4" w:space="0"/>
            </w:tcBorders>
            <w:shd w:val="clear" w:color="auto" w:fill="auto"/>
            <w:noWrap/>
            <w:vAlign w:val="center"/>
          </w:tcPr>
          <w:p w14:paraId="16C6B684">
            <w:pPr>
              <w:keepNext w:val="0"/>
              <w:keepLines w:val="0"/>
              <w:suppressLineNumbers w:val="0"/>
              <w:spacing w:before="0" w:beforeAutospacing="0" w:after="0" w:afterAutospacing="0"/>
              <w:ind w:left="0" w:right="0" w:firstLine="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扣款事项</w:t>
            </w:r>
          </w:p>
        </w:tc>
        <w:tc>
          <w:tcPr>
            <w:tcW w:w="1289" w:type="dxa"/>
            <w:tcBorders>
              <w:top w:val="single" w:color="auto" w:sz="4" w:space="0"/>
              <w:left w:val="nil"/>
              <w:bottom w:val="single" w:color="auto" w:sz="4" w:space="0"/>
              <w:right w:val="single" w:color="auto" w:sz="4" w:space="0"/>
            </w:tcBorders>
            <w:shd w:val="clear" w:color="auto" w:fill="auto"/>
            <w:noWrap/>
            <w:vAlign w:val="center"/>
          </w:tcPr>
          <w:p w14:paraId="37F39A8F">
            <w:pPr>
              <w:keepNext w:val="0"/>
              <w:keepLines w:val="0"/>
              <w:suppressLineNumbers w:val="0"/>
              <w:spacing w:before="0" w:beforeAutospacing="0" w:after="0" w:afterAutospacing="0"/>
              <w:ind w:left="0" w:right="0" w:firstLine="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扣款时间</w:t>
            </w:r>
          </w:p>
        </w:tc>
        <w:tc>
          <w:tcPr>
            <w:tcW w:w="2969" w:type="dxa"/>
            <w:tcBorders>
              <w:top w:val="single" w:color="auto" w:sz="4" w:space="0"/>
              <w:left w:val="nil"/>
              <w:bottom w:val="single" w:color="auto" w:sz="4" w:space="0"/>
              <w:right w:val="single" w:color="auto" w:sz="4" w:space="0"/>
            </w:tcBorders>
            <w:shd w:val="clear" w:color="auto" w:fill="auto"/>
            <w:noWrap/>
            <w:vAlign w:val="center"/>
          </w:tcPr>
          <w:p w14:paraId="45D239F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扣款金额（元）</w:t>
            </w:r>
          </w:p>
        </w:tc>
      </w:tr>
      <w:tr w14:paraId="3E1F3275">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01EEDB69">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w:t>
            </w:r>
          </w:p>
        </w:tc>
        <w:tc>
          <w:tcPr>
            <w:tcW w:w="2600" w:type="dxa"/>
            <w:tcBorders>
              <w:top w:val="nil"/>
              <w:left w:val="nil"/>
              <w:bottom w:val="single" w:color="auto" w:sz="4" w:space="0"/>
              <w:right w:val="single" w:color="auto" w:sz="4" w:space="0"/>
            </w:tcBorders>
            <w:shd w:val="clear" w:color="auto" w:fill="auto"/>
            <w:noWrap/>
            <w:vAlign w:val="center"/>
          </w:tcPr>
          <w:p w14:paraId="498F06E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总包</w:t>
            </w:r>
          </w:p>
        </w:tc>
        <w:tc>
          <w:tcPr>
            <w:tcW w:w="1508" w:type="dxa"/>
            <w:tcBorders>
              <w:top w:val="nil"/>
              <w:left w:val="nil"/>
              <w:bottom w:val="single" w:color="auto" w:sz="4" w:space="0"/>
              <w:right w:val="single" w:color="auto" w:sz="4" w:space="0"/>
            </w:tcBorders>
            <w:shd w:val="clear" w:color="auto" w:fill="auto"/>
            <w:noWrap/>
            <w:vAlign w:val="center"/>
          </w:tcPr>
          <w:p w14:paraId="76A345A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6CE2317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487C515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0BBA83F6">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5812E56D">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w:t>
            </w:r>
          </w:p>
        </w:tc>
        <w:tc>
          <w:tcPr>
            <w:tcW w:w="2600" w:type="dxa"/>
            <w:tcBorders>
              <w:top w:val="nil"/>
              <w:left w:val="nil"/>
              <w:bottom w:val="single" w:color="auto" w:sz="4" w:space="0"/>
              <w:right w:val="single" w:color="auto" w:sz="4" w:space="0"/>
            </w:tcBorders>
            <w:shd w:val="clear" w:color="auto" w:fill="auto"/>
            <w:noWrap/>
            <w:vAlign w:val="center"/>
          </w:tcPr>
          <w:p w14:paraId="45C8CD4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幕墙</w:t>
            </w:r>
          </w:p>
        </w:tc>
        <w:tc>
          <w:tcPr>
            <w:tcW w:w="1508" w:type="dxa"/>
            <w:tcBorders>
              <w:top w:val="nil"/>
              <w:left w:val="nil"/>
              <w:bottom w:val="single" w:color="auto" w:sz="4" w:space="0"/>
              <w:right w:val="single" w:color="auto" w:sz="4" w:space="0"/>
            </w:tcBorders>
            <w:shd w:val="clear" w:color="auto" w:fill="auto"/>
            <w:noWrap/>
            <w:vAlign w:val="center"/>
          </w:tcPr>
          <w:p w14:paraId="5FF061E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30196EF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62CB98C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11E6DCBF">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07DD96EC">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3</w:t>
            </w:r>
          </w:p>
        </w:tc>
        <w:tc>
          <w:tcPr>
            <w:tcW w:w="2600" w:type="dxa"/>
            <w:tcBorders>
              <w:top w:val="nil"/>
              <w:left w:val="nil"/>
              <w:bottom w:val="single" w:color="auto" w:sz="4" w:space="0"/>
              <w:right w:val="single" w:color="auto" w:sz="4" w:space="0"/>
            </w:tcBorders>
            <w:shd w:val="clear" w:color="auto" w:fill="auto"/>
            <w:noWrap/>
            <w:vAlign w:val="center"/>
          </w:tcPr>
          <w:p w14:paraId="02A2CBF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景观</w:t>
            </w:r>
          </w:p>
        </w:tc>
        <w:tc>
          <w:tcPr>
            <w:tcW w:w="1508" w:type="dxa"/>
            <w:tcBorders>
              <w:top w:val="nil"/>
              <w:left w:val="nil"/>
              <w:bottom w:val="single" w:color="auto" w:sz="4" w:space="0"/>
              <w:right w:val="single" w:color="auto" w:sz="4" w:space="0"/>
            </w:tcBorders>
            <w:shd w:val="clear" w:color="auto" w:fill="auto"/>
            <w:noWrap/>
            <w:vAlign w:val="center"/>
          </w:tcPr>
          <w:p w14:paraId="397769C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0E4574B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1C23D13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6E9C9875">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4D48087C">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4</w:t>
            </w:r>
          </w:p>
        </w:tc>
        <w:tc>
          <w:tcPr>
            <w:tcW w:w="2600" w:type="dxa"/>
            <w:tcBorders>
              <w:top w:val="nil"/>
              <w:left w:val="nil"/>
              <w:bottom w:val="single" w:color="auto" w:sz="4" w:space="0"/>
              <w:right w:val="single" w:color="auto" w:sz="4" w:space="0"/>
            </w:tcBorders>
            <w:shd w:val="clear" w:color="auto" w:fill="auto"/>
            <w:noWrap/>
            <w:vAlign w:val="center"/>
          </w:tcPr>
          <w:p w14:paraId="1C27988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0F492CF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0F44EED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5A98DE7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6C906068">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2EC2613E">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5</w:t>
            </w:r>
          </w:p>
        </w:tc>
        <w:tc>
          <w:tcPr>
            <w:tcW w:w="2600" w:type="dxa"/>
            <w:tcBorders>
              <w:top w:val="nil"/>
              <w:left w:val="nil"/>
              <w:bottom w:val="single" w:color="auto" w:sz="4" w:space="0"/>
              <w:right w:val="single" w:color="auto" w:sz="4" w:space="0"/>
            </w:tcBorders>
            <w:shd w:val="clear" w:color="auto" w:fill="auto"/>
            <w:noWrap/>
            <w:vAlign w:val="center"/>
          </w:tcPr>
          <w:p w14:paraId="68E00A2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3060A2F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0C0C490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0B1F0E3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7C96D1A2">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1506B126">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6</w:t>
            </w:r>
          </w:p>
        </w:tc>
        <w:tc>
          <w:tcPr>
            <w:tcW w:w="2600" w:type="dxa"/>
            <w:tcBorders>
              <w:top w:val="nil"/>
              <w:left w:val="nil"/>
              <w:bottom w:val="single" w:color="auto" w:sz="4" w:space="0"/>
              <w:right w:val="single" w:color="auto" w:sz="4" w:space="0"/>
            </w:tcBorders>
            <w:shd w:val="clear" w:color="auto" w:fill="auto"/>
            <w:noWrap/>
            <w:vAlign w:val="center"/>
          </w:tcPr>
          <w:p w14:paraId="185BD0E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7F844C9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111A74C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3976341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7586767A">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3FBA19AC">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7</w:t>
            </w:r>
          </w:p>
        </w:tc>
        <w:tc>
          <w:tcPr>
            <w:tcW w:w="2600" w:type="dxa"/>
            <w:tcBorders>
              <w:top w:val="nil"/>
              <w:left w:val="nil"/>
              <w:bottom w:val="single" w:color="auto" w:sz="4" w:space="0"/>
              <w:right w:val="single" w:color="auto" w:sz="4" w:space="0"/>
            </w:tcBorders>
            <w:shd w:val="clear" w:color="auto" w:fill="auto"/>
            <w:noWrap/>
            <w:vAlign w:val="center"/>
          </w:tcPr>
          <w:p w14:paraId="200E466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434C3B3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57D0191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1DD5665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459F15E0">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42B4907E">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8</w:t>
            </w:r>
          </w:p>
        </w:tc>
        <w:tc>
          <w:tcPr>
            <w:tcW w:w="2600" w:type="dxa"/>
            <w:tcBorders>
              <w:top w:val="nil"/>
              <w:left w:val="nil"/>
              <w:bottom w:val="single" w:color="auto" w:sz="4" w:space="0"/>
              <w:right w:val="single" w:color="auto" w:sz="4" w:space="0"/>
            </w:tcBorders>
            <w:shd w:val="clear" w:color="auto" w:fill="auto"/>
            <w:noWrap/>
            <w:vAlign w:val="center"/>
          </w:tcPr>
          <w:p w14:paraId="220BEB1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7277ABB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01BB272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7AD82F9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415E1A9F">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2E27175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9</w:t>
            </w:r>
          </w:p>
        </w:tc>
        <w:tc>
          <w:tcPr>
            <w:tcW w:w="2600" w:type="dxa"/>
            <w:tcBorders>
              <w:top w:val="nil"/>
              <w:left w:val="nil"/>
              <w:bottom w:val="single" w:color="auto" w:sz="4" w:space="0"/>
              <w:right w:val="single" w:color="auto" w:sz="4" w:space="0"/>
            </w:tcBorders>
            <w:shd w:val="clear" w:color="auto" w:fill="auto"/>
            <w:noWrap/>
            <w:vAlign w:val="center"/>
          </w:tcPr>
          <w:p w14:paraId="0EE9849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2956F41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60705E7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31B32A3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4319DCF6">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5DF4B913">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10</w:t>
            </w:r>
          </w:p>
        </w:tc>
        <w:tc>
          <w:tcPr>
            <w:tcW w:w="2600" w:type="dxa"/>
            <w:tcBorders>
              <w:top w:val="nil"/>
              <w:left w:val="nil"/>
              <w:bottom w:val="single" w:color="auto" w:sz="4" w:space="0"/>
              <w:right w:val="single" w:color="auto" w:sz="4" w:space="0"/>
            </w:tcBorders>
            <w:shd w:val="clear" w:color="auto" w:fill="auto"/>
            <w:noWrap/>
            <w:vAlign w:val="center"/>
          </w:tcPr>
          <w:p w14:paraId="5654590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12CAB02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3EA6A51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37E3FB6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0FF1BAEF">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2CA780F3">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11</w:t>
            </w:r>
          </w:p>
        </w:tc>
        <w:tc>
          <w:tcPr>
            <w:tcW w:w="2600" w:type="dxa"/>
            <w:tcBorders>
              <w:top w:val="nil"/>
              <w:left w:val="nil"/>
              <w:bottom w:val="single" w:color="auto" w:sz="4" w:space="0"/>
              <w:right w:val="single" w:color="auto" w:sz="4" w:space="0"/>
            </w:tcBorders>
            <w:shd w:val="clear" w:color="auto" w:fill="auto"/>
            <w:noWrap/>
            <w:vAlign w:val="center"/>
          </w:tcPr>
          <w:p w14:paraId="66CAEC8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35952BE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621FEF1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3554E20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2F3CCB67">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635283C7">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12</w:t>
            </w:r>
          </w:p>
        </w:tc>
        <w:tc>
          <w:tcPr>
            <w:tcW w:w="2600" w:type="dxa"/>
            <w:tcBorders>
              <w:top w:val="nil"/>
              <w:left w:val="nil"/>
              <w:bottom w:val="single" w:color="auto" w:sz="4" w:space="0"/>
              <w:right w:val="single" w:color="auto" w:sz="4" w:space="0"/>
            </w:tcBorders>
            <w:shd w:val="clear" w:color="auto" w:fill="auto"/>
            <w:noWrap/>
            <w:vAlign w:val="center"/>
          </w:tcPr>
          <w:p w14:paraId="6BD50E9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54AD138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017F700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6753F68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7B7F3B50">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1045A152">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13</w:t>
            </w:r>
          </w:p>
        </w:tc>
        <w:tc>
          <w:tcPr>
            <w:tcW w:w="2600" w:type="dxa"/>
            <w:tcBorders>
              <w:top w:val="nil"/>
              <w:left w:val="nil"/>
              <w:bottom w:val="single" w:color="auto" w:sz="4" w:space="0"/>
              <w:right w:val="single" w:color="auto" w:sz="4" w:space="0"/>
            </w:tcBorders>
            <w:shd w:val="clear" w:color="auto" w:fill="auto"/>
            <w:noWrap/>
            <w:vAlign w:val="center"/>
          </w:tcPr>
          <w:p w14:paraId="76CCD67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70AF5CF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1D6042F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655FC59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671B0261">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44D4C742">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14</w:t>
            </w:r>
          </w:p>
        </w:tc>
        <w:tc>
          <w:tcPr>
            <w:tcW w:w="2600" w:type="dxa"/>
            <w:tcBorders>
              <w:top w:val="nil"/>
              <w:left w:val="nil"/>
              <w:bottom w:val="single" w:color="auto" w:sz="4" w:space="0"/>
              <w:right w:val="single" w:color="auto" w:sz="4" w:space="0"/>
            </w:tcBorders>
            <w:shd w:val="clear" w:color="auto" w:fill="auto"/>
            <w:noWrap/>
            <w:vAlign w:val="center"/>
          </w:tcPr>
          <w:p w14:paraId="6A28B1B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62891A6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2872DB0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5EBC247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03257824">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3841C3E0">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15</w:t>
            </w:r>
          </w:p>
        </w:tc>
        <w:tc>
          <w:tcPr>
            <w:tcW w:w="2600" w:type="dxa"/>
            <w:tcBorders>
              <w:top w:val="nil"/>
              <w:left w:val="nil"/>
              <w:bottom w:val="single" w:color="auto" w:sz="4" w:space="0"/>
              <w:right w:val="single" w:color="auto" w:sz="4" w:space="0"/>
            </w:tcBorders>
            <w:shd w:val="clear" w:color="auto" w:fill="auto"/>
            <w:noWrap/>
            <w:vAlign w:val="center"/>
          </w:tcPr>
          <w:p w14:paraId="397EAB2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6E9AFAB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4FA2FFB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772F92A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2043E97B">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68DB298E">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16</w:t>
            </w:r>
          </w:p>
        </w:tc>
        <w:tc>
          <w:tcPr>
            <w:tcW w:w="2600" w:type="dxa"/>
            <w:tcBorders>
              <w:top w:val="nil"/>
              <w:left w:val="nil"/>
              <w:bottom w:val="single" w:color="auto" w:sz="4" w:space="0"/>
              <w:right w:val="single" w:color="auto" w:sz="4" w:space="0"/>
            </w:tcBorders>
            <w:shd w:val="clear" w:color="auto" w:fill="auto"/>
            <w:noWrap/>
            <w:vAlign w:val="center"/>
          </w:tcPr>
          <w:p w14:paraId="3B1CAF8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5D8184C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18B03C9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2563AD2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1E9840FD">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35A245CC">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17</w:t>
            </w:r>
          </w:p>
        </w:tc>
        <w:tc>
          <w:tcPr>
            <w:tcW w:w="2600" w:type="dxa"/>
            <w:tcBorders>
              <w:top w:val="nil"/>
              <w:left w:val="nil"/>
              <w:bottom w:val="single" w:color="auto" w:sz="4" w:space="0"/>
              <w:right w:val="single" w:color="auto" w:sz="4" w:space="0"/>
            </w:tcBorders>
            <w:shd w:val="clear" w:color="auto" w:fill="auto"/>
            <w:noWrap/>
            <w:vAlign w:val="center"/>
          </w:tcPr>
          <w:p w14:paraId="194713C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339D3A7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40D29E8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6FDEAF3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02FA9CDF">
        <w:tblPrEx>
          <w:tblCellMar>
            <w:top w:w="0" w:type="dxa"/>
            <w:left w:w="108" w:type="dxa"/>
            <w:bottom w:w="0" w:type="dxa"/>
            <w:right w:w="108" w:type="dxa"/>
          </w:tblCellMar>
        </w:tblPrEx>
        <w:trPr>
          <w:trHeight w:val="274" w:hRule="atLeast"/>
        </w:trPr>
        <w:tc>
          <w:tcPr>
            <w:tcW w:w="1071" w:type="dxa"/>
            <w:tcBorders>
              <w:top w:val="nil"/>
              <w:left w:val="single" w:color="auto" w:sz="4" w:space="0"/>
              <w:bottom w:val="single" w:color="auto" w:sz="4" w:space="0"/>
              <w:right w:val="single" w:color="auto" w:sz="4" w:space="0"/>
            </w:tcBorders>
            <w:shd w:val="clear" w:color="auto" w:fill="auto"/>
            <w:noWrap/>
            <w:vAlign w:val="center"/>
          </w:tcPr>
          <w:p w14:paraId="3F7D139B">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合计</w:t>
            </w:r>
          </w:p>
        </w:tc>
        <w:tc>
          <w:tcPr>
            <w:tcW w:w="2600" w:type="dxa"/>
            <w:tcBorders>
              <w:top w:val="nil"/>
              <w:left w:val="nil"/>
              <w:bottom w:val="single" w:color="auto" w:sz="4" w:space="0"/>
              <w:right w:val="single" w:color="auto" w:sz="4" w:space="0"/>
            </w:tcBorders>
            <w:shd w:val="clear" w:color="auto" w:fill="auto"/>
            <w:noWrap/>
            <w:vAlign w:val="center"/>
          </w:tcPr>
          <w:p w14:paraId="0520BA7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508" w:type="dxa"/>
            <w:tcBorders>
              <w:top w:val="nil"/>
              <w:left w:val="nil"/>
              <w:bottom w:val="single" w:color="auto" w:sz="4" w:space="0"/>
              <w:right w:val="single" w:color="auto" w:sz="4" w:space="0"/>
            </w:tcBorders>
            <w:shd w:val="clear" w:color="auto" w:fill="auto"/>
            <w:noWrap/>
            <w:vAlign w:val="center"/>
          </w:tcPr>
          <w:p w14:paraId="6E58B14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289" w:type="dxa"/>
            <w:tcBorders>
              <w:top w:val="nil"/>
              <w:left w:val="nil"/>
              <w:bottom w:val="single" w:color="auto" w:sz="4" w:space="0"/>
              <w:right w:val="single" w:color="auto" w:sz="4" w:space="0"/>
            </w:tcBorders>
            <w:shd w:val="clear" w:color="auto" w:fill="auto"/>
            <w:noWrap/>
            <w:vAlign w:val="center"/>
          </w:tcPr>
          <w:p w14:paraId="08A925C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2969" w:type="dxa"/>
            <w:tcBorders>
              <w:top w:val="nil"/>
              <w:left w:val="nil"/>
              <w:bottom w:val="single" w:color="auto" w:sz="4" w:space="0"/>
              <w:right w:val="single" w:color="auto" w:sz="4" w:space="0"/>
            </w:tcBorders>
            <w:shd w:val="clear" w:color="auto" w:fill="auto"/>
            <w:noWrap/>
            <w:vAlign w:val="center"/>
          </w:tcPr>
          <w:p w14:paraId="6EA867B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6F4553CD">
        <w:tblPrEx>
          <w:tblCellMar>
            <w:top w:w="0" w:type="dxa"/>
            <w:left w:w="108" w:type="dxa"/>
            <w:bottom w:w="0" w:type="dxa"/>
            <w:right w:w="108" w:type="dxa"/>
          </w:tblCellMar>
        </w:tblPrEx>
        <w:trPr>
          <w:trHeight w:val="312" w:hRule="exact"/>
        </w:trPr>
        <w:tc>
          <w:tcPr>
            <w:tcW w:w="3671" w:type="dxa"/>
            <w:gridSpan w:val="2"/>
            <w:vMerge w:val="restart"/>
            <w:tcBorders>
              <w:top w:val="single" w:color="auto" w:sz="4" w:space="0"/>
              <w:left w:val="single" w:color="auto" w:sz="4" w:space="0"/>
              <w:bottom w:val="single" w:color="auto" w:sz="4" w:space="0"/>
              <w:right w:val="single" w:color="auto" w:sz="4" w:space="0"/>
            </w:tcBorders>
            <w:shd w:val="clear" w:color="auto" w:fill="auto"/>
            <w:noWrap/>
          </w:tcPr>
          <w:p w14:paraId="555CE9E4">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监理单位（签字盖章）：</w:t>
            </w:r>
          </w:p>
        </w:tc>
        <w:tc>
          <w:tcPr>
            <w:tcW w:w="5766" w:type="dxa"/>
            <w:gridSpan w:val="3"/>
            <w:vMerge w:val="restart"/>
            <w:tcBorders>
              <w:top w:val="single" w:color="auto" w:sz="4" w:space="0"/>
              <w:left w:val="single" w:color="auto" w:sz="4" w:space="0"/>
              <w:bottom w:val="single" w:color="auto" w:sz="4" w:space="0"/>
              <w:right w:val="single" w:color="auto" w:sz="4" w:space="0"/>
            </w:tcBorders>
            <w:shd w:val="clear" w:color="auto" w:fill="auto"/>
            <w:noWrap/>
          </w:tcPr>
          <w:p w14:paraId="220A82A9">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项目部（签字盖章）：</w:t>
            </w:r>
          </w:p>
        </w:tc>
      </w:tr>
      <w:tr w14:paraId="19AECECA">
        <w:tblPrEx>
          <w:tblCellMar>
            <w:top w:w="0" w:type="dxa"/>
            <w:left w:w="108" w:type="dxa"/>
            <w:bottom w:w="0" w:type="dxa"/>
            <w:right w:w="108" w:type="dxa"/>
          </w:tblCellMar>
        </w:tblPrEx>
        <w:trPr>
          <w:trHeight w:val="844" w:hRule="atLeast"/>
        </w:trPr>
        <w:tc>
          <w:tcPr>
            <w:tcW w:w="3671" w:type="dxa"/>
            <w:gridSpan w:val="2"/>
            <w:vMerge w:val="continue"/>
            <w:tcBorders>
              <w:top w:val="single" w:color="auto" w:sz="4" w:space="0"/>
              <w:left w:val="single" w:color="auto" w:sz="4" w:space="0"/>
              <w:bottom w:val="single" w:color="auto" w:sz="4" w:space="0"/>
              <w:right w:val="single" w:color="auto" w:sz="4" w:space="0"/>
            </w:tcBorders>
            <w:vAlign w:val="center"/>
          </w:tcPr>
          <w:p w14:paraId="447537DD">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5766" w:type="dxa"/>
            <w:gridSpan w:val="3"/>
            <w:vMerge w:val="continue"/>
            <w:tcBorders>
              <w:top w:val="single" w:color="auto" w:sz="4" w:space="0"/>
              <w:left w:val="single" w:color="auto" w:sz="4" w:space="0"/>
              <w:bottom w:val="single" w:color="auto" w:sz="4" w:space="0"/>
              <w:right w:val="single" w:color="auto" w:sz="4" w:space="0"/>
            </w:tcBorders>
            <w:vAlign w:val="center"/>
          </w:tcPr>
          <w:p w14:paraId="7247BA6F">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r>
      <w:tr w14:paraId="3CE61105">
        <w:tblPrEx>
          <w:tblCellMar>
            <w:top w:w="0" w:type="dxa"/>
            <w:left w:w="108" w:type="dxa"/>
            <w:bottom w:w="0" w:type="dxa"/>
            <w:right w:w="108" w:type="dxa"/>
          </w:tblCellMar>
        </w:tblPrEx>
        <w:trPr>
          <w:trHeight w:val="844" w:hRule="atLeast"/>
        </w:trPr>
        <w:tc>
          <w:tcPr>
            <w:tcW w:w="3671" w:type="dxa"/>
            <w:gridSpan w:val="2"/>
            <w:vMerge w:val="continue"/>
            <w:tcBorders>
              <w:top w:val="single" w:color="auto" w:sz="4" w:space="0"/>
              <w:left w:val="single" w:color="auto" w:sz="4" w:space="0"/>
              <w:bottom w:val="single" w:color="auto" w:sz="4" w:space="0"/>
              <w:right w:val="single" w:color="auto" w:sz="4" w:space="0"/>
            </w:tcBorders>
            <w:vAlign w:val="center"/>
          </w:tcPr>
          <w:p w14:paraId="0369FAF9">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5766" w:type="dxa"/>
            <w:gridSpan w:val="3"/>
            <w:vMerge w:val="continue"/>
            <w:tcBorders>
              <w:top w:val="single" w:color="auto" w:sz="4" w:space="0"/>
              <w:left w:val="single" w:color="auto" w:sz="4" w:space="0"/>
              <w:bottom w:val="single" w:color="auto" w:sz="4" w:space="0"/>
              <w:right w:val="single" w:color="auto" w:sz="4" w:space="0"/>
            </w:tcBorders>
            <w:vAlign w:val="center"/>
          </w:tcPr>
          <w:p w14:paraId="4D0B7CE2">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r>
      <w:tr w14:paraId="4FA531D4">
        <w:tblPrEx>
          <w:tblCellMar>
            <w:top w:w="0" w:type="dxa"/>
            <w:left w:w="108" w:type="dxa"/>
            <w:bottom w:w="0" w:type="dxa"/>
            <w:right w:w="108" w:type="dxa"/>
          </w:tblCellMar>
        </w:tblPrEx>
        <w:trPr>
          <w:trHeight w:val="844" w:hRule="atLeast"/>
        </w:trPr>
        <w:tc>
          <w:tcPr>
            <w:tcW w:w="3671" w:type="dxa"/>
            <w:gridSpan w:val="2"/>
            <w:vMerge w:val="continue"/>
            <w:tcBorders>
              <w:top w:val="single" w:color="auto" w:sz="4" w:space="0"/>
              <w:left w:val="single" w:color="auto" w:sz="4" w:space="0"/>
              <w:bottom w:val="single" w:color="auto" w:sz="4" w:space="0"/>
              <w:right w:val="single" w:color="auto" w:sz="4" w:space="0"/>
            </w:tcBorders>
            <w:vAlign w:val="center"/>
          </w:tcPr>
          <w:p w14:paraId="1E2CCC24">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5766" w:type="dxa"/>
            <w:gridSpan w:val="3"/>
            <w:vMerge w:val="continue"/>
            <w:tcBorders>
              <w:top w:val="single" w:color="auto" w:sz="4" w:space="0"/>
              <w:left w:val="single" w:color="auto" w:sz="4" w:space="0"/>
              <w:bottom w:val="single" w:color="auto" w:sz="4" w:space="0"/>
              <w:right w:val="single" w:color="auto" w:sz="4" w:space="0"/>
            </w:tcBorders>
            <w:vAlign w:val="center"/>
          </w:tcPr>
          <w:p w14:paraId="067FF4A1">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r>
      <w:tr w14:paraId="72BB49CA">
        <w:tblPrEx>
          <w:tblCellMar>
            <w:top w:w="0" w:type="dxa"/>
            <w:left w:w="108" w:type="dxa"/>
            <w:bottom w:w="0" w:type="dxa"/>
            <w:right w:w="108" w:type="dxa"/>
          </w:tblCellMar>
        </w:tblPrEx>
        <w:trPr>
          <w:trHeight w:val="844" w:hRule="atLeast"/>
        </w:trPr>
        <w:tc>
          <w:tcPr>
            <w:tcW w:w="3671" w:type="dxa"/>
            <w:gridSpan w:val="2"/>
            <w:vMerge w:val="continue"/>
            <w:tcBorders>
              <w:top w:val="single" w:color="auto" w:sz="4" w:space="0"/>
              <w:left w:val="single" w:color="auto" w:sz="4" w:space="0"/>
              <w:bottom w:val="single" w:color="auto" w:sz="4" w:space="0"/>
              <w:right w:val="single" w:color="auto" w:sz="4" w:space="0"/>
            </w:tcBorders>
            <w:vAlign w:val="center"/>
          </w:tcPr>
          <w:p w14:paraId="1F64A5D5">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5766" w:type="dxa"/>
            <w:gridSpan w:val="3"/>
            <w:vMerge w:val="continue"/>
            <w:tcBorders>
              <w:top w:val="single" w:color="auto" w:sz="4" w:space="0"/>
              <w:left w:val="single" w:color="auto" w:sz="4" w:space="0"/>
              <w:bottom w:val="single" w:color="auto" w:sz="4" w:space="0"/>
              <w:right w:val="single" w:color="auto" w:sz="4" w:space="0"/>
            </w:tcBorders>
            <w:vAlign w:val="center"/>
          </w:tcPr>
          <w:p w14:paraId="25523B9E">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r>
      <w:tr w14:paraId="6D6B0466">
        <w:tblPrEx>
          <w:tblCellMar>
            <w:top w:w="0" w:type="dxa"/>
            <w:left w:w="108" w:type="dxa"/>
            <w:bottom w:w="0" w:type="dxa"/>
            <w:right w:w="108" w:type="dxa"/>
          </w:tblCellMar>
        </w:tblPrEx>
        <w:trPr>
          <w:trHeight w:val="746" w:hRule="atLeast"/>
        </w:trPr>
        <w:tc>
          <w:tcPr>
            <w:tcW w:w="3671" w:type="dxa"/>
            <w:gridSpan w:val="2"/>
            <w:vMerge w:val="continue"/>
            <w:tcBorders>
              <w:top w:val="single" w:color="auto" w:sz="4" w:space="0"/>
              <w:left w:val="single" w:color="auto" w:sz="4" w:space="0"/>
              <w:bottom w:val="single" w:color="auto" w:sz="4" w:space="0"/>
              <w:right w:val="single" w:color="auto" w:sz="4" w:space="0"/>
            </w:tcBorders>
            <w:vAlign w:val="center"/>
          </w:tcPr>
          <w:p w14:paraId="6944DFA7">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c>
          <w:tcPr>
            <w:tcW w:w="5766" w:type="dxa"/>
            <w:gridSpan w:val="3"/>
            <w:vMerge w:val="continue"/>
            <w:tcBorders>
              <w:top w:val="single" w:color="auto" w:sz="4" w:space="0"/>
              <w:left w:val="single" w:color="auto" w:sz="4" w:space="0"/>
              <w:bottom w:val="single" w:color="auto" w:sz="4" w:space="0"/>
              <w:right w:val="single" w:color="auto" w:sz="4" w:space="0"/>
            </w:tcBorders>
            <w:vAlign w:val="center"/>
          </w:tcPr>
          <w:p w14:paraId="25423997">
            <w:pPr>
              <w:keepNext/>
              <w:keepLines/>
              <w:suppressLineNumbers w:val="0"/>
              <w:spacing w:before="260" w:beforeAutospacing="0" w:after="260" w:afterAutospacing="0" w:line="416" w:lineRule="auto"/>
              <w:ind w:left="0" w:right="0" w:firstLine="480"/>
              <w:outlineLvl w:val="9"/>
              <w:rPr>
                <w:rFonts w:cs="宋体" w:asciiTheme="minorEastAsia" w:hAnsiTheme="minorEastAsia" w:eastAsiaTheme="minorEastAsia"/>
                <w:color w:val="auto"/>
                <w:kern w:val="0"/>
                <w:szCs w:val="21"/>
                <w:highlight w:val="none"/>
              </w:rPr>
            </w:pPr>
          </w:p>
        </w:tc>
      </w:tr>
    </w:tbl>
    <w:p w14:paraId="1C924586">
      <w:pPr>
        <w:ind w:firstLine="480"/>
        <w:outlineLvl w:val="9"/>
        <w:rPr>
          <w:rFonts w:cs="宋体" w:asciiTheme="minorEastAsia" w:hAnsiTheme="minorEastAsia" w:eastAsiaTheme="minorEastAsia"/>
          <w:color w:val="auto"/>
          <w:szCs w:val="21"/>
          <w:highlight w:val="none"/>
        </w:rPr>
      </w:pPr>
    </w:p>
    <w:p w14:paraId="7A8CEFCB">
      <w:pPr>
        <w:ind w:firstLine="480"/>
        <w:outlineLvl w:val="9"/>
        <w:rPr>
          <w:rFonts w:cs="宋体" w:asciiTheme="minorEastAsia" w:hAnsiTheme="minorEastAsia" w:eastAsiaTheme="minorEastAsia"/>
          <w:color w:val="auto"/>
          <w:szCs w:val="21"/>
          <w:highlight w:val="none"/>
        </w:rPr>
      </w:pPr>
    </w:p>
    <w:p w14:paraId="0AB14EB4">
      <w:pPr>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附表四</w:t>
      </w:r>
    </w:p>
    <w:p w14:paraId="5D679A4F">
      <w:pPr>
        <w:ind w:firstLine="64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变更、签证明细表</w:t>
      </w:r>
    </w:p>
    <w:p w14:paraId="3013065F">
      <w:pPr>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合同名称：</w:t>
      </w:r>
    </w:p>
    <w:p w14:paraId="07974123">
      <w:pPr>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w:t>
      </w:r>
    </w:p>
    <w:tbl>
      <w:tblPr>
        <w:tblStyle w:val="56"/>
        <w:tblW w:w="5000" w:type="pct"/>
        <w:tblInd w:w="0" w:type="dxa"/>
        <w:tblLayout w:type="autofit"/>
        <w:tblCellMar>
          <w:top w:w="0" w:type="dxa"/>
          <w:left w:w="108" w:type="dxa"/>
          <w:bottom w:w="0" w:type="dxa"/>
          <w:right w:w="108" w:type="dxa"/>
        </w:tblCellMar>
      </w:tblPr>
      <w:tblGrid>
        <w:gridCol w:w="976"/>
        <w:gridCol w:w="1528"/>
        <w:gridCol w:w="234"/>
        <w:gridCol w:w="1408"/>
        <w:gridCol w:w="3286"/>
        <w:gridCol w:w="475"/>
        <w:gridCol w:w="1154"/>
      </w:tblGrid>
      <w:tr w14:paraId="1829C86A">
        <w:tblPrEx>
          <w:tblCellMar>
            <w:top w:w="0" w:type="dxa"/>
            <w:left w:w="108" w:type="dxa"/>
            <w:bottom w:w="0" w:type="dxa"/>
            <w:right w:w="108" w:type="dxa"/>
          </w:tblCellMar>
        </w:tblPrEx>
        <w:trPr>
          <w:trHeight w:val="270" w:hRule="atLeast"/>
        </w:trPr>
        <w:tc>
          <w:tcPr>
            <w:tcW w:w="53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CEF3A6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序号</w:t>
            </w:r>
          </w:p>
        </w:tc>
        <w:tc>
          <w:tcPr>
            <w:tcW w:w="843" w:type="pct"/>
            <w:tcBorders>
              <w:top w:val="single" w:color="auto" w:sz="4" w:space="0"/>
              <w:left w:val="nil"/>
              <w:bottom w:val="single" w:color="auto" w:sz="4" w:space="0"/>
              <w:right w:val="single" w:color="auto" w:sz="4" w:space="0"/>
            </w:tcBorders>
          </w:tcPr>
          <w:p w14:paraId="642F3C6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资料类型</w:t>
            </w:r>
          </w:p>
        </w:tc>
        <w:tc>
          <w:tcPr>
            <w:tcW w:w="129" w:type="pct"/>
            <w:tcBorders>
              <w:top w:val="single" w:color="auto" w:sz="4" w:space="0"/>
              <w:left w:val="single" w:color="auto" w:sz="4" w:space="0"/>
              <w:bottom w:val="single" w:color="auto" w:sz="4" w:space="0"/>
              <w:right w:val="nil"/>
            </w:tcBorders>
          </w:tcPr>
          <w:p w14:paraId="691CEC6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777" w:type="pct"/>
            <w:tcBorders>
              <w:top w:val="single" w:color="auto" w:sz="4" w:space="0"/>
              <w:left w:val="nil"/>
              <w:bottom w:val="single" w:color="auto" w:sz="4" w:space="0"/>
              <w:right w:val="single" w:color="auto" w:sz="4" w:space="0"/>
            </w:tcBorders>
            <w:shd w:val="clear" w:color="auto" w:fill="auto"/>
            <w:noWrap/>
            <w:vAlign w:val="center"/>
          </w:tcPr>
          <w:p w14:paraId="0395298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编号</w:t>
            </w:r>
          </w:p>
        </w:tc>
        <w:tc>
          <w:tcPr>
            <w:tcW w:w="1813" w:type="pct"/>
            <w:tcBorders>
              <w:top w:val="single" w:color="auto" w:sz="4" w:space="0"/>
              <w:left w:val="nil"/>
              <w:bottom w:val="single" w:color="auto" w:sz="4" w:space="0"/>
              <w:right w:val="single" w:color="auto" w:sz="4" w:space="0"/>
            </w:tcBorders>
          </w:tcPr>
          <w:p w14:paraId="468AAD4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变更/签证事由</w:t>
            </w:r>
          </w:p>
        </w:tc>
        <w:tc>
          <w:tcPr>
            <w:tcW w:w="899" w:type="pct"/>
            <w:gridSpan w:val="2"/>
            <w:tcBorders>
              <w:top w:val="single" w:color="auto" w:sz="4" w:space="0"/>
              <w:left w:val="single" w:color="auto" w:sz="4" w:space="0"/>
              <w:bottom w:val="single" w:color="auto" w:sz="4" w:space="0"/>
              <w:right w:val="single" w:color="auto" w:sz="4" w:space="0"/>
            </w:tcBorders>
          </w:tcPr>
          <w:p w14:paraId="5C81579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页码编号</w:t>
            </w:r>
          </w:p>
        </w:tc>
      </w:tr>
      <w:tr w14:paraId="2C826FCD">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3F81F09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1</w:t>
            </w:r>
          </w:p>
        </w:tc>
        <w:tc>
          <w:tcPr>
            <w:tcW w:w="843" w:type="pct"/>
            <w:tcBorders>
              <w:top w:val="nil"/>
              <w:left w:val="nil"/>
              <w:bottom w:val="single" w:color="auto" w:sz="4" w:space="0"/>
              <w:right w:val="single" w:color="auto" w:sz="4" w:space="0"/>
            </w:tcBorders>
          </w:tcPr>
          <w:p w14:paraId="53A7C20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变更</w:t>
            </w:r>
          </w:p>
        </w:tc>
        <w:tc>
          <w:tcPr>
            <w:tcW w:w="129" w:type="pct"/>
            <w:tcBorders>
              <w:top w:val="nil"/>
              <w:left w:val="single" w:color="auto" w:sz="4" w:space="0"/>
              <w:bottom w:val="single" w:color="auto" w:sz="4" w:space="0"/>
              <w:right w:val="nil"/>
            </w:tcBorders>
          </w:tcPr>
          <w:p w14:paraId="59B018A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59813FB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7820A7B4">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简单描述</w:t>
            </w:r>
          </w:p>
        </w:tc>
        <w:tc>
          <w:tcPr>
            <w:tcW w:w="262" w:type="pct"/>
            <w:tcBorders>
              <w:top w:val="nil"/>
              <w:left w:val="single" w:color="auto" w:sz="4" w:space="0"/>
              <w:bottom w:val="single" w:color="auto" w:sz="4" w:space="0"/>
              <w:right w:val="nil"/>
            </w:tcBorders>
          </w:tcPr>
          <w:p w14:paraId="73A6803F">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1F6F95F0">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2BC52033">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2179FD9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2</w:t>
            </w:r>
          </w:p>
        </w:tc>
        <w:tc>
          <w:tcPr>
            <w:tcW w:w="843" w:type="pct"/>
            <w:tcBorders>
              <w:top w:val="nil"/>
              <w:left w:val="nil"/>
              <w:bottom w:val="single" w:color="auto" w:sz="4" w:space="0"/>
              <w:right w:val="single" w:color="auto" w:sz="4" w:space="0"/>
            </w:tcBorders>
          </w:tcPr>
          <w:p w14:paraId="338AA7E7">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29" w:type="pct"/>
            <w:tcBorders>
              <w:top w:val="nil"/>
              <w:left w:val="single" w:color="auto" w:sz="4" w:space="0"/>
              <w:bottom w:val="single" w:color="auto" w:sz="4" w:space="0"/>
              <w:right w:val="nil"/>
            </w:tcBorders>
          </w:tcPr>
          <w:p w14:paraId="2B9784BD">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2279912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317EAE1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082CE726">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657E40C7">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37EE4AA3">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6FB7283D">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3</w:t>
            </w:r>
          </w:p>
        </w:tc>
        <w:tc>
          <w:tcPr>
            <w:tcW w:w="843" w:type="pct"/>
            <w:tcBorders>
              <w:top w:val="nil"/>
              <w:left w:val="nil"/>
              <w:bottom w:val="single" w:color="auto" w:sz="4" w:space="0"/>
              <w:right w:val="single" w:color="auto" w:sz="4" w:space="0"/>
            </w:tcBorders>
          </w:tcPr>
          <w:p w14:paraId="746D766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29" w:type="pct"/>
            <w:tcBorders>
              <w:top w:val="nil"/>
              <w:left w:val="single" w:color="auto" w:sz="4" w:space="0"/>
              <w:bottom w:val="single" w:color="auto" w:sz="4" w:space="0"/>
              <w:right w:val="nil"/>
            </w:tcBorders>
          </w:tcPr>
          <w:p w14:paraId="1E46022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0C10D16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6331D3F6">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683BC1FC">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35F02419">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30FB71BB">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47868F8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4</w:t>
            </w:r>
          </w:p>
        </w:tc>
        <w:tc>
          <w:tcPr>
            <w:tcW w:w="843" w:type="pct"/>
            <w:tcBorders>
              <w:top w:val="nil"/>
              <w:left w:val="nil"/>
              <w:bottom w:val="single" w:color="auto" w:sz="4" w:space="0"/>
              <w:right w:val="single" w:color="auto" w:sz="4" w:space="0"/>
            </w:tcBorders>
          </w:tcPr>
          <w:p w14:paraId="68F1A13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29" w:type="pct"/>
            <w:tcBorders>
              <w:top w:val="nil"/>
              <w:left w:val="single" w:color="auto" w:sz="4" w:space="0"/>
              <w:bottom w:val="single" w:color="auto" w:sz="4" w:space="0"/>
              <w:right w:val="nil"/>
            </w:tcBorders>
          </w:tcPr>
          <w:p w14:paraId="3A8A0E9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3482A39C">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49ED0463">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723D07C1">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10AC7C74">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38FE36A1">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39585CE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5</w:t>
            </w:r>
          </w:p>
        </w:tc>
        <w:tc>
          <w:tcPr>
            <w:tcW w:w="843" w:type="pct"/>
            <w:tcBorders>
              <w:top w:val="nil"/>
              <w:left w:val="nil"/>
              <w:bottom w:val="single" w:color="auto" w:sz="4" w:space="0"/>
              <w:right w:val="single" w:color="auto" w:sz="4" w:space="0"/>
            </w:tcBorders>
          </w:tcPr>
          <w:p w14:paraId="0D3FDF2C">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签证</w:t>
            </w:r>
          </w:p>
        </w:tc>
        <w:tc>
          <w:tcPr>
            <w:tcW w:w="129" w:type="pct"/>
            <w:tcBorders>
              <w:top w:val="nil"/>
              <w:left w:val="single" w:color="auto" w:sz="4" w:space="0"/>
              <w:bottom w:val="single" w:color="auto" w:sz="4" w:space="0"/>
              <w:right w:val="nil"/>
            </w:tcBorders>
          </w:tcPr>
          <w:p w14:paraId="6C82E6E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65B20D2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09095012">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3876835F">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458FE790">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6BF533E4">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69A3DE6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6</w:t>
            </w:r>
          </w:p>
        </w:tc>
        <w:tc>
          <w:tcPr>
            <w:tcW w:w="843" w:type="pct"/>
            <w:tcBorders>
              <w:top w:val="nil"/>
              <w:left w:val="nil"/>
              <w:bottom w:val="single" w:color="auto" w:sz="4" w:space="0"/>
              <w:right w:val="single" w:color="auto" w:sz="4" w:space="0"/>
            </w:tcBorders>
          </w:tcPr>
          <w:p w14:paraId="66DFA03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29" w:type="pct"/>
            <w:tcBorders>
              <w:top w:val="nil"/>
              <w:left w:val="single" w:color="auto" w:sz="4" w:space="0"/>
              <w:bottom w:val="single" w:color="auto" w:sz="4" w:space="0"/>
              <w:right w:val="nil"/>
            </w:tcBorders>
          </w:tcPr>
          <w:p w14:paraId="2F96D42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0CF1501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62583FB2">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76AC8CAB">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6E9AF5F0">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476DE989">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52EFD91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7</w:t>
            </w:r>
          </w:p>
        </w:tc>
        <w:tc>
          <w:tcPr>
            <w:tcW w:w="843" w:type="pct"/>
            <w:tcBorders>
              <w:top w:val="nil"/>
              <w:left w:val="nil"/>
              <w:bottom w:val="single" w:color="auto" w:sz="4" w:space="0"/>
              <w:right w:val="single" w:color="auto" w:sz="4" w:space="0"/>
            </w:tcBorders>
          </w:tcPr>
          <w:p w14:paraId="41C1A67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29" w:type="pct"/>
            <w:tcBorders>
              <w:top w:val="nil"/>
              <w:left w:val="single" w:color="auto" w:sz="4" w:space="0"/>
              <w:bottom w:val="single" w:color="auto" w:sz="4" w:space="0"/>
              <w:right w:val="nil"/>
            </w:tcBorders>
          </w:tcPr>
          <w:p w14:paraId="0FC8025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19DC16C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4CA3A8B8">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51B8CD82">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5967115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6D3F9690">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4C22AA6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8</w:t>
            </w:r>
          </w:p>
        </w:tc>
        <w:tc>
          <w:tcPr>
            <w:tcW w:w="843" w:type="pct"/>
            <w:tcBorders>
              <w:top w:val="nil"/>
              <w:left w:val="nil"/>
              <w:bottom w:val="single" w:color="auto" w:sz="4" w:space="0"/>
              <w:right w:val="single" w:color="auto" w:sz="4" w:space="0"/>
            </w:tcBorders>
          </w:tcPr>
          <w:p w14:paraId="1FCB7F6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交底纪要</w:t>
            </w:r>
          </w:p>
        </w:tc>
        <w:tc>
          <w:tcPr>
            <w:tcW w:w="129" w:type="pct"/>
            <w:tcBorders>
              <w:top w:val="nil"/>
              <w:left w:val="single" w:color="auto" w:sz="4" w:space="0"/>
              <w:bottom w:val="single" w:color="auto" w:sz="4" w:space="0"/>
              <w:right w:val="nil"/>
            </w:tcBorders>
          </w:tcPr>
          <w:p w14:paraId="49B615ED">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7900FF7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3EC61DB2">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1FBEDD54">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169E5148">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15E2F30B">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54E2C53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9</w:t>
            </w:r>
          </w:p>
        </w:tc>
        <w:tc>
          <w:tcPr>
            <w:tcW w:w="843" w:type="pct"/>
            <w:tcBorders>
              <w:top w:val="nil"/>
              <w:left w:val="nil"/>
              <w:bottom w:val="single" w:color="auto" w:sz="4" w:space="0"/>
              <w:right w:val="single" w:color="auto" w:sz="4" w:space="0"/>
            </w:tcBorders>
          </w:tcPr>
          <w:p w14:paraId="6511D18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29" w:type="pct"/>
            <w:tcBorders>
              <w:top w:val="nil"/>
              <w:left w:val="single" w:color="auto" w:sz="4" w:space="0"/>
              <w:bottom w:val="single" w:color="auto" w:sz="4" w:space="0"/>
              <w:right w:val="nil"/>
            </w:tcBorders>
          </w:tcPr>
          <w:p w14:paraId="0D5364D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2A7FACA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45BE8DEB">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66CFF1B4">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3292D4F4">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12875583">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4A9E0C7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10</w:t>
            </w:r>
          </w:p>
        </w:tc>
        <w:tc>
          <w:tcPr>
            <w:tcW w:w="843" w:type="pct"/>
            <w:tcBorders>
              <w:top w:val="nil"/>
              <w:left w:val="nil"/>
              <w:bottom w:val="single" w:color="auto" w:sz="4" w:space="0"/>
              <w:right w:val="single" w:color="auto" w:sz="4" w:space="0"/>
            </w:tcBorders>
          </w:tcPr>
          <w:p w14:paraId="0D191AB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29" w:type="pct"/>
            <w:tcBorders>
              <w:top w:val="nil"/>
              <w:left w:val="single" w:color="auto" w:sz="4" w:space="0"/>
              <w:bottom w:val="single" w:color="auto" w:sz="4" w:space="0"/>
              <w:right w:val="nil"/>
            </w:tcBorders>
          </w:tcPr>
          <w:p w14:paraId="60D962C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35C1D96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4F5F75A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2CCC2474">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4D28D275">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39F36473">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3BF87D3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11</w:t>
            </w:r>
          </w:p>
        </w:tc>
        <w:tc>
          <w:tcPr>
            <w:tcW w:w="843" w:type="pct"/>
            <w:tcBorders>
              <w:top w:val="nil"/>
              <w:left w:val="nil"/>
              <w:bottom w:val="single" w:color="auto" w:sz="4" w:space="0"/>
              <w:right w:val="single" w:color="auto" w:sz="4" w:space="0"/>
            </w:tcBorders>
          </w:tcPr>
          <w:p w14:paraId="0FECF0AD">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认质认价单</w:t>
            </w:r>
          </w:p>
        </w:tc>
        <w:tc>
          <w:tcPr>
            <w:tcW w:w="129" w:type="pct"/>
            <w:tcBorders>
              <w:top w:val="nil"/>
              <w:left w:val="single" w:color="auto" w:sz="4" w:space="0"/>
              <w:bottom w:val="single" w:color="auto" w:sz="4" w:space="0"/>
              <w:right w:val="nil"/>
            </w:tcBorders>
          </w:tcPr>
          <w:p w14:paraId="0E35842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2D23FF0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7998325B">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0D94F46F">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2DD7E608">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0806F229">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419CCCD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12</w:t>
            </w:r>
          </w:p>
        </w:tc>
        <w:tc>
          <w:tcPr>
            <w:tcW w:w="843" w:type="pct"/>
            <w:tcBorders>
              <w:top w:val="nil"/>
              <w:left w:val="nil"/>
              <w:bottom w:val="single" w:color="auto" w:sz="4" w:space="0"/>
              <w:right w:val="single" w:color="auto" w:sz="4" w:space="0"/>
            </w:tcBorders>
          </w:tcPr>
          <w:p w14:paraId="10C3AE2D">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29" w:type="pct"/>
            <w:tcBorders>
              <w:top w:val="nil"/>
              <w:left w:val="single" w:color="auto" w:sz="4" w:space="0"/>
              <w:bottom w:val="single" w:color="auto" w:sz="4" w:space="0"/>
              <w:right w:val="nil"/>
            </w:tcBorders>
          </w:tcPr>
          <w:p w14:paraId="3D7E35D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5168A5F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11840A58">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2178D7C8">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7F166A8F">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0B6F7CA8">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5AD5EE0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13</w:t>
            </w:r>
          </w:p>
        </w:tc>
        <w:tc>
          <w:tcPr>
            <w:tcW w:w="843" w:type="pct"/>
            <w:tcBorders>
              <w:top w:val="nil"/>
              <w:left w:val="nil"/>
              <w:bottom w:val="single" w:color="auto" w:sz="4" w:space="0"/>
              <w:right w:val="single" w:color="auto" w:sz="4" w:space="0"/>
            </w:tcBorders>
          </w:tcPr>
          <w:p w14:paraId="2B54340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129" w:type="pct"/>
            <w:tcBorders>
              <w:top w:val="nil"/>
              <w:left w:val="single" w:color="auto" w:sz="4" w:space="0"/>
              <w:bottom w:val="single" w:color="auto" w:sz="4" w:space="0"/>
              <w:right w:val="nil"/>
            </w:tcBorders>
          </w:tcPr>
          <w:p w14:paraId="5C92DBD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5295C934">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53A132B0">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30821776">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6993B64F">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416FC95D">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3BBC6C3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14</w:t>
            </w:r>
          </w:p>
        </w:tc>
        <w:tc>
          <w:tcPr>
            <w:tcW w:w="843" w:type="pct"/>
            <w:tcBorders>
              <w:top w:val="nil"/>
              <w:left w:val="nil"/>
              <w:bottom w:val="single" w:color="auto" w:sz="4" w:space="0"/>
              <w:right w:val="single" w:color="auto" w:sz="4" w:space="0"/>
            </w:tcBorders>
          </w:tcPr>
          <w:p w14:paraId="3D569219">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129" w:type="pct"/>
            <w:tcBorders>
              <w:top w:val="nil"/>
              <w:left w:val="single" w:color="auto" w:sz="4" w:space="0"/>
              <w:bottom w:val="single" w:color="auto" w:sz="4" w:space="0"/>
              <w:right w:val="nil"/>
            </w:tcBorders>
          </w:tcPr>
          <w:p w14:paraId="4002FBEF">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6374E607">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066C5449">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484A0965">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750341FB">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74F1BA9E">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07C3932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15</w:t>
            </w:r>
          </w:p>
        </w:tc>
        <w:tc>
          <w:tcPr>
            <w:tcW w:w="843" w:type="pct"/>
            <w:tcBorders>
              <w:top w:val="nil"/>
              <w:left w:val="nil"/>
              <w:bottom w:val="single" w:color="auto" w:sz="4" w:space="0"/>
              <w:right w:val="single" w:color="auto" w:sz="4" w:space="0"/>
            </w:tcBorders>
          </w:tcPr>
          <w:p w14:paraId="1BA4AB8C">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129" w:type="pct"/>
            <w:tcBorders>
              <w:top w:val="nil"/>
              <w:left w:val="single" w:color="auto" w:sz="4" w:space="0"/>
              <w:bottom w:val="single" w:color="auto" w:sz="4" w:space="0"/>
              <w:right w:val="nil"/>
            </w:tcBorders>
          </w:tcPr>
          <w:p w14:paraId="2024D5DF">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72478177">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445399A3">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72BEF10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3C800092">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469F679C">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5DECF3A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16</w:t>
            </w:r>
          </w:p>
        </w:tc>
        <w:tc>
          <w:tcPr>
            <w:tcW w:w="843" w:type="pct"/>
            <w:tcBorders>
              <w:top w:val="nil"/>
              <w:left w:val="nil"/>
              <w:bottom w:val="single" w:color="auto" w:sz="4" w:space="0"/>
              <w:right w:val="single" w:color="auto" w:sz="4" w:space="0"/>
            </w:tcBorders>
          </w:tcPr>
          <w:p w14:paraId="300983DD">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129" w:type="pct"/>
            <w:tcBorders>
              <w:top w:val="nil"/>
              <w:left w:val="single" w:color="auto" w:sz="4" w:space="0"/>
              <w:bottom w:val="single" w:color="auto" w:sz="4" w:space="0"/>
              <w:right w:val="nil"/>
            </w:tcBorders>
          </w:tcPr>
          <w:p w14:paraId="122847AC">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3C02F119">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5178D618">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5F45284B">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64908C5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4A706CB4">
        <w:tblPrEx>
          <w:tblCellMar>
            <w:top w:w="0" w:type="dxa"/>
            <w:left w:w="108" w:type="dxa"/>
            <w:bottom w:w="0" w:type="dxa"/>
            <w:right w:w="108" w:type="dxa"/>
          </w:tblCellMar>
        </w:tblPrEx>
        <w:trPr>
          <w:trHeight w:val="270" w:hRule="atLeast"/>
        </w:trPr>
        <w:tc>
          <w:tcPr>
            <w:tcW w:w="539" w:type="pct"/>
            <w:tcBorders>
              <w:top w:val="nil"/>
              <w:left w:val="single" w:color="auto" w:sz="4" w:space="0"/>
              <w:bottom w:val="single" w:color="auto" w:sz="4" w:space="0"/>
              <w:right w:val="single" w:color="auto" w:sz="4" w:space="0"/>
            </w:tcBorders>
            <w:shd w:val="clear" w:color="auto" w:fill="auto"/>
            <w:noWrap/>
            <w:vAlign w:val="center"/>
          </w:tcPr>
          <w:p w14:paraId="6C901E8D">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17</w:t>
            </w:r>
          </w:p>
        </w:tc>
        <w:tc>
          <w:tcPr>
            <w:tcW w:w="843" w:type="pct"/>
            <w:tcBorders>
              <w:top w:val="nil"/>
              <w:left w:val="nil"/>
              <w:bottom w:val="single" w:color="auto" w:sz="4" w:space="0"/>
              <w:right w:val="single" w:color="auto" w:sz="4" w:space="0"/>
            </w:tcBorders>
          </w:tcPr>
          <w:p w14:paraId="0D69DB7C">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129" w:type="pct"/>
            <w:tcBorders>
              <w:top w:val="nil"/>
              <w:left w:val="single" w:color="auto" w:sz="4" w:space="0"/>
              <w:bottom w:val="single" w:color="auto" w:sz="4" w:space="0"/>
              <w:right w:val="nil"/>
            </w:tcBorders>
          </w:tcPr>
          <w:p w14:paraId="4D991AE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777" w:type="pct"/>
            <w:tcBorders>
              <w:top w:val="nil"/>
              <w:left w:val="nil"/>
              <w:bottom w:val="single" w:color="auto" w:sz="4" w:space="0"/>
              <w:right w:val="single" w:color="auto" w:sz="4" w:space="0"/>
            </w:tcBorders>
            <w:shd w:val="clear" w:color="auto" w:fill="auto"/>
            <w:noWrap/>
            <w:vAlign w:val="center"/>
          </w:tcPr>
          <w:p w14:paraId="21627F5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1813" w:type="pct"/>
            <w:tcBorders>
              <w:top w:val="nil"/>
              <w:left w:val="nil"/>
              <w:bottom w:val="single" w:color="auto" w:sz="4" w:space="0"/>
              <w:right w:val="single" w:color="auto" w:sz="4" w:space="0"/>
            </w:tcBorders>
          </w:tcPr>
          <w:p w14:paraId="723C327D">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262" w:type="pct"/>
            <w:tcBorders>
              <w:top w:val="nil"/>
              <w:left w:val="single" w:color="auto" w:sz="4" w:space="0"/>
              <w:bottom w:val="single" w:color="auto" w:sz="4" w:space="0"/>
              <w:right w:val="nil"/>
            </w:tcBorders>
          </w:tcPr>
          <w:p w14:paraId="1EDB7C5D">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637" w:type="pct"/>
            <w:tcBorders>
              <w:top w:val="nil"/>
              <w:left w:val="nil"/>
              <w:bottom w:val="single" w:color="auto" w:sz="4" w:space="0"/>
              <w:right w:val="single" w:color="auto" w:sz="4" w:space="0"/>
            </w:tcBorders>
            <w:shd w:val="clear" w:color="auto" w:fill="auto"/>
            <w:noWrap/>
            <w:vAlign w:val="center"/>
          </w:tcPr>
          <w:p w14:paraId="55C88BC2">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bl>
    <w:p w14:paraId="0A8202C0">
      <w:pPr>
        <w:spacing w:line="360" w:lineRule="auto"/>
        <w:ind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备注：此表中包括交底纪要、工程设计变更单、现场工程签证单、材料认质认价单及综合单价认价单。</w:t>
      </w:r>
    </w:p>
    <w:p w14:paraId="20CFA39A">
      <w:pPr>
        <w:ind w:firstLine="480"/>
        <w:outlineLvl w:val="9"/>
        <w:rPr>
          <w:rFonts w:cs="宋体" w:asciiTheme="minorEastAsia" w:hAnsiTheme="minorEastAsia" w:eastAsiaTheme="minorEastAsia"/>
          <w:color w:val="auto"/>
          <w:szCs w:val="21"/>
          <w:highlight w:val="none"/>
        </w:rPr>
        <w:sectPr>
          <w:pgSz w:w="11906" w:h="16838"/>
          <w:pgMar w:top="2098" w:right="1474" w:bottom="1984" w:left="1587" w:header="851" w:footer="992" w:gutter="0"/>
          <w:pgBorders>
            <w:top w:val="none" w:sz="0" w:space="0"/>
            <w:left w:val="none" w:sz="0" w:space="0"/>
            <w:bottom w:val="none" w:sz="0" w:space="0"/>
            <w:right w:val="none" w:sz="0" w:space="0"/>
          </w:pgBorders>
          <w:cols w:space="720" w:num="1"/>
          <w:docGrid w:type="lines" w:linePitch="312" w:charSpace="0"/>
        </w:sectPr>
      </w:pPr>
    </w:p>
    <w:p w14:paraId="43A770A7">
      <w:pP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附表五</w:t>
      </w:r>
    </w:p>
    <w:tbl>
      <w:tblPr>
        <w:tblStyle w:val="56"/>
        <w:tblW w:w="5000" w:type="pct"/>
        <w:tblInd w:w="0" w:type="dxa"/>
        <w:tblLayout w:type="autofit"/>
        <w:tblCellMar>
          <w:top w:w="0" w:type="dxa"/>
          <w:left w:w="108" w:type="dxa"/>
          <w:bottom w:w="0" w:type="dxa"/>
          <w:right w:w="108" w:type="dxa"/>
        </w:tblCellMar>
      </w:tblPr>
      <w:tblGrid>
        <w:gridCol w:w="1691"/>
        <w:gridCol w:w="5679"/>
        <w:gridCol w:w="1691"/>
      </w:tblGrid>
      <w:tr w14:paraId="0C7A8BC0">
        <w:tblPrEx>
          <w:tblCellMar>
            <w:top w:w="0" w:type="dxa"/>
            <w:left w:w="108" w:type="dxa"/>
            <w:bottom w:w="0" w:type="dxa"/>
            <w:right w:w="108" w:type="dxa"/>
          </w:tblCellMar>
        </w:tblPrEx>
        <w:trPr>
          <w:trHeight w:val="870" w:hRule="atLeast"/>
        </w:trPr>
        <w:tc>
          <w:tcPr>
            <w:tcW w:w="5000" w:type="pct"/>
            <w:gridSpan w:val="3"/>
            <w:tcBorders>
              <w:top w:val="nil"/>
              <w:left w:val="nil"/>
              <w:bottom w:val="single" w:color="auto" w:sz="4" w:space="0"/>
              <w:right w:val="nil"/>
            </w:tcBorders>
            <w:shd w:val="clear" w:color="auto" w:fill="auto"/>
            <w:noWrap/>
            <w:vAlign w:val="center"/>
          </w:tcPr>
          <w:p w14:paraId="2BAF4C23">
            <w:pPr>
              <w:keepNext w:val="0"/>
              <w:keepLines w:val="0"/>
              <w:suppressLineNumbers w:val="0"/>
              <w:spacing w:before="0" w:beforeAutospacing="0" w:after="0" w:afterAutospacing="0"/>
              <w:ind w:left="0" w:right="0" w:firstLine="64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**工程结算汇总表</w:t>
            </w:r>
          </w:p>
        </w:tc>
      </w:tr>
      <w:tr w14:paraId="045E9B82">
        <w:tblPrEx>
          <w:tblCellMar>
            <w:top w:w="0" w:type="dxa"/>
            <w:left w:w="108" w:type="dxa"/>
            <w:bottom w:w="0" w:type="dxa"/>
            <w:right w:w="108" w:type="dxa"/>
          </w:tblCellMar>
        </w:tblPrEx>
        <w:trPr>
          <w:trHeight w:val="270" w:hRule="atLeast"/>
        </w:trPr>
        <w:tc>
          <w:tcPr>
            <w:tcW w:w="933" w:type="pct"/>
            <w:tcBorders>
              <w:top w:val="nil"/>
              <w:left w:val="single" w:color="auto" w:sz="4" w:space="0"/>
              <w:bottom w:val="single" w:color="auto" w:sz="4" w:space="0"/>
              <w:right w:val="single" w:color="auto" w:sz="4" w:space="0"/>
            </w:tcBorders>
            <w:shd w:val="clear" w:color="auto" w:fill="auto"/>
            <w:noWrap/>
            <w:vAlign w:val="center"/>
          </w:tcPr>
          <w:p w14:paraId="246A1A1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3134" w:type="pct"/>
            <w:tcBorders>
              <w:top w:val="nil"/>
              <w:left w:val="nil"/>
              <w:bottom w:val="single" w:color="auto" w:sz="4" w:space="0"/>
              <w:right w:val="single" w:color="auto" w:sz="4" w:space="0"/>
            </w:tcBorders>
            <w:shd w:val="clear" w:color="auto" w:fill="auto"/>
            <w:noWrap/>
            <w:vAlign w:val="center"/>
          </w:tcPr>
          <w:p w14:paraId="7D7DE855">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结算金额（元）</w:t>
            </w:r>
          </w:p>
        </w:tc>
        <w:tc>
          <w:tcPr>
            <w:tcW w:w="933" w:type="pct"/>
            <w:tcBorders>
              <w:top w:val="nil"/>
              <w:left w:val="nil"/>
              <w:bottom w:val="single" w:color="auto" w:sz="4" w:space="0"/>
              <w:right w:val="single" w:color="auto" w:sz="4" w:space="0"/>
            </w:tcBorders>
            <w:shd w:val="clear" w:color="auto" w:fill="auto"/>
            <w:noWrap/>
            <w:vAlign w:val="center"/>
          </w:tcPr>
          <w:p w14:paraId="4AC7FBB8">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备注</w:t>
            </w:r>
          </w:p>
        </w:tc>
      </w:tr>
      <w:tr w14:paraId="7BBDBEBB">
        <w:tblPrEx>
          <w:tblCellMar>
            <w:top w:w="0" w:type="dxa"/>
            <w:left w:w="108" w:type="dxa"/>
            <w:bottom w:w="0" w:type="dxa"/>
            <w:right w:w="108" w:type="dxa"/>
          </w:tblCellMar>
        </w:tblPrEx>
        <w:trPr>
          <w:trHeight w:val="270" w:hRule="atLeast"/>
        </w:trPr>
        <w:tc>
          <w:tcPr>
            <w:tcW w:w="933" w:type="pct"/>
            <w:tcBorders>
              <w:top w:val="nil"/>
              <w:left w:val="single" w:color="auto" w:sz="4" w:space="0"/>
              <w:bottom w:val="single" w:color="auto" w:sz="4" w:space="0"/>
              <w:right w:val="single" w:color="auto" w:sz="4" w:space="0"/>
            </w:tcBorders>
            <w:shd w:val="clear" w:color="auto" w:fill="auto"/>
            <w:noWrap/>
            <w:vAlign w:val="center"/>
          </w:tcPr>
          <w:p w14:paraId="6A705AC1">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1#楼</w:t>
            </w:r>
          </w:p>
        </w:tc>
        <w:tc>
          <w:tcPr>
            <w:tcW w:w="3134" w:type="pct"/>
            <w:tcBorders>
              <w:top w:val="nil"/>
              <w:left w:val="nil"/>
              <w:bottom w:val="single" w:color="auto" w:sz="4" w:space="0"/>
              <w:right w:val="single" w:color="auto" w:sz="4" w:space="0"/>
            </w:tcBorders>
            <w:shd w:val="clear" w:color="auto" w:fill="auto"/>
            <w:noWrap/>
            <w:vAlign w:val="center"/>
          </w:tcPr>
          <w:p w14:paraId="1049B82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933" w:type="pct"/>
            <w:tcBorders>
              <w:top w:val="nil"/>
              <w:left w:val="nil"/>
              <w:bottom w:val="single" w:color="auto" w:sz="4" w:space="0"/>
              <w:right w:val="single" w:color="auto" w:sz="4" w:space="0"/>
            </w:tcBorders>
            <w:shd w:val="clear" w:color="auto" w:fill="auto"/>
            <w:noWrap/>
            <w:vAlign w:val="center"/>
          </w:tcPr>
          <w:p w14:paraId="6419497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3A03E6A1">
        <w:tblPrEx>
          <w:tblCellMar>
            <w:top w:w="0" w:type="dxa"/>
            <w:left w:w="108" w:type="dxa"/>
            <w:bottom w:w="0" w:type="dxa"/>
            <w:right w:w="108" w:type="dxa"/>
          </w:tblCellMar>
        </w:tblPrEx>
        <w:trPr>
          <w:trHeight w:val="270" w:hRule="atLeast"/>
        </w:trPr>
        <w:tc>
          <w:tcPr>
            <w:tcW w:w="933" w:type="pct"/>
            <w:tcBorders>
              <w:top w:val="nil"/>
              <w:left w:val="single" w:color="auto" w:sz="4" w:space="0"/>
              <w:bottom w:val="single" w:color="auto" w:sz="4" w:space="0"/>
              <w:right w:val="single" w:color="auto" w:sz="4" w:space="0"/>
            </w:tcBorders>
            <w:shd w:val="clear" w:color="auto" w:fill="auto"/>
            <w:noWrap/>
            <w:vAlign w:val="center"/>
          </w:tcPr>
          <w:p w14:paraId="70EE1FB8">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2#楼</w:t>
            </w:r>
          </w:p>
        </w:tc>
        <w:tc>
          <w:tcPr>
            <w:tcW w:w="3134" w:type="pct"/>
            <w:tcBorders>
              <w:top w:val="nil"/>
              <w:left w:val="nil"/>
              <w:bottom w:val="single" w:color="auto" w:sz="4" w:space="0"/>
              <w:right w:val="single" w:color="auto" w:sz="4" w:space="0"/>
            </w:tcBorders>
            <w:shd w:val="clear" w:color="auto" w:fill="auto"/>
            <w:noWrap/>
            <w:vAlign w:val="center"/>
          </w:tcPr>
          <w:p w14:paraId="5F8D408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933" w:type="pct"/>
            <w:tcBorders>
              <w:top w:val="nil"/>
              <w:left w:val="nil"/>
              <w:bottom w:val="single" w:color="auto" w:sz="4" w:space="0"/>
              <w:right w:val="single" w:color="auto" w:sz="4" w:space="0"/>
            </w:tcBorders>
            <w:shd w:val="clear" w:color="auto" w:fill="auto"/>
            <w:noWrap/>
            <w:vAlign w:val="center"/>
          </w:tcPr>
          <w:p w14:paraId="0E3FCF5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2B652F4D">
        <w:tblPrEx>
          <w:tblCellMar>
            <w:top w:w="0" w:type="dxa"/>
            <w:left w:w="108" w:type="dxa"/>
            <w:bottom w:w="0" w:type="dxa"/>
            <w:right w:w="108" w:type="dxa"/>
          </w:tblCellMar>
        </w:tblPrEx>
        <w:trPr>
          <w:trHeight w:val="270" w:hRule="atLeast"/>
        </w:trPr>
        <w:tc>
          <w:tcPr>
            <w:tcW w:w="933" w:type="pct"/>
            <w:tcBorders>
              <w:top w:val="nil"/>
              <w:left w:val="single" w:color="auto" w:sz="4" w:space="0"/>
              <w:bottom w:val="single" w:color="auto" w:sz="4" w:space="0"/>
              <w:right w:val="single" w:color="auto" w:sz="4" w:space="0"/>
            </w:tcBorders>
            <w:shd w:val="clear" w:color="auto" w:fill="auto"/>
            <w:noWrap/>
            <w:vAlign w:val="center"/>
          </w:tcPr>
          <w:p w14:paraId="2D3698AB">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3#楼</w:t>
            </w:r>
          </w:p>
        </w:tc>
        <w:tc>
          <w:tcPr>
            <w:tcW w:w="3134" w:type="pct"/>
            <w:tcBorders>
              <w:top w:val="nil"/>
              <w:left w:val="nil"/>
              <w:bottom w:val="single" w:color="auto" w:sz="4" w:space="0"/>
              <w:right w:val="single" w:color="auto" w:sz="4" w:space="0"/>
            </w:tcBorders>
            <w:shd w:val="clear" w:color="auto" w:fill="auto"/>
            <w:noWrap/>
            <w:vAlign w:val="center"/>
          </w:tcPr>
          <w:p w14:paraId="18152CC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933" w:type="pct"/>
            <w:tcBorders>
              <w:top w:val="nil"/>
              <w:left w:val="nil"/>
              <w:bottom w:val="single" w:color="auto" w:sz="4" w:space="0"/>
              <w:right w:val="single" w:color="auto" w:sz="4" w:space="0"/>
            </w:tcBorders>
            <w:shd w:val="clear" w:color="auto" w:fill="auto"/>
            <w:noWrap/>
            <w:vAlign w:val="center"/>
          </w:tcPr>
          <w:p w14:paraId="27607F1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56FAE341">
        <w:tblPrEx>
          <w:tblCellMar>
            <w:top w:w="0" w:type="dxa"/>
            <w:left w:w="108" w:type="dxa"/>
            <w:bottom w:w="0" w:type="dxa"/>
            <w:right w:w="108" w:type="dxa"/>
          </w:tblCellMar>
        </w:tblPrEx>
        <w:trPr>
          <w:trHeight w:val="270" w:hRule="atLeast"/>
        </w:trPr>
        <w:tc>
          <w:tcPr>
            <w:tcW w:w="933" w:type="pct"/>
            <w:tcBorders>
              <w:top w:val="nil"/>
              <w:left w:val="single" w:color="auto" w:sz="4" w:space="0"/>
              <w:bottom w:val="single" w:color="auto" w:sz="4" w:space="0"/>
              <w:right w:val="single" w:color="auto" w:sz="4" w:space="0"/>
            </w:tcBorders>
            <w:shd w:val="clear" w:color="auto" w:fill="auto"/>
            <w:noWrap/>
            <w:vAlign w:val="center"/>
          </w:tcPr>
          <w:p w14:paraId="5614D100">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4#楼</w:t>
            </w:r>
          </w:p>
        </w:tc>
        <w:tc>
          <w:tcPr>
            <w:tcW w:w="3134" w:type="pct"/>
            <w:tcBorders>
              <w:top w:val="nil"/>
              <w:left w:val="nil"/>
              <w:bottom w:val="single" w:color="auto" w:sz="4" w:space="0"/>
              <w:right w:val="single" w:color="auto" w:sz="4" w:space="0"/>
            </w:tcBorders>
            <w:shd w:val="clear" w:color="auto" w:fill="auto"/>
            <w:noWrap/>
            <w:vAlign w:val="center"/>
          </w:tcPr>
          <w:p w14:paraId="3199DB0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933" w:type="pct"/>
            <w:tcBorders>
              <w:top w:val="nil"/>
              <w:left w:val="nil"/>
              <w:bottom w:val="single" w:color="auto" w:sz="4" w:space="0"/>
              <w:right w:val="single" w:color="auto" w:sz="4" w:space="0"/>
            </w:tcBorders>
            <w:shd w:val="clear" w:color="auto" w:fill="auto"/>
            <w:noWrap/>
            <w:vAlign w:val="center"/>
          </w:tcPr>
          <w:p w14:paraId="1FAFC57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2DAF193E">
        <w:tblPrEx>
          <w:tblCellMar>
            <w:top w:w="0" w:type="dxa"/>
            <w:left w:w="108" w:type="dxa"/>
            <w:bottom w:w="0" w:type="dxa"/>
            <w:right w:w="108" w:type="dxa"/>
          </w:tblCellMar>
        </w:tblPrEx>
        <w:trPr>
          <w:trHeight w:val="270" w:hRule="atLeast"/>
        </w:trPr>
        <w:tc>
          <w:tcPr>
            <w:tcW w:w="933" w:type="pct"/>
            <w:tcBorders>
              <w:top w:val="nil"/>
              <w:left w:val="single" w:color="auto" w:sz="4" w:space="0"/>
              <w:bottom w:val="single" w:color="auto" w:sz="4" w:space="0"/>
              <w:right w:val="single" w:color="auto" w:sz="4" w:space="0"/>
            </w:tcBorders>
            <w:shd w:val="clear" w:color="auto" w:fill="auto"/>
            <w:noWrap/>
            <w:vAlign w:val="center"/>
          </w:tcPr>
          <w:p w14:paraId="12D3F2C2">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w:t>
            </w:r>
          </w:p>
        </w:tc>
        <w:tc>
          <w:tcPr>
            <w:tcW w:w="3134" w:type="pct"/>
            <w:tcBorders>
              <w:top w:val="nil"/>
              <w:left w:val="nil"/>
              <w:bottom w:val="single" w:color="auto" w:sz="4" w:space="0"/>
              <w:right w:val="single" w:color="auto" w:sz="4" w:space="0"/>
            </w:tcBorders>
            <w:shd w:val="clear" w:color="auto" w:fill="auto"/>
            <w:noWrap/>
            <w:vAlign w:val="center"/>
          </w:tcPr>
          <w:p w14:paraId="4090FEC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933" w:type="pct"/>
            <w:tcBorders>
              <w:top w:val="nil"/>
              <w:left w:val="nil"/>
              <w:bottom w:val="single" w:color="auto" w:sz="4" w:space="0"/>
              <w:right w:val="single" w:color="auto" w:sz="4" w:space="0"/>
            </w:tcBorders>
            <w:shd w:val="clear" w:color="auto" w:fill="auto"/>
            <w:noWrap/>
            <w:vAlign w:val="center"/>
          </w:tcPr>
          <w:p w14:paraId="44A3DAF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383F7FAE">
        <w:tblPrEx>
          <w:tblCellMar>
            <w:top w:w="0" w:type="dxa"/>
            <w:left w:w="108" w:type="dxa"/>
            <w:bottom w:w="0" w:type="dxa"/>
            <w:right w:w="108" w:type="dxa"/>
          </w:tblCellMar>
        </w:tblPrEx>
        <w:trPr>
          <w:trHeight w:val="435" w:hRule="atLeast"/>
        </w:trPr>
        <w:tc>
          <w:tcPr>
            <w:tcW w:w="933" w:type="pct"/>
            <w:tcBorders>
              <w:top w:val="nil"/>
              <w:left w:val="single" w:color="auto" w:sz="4" w:space="0"/>
              <w:bottom w:val="single" w:color="auto" w:sz="4" w:space="0"/>
              <w:right w:val="single" w:color="auto" w:sz="4" w:space="0"/>
            </w:tcBorders>
            <w:shd w:val="clear" w:color="auto" w:fill="auto"/>
            <w:noWrap/>
            <w:vAlign w:val="center"/>
          </w:tcPr>
          <w:p w14:paraId="311330CB">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合计</w:t>
            </w:r>
          </w:p>
        </w:tc>
        <w:tc>
          <w:tcPr>
            <w:tcW w:w="3134" w:type="pct"/>
            <w:tcBorders>
              <w:top w:val="nil"/>
              <w:left w:val="nil"/>
              <w:bottom w:val="single" w:color="auto" w:sz="4" w:space="0"/>
              <w:right w:val="single" w:color="auto" w:sz="4" w:space="0"/>
            </w:tcBorders>
            <w:shd w:val="clear" w:color="auto" w:fill="auto"/>
            <w:noWrap/>
            <w:vAlign w:val="center"/>
          </w:tcPr>
          <w:p w14:paraId="031B979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933" w:type="pct"/>
            <w:tcBorders>
              <w:top w:val="nil"/>
              <w:left w:val="nil"/>
              <w:bottom w:val="single" w:color="auto" w:sz="4" w:space="0"/>
              <w:right w:val="single" w:color="auto" w:sz="4" w:space="0"/>
            </w:tcBorders>
            <w:shd w:val="clear" w:color="auto" w:fill="auto"/>
            <w:noWrap/>
            <w:vAlign w:val="center"/>
          </w:tcPr>
          <w:p w14:paraId="20EBF57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bl>
    <w:p w14:paraId="02A9DD8D">
      <w:pPr>
        <w:ind w:firstLine="480"/>
        <w:outlineLvl w:val="9"/>
        <w:rPr>
          <w:rFonts w:cs="宋体" w:asciiTheme="minorEastAsia" w:hAnsiTheme="minorEastAsia" w:eastAsiaTheme="minorEastAsia"/>
          <w:color w:val="auto"/>
          <w:szCs w:val="21"/>
          <w:highlight w:val="none"/>
        </w:rPr>
      </w:pPr>
    </w:p>
    <w:p w14:paraId="0A0AC054">
      <w:pPr>
        <w:ind w:firstLine="480"/>
        <w:outlineLvl w:val="9"/>
        <w:rPr>
          <w:rFonts w:hint="eastAsia" w:cs="宋体" w:asciiTheme="minorEastAsia" w:hAnsiTheme="minorEastAsia" w:eastAsiaTheme="minorEastAsia"/>
          <w:color w:val="auto"/>
          <w:szCs w:val="21"/>
          <w:highlight w:val="none"/>
        </w:rPr>
        <w:sectPr>
          <w:pgSz w:w="11906" w:h="16838"/>
          <w:pgMar w:top="2098" w:right="1474" w:bottom="1984" w:left="1587" w:header="851" w:footer="992" w:gutter="0"/>
          <w:pgBorders>
            <w:top w:val="none" w:sz="0" w:space="0"/>
            <w:left w:val="none" w:sz="0" w:space="0"/>
            <w:bottom w:val="none" w:sz="0" w:space="0"/>
            <w:right w:val="none" w:sz="0" w:space="0"/>
          </w:pgBorders>
          <w:cols w:space="720" w:num="1"/>
          <w:docGrid w:type="lines" w:linePitch="312" w:charSpace="0"/>
        </w:sectPr>
      </w:pPr>
    </w:p>
    <w:p w14:paraId="73AB44AA">
      <w:pPr>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附表六</w:t>
      </w:r>
    </w:p>
    <w:tbl>
      <w:tblPr>
        <w:tblStyle w:val="56"/>
        <w:tblW w:w="4150" w:type="pct"/>
        <w:tblInd w:w="-34" w:type="dxa"/>
        <w:tblLayout w:type="fixed"/>
        <w:tblCellMar>
          <w:top w:w="0" w:type="dxa"/>
          <w:left w:w="108" w:type="dxa"/>
          <w:bottom w:w="0" w:type="dxa"/>
          <w:right w:w="108" w:type="dxa"/>
        </w:tblCellMar>
      </w:tblPr>
      <w:tblGrid>
        <w:gridCol w:w="927"/>
        <w:gridCol w:w="734"/>
        <w:gridCol w:w="957"/>
        <w:gridCol w:w="774"/>
        <w:gridCol w:w="831"/>
        <w:gridCol w:w="775"/>
        <w:gridCol w:w="858"/>
        <w:gridCol w:w="731"/>
        <w:gridCol w:w="936"/>
      </w:tblGrid>
      <w:tr w14:paraId="11C0C70F">
        <w:tblPrEx>
          <w:tblCellMar>
            <w:top w:w="0" w:type="dxa"/>
            <w:left w:w="108" w:type="dxa"/>
            <w:bottom w:w="0" w:type="dxa"/>
            <w:right w:w="108" w:type="dxa"/>
          </w:tblCellMar>
        </w:tblPrEx>
        <w:trPr>
          <w:trHeight w:val="570" w:hRule="atLeast"/>
        </w:trPr>
        <w:tc>
          <w:tcPr>
            <w:tcW w:w="5000" w:type="pct"/>
            <w:gridSpan w:val="9"/>
            <w:tcBorders>
              <w:top w:val="nil"/>
              <w:left w:val="nil"/>
              <w:bottom w:val="single" w:color="auto" w:sz="4" w:space="0"/>
              <w:right w:val="nil"/>
            </w:tcBorders>
            <w:shd w:val="clear" w:color="auto" w:fill="auto"/>
            <w:noWrap/>
            <w:vAlign w:val="center"/>
          </w:tcPr>
          <w:p w14:paraId="0F293CA6">
            <w:pPr>
              <w:keepNext w:val="0"/>
              <w:keepLines w:val="0"/>
              <w:suppressLineNumbers w:val="0"/>
              <w:spacing w:before="0" w:beforeAutospacing="0" w:after="0" w:afterAutospacing="0"/>
              <w:ind w:left="0" w:right="10" w:firstLine="64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**工程单项工程结算汇总表</w:t>
            </w:r>
          </w:p>
        </w:tc>
      </w:tr>
      <w:tr w14:paraId="3CE71826">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18D91291">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项目</w:t>
            </w:r>
          </w:p>
        </w:tc>
        <w:tc>
          <w:tcPr>
            <w:tcW w:w="488" w:type="pct"/>
            <w:tcBorders>
              <w:top w:val="nil"/>
              <w:left w:val="nil"/>
              <w:bottom w:val="single" w:color="auto" w:sz="4" w:space="0"/>
              <w:right w:val="single" w:color="auto" w:sz="4" w:space="0"/>
            </w:tcBorders>
            <w:shd w:val="clear" w:color="auto" w:fill="auto"/>
            <w:noWrap/>
            <w:vAlign w:val="center"/>
          </w:tcPr>
          <w:p w14:paraId="28974BF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中标价</w:t>
            </w:r>
          </w:p>
          <w:p w14:paraId="43414E33">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（元）</w:t>
            </w:r>
          </w:p>
        </w:tc>
        <w:tc>
          <w:tcPr>
            <w:tcW w:w="636" w:type="pct"/>
            <w:tcBorders>
              <w:top w:val="nil"/>
              <w:left w:val="nil"/>
              <w:bottom w:val="single" w:color="auto" w:sz="4" w:space="0"/>
              <w:right w:val="single" w:color="auto" w:sz="4" w:space="0"/>
            </w:tcBorders>
            <w:shd w:val="clear" w:color="auto" w:fill="auto"/>
            <w:noWrap/>
            <w:vAlign w:val="center"/>
          </w:tcPr>
          <w:p w14:paraId="67DB33A7">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量差</w:t>
            </w:r>
          </w:p>
          <w:p w14:paraId="69B57ACB">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（元）</w:t>
            </w:r>
          </w:p>
        </w:tc>
        <w:tc>
          <w:tcPr>
            <w:tcW w:w="514" w:type="pct"/>
            <w:tcBorders>
              <w:top w:val="nil"/>
              <w:left w:val="nil"/>
              <w:bottom w:val="single" w:color="auto" w:sz="4" w:space="0"/>
              <w:right w:val="single" w:color="auto" w:sz="4" w:space="0"/>
            </w:tcBorders>
            <w:shd w:val="clear" w:color="auto" w:fill="auto"/>
            <w:noWrap/>
            <w:vAlign w:val="center"/>
          </w:tcPr>
          <w:p w14:paraId="4B517C3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清单漏项</w:t>
            </w:r>
          </w:p>
          <w:p w14:paraId="1496B09C">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（元）</w:t>
            </w:r>
          </w:p>
        </w:tc>
        <w:tc>
          <w:tcPr>
            <w:tcW w:w="552" w:type="pct"/>
            <w:tcBorders>
              <w:top w:val="nil"/>
              <w:left w:val="nil"/>
              <w:bottom w:val="single" w:color="auto" w:sz="4" w:space="0"/>
              <w:right w:val="single" w:color="auto" w:sz="4" w:space="0"/>
            </w:tcBorders>
            <w:shd w:val="clear" w:color="auto" w:fill="auto"/>
            <w:noWrap/>
            <w:vAlign w:val="center"/>
          </w:tcPr>
          <w:p w14:paraId="2F92D06F">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工程变更</w:t>
            </w:r>
          </w:p>
          <w:p w14:paraId="3B2776AB">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（元）</w:t>
            </w:r>
          </w:p>
        </w:tc>
        <w:tc>
          <w:tcPr>
            <w:tcW w:w="515" w:type="pct"/>
            <w:tcBorders>
              <w:top w:val="nil"/>
              <w:left w:val="nil"/>
              <w:bottom w:val="single" w:color="auto" w:sz="4" w:space="0"/>
              <w:right w:val="single" w:color="auto" w:sz="4" w:space="0"/>
            </w:tcBorders>
            <w:shd w:val="clear" w:color="auto" w:fill="auto"/>
            <w:noWrap/>
            <w:vAlign w:val="center"/>
          </w:tcPr>
          <w:p w14:paraId="7B39F2A4">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工程签证</w:t>
            </w:r>
          </w:p>
          <w:p w14:paraId="221E3CEF">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（元）</w:t>
            </w:r>
          </w:p>
        </w:tc>
        <w:tc>
          <w:tcPr>
            <w:tcW w:w="570" w:type="pct"/>
            <w:tcBorders>
              <w:top w:val="nil"/>
              <w:left w:val="nil"/>
              <w:bottom w:val="single" w:color="auto" w:sz="4" w:space="0"/>
              <w:right w:val="single" w:color="auto" w:sz="4" w:space="0"/>
            </w:tcBorders>
            <w:shd w:val="clear" w:color="auto" w:fill="auto"/>
            <w:noWrap/>
            <w:vAlign w:val="center"/>
          </w:tcPr>
          <w:p w14:paraId="60AE595A">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w:t>
            </w:r>
          </w:p>
        </w:tc>
        <w:tc>
          <w:tcPr>
            <w:tcW w:w="486" w:type="pct"/>
            <w:tcBorders>
              <w:top w:val="nil"/>
              <w:left w:val="nil"/>
              <w:bottom w:val="single" w:color="auto" w:sz="4" w:space="0"/>
              <w:right w:val="single" w:color="auto" w:sz="4" w:space="0"/>
            </w:tcBorders>
            <w:shd w:val="clear" w:color="auto" w:fill="auto"/>
            <w:noWrap/>
            <w:vAlign w:val="center"/>
          </w:tcPr>
          <w:p w14:paraId="52BF517A">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w:t>
            </w:r>
          </w:p>
        </w:tc>
        <w:tc>
          <w:tcPr>
            <w:tcW w:w="618" w:type="pct"/>
            <w:tcBorders>
              <w:top w:val="nil"/>
              <w:left w:val="nil"/>
              <w:bottom w:val="single" w:color="auto" w:sz="4" w:space="0"/>
              <w:right w:val="single" w:color="auto" w:sz="4" w:space="0"/>
            </w:tcBorders>
            <w:shd w:val="clear" w:color="auto" w:fill="auto"/>
            <w:noWrap/>
            <w:vAlign w:val="center"/>
          </w:tcPr>
          <w:p w14:paraId="234EBAB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合计</w:t>
            </w:r>
          </w:p>
          <w:p w14:paraId="4A91100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（元）</w:t>
            </w:r>
          </w:p>
        </w:tc>
      </w:tr>
      <w:tr w14:paraId="3EA05045">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5067B11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1#楼土建</w:t>
            </w:r>
          </w:p>
        </w:tc>
        <w:tc>
          <w:tcPr>
            <w:tcW w:w="488" w:type="pct"/>
            <w:tcBorders>
              <w:top w:val="nil"/>
              <w:left w:val="nil"/>
              <w:bottom w:val="single" w:color="auto" w:sz="4" w:space="0"/>
              <w:right w:val="single" w:color="auto" w:sz="4" w:space="0"/>
            </w:tcBorders>
            <w:shd w:val="clear" w:color="auto" w:fill="auto"/>
            <w:noWrap/>
            <w:vAlign w:val="center"/>
          </w:tcPr>
          <w:p w14:paraId="4103CFD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0EADEB5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5F013F2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5FF84A3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79682D5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113E0F1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1E63AFD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4B9A913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56135A2B">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41ECA66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1#楼给排水</w:t>
            </w:r>
          </w:p>
        </w:tc>
        <w:tc>
          <w:tcPr>
            <w:tcW w:w="488" w:type="pct"/>
            <w:tcBorders>
              <w:top w:val="nil"/>
              <w:left w:val="nil"/>
              <w:bottom w:val="single" w:color="auto" w:sz="4" w:space="0"/>
              <w:right w:val="single" w:color="auto" w:sz="4" w:space="0"/>
            </w:tcBorders>
            <w:shd w:val="clear" w:color="auto" w:fill="auto"/>
            <w:noWrap/>
            <w:vAlign w:val="center"/>
          </w:tcPr>
          <w:p w14:paraId="5C5648B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36FC573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59F3B3A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48E21BD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499E0B2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2F4AA9B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07706C8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4271A31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4987DC33">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2B645A9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1#楼电气</w:t>
            </w:r>
          </w:p>
        </w:tc>
        <w:tc>
          <w:tcPr>
            <w:tcW w:w="488" w:type="pct"/>
            <w:tcBorders>
              <w:top w:val="nil"/>
              <w:left w:val="nil"/>
              <w:bottom w:val="single" w:color="auto" w:sz="4" w:space="0"/>
              <w:right w:val="single" w:color="auto" w:sz="4" w:space="0"/>
            </w:tcBorders>
            <w:shd w:val="clear" w:color="auto" w:fill="auto"/>
            <w:noWrap/>
            <w:vAlign w:val="center"/>
          </w:tcPr>
          <w:p w14:paraId="55C03F7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56FAE07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60B5CAE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2937772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717E6B5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0B3FF33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5C98A8C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44195E9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00AD855C">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42AD610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1#楼采暖</w:t>
            </w:r>
          </w:p>
        </w:tc>
        <w:tc>
          <w:tcPr>
            <w:tcW w:w="488" w:type="pct"/>
            <w:tcBorders>
              <w:top w:val="nil"/>
              <w:left w:val="nil"/>
              <w:bottom w:val="single" w:color="auto" w:sz="4" w:space="0"/>
              <w:right w:val="single" w:color="auto" w:sz="4" w:space="0"/>
            </w:tcBorders>
            <w:shd w:val="clear" w:color="auto" w:fill="auto"/>
            <w:noWrap/>
            <w:vAlign w:val="center"/>
          </w:tcPr>
          <w:p w14:paraId="44618E6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50118E5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58B75D9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2075022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6FA357C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476C552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6361C25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4CFF65F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0C786B03">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0BCADF0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w:t>
            </w:r>
          </w:p>
        </w:tc>
        <w:tc>
          <w:tcPr>
            <w:tcW w:w="488" w:type="pct"/>
            <w:tcBorders>
              <w:top w:val="nil"/>
              <w:left w:val="nil"/>
              <w:bottom w:val="single" w:color="auto" w:sz="4" w:space="0"/>
              <w:right w:val="single" w:color="auto" w:sz="4" w:space="0"/>
            </w:tcBorders>
            <w:shd w:val="clear" w:color="auto" w:fill="auto"/>
            <w:noWrap/>
            <w:vAlign w:val="center"/>
          </w:tcPr>
          <w:p w14:paraId="479DD8B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001BC87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4742471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03A1FD2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11CEB74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5FED1E8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497DF11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48E8263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1307E7F7">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12F99FFC">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1#楼合计</w:t>
            </w:r>
          </w:p>
        </w:tc>
        <w:tc>
          <w:tcPr>
            <w:tcW w:w="488" w:type="pct"/>
            <w:tcBorders>
              <w:top w:val="nil"/>
              <w:left w:val="nil"/>
              <w:bottom w:val="single" w:color="auto" w:sz="4" w:space="0"/>
              <w:right w:val="single" w:color="auto" w:sz="4" w:space="0"/>
            </w:tcBorders>
            <w:shd w:val="clear" w:color="auto" w:fill="auto"/>
            <w:noWrap/>
            <w:vAlign w:val="center"/>
          </w:tcPr>
          <w:p w14:paraId="37846A6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5CE7469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5D591C3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0AA9DD2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4F26077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7FF2A45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2FAE261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309AF72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37216863">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6C51441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2#楼土建</w:t>
            </w:r>
          </w:p>
        </w:tc>
        <w:tc>
          <w:tcPr>
            <w:tcW w:w="488" w:type="pct"/>
            <w:tcBorders>
              <w:top w:val="nil"/>
              <w:left w:val="nil"/>
              <w:bottom w:val="single" w:color="auto" w:sz="4" w:space="0"/>
              <w:right w:val="single" w:color="auto" w:sz="4" w:space="0"/>
            </w:tcBorders>
            <w:shd w:val="clear" w:color="auto" w:fill="auto"/>
            <w:noWrap/>
            <w:vAlign w:val="center"/>
          </w:tcPr>
          <w:p w14:paraId="6F11FE4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2753159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7A7F59C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6F20442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1F1BB5F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418976C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7A48B35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6B47332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239DFF88">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3E3EDB2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2#楼给排水</w:t>
            </w:r>
          </w:p>
        </w:tc>
        <w:tc>
          <w:tcPr>
            <w:tcW w:w="488" w:type="pct"/>
            <w:tcBorders>
              <w:top w:val="nil"/>
              <w:left w:val="nil"/>
              <w:bottom w:val="single" w:color="auto" w:sz="4" w:space="0"/>
              <w:right w:val="single" w:color="auto" w:sz="4" w:space="0"/>
            </w:tcBorders>
            <w:shd w:val="clear" w:color="auto" w:fill="auto"/>
            <w:noWrap/>
            <w:vAlign w:val="center"/>
          </w:tcPr>
          <w:p w14:paraId="433CD66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22E01A7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49C2B5B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4EEB5DF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3F2DCE8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71653EE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41AE1FE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29B4874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00F056BD">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21B90EE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2#楼电气</w:t>
            </w:r>
          </w:p>
        </w:tc>
        <w:tc>
          <w:tcPr>
            <w:tcW w:w="488" w:type="pct"/>
            <w:tcBorders>
              <w:top w:val="nil"/>
              <w:left w:val="nil"/>
              <w:bottom w:val="single" w:color="auto" w:sz="4" w:space="0"/>
              <w:right w:val="single" w:color="auto" w:sz="4" w:space="0"/>
            </w:tcBorders>
            <w:shd w:val="clear" w:color="auto" w:fill="auto"/>
            <w:noWrap/>
            <w:vAlign w:val="center"/>
          </w:tcPr>
          <w:p w14:paraId="15836CD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712C29E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15AC3EF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1820F09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07D0DC5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02C1431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6236BAC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3FE6CB8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10D1AA82">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615C6A2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2#楼采暖</w:t>
            </w:r>
          </w:p>
        </w:tc>
        <w:tc>
          <w:tcPr>
            <w:tcW w:w="488" w:type="pct"/>
            <w:tcBorders>
              <w:top w:val="nil"/>
              <w:left w:val="nil"/>
              <w:bottom w:val="single" w:color="auto" w:sz="4" w:space="0"/>
              <w:right w:val="single" w:color="auto" w:sz="4" w:space="0"/>
            </w:tcBorders>
            <w:shd w:val="clear" w:color="auto" w:fill="auto"/>
            <w:noWrap/>
            <w:vAlign w:val="center"/>
          </w:tcPr>
          <w:p w14:paraId="4ADBDE4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24185F2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647C152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5F50721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6324401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50B85EF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2B9928A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5B5D6B6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6B652EDD">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64DFE7C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w:t>
            </w:r>
          </w:p>
        </w:tc>
        <w:tc>
          <w:tcPr>
            <w:tcW w:w="488" w:type="pct"/>
            <w:tcBorders>
              <w:top w:val="nil"/>
              <w:left w:val="nil"/>
              <w:bottom w:val="single" w:color="auto" w:sz="4" w:space="0"/>
              <w:right w:val="single" w:color="auto" w:sz="4" w:space="0"/>
            </w:tcBorders>
            <w:shd w:val="clear" w:color="auto" w:fill="auto"/>
            <w:noWrap/>
            <w:vAlign w:val="center"/>
          </w:tcPr>
          <w:p w14:paraId="649E472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6D2F861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492B7E6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03E3D3D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3EEE702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539FF77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6B7B6A9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6BAD66D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6DE9A6E5">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6459688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2#楼合计</w:t>
            </w:r>
          </w:p>
        </w:tc>
        <w:tc>
          <w:tcPr>
            <w:tcW w:w="488" w:type="pct"/>
            <w:tcBorders>
              <w:top w:val="nil"/>
              <w:left w:val="nil"/>
              <w:bottom w:val="single" w:color="auto" w:sz="4" w:space="0"/>
              <w:right w:val="single" w:color="auto" w:sz="4" w:space="0"/>
            </w:tcBorders>
            <w:shd w:val="clear" w:color="auto" w:fill="auto"/>
            <w:noWrap/>
            <w:vAlign w:val="center"/>
          </w:tcPr>
          <w:p w14:paraId="1551F1D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2F7D06E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3C7E2D6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75CBDBA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34966CA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5AD64CB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648BDA6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11653D4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5EC51D3D">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1FB5415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8" w:type="pct"/>
            <w:tcBorders>
              <w:top w:val="nil"/>
              <w:left w:val="nil"/>
              <w:bottom w:val="single" w:color="auto" w:sz="4" w:space="0"/>
              <w:right w:val="single" w:color="auto" w:sz="4" w:space="0"/>
            </w:tcBorders>
            <w:shd w:val="clear" w:color="auto" w:fill="auto"/>
            <w:noWrap/>
            <w:vAlign w:val="center"/>
          </w:tcPr>
          <w:p w14:paraId="4155226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65C9D95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60FB847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54FD12B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5EB97EB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07EC0CB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5D47616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31405AC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53F13D96">
        <w:tblPrEx>
          <w:tblCellMar>
            <w:top w:w="0" w:type="dxa"/>
            <w:left w:w="108" w:type="dxa"/>
            <w:bottom w:w="0" w:type="dxa"/>
            <w:right w:w="108" w:type="dxa"/>
          </w:tblCellMar>
        </w:tblPrEx>
        <w:trPr>
          <w:trHeight w:val="270" w:hRule="atLeast"/>
        </w:trPr>
        <w:tc>
          <w:tcPr>
            <w:tcW w:w="617" w:type="pct"/>
            <w:tcBorders>
              <w:top w:val="nil"/>
              <w:left w:val="single" w:color="auto" w:sz="4" w:space="0"/>
              <w:bottom w:val="single" w:color="auto" w:sz="4" w:space="0"/>
              <w:right w:val="single" w:color="auto" w:sz="4" w:space="0"/>
            </w:tcBorders>
            <w:shd w:val="clear" w:color="auto" w:fill="auto"/>
            <w:noWrap/>
            <w:vAlign w:val="center"/>
          </w:tcPr>
          <w:p w14:paraId="05047EC8">
            <w:pPr>
              <w:keepNext w:val="0"/>
              <w:keepLines w:val="0"/>
              <w:suppressLineNumbers w:val="0"/>
              <w:spacing w:before="0" w:beforeAutospacing="0" w:after="0" w:afterAutospacing="0"/>
              <w:ind w:left="0" w:right="0" w:firstLine="480"/>
              <w:jc w:val="center"/>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合计</w:t>
            </w:r>
          </w:p>
        </w:tc>
        <w:tc>
          <w:tcPr>
            <w:tcW w:w="488" w:type="pct"/>
            <w:tcBorders>
              <w:top w:val="nil"/>
              <w:left w:val="nil"/>
              <w:bottom w:val="single" w:color="auto" w:sz="4" w:space="0"/>
              <w:right w:val="single" w:color="auto" w:sz="4" w:space="0"/>
            </w:tcBorders>
            <w:shd w:val="clear" w:color="auto" w:fill="auto"/>
            <w:noWrap/>
            <w:vAlign w:val="center"/>
          </w:tcPr>
          <w:p w14:paraId="19D06FE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36" w:type="pct"/>
            <w:tcBorders>
              <w:top w:val="nil"/>
              <w:left w:val="nil"/>
              <w:bottom w:val="single" w:color="auto" w:sz="4" w:space="0"/>
              <w:right w:val="single" w:color="auto" w:sz="4" w:space="0"/>
            </w:tcBorders>
            <w:shd w:val="clear" w:color="auto" w:fill="auto"/>
            <w:noWrap/>
            <w:vAlign w:val="center"/>
          </w:tcPr>
          <w:p w14:paraId="300FCC9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4" w:type="pct"/>
            <w:tcBorders>
              <w:top w:val="nil"/>
              <w:left w:val="nil"/>
              <w:bottom w:val="single" w:color="auto" w:sz="4" w:space="0"/>
              <w:right w:val="single" w:color="auto" w:sz="4" w:space="0"/>
            </w:tcBorders>
            <w:shd w:val="clear" w:color="auto" w:fill="auto"/>
            <w:noWrap/>
            <w:vAlign w:val="center"/>
          </w:tcPr>
          <w:p w14:paraId="219A2AC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52" w:type="pct"/>
            <w:tcBorders>
              <w:top w:val="nil"/>
              <w:left w:val="nil"/>
              <w:bottom w:val="single" w:color="auto" w:sz="4" w:space="0"/>
              <w:right w:val="single" w:color="auto" w:sz="4" w:space="0"/>
            </w:tcBorders>
            <w:shd w:val="clear" w:color="auto" w:fill="auto"/>
            <w:noWrap/>
            <w:vAlign w:val="center"/>
          </w:tcPr>
          <w:p w14:paraId="1E7A360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15" w:type="pct"/>
            <w:tcBorders>
              <w:top w:val="nil"/>
              <w:left w:val="nil"/>
              <w:bottom w:val="single" w:color="auto" w:sz="4" w:space="0"/>
              <w:right w:val="single" w:color="auto" w:sz="4" w:space="0"/>
            </w:tcBorders>
            <w:shd w:val="clear" w:color="auto" w:fill="auto"/>
            <w:noWrap/>
            <w:vAlign w:val="center"/>
          </w:tcPr>
          <w:p w14:paraId="065FB1D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570" w:type="pct"/>
            <w:tcBorders>
              <w:top w:val="nil"/>
              <w:left w:val="nil"/>
              <w:bottom w:val="single" w:color="auto" w:sz="4" w:space="0"/>
              <w:right w:val="single" w:color="auto" w:sz="4" w:space="0"/>
            </w:tcBorders>
            <w:shd w:val="clear" w:color="auto" w:fill="auto"/>
            <w:noWrap/>
            <w:vAlign w:val="center"/>
          </w:tcPr>
          <w:p w14:paraId="344BC38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486" w:type="pct"/>
            <w:tcBorders>
              <w:top w:val="nil"/>
              <w:left w:val="nil"/>
              <w:bottom w:val="single" w:color="auto" w:sz="4" w:space="0"/>
              <w:right w:val="single" w:color="auto" w:sz="4" w:space="0"/>
            </w:tcBorders>
            <w:shd w:val="clear" w:color="auto" w:fill="auto"/>
            <w:noWrap/>
            <w:vAlign w:val="center"/>
          </w:tcPr>
          <w:p w14:paraId="68C25EE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618" w:type="pct"/>
            <w:tcBorders>
              <w:top w:val="nil"/>
              <w:left w:val="nil"/>
              <w:bottom w:val="single" w:color="auto" w:sz="4" w:space="0"/>
              <w:right w:val="single" w:color="auto" w:sz="4" w:space="0"/>
            </w:tcBorders>
            <w:shd w:val="clear" w:color="auto" w:fill="auto"/>
            <w:noWrap/>
            <w:vAlign w:val="center"/>
          </w:tcPr>
          <w:p w14:paraId="5331E93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bl>
    <w:p w14:paraId="7F89D176">
      <w:pPr>
        <w:ind w:firstLine="480"/>
        <w:outlineLvl w:val="9"/>
        <w:rPr>
          <w:rFonts w:cs="宋体" w:asciiTheme="minorEastAsia" w:hAnsiTheme="minorEastAsia" w:eastAsiaTheme="minorEastAsia"/>
          <w:color w:val="auto"/>
          <w:szCs w:val="21"/>
          <w:highlight w:val="none"/>
        </w:rPr>
      </w:pPr>
    </w:p>
    <w:p w14:paraId="20A860A3">
      <w:pPr>
        <w:ind w:firstLine="480"/>
        <w:outlineLvl w:val="9"/>
        <w:rPr>
          <w:rFonts w:hint="eastAsia" w:cs="宋体" w:asciiTheme="minorEastAsia" w:hAnsiTheme="minorEastAsia" w:eastAsiaTheme="minorEastAsia"/>
          <w:color w:val="auto"/>
          <w:szCs w:val="21"/>
          <w:highlight w:val="none"/>
        </w:rPr>
        <w:sectPr>
          <w:pgSz w:w="11906" w:h="16838"/>
          <w:pgMar w:top="2098" w:right="1474" w:bottom="1984" w:left="1587" w:header="851" w:footer="992" w:gutter="0"/>
          <w:pgBorders>
            <w:top w:val="none" w:sz="0" w:space="0"/>
            <w:left w:val="none" w:sz="0" w:space="0"/>
            <w:bottom w:val="none" w:sz="0" w:space="0"/>
            <w:right w:val="none" w:sz="0" w:space="0"/>
          </w:pgBorders>
          <w:cols w:space="720" w:num="1"/>
          <w:docGrid w:type="lines" w:linePitch="312" w:charSpace="0"/>
        </w:sectPr>
      </w:pPr>
    </w:p>
    <w:p w14:paraId="4346FA15">
      <w:pPr>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附表七</w:t>
      </w:r>
    </w:p>
    <w:p w14:paraId="6B24E47E">
      <w:pPr>
        <w:ind w:firstLine="64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结算核对授权委托书</w:t>
      </w:r>
    </w:p>
    <w:p w14:paraId="3F380130">
      <w:pPr>
        <w:pStyle w:val="54"/>
        <w:ind w:firstLine="210"/>
        <w:outlineLvl w:val="9"/>
        <w:rPr>
          <w:rFonts w:cs="宋体" w:asciiTheme="minorEastAsia" w:hAnsiTheme="minorEastAsia"/>
          <w:color w:val="auto"/>
          <w:szCs w:val="21"/>
          <w:highlight w:val="none"/>
        </w:rPr>
      </w:pPr>
    </w:p>
    <w:p w14:paraId="53568A41">
      <w:pPr>
        <w:pStyle w:val="54"/>
        <w:spacing w:line="432" w:lineRule="auto"/>
        <w:ind w:firstLineChars="200"/>
        <w:outlineLvl w:val="9"/>
        <w:rPr>
          <w:rFonts w:cs="宋体" w:asciiTheme="minorEastAsia" w:hAnsiTheme="minorEastAsia"/>
          <w:color w:val="auto"/>
          <w:szCs w:val="21"/>
          <w:highlight w:val="none"/>
        </w:rPr>
      </w:pPr>
      <w:r>
        <w:rPr>
          <w:rFonts w:hint="eastAsia" w:cs="宋体" w:asciiTheme="minorEastAsia" w:hAnsiTheme="minorEastAsia"/>
          <w:color w:val="auto"/>
          <w:szCs w:val="21"/>
          <w:highlight w:val="none"/>
        </w:rPr>
        <w:t>本人</w:t>
      </w:r>
      <w:r>
        <w:rPr>
          <w:rFonts w:hint="eastAsia" w:cs="宋体" w:asciiTheme="minorEastAsia" w:hAnsiTheme="minorEastAsia"/>
          <w:color w:val="auto"/>
          <w:szCs w:val="21"/>
          <w:highlight w:val="none"/>
          <w:u w:val="single"/>
        </w:rPr>
        <w:t>（姓名）</w:t>
      </w:r>
      <w:r>
        <w:rPr>
          <w:rFonts w:hint="eastAsia" w:cs="宋体" w:asciiTheme="minorEastAsia" w:hAnsiTheme="minorEastAsia"/>
          <w:color w:val="auto"/>
          <w:szCs w:val="21"/>
          <w:highlight w:val="none"/>
        </w:rPr>
        <w:t>系</w:t>
      </w:r>
      <w:r>
        <w:rPr>
          <w:rFonts w:hint="eastAsia" w:cs="宋体" w:asciiTheme="minorEastAsia" w:hAnsiTheme="minorEastAsia"/>
          <w:color w:val="auto"/>
          <w:szCs w:val="21"/>
          <w:highlight w:val="none"/>
          <w:u w:val="single"/>
        </w:rPr>
        <w:t>（施工单位名称）</w:t>
      </w:r>
      <w:r>
        <w:rPr>
          <w:rFonts w:hint="eastAsia" w:cs="宋体" w:asciiTheme="minorEastAsia" w:hAnsiTheme="minorEastAsia"/>
          <w:color w:val="auto"/>
          <w:szCs w:val="21"/>
          <w:highlight w:val="none"/>
        </w:rPr>
        <w:t>的法定代表人，现委托</w:t>
      </w:r>
      <w:r>
        <w:rPr>
          <w:rFonts w:cs="宋体" w:asciiTheme="minorEastAsia" w:hAnsiTheme="minorEastAsia"/>
          <w:color w:val="auto"/>
          <w:szCs w:val="21"/>
          <w:highlight w:val="none"/>
          <w:u w:val="single"/>
        </w:rPr>
        <w:t xml:space="preserve">  （姓名）  等 （**）</w:t>
      </w:r>
      <w:r>
        <w:rPr>
          <w:rFonts w:hint="eastAsia" w:cs="宋体" w:asciiTheme="minorEastAsia" w:hAnsiTheme="minorEastAsia"/>
          <w:color w:val="auto"/>
          <w:szCs w:val="21"/>
          <w:highlight w:val="none"/>
        </w:rPr>
        <w:t>人为我方结算核对代理人。代理人根据授权，以我方名义签署、澄清、递交</w:t>
      </w:r>
      <w:r>
        <w:rPr>
          <w:rFonts w:cs="宋体" w:asciiTheme="minorEastAsia" w:hAnsiTheme="minorEastAsia"/>
          <w:color w:val="auto"/>
          <w:szCs w:val="21"/>
          <w:highlight w:val="none"/>
          <w:u w:val="single"/>
        </w:rPr>
        <w:t xml:space="preserve">      （合同名称）     </w:t>
      </w:r>
      <w:r>
        <w:rPr>
          <w:rFonts w:cs="宋体" w:asciiTheme="minorEastAsia" w:hAnsiTheme="minorEastAsia"/>
          <w:color w:val="auto"/>
          <w:szCs w:val="21"/>
          <w:highlight w:val="none"/>
        </w:rPr>
        <w:t xml:space="preserve">  结算核对记录，其法律后果由我方承担。</w:t>
      </w:r>
    </w:p>
    <w:p w14:paraId="0444067B">
      <w:pPr>
        <w:pStyle w:val="54"/>
        <w:spacing w:line="432" w:lineRule="auto"/>
        <w:ind w:firstLineChars="200"/>
        <w:outlineLvl w:val="9"/>
        <w:rPr>
          <w:rFonts w:cs="宋体" w:asciiTheme="minorEastAsia" w:hAnsiTheme="minorEastAsia"/>
          <w:color w:val="auto"/>
          <w:szCs w:val="21"/>
          <w:highlight w:val="none"/>
        </w:rPr>
      </w:pPr>
      <w:r>
        <w:rPr>
          <w:rFonts w:hint="eastAsia" w:cs="宋体" w:asciiTheme="minorEastAsia" w:hAnsiTheme="minorEastAsia"/>
          <w:color w:val="auto"/>
          <w:szCs w:val="21"/>
          <w:highlight w:val="none"/>
        </w:rPr>
        <w:t>委托期限：</w:t>
      </w:r>
      <w:r>
        <w:rPr>
          <w:rFonts w:hint="eastAsia" w:cs="宋体" w:asciiTheme="minorEastAsia" w:hAnsiTheme="minorEastAsia"/>
          <w:color w:val="auto"/>
          <w:szCs w:val="21"/>
          <w:highlight w:val="none"/>
          <w:u w:val="single"/>
        </w:rPr>
        <w:t>自递交结算资料截止之日起至结算书盖章完成止</w:t>
      </w:r>
      <w:r>
        <w:rPr>
          <w:rFonts w:hint="eastAsia" w:cs="宋体" w:asciiTheme="minorEastAsia" w:hAnsiTheme="minorEastAsia"/>
          <w:color w:val="auto"/>
          <w:szCs w:val="21"/>
          <w:highlight w:val="none"/>
        </w:rPr>
        <w:t>。</w:t>
      </w:r>
    </w:p>
    <w:p w14:paraId="0743143C">
      <w:pPr>
        <w:topLinePunct/>
        <w:spacing w:line="432"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代理人无转委托权。</w:t>
      </w:r>
    </w:p>
    <w:p w14:paraId="4D98A45C">
      <w:pPr>
        <w:pStyle w:val="54"/>
        <w:spacing w:line="432" w:lineRule="auto"/>
        <w:ind w:firstLineChars="200"/>
        <w:outlineLvl w:val="9"/>
        <w:rPr>
          <w:rFonts w:cs="宋体" w:asciiTheme="minorEastAsia" w:hAnsiTheme="minorEastAsia"/>
          <w:color w:val="auto"/>
          <w:szCs w:val="21"/>
          <w:highlight w:val="none"/>
        </w:rPr>
      </w:pPr>
      <w:r>
        <w:rPr>
          <w:rFonts w:hint="eastAsia" w:cs="宋体" w:asciiTheme="minorEastAsia" w:hAnsiTheme="minorEastAsia"/>
          <w:color w:val="auto"/>
          <w:szCs w:val="21"/>
          <w:highlight w:val="none"/>
        </w:rPr>
        <w:t>附：法定代表人、委托代理人信息。</w:t>
      </w:r>
    </w:p>
    <w:tbl>
      <w:tblPr>
        <w:tblStyle w:val="56"/>
        <w:tblW w:w="4804" w:type="pct"/>
        <w:tblInd w:w="0" w:type="dxa"/>
        <w:tblLayout w:type="autofit"/>
        <w:tblCellMar>
          <w:top w:w="0" w:type="dxa"/>
          <w:left w:w="108" w:type="dxa"/>
          <w:bottom w:w="0" w:type="dxa"/>
          <w:right w:w="108" w:type="dxa"/>
        </w:tblCellMar>
      </w:tblPr>
      <w:tblGrid>
        <w:gridCol w:w="1869"/>
        <w:gridCol w:w="1799"/>
        <w:gridCol w:w="2478"/>
        <w:gridCol w:w="2560"/>
      </w:tblGrid>
      <w:tr w14:paraId="0D5ABC12">
        <w:tblPrEx>
          <w:tblCellMar>
            <w:top w:w="0" w:type="dxa"/>
            <w:left w:w="108" w:type="dxa"/>
            <w:bottom w:w="0" w:type="dxa"/>
            <w:right w:w="108" w:type="dxa"/>
          </w:tblCellMar>
        </w:tblPrEx>
        <w:trPr>
          <w:trHeight w:val="268" w:hRule="atLeast"/>
        </w:trPr>
        <w:tc>
          <w:tcPr>
            <w:tcW w:w="1074" w:type="pct"/>
            <w:tcBorders>
              <w:top w:val="single" w:color="auto" w:sz="4" w:space="0"/>
              <w:left w:val="single" w:color="auto" w:sz="4" w:space="0"/>
              <w:bottom w:val="single" w:color="auto" w:sz="4" w:space="0"/>
              <w:right w:val="single" w:color="auto" w:sz="4" w:space="0"/>
            </w:tcBorders>
            <w:noWrap/>
            <w:vAlign w:val="center"/>
          </w:tcPr>
          <w:p w14:paraId="4D086CA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姓名</w:t>
            </w:r>
          </w:p>
        </w:tc>
        <w:tc>
          <w:tcPr>
            <w:tcW w:w="1033" w:type="pct"/>
            <w:tcBorders>
              <w:top w:val="single" w:color="auto" w:sz="4" w:space="0"/>
              <w:left w:val="nil"/>
              <w:bottom w:val="single" w:color="auto" w:sz="4" w:space="0"/>
              <w:right w:val="single" w:color="auto" w:sz="4" w:space="0"/>
            </w:tcBorders>
            <w:noWrap/>
            <w:vAlign w:val="center"/>
          </w:tcPr>
          <w:p w14:paraId="2885A0BE">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专业</w:t>
            </w:r>
          </w:p>
        </w:tc>
        <w:tc>
          <w:tcPr>
            <w:tcW w:w="1423" w:type="pct"/>
            <w:tcBorders>
              <w:top w:val="single" w:color="auto" w:sz="4" w:space="0"/>
              <w:left w:val="nil"/>
              <w:bottom w:val="single" w:color="auto" w:sz="4" w:space="0"/>
              <w:right w:val="single" w:color="auto" w:sz="4" w:space="0"/>
            </w:tcBorders>
            <w:noWrap/>
            <w:vAlign w:val="center"/>
          </w:tcPr>
          <w:p w14:paraId="6FB8EBA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核对范围</w:t>
            </w:r>
          </w:p>
        </w:tc>
        <w:tc>
          <w:tcPr>
            <w:tcW w:w="1470" w:type="pct"/>
            <w:tcBorders>
              <w:top w:val="single" w:color="auto" w:sz="4" w:space="0"/>
              <w:left w:val="nil"/>
              <w:bottom w:val="single" w:color="auto" w:sz="4" w:space="0"/>
              <w:right w:val="single" w:color="auto" w:sz="4" w:space="0"/>
            </w:tcBorders>
            <w:noWrap/>
            <w:vAlign w:val="center"/>
          </w:tcPr>
          <w:p w14:paraId="7CA5FB2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联系电话</w:t>
            </w:r>
          </w:p>
        </w:tc>
      </w:tr>
      <w:tr w14:paraId="4610AE54">
        <w:tblPrEx>
          <w:tblCellMar>
            <w:top w:w="0" w:type="dxa"/>
            <w:left w:w="108" w:type="dxa"/>
            <w:bottom w:w="0" w:type="dxa"/>
            <w:right w:w="108" w:type="dxa"/>
          </w:tblCellMar>
        </w:tblPrEx>
        <w:trPr>
          <w:trHeight w:val="268" w:hRule="atLeast"/>
        </w:trPr>
        <w:tc>
          <w:tcPr>
            <w:tcW w:w="1074" w:type="pct"/>
            <w:tcBorders>
              <w:top w:val="nil"/>
              <w:left w:val="single" w:color="auto" w:sz="4" w:space="0"/>
              <w:bottom w:val="single" w:color="auto" w:sz="4" w:space="0"/>
              <w:right w:val="single" w:color="auto" w:sz="4" w:space="0"/>
            </w:tcBorders>
            <w:noWrap/>
            <w:vAlign w:val="center"/>
          </w:tcPr>
          <w:p w14:paraId="2FBC602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033" w:type="pct"/>
            <w:tcBorders>
              <w:top w:val="nil"/>
              <w:left w:val="nil"/>
              <w:bottom w:val="single" w:color="auto" w:sz="4" w:space="0"/>
              <w:right w:val="single" w:color="auto" w:sz="4" w:space="0"/>
            </w:tcBorders>
            <w:noWrap/>
            <w:vAlign w:val="center"/>
          </w:tcPr>
          <w:p w14:paraId="4077659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23" w:type="pct"/>
            <w:tcBorders>
              <w:top w:val="nil"/>
              <w:left w:val="nil"/>
              <w:bottom w:val="single" w:color="auto" w:sz="4" w:space="0"/>
              <w:right w:val="single" w:color="auto" w:sz="4" w:space="0"/>
            </w:tcBorders>
            <w:noWrap/>
            <w:vAlign w:val="center"/>
          </w:tcPr>
          <w:p w14:paraId="356F621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70" w:type="pct"/>
            <w:tcBorders>
              <w:top w:val="nil"/>
              <w:left w:val="nil"/>
              <w:bottom w:val="single" w:color="auto" w:sz="4" w:space="0"/>
              <w:right w:val="single" w:color="auto" w:sz="4" w:space="0"/>
            </w:tcBorders>
            <w:noWrap/>
            <w:vAlign w:val="center"/>
          </w:tcPr>
          <w:p w14:paraId="38EE8A4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1BDC9BCC">
        <w:tblPrEx>
          <w:tblCellMar>
            <w:top w:w="0" w:type="dxa"/>
            <w:left w:w="108" w:type="dxa"/>
            <w:bottom w:w="0" w:type="dxa"/>
            <w:right w:w="108" w:type="dxa"/>
          </w:tblCellMar>
        </w:tblPrEx>
        <w:trPr>
          <w:trHeight w:val="268" w:hRule="atLeast"/>
        </w:trPr>
        <w:tc>
          <w:tcPr>
            <w:tcW w:w="1074" w:type="pct"/>
            <w:tcBorders>
              <w:top w:val="nil"/>
              <w:left w:val="single" w:color="auto" w:sz="4" w:space="0"/>
              <w:bottom w:val="single" w:color="auto" w:sz="4" w:space="0"/>
              <w:right w:val="single" w:color="auto" w:sz="4" w:space="0"/>
            </w:tcBorders>
            <w:noWrap/>
            <w:vAlign w:val="center"/>
          </w:tcPr>
          <w:p w14:paraId="71986A3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033" w:type="pct"/>
            <w:tcBorders>
              <w:top w:val="nil"/>
              <w:left w:val="nil"/>
              <w:bottom w:val="single" w:color="auto" w:sz="4" w:space="0"/>
              <w:right w:val="single" w:color="auto" w:sz="4" w:space="0"/>
            </w:tcBorders>
            <w:noWrap/>
            <w:vAlign w:val="center"/>
          </w:tcPr>
          <w:p w14:paraId="135142F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23" w:type="pct"/>
            <w:tcBorders>
              <w:top w:val="nil"/>
              <w:left w:val="nil"/>
              <w:bottom w:val="single" w:color="auto" w:sz="4" w:space="0"/>
              <w:right w:val="single" w:color="auto" w:sz="4" w:space="0"/>
            </w:tcBorders>
            <w:noWrap/>
            <w:vAlign w:val="center"/>
          </w:tcPr>
          <w:p w14:paraId="1295F8E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70" w:type="pct"/>
            <w:tcBorders>
              <w:top w:val="nil"/>
              <w:left w:val="nil"/>
              <w:bottom w:val="single" w:color="auto" w:sz="4" w:space="0"/>
              <w:right w:val="single" w:color="auto" w:sz="4" w:space="0"/>
            </w:tcBorders>
            <w:noWrap/>
            <w:vAlign w:val="center"/>
          </w:tcPr>
          <w:p w14:paraId="34DB243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7043BE3B">
        <w:tblPrEx>
          <w:tblCellMar>
            <w:top w:w="0" w:type="dxa"/>
            <w:left w:w="108" w:type="dxa"/>
            <w:bottom w:w="0" w:type="dxa"/>
            <w:right w:w="108" w:type="dxa"/>
          </w:tblCellMar>
        </w:tblPrEx>
        <w:trPr>
          <w:trHeight w:val="268" w:hRule="atLeast"/>
        </w:trPr>
        <w:tc>
          <w:tcPr>
            <w:tcW w:w="1074" w:type="pct"/>
            <w:tcBorders>
              <w:top w:val="nil"/>
              <w:left w:val="single" w:color="auto" w:sz="4" w:space="0"/>
              <w:bottom w:val="single" w:color="auto" w:sz="4" w:space="0"/>
              <w:right w:val="single" w:color="auto" w:sz="4" w:space="0"/>
            </w:tcBorders>
            <w:noWrap/>
            <w:vAlign w:val="center"/>
          </w:tcPr>
          <w:p w14:paraId="5AE5E83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033" w:type="pct"/>
            <w:tcBorders>
              <w:top w:val="nil"/>
              <w:left w:val="nil"/>
              <w:bottom w:val="single" w:color="auto" w:sz="4" w:space="0"/>
              <w:right w:val="single" w:color="auto" w:sz="4" w:space="0"/>
            </w:tcBorders>
            <w:noWrap/>
            <w:vAlign w:val="center"/>
          </w:tcPr>
          <w:p w14:paraId="02B26FC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23" w:type="pct"/>
            <w:tcBorders>
              <w:top w:val="nil"/>
              <w:left w:val="nil"/>
              <w:bottom w:val="single" w:color="auto" w:sz="4" w:space="0"/>
              <w:right w:val="single" w:color="auto" w:sz="4" w:space="0"/>
            </w:tcBorders>
            <w:noWrap/>
            <w:vAlign w:val="center"/>
          </w:tcPr>
          <w:p w14:paraId="77CAF77F">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70" w:type="pct"/>
            <w:tcBorders>
              <w:top w:val="nil"/>
              <w:left w:val="nil"/>
              <w:bottom w:val="single" w:color="auto" w:sz="4" w:space="0"/>
              <w:right w:val="single" w:color="auto" w:sz="4" w:space="0"/>
            </w:tcBorders>
            <w:noWrap/>
            <w:vAlign w:val="center"/>
          </w:tcPr>
          <w:p w14:paraId="73E8913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4FD03678">
        <w:tblPrEx>
          <w:tblCellMar>
            <w:top w:w="0" w:type="dxa"/>
            <w:left w:w="108" w:type="dxa"/>
            <w:bottom w:w="0" w:type="dxa"/>
            <w:right w:w="108" w:type="dxa"/>
          </w:tblCellMar>
        </w:tblPrEx>
        <w:trPr>
          <w:trHeight w:val="268" w:hRule="atLeast"/>
        </w:trPr>
        <w:tc>
          <w:tcPr>
            <w:tcW w:w="1074" w:type="pct"/>
            <w:tcBorders>
              <w:top w:val="nil"/>
              <w:left w:val="single" w:color="auto" w:sz="4" w:space="0"/>
              <w:bottom w:val="single" w:color="auto" w:sz="4" w:space="0"/>
              <w:right w:val="single" w:color="auto" w:sz="4" w:space="0"/>
            </w:tcBorders>
            <w:noWrap/>
            <w:vAlign w:val="center"/>
          </w:tcPr>
          <w:p w14:paraId="5C0008E0">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033" w:type="pct"/>
            <w:tcBorders>
              <w:top w:val="nil"/>
              <w:left w:val="nil"/>
              <w:bottom w:val="single" w:color="auto" w:sz="4" w:space="0"/>
              <w:right w:val="single" w:color="auto" w:sz="4" w:space="0"/>
            </w:tcBorders>
            <w:noWrap/>
            <w:vAlign w:val="center"/>
          </w:tcPr>
          <w:p w14:paraId="1435B8F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23" w:type="pct"/>
            <w:tcBorders>
              <w:top w:val="nil"/>
              <w:left w:val="nil"/>
              <w:bottom w:val="single" w:color="auto" w:sz="4" w:space="0"/>
              <w:right w:val="single" w:color="auto" w:sz="4" w:space="0"/>
            </w:tcBorders>
            <w:noWrap/>
            <w:vAlign w:val="center"/>
          </w:tcPr>
          <w:p w14:paraId="7AF74285">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70" w:type="pct"/>
            <w:tcBorders>
              <w:top w:val="nil"/>
              <w:left w:val="nil"/>
              <w:bottom w:val="single" w:color="auto" w:sz="4" w:space="0"/>
              <w:right w:val="single" w:color="auto" w:sz="4" w:space="0"/>
            </w:tcBorders>
            <w:noWrap/>
            <w:vAlign w:val="center"/>
          </w:tcPr>
          <w:p w14:paraId="512D857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74E1B608">
        <w:tblPrEx>
          <w:tblCellMar>
            <w:top w:w="0" w:type="dxa"/>
            <w:left w:w="108" w:type="dxa"/>
            <w:bottom w:w="0" w:type="dxa"/>
            <w:right w:w="108" w:type="dxa"/>
          </w:tblCellMar>
        </w:tblPrEx>
        <w:trPr>
          <w:trHeight w:val="268" w:hRule="atLeast"/>
        </w:trPr>
        <w:tc>
          <w:tcPr>
            <w:tcW w:w="1074" w:type="pct"/>
            <w:tcBorders>
              <w:top w:val="nil"/>
              <w:left w:val="single" w:color="auto" w:sz="4" w:space="0"/>
              <w:bottom w:val="single" w:color="auto" w:sz="4" w:space="0"/>
              <w:right w:val="single" w:color="auto" w:sz="4" w:space="0"/>
            </w:tcBorders>
            <w:noWrap/>
            <w:vAlign w:val="center"/>
          </w:tcPr>
          <w:p w14:paraId="40CFD1F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033" w:type="pct"/>
            <w:tcBorders>
              <w:top w:val="nil"/>
              <w:left w:val="nil"/>
              <w:bottom w:val="single" w:color="auto" w:sz="4" w:space="0"/>
              <w:right w:val="single" w:color="auto" w:sz="4" w:space="0"/>
            </w:tcBorders>
            <w:noWrap/>
            <w:vAlign w:val="center"/>
          </w:tcPr>
          <w:p w14:paraId="75433BC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23" w:type="pct"/>
            <w:tcBorders>
              <w:top w:val="nil"/>
              <w:left w:val="nil"/>
              <w:bottom w:val="single" w:color="auto" w:sz="4" w:space="0"/>
              <w:right w:val="single" w:color="auto" w:sz="4" w:space="0"/>
            </w:tcBorders>
            <w:noWrap/>
            <w:vAlign w:val="center"/>
          </w:tcPr>
          <w:p w14:paraId="41B33A0A">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70" w:type="pct"/>
            <w:tcBorders>
              <w:top w:val="nil"/>
              <w:left w:val="nil"/>
              <w:bottom w:val="single" w:color="auto" w:sz="4" w:space="0"/>
              <w:right w:val="single" w:color="auto" w:sz="4" w:space="0"/>
            </w:tcBorders>
            <w:noWrap/>
            <w:vAlign w:val="center"/>
          </w:tcPr>
          <w:p w14:paraId="0365C95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6B79DA2A">
        <w:tblPrEx>
          <w:tblCellMar>
            <w:top w:w="0" w:type="dxa"/>
            <w:left w:w="108" w:type="dxa"/>
            <w:bottom w:w="0" w:type="dxa"/>
            <w:right w:w="108" w:type="dxa"/>
          </w:tblCellMar>
        </w:tblPrEx>
        <w:trPr>
          <w:trHeight w:val="268" w:hRule="atLeast"/>
        </w:trPr>
        <w:tc>
          <w:tcPr>
            <w:tcW w:w="1074" w:type="pct"/>
            <w:tcBorders>
              <w:top w:val="nil"/>
              <w:left w:val="single" w:color="auto" w:sz="4" w:space="0"/>
              <w:bottom w:val="single" w:color="auto" w:sz="4" w:space="0"/>
              <w:right w:val="single" w:color="auto" w:sz="4" w:space="0"/>
            </w:tcBorders>
            <w:noWrap/>
            <w:vAlign w:val="center"/>
          </w:tcPr>
          <w:p w14:paraId="3AA8765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033" w:type="pct"/>
            <w:tcBorders>
              <w:top w:val="nil"/>
              <w:left w:val="nil"/>
              <w:bottom w:val="single" w:color="auto" w:sz="4" w:space="0"/>
              <w:right w:val="single" w:color="auto" w:sz="4" w:space="0"/>
            </w:tcBorders>
            <w:noWrap/>
            <w:vAlign w:val="center"/>
          </w:tcPr>
          <w:p w14:paraId="2FCCA86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23" w:type="pct"/>
            <w:tcBorders>
              <w:top w:val="nil"/>
              <w:left w:val="nil"/>
              <w:bottom w:val="single" w:color="auto" w:sz="4" w:space="0"/>
              <w:right w:val="single" w:color="auto" w:sz="4" w:space="0"/>
            </w:tcBorders>
            <w:noWrap/>
            <w:vAlign w:val="center"/>
          </w:tcPr>
          <w:p w14:paraId="758100A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70" w:type="pct"/>
            <w:tcBorders>
              <w:top w:val="nil"/>
              <w:left w:val="nil"/>
              <w:bottom w:val="single" w:color="auto" w:sz="4" w:space="0"/>
              <w:right w:val="single" w:color="auto" w:sz="4" w:space="0"/>
            </w:tcBorders>
            <w:noWrap/>
            <w:vAlign w:val="center"/>
          </w:tcPr>
          <w:p w14:paraId="102A9843">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535AFBC3">
        <w:tblPrEx>
          <w:tblCellMar>
            <w:top w:w="0" w:type="dxa"/>
            <w:left w:w="108" w:type="dxa"/>
            <w:bottom w:w="0" w:type="dxa"/>
            <w:right w:w="108" w:type="dxa"/>
          </w:tblCellMar>
        </w:tblPrEx>
        <w:trPr>
          <w:trHeight w:val="268" w:hRule="atLeast"/>
        </w:trPr>
        <w:tc>
          <w:tcPr>
            <w:tcW w:w="1074" w:type="pct"/>
            <w:tcBorders>
              <w:top w:val="nil"/>
              <w:left w:val="single" w:color="auto" w:sz="4" w:space="0"/>
              <w:bottom w:val="single" w:color="auto" w:sz="4" w:space="0"/>
              <w:right w:val="single" w:color="auto" w:sz="4" w:space="0"/>
            </w:tcBorders>
            <w:noWrap/>
            <w:vAlign w:val="center"/>
          </w:tcPr>
          <w:p w14:paraId="2FA0A9B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033" w:type="pct"/>
            <w:tcBorders>
              <w:top w:val="nil"/>
              <w:left w:val="nil"/>
              <w:bottom w:val="single" w:color="auto" w:sz="4" w:space="0"/>
              <w:right w:val="single" w:color="auto" w:sz="4" w:space="0"/>
            </w:tcBorders>
            <w:noWrap/>
            <w:vAlign w:val="center"/>
          </w:tcPr>
          <w:p w14:paraId="70867DE6">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23" w:type="pct"/>
            <w:tcBorders>
              <w:top w:val="nil"/>
              <w:left w:val="nil"/>
              <w:bottom w:val="single" w:color="auto" w:sz="4" w:space="0"/>
              <w:right w:val="single" w:color="auto" w:sz="4" w:space="0"/>
            </w:tcBorders>
            <w:noWrap/>
            <w:vAlign w:val="center"/>
          </w:tcPr>
          <w:p w14:paraId="0CC9608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70" w:type="pct"/>
            <w:tcBorders>
              <w:top w:val="nil"/>
              <w:left w:val="nil"/>
              <w:bottom w:val="single" w:color="auto" w:sz="4" w:space="0"/>
              <w:right w:val="single" w:color="auto" w:sz="4" w:space="0"/>
            </w:tcBorders>
            <w:noWrap/>
            <w:vAlign w:val="center"/>
          </w:tcPr>
          <w:p w14:paraId="705A95E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04B93BDC">
        <w:tblPrEx>
          <w:tblCellMar>
            <w:top w:w="0" w:type="dxa"/>
            <w:left w:w="108" w:type="dxa"/>
            <w:bottom w:w="0" w:type="dxa"/>
            <w:right w:w="108" w:type="dxa"/>
          </w:tblCellMar>
        </w:tblPrEx>
        <w:trPr>
          <w:trHeight w:val="268" w:hRule="atLeast"/>
        </w:trPr>
        <w:tc>
          <w:tcPr>
            <w:tcW w:w="1074" w:type="pct"/>
            <w:tcBorders>
              <w:top w:val="nil"/>
              <w:left w:val="single" w:color="auto" w:sz="4" w:space="0"/>
              <w:bottom w:val="single" w:color="auto" w:sz="4" w:space="0"/>
              <w:right w:val="single" w:color="auto" w:sz="4" w:space="0"/>
            </w:tcBorders>
            <w:noWrap/>
            <w:vAlign w:val="center"/>
          </w:tcPr>
          <w:p w14:paraId="1C5B50C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033" w:type="pct"/>
            <w:tcBorders>
              <w:top w:val="nil"/>
              <w:left w:val="nil"/>
              <w:bottom w:val="single" w:color="auto" w:sz="4" w:space="0"/>
              <w:right w:val="single" w:color="auto" w:sz="4" w:space="0"/>
            </w:tcBorders>
            <w:noWrap/>
            <w:vAlign w:val="center"/>
          </w:tcPr>
          <w:p w14:paraId="7C40E1A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23" w:type="pct"/>
            <w:tcBorders>
              <w:top w:val="nil"/>
              <w:left w:val="nil"/>
              <w:bottom w:val="single" w:color="auto" w:sz="4" w:space="0"/>
              <w:right w:val="single" w:color="auto" w:sz="4" w:space="0"/>
            </w:tcBorders>
            <w:noWrap/>
            <w:vAlign w:val="center"/>
          </w:tcPr>
          <w:p w14:paraId="4745A728">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70" w:type="pct"/>
            <w:tcBorders>
              <w:top w:val="nil"/>
              <w:left w:val="nil"/>
              <w:bottom w:val="single" w:color="auto" w:sz="4" w:space="0"/>
              <w:right w:val="single" w:color="auto" w:sz="4" w:space="0"/>
            </w:tcBorders>
            <w:noWrap/>
            <w:vAlign w:val="center"/>
          </w:tcPr>
          <w:p w14:paraId="1C6D2319">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2C33797F">
        <w:tblPrEx>
          <w:tblCellMar>
            <w:top w:w="0" w:type="dxa"/>
            <w:left w:w="108" w:type="dxa"/>
            <w:bottom w:w="0" w:type="dxa"/>
            <w:right w:w="108" w:type="dxa"/>
          </w:tblCellMar>
        </w:tblPrEx>
        <w:trPr>
          <w:trHeight w:val="268" w:hRule="atLeast"/>
        </w:trPr>
        <w:tc>
          <w:tcPr>
            <w:tcW w:w="1074" w:type="pct"/>
            <w:tcBorders>
              <w:top w:val="nil"/>
              <w:left w:val="single" w:color="auto" w:sz="4" w:space="0"/>
              <w:bottom w:val="single" w:color="auto" w:sz="4" w:space="0"/>
              <w:right w:val="single" w:color="auto" w:sz="4" w:space="0"/>
            </w:tcBorders>
            <w:noWrap/>
            <w:vAlign w:val="center"/>
          </w:tcPr>
          <w:p w14:paraId="4396FA1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033" w:type="pct"/>
            <w:tcBorders>
              <w:top w:val="nil"/>
              <w:left w:val="nil"/>
              <w:bottom w:val="single" w:color="auto" w:sz="4" w:space="0"/>
              <w:right w:val="single" w:color="auto" w:sz="4" w:space="0"/>
            </w:tcBorders>
            <w:noWrap/>
            <w:vAlign w:val="center"/>
          </w:tcPr>
          <w:p w14:paraId="7ECBF33D">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23" w:type="pct"/>
            <w:tcBorders>
              <w:top w:val="nil"/>
              <w:left w:val="nil"/>
              <w:bottom w:val="single" w:color="auto" w:sz="4" w:space="0"/>
              <w:right w:val="single" w:color="auto" w:sz="4" w:space="0"/>
            </w:tcBorders>
            <w:noWrap/>
            <w:vAlign w:val="center"/>
          </w:tcPr>
          <w:p w14:paraId="6552DDF7">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70" w:type="pct"/>
            <w:tcBorders>
              <w:top w:val="nil"/>
              <w:left w:val="nil"/>
              <w:bottom w:val="single" w:color="auto" w:sz="4" w:space="0"/>
              <w:right w:val="single" w:color="auto" w:sz="4" w:space="0"/>
            </w:tcBorders>
            <w:noWrap/>
            <w:vAlign w:val="center"/>
          </w:tcPr>
          <w:p w14:paraId="327C37B1">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r w14:paraId="5790EA72">
        <w:tblPrEx>
          <w:tblCellMar>
            <w:top w:w="0" w:type="dxa"/>
            <w:left w:w="108" w:type="dxa"/>
            <w:bottom w:w="0" w:type="dxa"/>
            <w:right w:w="108" w:type="dxa"/>
          </w:tblCellMar>
        </w:tblPrEx>
        <w:trPr>
          <w:trHeight w:val="268" w:hRule="atLeast"/>
        </w:trPr>
        <w:tc>
          <w:tcPr>
            <w:tcW w:w="1074" w:type="pct"/>
            <w:tcBorders>
              <w:top w:val="nil"/>
              <w:left w:val="single" w:color="auto" w:sz="4" w:space="0"/>
              <w:bottom w:val="single" w:color="auto" w:sz="4" w:space="0"/>
              <w:right w:val="single" w:color="auto" w:sz="4" w:space="0"/>
            </w:tcBorders>
            <w:noWrap/>
            <w:vAlign w:val="center"/>
          </w:tcPr>
          <w:p w14:paraId="2B57DC64">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033" w:type="pct"/>
            <w:tcBorders>
              <w:top w:val="nil"/>
              <w:left w:val="nil"/>
              <w:bottom w:val="single" w:color="auto" w:sz="4" w:space="0"/>
              <w:right w:val="single" w:color="auto" w:sz="4" w:space="0"/>
            </w:tcBorders>
            <w:noWrap/>
            <w:vAlign w:val="center"/>
          </w:tcPr>
          <w:p w14:paraId="31C772AC">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23" w:type="pct"/>
            <w:tcBorders>
              <w:top w:val="nil"/>
              <w:left w:val="nil"/>
              <w:bottom w:val="single" w:color="auto" w:sz="4" w:space="0"/>
              <w:right w:val="single" w:color="auto" w:sz="4" w:space="0"/>
            </w:tcBorders>
            <w:noWrap/>
            <w:vAlign w:val="center"/>
          </w:tcPr>
          <w:p w14:paraId="7F768DC2">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c>
          <w:tcPr>
            <w:tcW w:w="1470" w:type="pct"/>
            <w:tcBorders>
              <w:top w:val="nil"/>
              <w:left w:val="nil"/>
              <w:bottom w:val="single" w:color="auto" w:sz="4" w:space="0"/>
              <w:right w:val="single" w:color="auto" w:sz="4" w:space="0"/>
            </w:tcBorders>
            <w:noWrap/>
            <w:vAlign w:val="center"/>
          </w:tcPr>
          <w:p w14:paraId="2D84637B">
            <w:pPr>
              <w:keepNext w:val="0"/>
              <w:keepLines w:val="0"/>
              <w:suppressLineNumbers w:val="0"/>
              <w:spacing w:before="0" w:beforeAutospacing="0" w:after="0" w:afterAutospacing="0"/>
              <w:ind w:left="0" w:right="0" w:firstLine="480"/>
              <w:outlineLvl w:val="9"/>
              <w:rPr>
                <w:rFonts w:cs="宋体" w:asciiTheme="minorEastAsia" w:hAnsiTheme="minorEastAsia" w:eastAsiaTheme="minorEastAsia"/>
                <w:color w:val="auto"/>
                <w:kern w:val="0"/>
                <w:szCs w:val="21"/>
                <w:highlight w:val="none"/>
              </w:rPr>
            </w:pPr>
            <w:r>
              <w:rPr>
                <w:rFonts w:hint="eastAsia" w:cs="宋体" w:asciiTheme="minorEastAsia" w:hAnsiTheme="minorEastAsia" w:eastAsiaTheme="minorEastAsia"/>
                <w:color w:val="auto"/>
                <w:kern w:val="0"/>
                <w:szCs w:val="21"/>
                <w:highlight w:val="none"/>
              </w:rPr>
              <w:t>　</w:t>
            </w:r>
          </w:p>
        </w:tc>
      </w:tr>
    </w:tbl>
    <w:p w14:paraId="73A6617D">
      <w:pPr>
        <w:pStyle w:val="54"/>
        <w:spacing w:line="432" w:lineRule="auto"/>
        <w:ind w:firstLineChars="200"/>
        <w:outlineLvl w:val="9"/>
        <w:rPr>
          <w:rFonts w:cs="宋体" w:asciiTheme="minorEastAsia" w:hAnsiTheme="minorEastAsia"/>
          <w:color w:val="auto"/>
          <w:szCs w:val="21"/>
          <w:highlight w:val="none"/>
        </w:rPr>
      </w:pPr>
    </w:p>
    <w:p w14:paraId="726DF674">
      <w:pPr>
        <w:spacing w:before="240" w:beforeLines="100" w:line="480" w:lineRule="auto"/>
        <w:ind w:firstLine="480"/>
        <w:contextualSpacing/>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施工单位：（公章）</w:t>
      </w:r>
    </w:p>
    <w:p w14:paraId="6DDB944A">
      <w:pPr>
        <w:topLinePunct/>
        <w:spacing w:line="480" w:lineRule="auto"/>
        <w:ind w:firstLine="480"/>
        <w:outlineLvl w:val="9"/>
        <w:rPr>
          <w:rFonts w:hint="eastAsia" w:cs="宋体" w:asciiTheme="minorEastAsia" w:hAnsiTheme="minorEastAsia" w:eastAsiaTheme="minorEastAsia"/>
          <w:color w:val="auto"/>
          <w:szCs w:val="21"/>
          <w:highlight w:val="none"/>
          <w:lang w:val="en-US" w:eastAsia="zh-CN"/>
        </w:rPr>
      </w:pPr>
      <w:r>
        <w:rPr>
          <w:rFonts w:hint="eastAsia" w:cs="宋体" w:asciiTheme="minorEastAsia" w:hAnsiTheme="minorEastAsia" w:eastAsiaTheme="minorEastAsia"/>
          <w:color w:val="auto"/>
          <w:szCs w:val="21"/>
          <w:highlight w:val="none"/>
        </w:rPr>
        <w:t>法定代表人：（签字或盖章）</w:t>
      </w:r>
      <w:r>
        <w:rPr>
          <w:rFonts w:hint="eastAsia" w:cs="宋体" w:asciiTheme="minorEastAsia" w:hAnsiTheme="minorEastAsia" w:eastAsiaTheme="minorEastAsia"/>
          <w:color w:val="auto"/>
          <w:szCs w:val="21"/>
          <w:highlight w:val="none"/>
          <w:lang w:val="en-US" w:eastAsia="zh-CN"/>
        </w:rPr>
        <w:t xml:space="preserve"> </w:t>
      </w:r>
    </w:p>
    <w:p w14:paraId="395470D6">
      <w:pPr>
        <w:topLinePunct/>
        <w:spacing w:line="48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授权代理人：（签字或盖章）</w:t>
      </w:r>
    </w:p>
    <w:p w14:paraId="746B331D">
      <w:pPr>
        <w:spacing w:line="48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日期：  年  月  日</w:t>
      </w:r>
    </w:p>
    <w:p w14:paraId="05054A73">
      <w:pPr>
        <w:ind w:firstLine="480"/>
        <w:outlineLvl w:val="9"/>
        <w:rPr>
          <w:rFonts w:hint="eastAsia" w:cs="宋体" w:asciiTheme="minorEastAsia" w:hAnsiTheme="minorEastAsia" w:eastAsiaTheme="minorEastAsia"/>
          <w:color w:val="auto"/>
          <w:szCs w:val="21"/>
          <w:highlight w:val="none"/>
        </w:rPr>
        <w:sectPr>
          <w:pgSz w:w="11906" w:h="16838"/>
          <w:pgMar w:top="2098" w:right="1474" w:bottom="1984" w:left="1587" w:header="851" w:footer="992" w:gutter="0"/>
          <w:pgBorders>
            <w:top w:val="none" w:sz="0" w:space="0"/>
            <w:left w:val="none" w:sz="0" w:space="0"/>
            <w:bottom w:val="none" w:sz="0" w:space="0"/>
            <w:right w:val="none" w:sz="0" w:space="0"/>
          </w:pgBorders>
          <w:cols w:space="720" w:num="1"/>
          <w:docGrid w:type="lines" w:linePitch="312" w:charSpace="0"/>
        </w:sectPr>
      </w:pPr>
    </w:p>
    <w:p w14:paraId="78D59908">
      <w:pPr>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附表八</w:t>
      </w:r>
    </w:p>
    <w:p w14:paraId="4992DD07">
      <w:pPr>
        <w:ind w:firstLine="64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结算核对记录表</w:t>
      </w:r>
    </w:p>
    <w:p w14:paraId="5F2E7DFA">
      <w:pPr>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时间：</w:t>
      </w:r>
      <w:r>
        <w:rPr>
          <w:rFonts w:cs="宋体" w:asciiTheme="minorEastAsia" w:hAnsiTheme="minorEastAsia" w:eastAsiaTheme="minorEastAsia"/>
          <w:color w:val="auto"/>
          <w:szCs w:val="21"/>
          <w:highlight w:val="none"/>
        </w:rPr>
        <w:t>**年**月**日合同名称：</w:t>
      </w:r>
    </w:p>
    <w:p w14:paraId="5E4D2481">
      <w:pPr>
        <w:ind w:firstLine="420"/>
        <w:outlineLvl w:val="9"/>
        <w:rPr>
          <w:rFonts w:cs="宋体" w:asciiTheme="minorEastAsia" w:hAnsiTheme="minorEastAsia" w:eastAsiaTheme="minorEastAsia"/>
          <w:color w:val="auto"/>
          <w:szCs w:val="21"/>
          <w:highlight w:val="none"/>
        </w:rPr>
      </w:pPr>
    </w:p>
    <w:tbl>
      <w:tblPr>
        <w:tblStyle w:val="56"/>
        <w:tblW w:w="0" w:type="auto"/>
        <w:tblInd w:w="0" w:type="dxa"/>
        <w:tblLayout w:type="autofit"/>
        <w:tblCellMar>
          <w:top w:w="0" w:type="dxa"/>
          <w:left w:w="108" w:type="dxa"/>
          <w:bottom w:w="0" w:type="dxa"/>
          <w:right w:w="108" w:type="dxa"/>
        </w:tblCellMar>
      </w:tblPr>
      <w:tblGrid>
        <w:gridCol w:w="696"/>
        <w:gridCol w:w="1176"/>
        <w:gridCol w:w="903"/>
        <w:gridCol w:w="904"/>
        <w:gridCol w:w="1416"/>
        <w:gridCol w:w="1981"/>
        <w:gridCol w:w="1985"/>
      </w:tblGrid>
      <w:tr w14:paraId="128CD78C">
        <w:tblPrEx>
          <w:tblCellMar>
            <w:top w:w="0" w:type="dxa"/>
            <w:left w:w="108" w:type="dxa"/>
            <w:bottom w:w="0" w:type="dxa"/>
            <w:right w:w="108" w:type="dxa"/>
          </w:tblCellMar>
        </w:tblPrEx>
        <w:trPr>
          <w:trHeight w:val="270" w:hRule="atLeast"/>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center"/>
          </w:tcPr>
          <w:p w14:paraId="45CFEE86">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专业</w:t>
            </w:r>
          </w:p>
        </w:tc>
        <w:tc>
          <w:tcPr>
            <w:tcW w:w="0" w:type="auto"/>
            <w:tcBorders>
              <w:top w:val="single" w:color="auto" w:sz="4" w:space="0"/>
              <w:left w:val="nil"/>
              <w:bottom w:val="single" w:color="auto" w:sz="4" w:space="0"/>
              <w:right w:val="single" w:color="auto" w:sz="4" w:space="0"/>
            </w:tcBorders>
            <w:shd w:val="clear" w:color="auto" w:fill="auto"/>
            <w:noWrap/>
            <w:vAlign w:val="center"/>
          </w:tcPr>
          <w:p w14:paraId="2E3D2004">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开始时间</w:t>
            </w:r>
          </w:p>
        </w:tc>
        <w:tc>
          <w:tcPr>
            <w:tcW w:w="0" w:type="auto"/>
            <w:tcBorders>
              <w:top w:val="single" w:color="auto" w:sz="4" w:space="0"/>
              <w:left w:val="nil"/>
              <w:bottom w:val="single" w:color="auto" w:sz="4" w:space="0"/>
              <w:right w:val="single" w:color="auto" w:sz="4" w:space="0"/>
            </w:tcBorders>
            <w:shd w:val="clear" w:color="auto" w:fill="auto"/>
            <w:vAlign w:val="center"/>
          </w:tcPr>
          <w:p w14:paraId="68272441">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结束时间</w:t>
            </w:r>
          </w:p>
        </w:tc>
        <w:tc>
          <w:tcPr>
            <w:tcW w:w="0" w:type="auto"/>
            <w:tcBorders>
              <w:top w:val="single" w:color="auto" w:sz="4" w:space="0"/>
              <w:left w:val="nil"/>
              <w:bottom w:val="single" w:color="auto" w:sz="4" w:space="0"/>
              <w:right w:val="single" w:color="auto" w:sz="4" w:space="0"/>
            </w:tcBorders>
            <w:shd w:val="clear" w:color="auto" w:fill="auto"/>
            <w:vAlign w:val="center"/>
          </w:tcPr>
          <w:p w14:paraId="6D53CEFB">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争议问题</w:t>
            </w:r>
          </w:p>
        </w:tc>
        <w:tc>
          <w:tcPr>
            <w:tcW w:w="0" w:type="auto"/>
            <w:tcBorders>
              <w:top w:val="single" w:color="auto" w:sz="4" w:space="0"/>
              <w:left w:val="nil"/>
              <w:bottom w:val="single" w:color="auto" w:sz="4" w:space="0"/>
              <w:right w:val="single" w:color="auto" w:sz="4" w:space="0"/>
            </w:tcBorders>
            <w:shd w:val="clear" w:color="auto" w:fill="auto"/>
            <w:noWrap/>
            <w:vAlign w:val="center"/>
          </w:tcPr>
          <w:p w14:paraId="3B243002">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已确认内容</w:t>
            </w:r>
          </w:p>
        </w:tc>
        <w:tc>
          <w:tcPr>
            <w:tcW w:w="1981" w:type="dxa"/>
            <w:tcBorders>
              <w:top w:val="single" w:color="auto" w:sz="4" w:space="0"/>
              <w:left w:val="nil"/>
              <w:bottom w:val="single" w:color="auto" w:sz="4" w:space="0"/>
              <w:right w:val="single" w:color="auto" w:sz="4" w:space="0"/>
            </w:tcBorders>
            <w:shd w:val="clear" w:color="auto" w:fill="auto"/>
            <w:noWrap/>
            <w:vAlign w:val="center"/>
          </w:tcPr>
          <w:p w14:paraId="2924A243">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施工单位签字</w:t>
            </w:r>
          </w:p>
        </w:tc>
        <w:tc>
          <w:tcPr>
            <w:tcW w:w="1985" w:type="dxa"/>
            <w:tcBorders>
              <w:top w:val="single" w:color="auto" w:sz="4" w:space="0"/>
              <w:left w:val="nil"/>
              <w:bottom w:val="single" w:color="auto" w:sz="4" w:space="0"/>
              <w:right w:val="single" w:color="auto" w:sz="4" w:space="0"/>
            </w:tcBorders>
            <w:shd w:val="clear" w:color="auto" w:fill="auto"/>
            <w:noWrap/>
            <w:vAlign w:val="center"/>
          </w:tcPr>
          <w:p w14:paraId="4BEA1276">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咨询单位签字</w:t>
            </w:r>
          </w:p>
        </w:tc>
      </w:tr>
      <w:tr w14:paraId="1386BC82">
        <w:tblPrEx>
          <w:tblCellMar>
            <w:top w:w="0" w:type="dxa"/>
            <w:left w:w="108" w:type="dxa"/>
            <w:bottom w:w="0" w:type="dxa"/>
            <w:right w:w="108" w:type="dxa"/>
          </w:tblCellMar>
        </w:tblPrEx>
        <w:trPr>
          <w:trHeight w:val="270"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1A478F9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noWrap/>
            <w:vAlign w:val="center"/>
          </w:tcPr>
          <w:p w14:paraId="60C7622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vAlign w:val="center"/>
          </w:tcPr>
          <w:p w14:paraId="610912B8">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vAlign w:val="center"/>
          </w:tcPr>
          <w:p w14:paraId="5A11FE66">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noWrap/>
            <w:vAlign w:val="center"/>
          </w:tcPr>
          <w:p w14:paraId="0D45D1FD">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1" w:type="dxa"/>
            <w:tcBorders>
              <w:top w:val="nil"/>
              <w:left w:val="nil"/>
              <w:bottom w:val="single" w:color="auto" w:sz="4" w:space="0"/>
              <w:right w:val="single" w:color="auto" w:sz="4" w:space="0"/>
            </w:tcBorders>
            <w:shd w:val="clear" w:color="auto" w:fill="auto"/>
            <w:noWrap/>
            <w:vAlign w:val="center"/>
          </w:tcPr>
          <w:p w14:paraId="55DDCCF8">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5" w:type="dxa"/>
            <w:tcBorders>
              <w:top w:val="nil"/>
              <w:left w:val="nil"/>
              <w:bottom w:val="single" w:color="auto" w:sz="4" w:space="0"/>
              <w:right w:val="single" w:color="auto" w:sz="4" w:space="0"/>
            </w:tcBorders>
            <w:shd w:val="clear" w:color="auto" w:fill="auto"/>
            <w:noWrap/>
            <w:vAlign w:val="center"/>
          </w:tcPr>
          <w:p w14:paraId="35D167DC">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42E8F6EE">
        <w:tblPrEx>
          <w:tblCellMar>
            <w:top w:w="0" w:type="dxa"/>
            <w:left w:w="108" w:type="dxa"/>
            <w:bottom w:w="0" w:type="dxa"/>
            <w:right w:w="108" w:type="dxa"/>
          </w:tblCellMar>
        </w:tblPrEx>
        <w:trPr>
          <w:trHeight w:val="270"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11A5F48F">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noWrap/>
            <w:vAlign w:val="center"/>
          </w:tcPr>
          <w:p w14:paraId="3DC1C488">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vAlign w:val="center"/>
          </w:tcPr>
          <w:p w14:paraId="7BCF98F8">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vAlign w:val="center"/>
          </w:tcPr>
          <w:p w14:paraId="225C3432">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noWrap/>
            <w:vAlign w:val="center"/>
          </w:tcPr>
          <w:p w14:paraId="24CA0B8B">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1" w:type="dxa"/>
            <w:tcBorders>
              <w:top w:val="nil"/>
              <w:left w:val="nil"/>
              <w:bottom w:val="single" w:color="auto" w:sz="4" w:space="0"/>
              <w:right w:val="single" w:color="auto" w:sz="4" w:space="0"/>
            </w:tcBorders>
            <w:shd w:val="clear" w:color="auto" w:fill="auto"/>
            <w:noWrap/>
            <w:vAlign w:val="center"/>
          </w:tcPr>
          <w:p w14:paraId="512AD2C9">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5" w:type="dxa"/>
            <w:tcBorders>
              <w:top w:val="nil"/>
              <w:left w:val="nil"/>
              <w:bottom w:val="single" w:color="auto" w:sz="4" w:space="0"/>
              <w:right w:val="single" w:color="auto" w:sz="4" w:space="0"/>
            </w:tcBorders>
            <w:shd w:val="clear" w:color="auto" w:fill="auto"/>
            <w:noWrap/>
            <w:vAlign w:val="center"/>
          </w:tcPr>
          <w:p w14:paraId="629BF4BC">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725C29DD">
        <w:tblPrEx>
          <w:tblCellMar>
            <w:top w:w="0" w:type="dxa"/>
            <w:left w:w="108" w:type="dxa"/>
            <w:bottom w:w="0" w:type="dxa"/>
            <w:right w:w="108" w:type="dxa"/>
          </w:tblCellMar>
        </w:tblPrEx>
        <w:trPr>
          <w:trHeight w:val="270"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2453A25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noWrap/>
            <w:vAlign w:val="center"/>
          </w:tcPr>
          <w:p w14:paraId="03DA3BCD">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vAlign w:val="center"/>
          </w:tcPr>
          <w:p w14:paraId="53829168">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vAlign w:val="center"/>
          </w:tcPr>
          <w:p w14:paraId="08B71CD5">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noWrap/>
            <w:vAlign w:val="center"/>
          </w:tcPr>
          <w:p w14:paraId="3F049101">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1" w:type="dxa"/>
            <w:tcBorders>
              <w:top w:val="nil"/>
              <w:left w:val="nil"/>
              <w:bottom w:val="single" w:color="auto" w:sz="4" w:space="0"/>
              <w:right w:val="single" w:color="auto" w:sz="4" w:space="0"/>
            </w:tcBorders>
            <w:shd w:val="clear" w:color="auto" w:fill="auto"/>
            <w:noWrap/>
            <w:vAlign w:val="center"/>
          </w:tcPr>
          <w:p w14:paraId="31C41D12">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5" w:type="dxa"/>
            <w:tcBorders>
              <w:top w:val="nil"/>
              <w:left w:val="nil"/>
              <w:bottom w:val="single" w:color="auto" w:sz="4" w:space="0"/>
              <w:right w:val="single" w:color="auto" w:sz="4" w:space="0"/>
            </w:tcBorders>
            <w:shd w:val="clear" w:color="auto" w:fill="auto"/>
            <w:noWrap/>
            <w:vAlign w:val="center"/>
          </w:tcPr>
          <w:p w14:paraId="39D50046">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4F5F8747">
        <w:tblPrEx>
          <w:tblCellMar>
            <w:top w:w="0" w:type="dxa"/>
            <w:left w:w="108" w:type="dxa"/>
            <w:bottom w:w="0" w:type="dxa"/>
            <w:right w:w="108" w:type="dxa"/>
          </w:tblCellMar>
        </w:tblPrEx>
        <w:trPr>
          <w:trHeight w:val="270"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63BA1809">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noWrap/>
            <w:vAlign w:val="center"/>
          </w:tcPr>
          <w:p w14:paraId="79CF7FE7">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vAlign w:val="center"/>
          </w:tcPr>
          <w:p w14:paraId="794DBD66">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vAlign w:val="center"/>
          </w:tcPr>
          <w:p w14:paraId="18394C0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noWrap/>
            <w:vAlign w:val="center"/>
          </w:tcPr>
          <w:p w14:paraId="68BE06B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1" w:type="dxa"/>
            <w:tcBorders>
              <w:top w:val="nil"/>
              <w:left w:val="nil"/>
              <w:bottom w:val="single" w:color="auto" w:sz="4" w:space="0"/>
              <w:right w:val="single" w:color="auto" w:sz="4" w:space="0"/>
            </w:tcBorders>
            <w:shd w:val="clear" w:color="auto" w:fill="auto"/>
            <w:noWrap/>
            <w:vAlign w:val="center"/>
          </w:tcPr>
          <w:p w14:paraId="451E883C">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5" w:type="dxa"/>
            <w:tcBorders>
              <w:top w:val="nil"/>
              <w:left w:val="nil"/>
              <w:bottom w:val="single" w:color="auto" w:sz="4" w:space="0"/>
              <w:right w:val="single" w:color="auto" w:sz="4" w:space="0"/>
            </w:tcBorders>
            <w:shd w:val="clear" w:color="auto" w:fill="auto"/>
            <w:noWrap/>
            <w:vAlign w:val="center"/>
          </w:tcPr>
          <w:p w14:paraId="2EE946D3">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2C4715C9">
        <w:tblPrEx>
          <w:tblCellMar>
            <w:top w:w="0" w:type="dxa"/>
            <w:left w:w="108" w:type="dxa"/>
            <w:bottom w:w="0" w:type="dxa"/>
            <w:right w:w="108" w:type="dxa"/>
          </w:tblCellMar>
        </w:tblPrEx>
        <w:trPr>
          <w:trHeight w:val="270"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24FDF742">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noWrap/>
            <w:vAlign w:val="center"/>
          </w:tcPr>
          <w:p w14:paraId="1465F4E4">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vAlign w:val="center"/>
          </w:tcPr>
          <w:p w14:paraId="0D2E9843">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vAlign w:val="center"/>
          </w:tcPr>
          <w:p w14:paraId="3D66B0E3">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noWrap/>
            <w:vAlign w:val="center"/>
          </w:tcPr>
          <w:p w14:paraId="12AB7AA9">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1" w:type="dxa"/>
            <w:tcBorders>
              <w:top w:val="nil"/>
              <w:left w:val="nil"/>
              <w:bottom w:val="single" w:color="auto" w:sz="4" w:space="0"/>
              <w:right w:val="single" w:color="auto" w:sz="4" w:space="0"/>
            </w:tcBorders>
            <w:shd w:val="clear" w:color="auto" w:fill="auto"/>
            <w:noWrap/>
            <w:vAlign w:val="center"/>
          </w:tcPr>
          <w:p w14:paraId="349B8B1F">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5" w:type="dxa"/>
            <w:tcBorders>
              <w:top w:val="nil"/>
              <w:left w:val="nil"/>
              <w:bottom w:val="single" w:color="auto" w:sz="4" w:space="0"/>
              <w:right w:val="single" w:color="auto" w:sz="4" w:space="0"/>
            </w:tcBorders>
            <w:shd w:val="clear" w:color="auto" w:fill="auto"/>
            <w:noWrap/>
            <w:vAlign w:val="center"/>
          </w:tcPr>
          <w:p w14:paraId="04ADAF6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3A6E0528">
        <w:tblPrEx>
          <w:tblCellMar>
            <w:top w:w="0" w:type="dxa"/>
            <w:left w:w="108" w:type="dxa"/>
            <w:bottom w:w="0" w:type="dxa"/>
            <w:right w:w="108" w:type="dxa"/>
          </w:tblCellMar>
        </w:tblPrEx>
        <w:trPr>
          <w:trHeight w:val="270"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556C2A6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noWrap/>
            <w:vAlign w:val="center"/>
          </w:tcPr>
          <w:p w14:paraId="4ECDD3F6">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vAlign w:val="center"/>
          </w:tcPr>
          <w:p w14:paraId="78BFB2A7">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vAlign w:val="center"/>
          </w:tcPr>
          <w:p w14:paraId="4D54469D">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noWrap/>
            <w:vAlign w:val="center"/>
          </w:tcPr>
          <w:p w14:paraId="6B541BB3">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1" w:type="dxa"/>
            <w:tcBorders>
              <w:top w:val="nil"/>
              <w:left w:val="nil"/>
              <w:bottom w:val="single" w:color="auto" w:sz="4" w:space="0"/>
              <w:right w:val="single" w:color="auto" w:sz="4" w:space="0"/>
            </w:tcBorders>
            <w:shd w:val="clear" w:color="auto" w:fill="auto"/>
            <w:noWrap/>
            <w:vAlign w:val="center"/>
          </w:tcPr>
          <w:p w14:paraId="2CFA9799">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5" w:type="dxa"/>
            <w:tcBorders>
              <w:top w:val="nil"/>
              <w:left w:val="nil"/>
              <w:bottom w:val="single" w:color="auto" w:sz="4" w:space="0"/>
              <w:right w:val="single" w:color="auto" w:sz="4" w:space="0"/>
            </w:tcBorders>
            <w:shd w:val="clear" w:color="auto" w:fill="auto"/>
            <w:noWrap/>
            <w:vAlign w:val="center"/>
          </w:tcPr>
          <w:p w14:paraId="4D8823A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7D2228AE">
        <w:tblPrEx>
          <w:tblCellMar>
            <w:top w:w="0" w:type="dxa"/>
            <w:left w:w="108" w:type="dxa"/>
            <w:bottom w:w="0" w:type="dxa"/>
            <w:right w:w="108" w:type="dxa"/>
          </w:tblCellMar>
        </w:tblPrEx>
        <w:trPr>
          <w:trHeight w:val="270"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281B3EA0">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noWrap/>
            <w:vAlign w:val="center"/>
          </w:tcPr>
          <w:p w14:paraId="30242460">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vAlign w:val="center"/>
          </w:tcPr>
          <w:p w14:paraId="7667E4F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vAlign w:val="center"/>
          </w:tcPr>
          <w:p w14:paraId="5D7087C7">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noWrap/>
            <w:vAlign w:val="center"/>
          </w:tcPr>
          <w:p w14:paraId="218B2B0F">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1" w:type="dxa"/>
            <w:tcBorders>
              <w:top w:val="nil"/>
              <w:left w:val="nil"/>
              <w:bottom w:val="single" w:color="auto" w:sz="4" w:space="0"/>
              <w:right w:val="single" w:color="auto" w:sz="4" w:space="0"/>
            </w:tcBorders>
            <w:shd w:val="clear" w:color="auto" w:fill="auto"/>
            <w:noWrap/>
            <w:vAlign w:val="center"/>
          </w:tcPr>
          <w:p w14:paraId="2638CC0D">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5" w:type="dxa"/>
            <w:tcBorders>
              <w:top w:val="nil"/>
              <w:left w:val="nil"/>
              <w:bottom w:val="single" w:color="auto" w:sz="4" w:space="0"/>
              <w:right w:val="single" w:color="auto" w:sz="4" w:space="0"/>
            </w:tcBorders>
            <w:shd w:val="clear" w:color="auto" w:fill="auto"/>
            <w:noWrap/>
            <w:vAlign w:val="center"/>
          </w:tcPr>
          <w:p w14:paraId="078C9E97">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r w14:paraId="1666FAA2">
        <w:tblPrEx>
          <w:tblCellMar>
            <w:top w:w="0" w:type="dxa"/>
            <w:left w:w="108" w:type="dxa"/>
            <w:bottom w:w="0" w:type="dxa"/>
            <w:right w:w="108" w:type="dxa"/>
          </w:tblCellMar>
        </w:tblPrEx>
        <w:trPr>
          <w:trHeight w:val="270" w:hRule="atLeast"/>
        </w:trPr>
        <w:tc>
          <w:tcPr>
            <w:tcW w:w="0" w:type="auto"/>
            <w:tcBorders>
              <w:top w:val="nil"/>
              <w:left w:val="single" w:color="auto" w:sz="4" w:space="0"/>
              <w:bottom w:val="single" w:color="auto" w:sz="4" w:space="0"/>
              <w:right w:val="single" w:color="auto" w:sz="4" w:space="0"/>
            </w:tcBorders>
            <w:shd w:val="clear" w:color="auto" w:fill="auto"/>
            <w:noWrap/>
            <w:vAlign w:val="center"/>
          </w:tcPr>
          <w:p w14:paraId="4EDF1FB5">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noWrap/>
            <w:vAlign w:val="center"/>
          </w:tcPr>
          <w:p w14:paraId="091251F9">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0" w:type="auto"/>
            <w:tcBorders>
              <w:top w:val="nil"/>
              <w:left w:val="nil"/>
              <w:bottom w:val="single" w:color="auto" w:sz="4" w:space="0"/>
              <w:right w:val="single" w:color="auto" w:sz="4" w:space="0"/>
            </w:tcBorders>
            <w:shd w:val="clear" w:color="auto" w:fill="auto"/>
            <w:vAlign w:val="center"/>
          </w:tcPr>
          <w:p w14:paraId="57B60FCB">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vAlign w:val="center"/>
          </w:tcPr>
          <w:p w14:paraId="1380408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p>
        </w:tc>
        <w:tc>
          <w:tcPr>
            <w:tcW w:w="0" w:type="auto"/>
            <w:tcBorders>
              <w:top w:val="nil"/>
              <w:left w:val="nil"/>
              <w:bottom w:val="single" w:color="auto" w:sz="4" w:space="0"/>
              <w:right w:val="single" w:color="auto" w:sz="4" w:space="0"/>
            </w:tcBorders>
            <w:shd w:val="clear" w:color="auto" w:fill="auto"/>
            <w:noWrap/>
            <w:vAlign w:val="center"/>
          </w:tcPr>
          <w:p w14:paraId="2A46A425">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1" w:type="dxa"/>
            <w:tcBorders>
              <w:top w:val="nil"/>
              <w:left w:val="nil"/>
              <w:bottom w:val="single" w:color="auto" w:sz="4" w:space="0"/>
              <w:right w:val="single" w:color="auto" w:sz="4" w:space="0"/>
            </w:tcBorders>
            <w:shd w:val="clear" w:color="auto" w:fill="auto"/>
            <w:noWrap/>
            <w:vAlign w:val="center"/>
          </w:tcPr>
          <w:p w14:paraId="0FB047D0">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c>
          <w:tcPr>
            <w:tcW w:w="1985" w:type="dxa"/>
            <w:tcBorders>
              <w:top w:val="nil"/>
              <w:left w:val="nil"/>
              <w:bottom w:val="single" w:color="auto" w:sz="4" w:space="0"/>
              <w:right w:val="single" w:color="auto" w:sz="4" w:space="0"/>
            </w:tcBorders>
            <w:shd w:val="clear" w:color="auto" w:fill="auto"/>
            <w:noWrap/>
            <w:vAlign w:val="center"/>
          </w:tcPr>
          <w:p w14:paraId="729E7D42">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 w:val="24"/>
                <w:highlight w:val="none"/>
              </w:rPr>
            </w:pPr>
            <w:r>
              <w:rPr>
                <w:rFonts w:hint="eastAsia" w:cs="宋体" w:asciiTheme="minorEastAsia" w:hAnsiTheme="minorEastAsia" w:eastAsiaTheme="minorEastAsia"/>
                <w:color w:val="auto"/>
                <w:kern w:val="0"/>
                <w:sz w:val="24"/>
                <w:highlight w:val="none"/>
              </w:rPr>
              <w:t>　</w:t>
            </w:r>
          </w:p>
        </w:tc>
      </w:tr>
    </w:tbl>
    <w:p w14:paraId="6E4C6167">
      <w:pPr>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br w:type="page"/>
      </w:r>
    </w:p>
    <w:p w14:paraId="2A029DC3">
      <w:pP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附件十</w:t>
      </w:r>
      <w:r>
        <w:rPr>
          <w:rFonts w:hint="eastAsia" w:cs="宋体" w:asciiTheme="minorEastAsia" w:hAnsiTheme="minorEastAsia" w:eastAsiaTheme="minorEastAsia"/>
          <w:color w:val="auto"/>
          <w:szCs w:val="21"/>
          <w:highlight w:val="none"/>
          <w:lang w:val="en-US" w:eastAsia="zh-CN"/>
        </w:rPr>
        <w:t>八</w:t>
      </w:r>
      <w:r>
        <w:rPr>
          <w:rFonts w:hint="eastAsia" w:cs="宋体" w:asciiTheme="minorEastAsia" w:hAnsiTheme="minorEastAsia" w:eastAsiaTheme="minorEastAsia"/>
          <w:color w:val="auto"/>
          <w:szCs w:val="21"/>
          <w:highlight w:val="none"/>
        </w:rPr>
        <w:t>：</w:t>
      </w:r>
    </w:p>
    <w:p w14:paraId="3C693C6D">
      <w:pPr>
        <w:jc w:val="center"/>
        <w:outlineLvl w:val="9"/>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防渗漏体系操作指引</w:t>
      </w:r>
    </w:p>
    <w:p w14:paraId="18FDF8CF">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val="en-US" w:eastAsia="zh-CN"/>
        </w:rPr>
        <w:t>一、</w:t>
      </w:r>
      <w:r>
        <w:rPr>
          <w:rFonts w:hint="eastAsia" w:ascii="宋体" w:hAnsi="宋体" w:eastAsia="宋体" w:cs="宋体"/>
          <w:b w:val="0"/>
          <w:bCs/>
          <w:color w:val="auto"/>
          <w:sz w:val="21"/>
          <w:szCs w:val="21"/>
          <w:highlight w:val="none"/>
          <w:lang w:eastAsia="zh-CN"/>
        </w:rPr>
        <w:t>编制目的</w:t>
      </w:r>
    </w:p>
    <w:p w14:paraId="7EBC2EA4">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为加强</w:t>
      </w:r>
      <w:r>
        <w:rPr>
          <w:rFonts w:hint="eastAsia" w:ascii="宋体" w:hAnsi="宋体" w:eastAsia="宋体" w:cs="宋体"/>
          <w:b w:val="0"/>
          <w:bCs w:val="0"/>
          <w:color w:val="auto"/>
          <w:sz w:val="21"/>
          <w:szCs w:val="21"/>
          <w:highlight w:val="none"/>
          <w:lang w:eastAsia="zh-CN"/>
        </w:rPr>
        <w:t>经发地产</w:t>
      </w:r>
      <w:r>
        <w:rPr>
          <w:rFonts w:hint="eastAsia" w:ascii="宋体" w:hAnsi="宋体" w:eastAsia="宋体" w:cs="宋体"/>
          <w:b w:val="0"/>
          <w:bCs w:val="0"/>
          <w:color w:val="auto"/>
          <w:sz w:val="21"/>
          <w:szCs w:val="21"/>
          <w:highlight w:val="none"/>
        </w:rPr>
        <w:t>建筑工程防渗漏工作的技术质量管理，规避系统性和严重渗漏质量风险，减少客户渗漏报事，规范和统一防渗漏管控的体系、标准、流程，以实现公司防渗漏系统工程管理水平的均衡发展。</w:t>
      </w:r>
    </w:p>
    <w:p w14:paraId="77B9CA98">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二、适用范围</w:t>
      </w:r>
    </w:p>
    <w:p w14:paraId="73818E95">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rPr>
        <w:t>适用于公司开发的</w:t>
      </w:r>
      <w:r>
        <w:rPr>
          <w:rFonts w:hint="eastAsia" w:ascii="宋体" w:hAnsi="宋体" w:eastAsia="宋体" w:cs="宋体"/>
          <w:b w:val="0"/>
          <w:bCs w:val="0"/>
          <w:color w:val="auto"/>
          <w:sz w:val="21"/>
          <w:szCs w:val="21"/>
          <w:highlight w:val="none"/>
          <w:lang w:eastAsia="zh-CN"/>
        </w:rPr>
        <w:t>所有</w:t>
      </w:r>
      <w:r>
        <w:rPr>
          <w:rFonts w:hint="eastAsia" w:ascii="宋体" w:hAnsi="宋体" w:eastAsia="宋体" w:cs="宋体"/>
          <w:b w:val="0"/>
          <w:bCs w:val="0"/>
          <w:color w:val="auto"/>
          <w:sz w:val="21"/>
          <w:szCs w:val="21"/>
          <w:highlight w:val="none"/>
        </w:rPr>
        <w:t>工程</w:t>
      </w:r>
      <w:r>
        <w:rPr>
          <w:rFonts w:hint="eastAsia" w:ascii="宋体" w:hAnsi="宋体" w:eastAsia="宋体" w:cs="宋体"/>
          <w:b w:val="0"/>
          <w:bCs w:val="0"/>
          <w:color w:val="auto"/>
          <w:sz w:val="21"/>
          <w:szCs w:val="21"/>
          <w:highlight w:val="none"/>
          <w:lang w:eastAsia="zh-CN"/>
        </w:rPr>
        <w:t>建设</w:t>
      </w:r>
      <w:r>
        <w:rPr>
          <w:rFonts w:hint="eastAsia" w:ascii="宋体" w:hAnsi="宋体" w:eastAsia="宋体" w:cs="宋体"/>
          <w:b w:val="0"/>
          <w:bCs w:val="0"/>
          <w:color w:val="auto"/>
          <w:sz w:val="21"/>
          <w:szCs w:val="21"/>
          <w:highlight w:val="none"/>
        </w:rPr>
        <w:t>项目。</w:t>
      </w:r>
    </w:p>
    <w:p w14:paraId="6C053C8C">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lang w:eastAsia="zh-CN"/>
        </w:rPr>
        <w:t>三、</w:t>
      </w:r>
      <w:r>
        <w:rPr>
          <w:rFonts w:hint="eastAsia" w:ascii="宋体" w:hAnsi="宋体" w:eastAsia="宋体" w:cs="宋体"/>
          <w:b w:val="0"/>
          <w:bCs/>
          <w:color w:val="auto"/>
          <w:sz w:val="21"/>
          <w:szCs w:val="21"/>
          <w:highlight w:val="none"/>
        </w:rPr>
        <w:t>编制依据与原则</w:t>
      </w:r>
    </w:p>
    <w:p w14:paraId="5B6DBEF6">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依据国家现行相关法律法规及防水规范标准的要求，并结合公司实际情况，编制本操作指引。</w:t>
      </w:r>
    </w:p>
    <w:p w14:paraId="086685B4">
      <w:pPr>
        <w:keepNext w:val="0"/>
        <w:keepLines w:val="0"/>
        <w:pageBreakBefore w:val="0"/>
        <w:widowControl w:val="0"/>
        <w:numPr>
          <w:ilvl w:val="0"/>
          <w:numId w:val="9"/>
        </w:numPr>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部门职责</w:t>
      </w:r>
    </w:p>
    <w:p w14:paraId="1DEAE7A3">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（一）工程管理部</w:t>
      </w:r>
    </w:p>
    <w:p w14:paraId="61EA202C">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lang w:eastAsia="zh-CN"/>
        </w:rPr>
        <w:t>负责组织制定公司防渗漏节点构造标准。</w:t>
      </w:r>
    </w:p>
    <w:p w14:paraId="7779FE5C">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lang w:eastAsia="zh-CN"/>
        </w:rPr>
        <w:t>负责组织制定防渗漏管理体系文件并纳入招标文件和合同。</w:t>
      </w:r>
    </w:p>
    <w:p w14:paraId="2912020D">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lang w:eastAsia="zh-CN"/>
        </w:rPr>
        <w:t>指导并监督项目部执行防渗漏体系文件。</w:t>
      </w:r>
    </w:p>
    <w:p w14:paraId="544DD38B">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（二）总师办</w:t>
      </w:r>
    </w:p>
    <w:p w14:paraId="1E4B18EB">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lang w:eastAsia="zh-CN"/>
        </w:rPr>
        <w:t>参与公司防渗漏节点构造标准及体系文件的建立。</w:t>
      </w:r>
    </w:p>
    <w:p w14:paraId="60B1E208">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lang w:eastAsia="zh-CN"/>
        </w:rPr>
        <w:t>负责落实防渗漏节点构造及其他相关设计标准在施工图中的体现与要求。</w:t>
      </w:r>
    </w:p>
    <w:p w14:paraId="1C7801C1">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（三）项目部</w:t>
      </w:r>
    </w:p>
    <w:p w14:paraId="1B673378">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lang w:eastAsia="zh-CN"/>
        </w:rPr>
        <w:t>负责落实防渗漏体系，组织监理单位对施工单位防渗漏节点部位和做法进行检查。</w:t>
      </w:r>
    </w:p>
    <w:p w14:paraId="001C7683">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lang w:eastAsia="zh-CN"/>
        </w:rPr>
        <w:t>组织项目施工图会审，发现与防渗漏体系不符的提交给总师办进行调整和变更。</w:t>
      </w:r>
    </w:p>
    <w:p w14:paraId="21E50659">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lang w:eastAsia="zh-CN"/>
        </w:rPr>
        <w:t>负责防渗漏施工工艺标准及施工工艺样板的制作、验收、交底、实施等系列工作。</w:t>
      </w:r>
    </w:p>
    <w:p w14:paraId="3CD15822">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lang w:eastAsia="zh-CN"/>
        </w:rPr>
        <w:t>四、</w:t>
      </w:r>
      <w:r>
        <w:rPr>
          <w:rFonts w:hint="eastAsia" w:ascii="宋体" w:hAnsi="宋体" w:eastAsia="宋体" w:cs="宋体"/>
          <w:b w:val="0"/>
          <w:bCs/>
          <w:color w:val="auto"/>
          <w:sz w:val="21"/>
          <w:szCs w:val="21"/>
          <w:highlight w:val="none"/>
        </w:rPr>
        <w:t>防渗漏体系遵循的基本原则</w:t>
      </w:r>
    </w:p>
    <w:p w14:paraId="635E38B5">
      <w:pPr>
        <w:pStyle w:val="22"/>
        <w:keepNext w:val="0"/>
        <w:keepLines w:val="0"/>
        <w:pageBreakBefore w:val="0"/>
        <w:widowControl w:val="0"/>
        <w:tabs>
          <w:tab w:val="left" w:pos="883"/>
        </w:tabs>
        <w:kinsoku/>
        <w:wordWrap/>
        <w:overflowPunct/>
        <w:topLinePunct w:val="0"/>
        <w:autoSpaceDE/>
        <w:autoSpaceDN/>
        <w:bidi w:val="0"/>
        <w:adjustRightInd/>
        <w:snapToGrid/>
        <w:spacing w:before="0" w:line="560" w:lineRule="exact"/>
        <w:ind w:right="527"/>
        <w:contextualSpacing/>
        <w:textAlignment w:val="auto"/>
        <w:outlineLvl w:val="9"/>
        <w:rPr>
          <w:rFonts w:hint="eastAsia" w:ascii="宋体" w:hAnsi="宋体" w:eastAsia="宋体" w:cs="宋体"/>
          <w:color w:val="auto"/>
          <w:sz w:val="21"/>
          <w:szCs w:val="21"/>
          <w:highlight w:val="none"/>
          <w:lang w:eastAsia="zh-CN"/>
        </w:rPr>
      </w:pPr>
      <w:r>
        <w:rPr>
          <w:rFonts w:hint="eastAsia" w:ascii="宋体" w:hAnsi="宋体" w:eastAsia="宋体" w:cs="宋体"/>
          <w:b w:val="0"/>
          <w:bCs w:val="0"/>
          <w:color w:val="auto"/>
          <w:kern w:val="0"/>
          <w:sz w:val="21"/>
          <w:szCs w:val="21"/>
          <w:highlight w:val="none"/>
          <w:lang w:eastAsia="zh-CN"/>
        </w:rPr>
        <w:t>（一）</w:t>
      </w:r>
      <w:r>
        <w:rPr>
          <w:rFonts w:hint="eastAsia" w:ascii="宋体" w:hAnsi="宋体" w:eastAsia="宋体" w:cs="宋体"/>
          <w:b w:val="0"/>
          <w:bCs w:val="0"/>
          <w:color w:val="auto"/>
          <w:kern w:val="0"/>
          <w:sz w:val="21"/>
          <w:szCs w:val="21"/>
          <w:highlight w:val="none"/>
          <w:lang w:val="en-US" w:eastAsia="zh-CN" w:bidi="ar-SA"/>
        </w:rPr>
        <w:t>强化结构自防水功能；防排结合，先排后防</w:t>
      </w:r>
    </w:p>
    <w:p w14:paraId="5A88FACC">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防水工程的设计及施工时，首先强化结构自防水功能，每一处节点均要对结构本身的防水功能给予充分的重视。而后因地制宜，综合考虑，实施“排、疏、防、堵”等手段，并应做到先排后防，即：不能有积水，要将水在短时间内顺畅地排出。</w:t>
      </w:r>
    </w:p>
    <w:p w14:paraId="4122E3CC">
      <w:pPr>
        <w:pStyle w:val="22"/>
        <w:keepNext w:val="0"/>
        <w:keepLines w:val="0"/>
        <w:pageBreakBefore w:val="0"/>
        <w:widowControl w:val="0"/>
        <w:tabs>
          <w:tab w:val="left" w:pos="883"/>
        </w:tabs>
        <w:kinsoku/>
        <w:wordWrap/>
        <w:overflowPunct/>
        <w:topLinePunct w:val="0"/>
        <w:autoSpaceDE/>
        <w:autoSpaceDN/>
        <w:bidi w:val="0"/>
        <w:adjustRightInd/>
        <w:snapToGrid/>
        <w:spacing w:before="0" w:line="560" w:lineRule="exact"/>
        <w:ind w:right="527"/>
        <w:contextualSpacing/>
        <w:textAlignment w:val="auto"/>
        <w:outlineLvl w:val="9"/>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eastAsia="zh-CN"/>
        </w:rPr>
        <w:t>（</w:t>
      </w:r>
      <w:r>
        <w:rPr>
          <w:rFonts w:hint="eastAsia" w:ascii="宋体" w:hAnsi="宋体" w:eastAsia="宋体" w:cs="宋体"/>
          <w:b w:val="0"/>
          <w:bCs w:val="0"/>
          <w:color w:val="auto"/>
          <w:kern w:val="0"/>
          <w:sz w:val="21"/>
          <w:szCs w:val="21"/>
          <w:highlight w:val="none"/>
          <w:lang w:val="en-US" w:eastAsia="zh-CN" w:bidi="ar-SA"/>
        </w:rPr>
        <w:t>二）防水设计简单化原则</w:t>
      </w:r>
    </w:p>
    <w:p w14:paraId="12544F01">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有防水要求部位的建筑与结构设计应尽量简单，同时防水建筑做法也应相对简单有效。这既是从减少渗漏薄弱点出发，也是考虑万一出现渗漏的情况，便于找出原因和进行维修。</w:t>
      </w:r>
    </w:p>
    <w:p w14:paraId="268A4A57">
      <w:pPr>
        <w:pStyle w:val="22"/>
        <w:keepNext w:val="0"/>
        <w:keepLines w:val="0"/>
        <w:pageBreakBefore w:val="0"/>
        <w:widowControl w:val="0"/>
        <w:tabs>
          <w:tab w:val="left" w:pos="883"/>
        </w:tabs>
        <w:kinsoku/>
        <w:wordWrap/>
        <w:overflowPunct/>
        <w:topLinePunct w:val="0"/>
        <w:autoSpaceDE/>
        <w:autoSpaceDN/>
        <w:bidi w:val="0"/>
        <w:adjustRightInd/>
        <w:snapToGrid/>
        <w:spacing w:before="0" w:line="560" w:lineRule="exact"/>
        <w:ind w:right="527"/>
        <w:contextualSpacing/>
        <w:textAlignment w:val="auto"/>
        <w:outlineLvl w:val="9"/>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（三）技术与管理并用原则</w:t>
      </w:r>
    </w:p>
    <w:p w14:paraId="3E48B8CC">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lang w:eastAsia="zh-CN"/>
        </w:rPr>
        <w:t>防渗漏体系在执行过程中，重点有三关：</w:t>
      </w:r>
    </w:p>
    <w:p w14:paraId="3D5DA0FB">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lang w:eastAsia="zh-CN"/>
        </w:rPr>
        <w:t>第一是结构自防水，包括混凝土墙、柱、板、墙体材料及砌筑、抹灰层、塞缝等，这是整个防水体系的根基，根基不牢，防水体系当然会垮。</w:t>
      </w:r>
    </w:p>
    <w:p w14:paraId="12E41883">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lang w:eastAsia="zh-CN"/>
        </w:rPr>
        <w:t>第二是在各饰面层、防水层施工前、后的淋水、蓄水试验，是对之前工序防水能力的检验，只有通过淋（蓄）水试验的防水才是可靠的。</w:t>
      </w:r>
    </w:p>
    <w:p w14:paraId="2688AE10">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lang w:eastAsia="zh-CN"/>
        </w:rPr>
        <w:t>第三是防水材料（聚氨酯、JS、卷材）的应用，这是防水工程的第一道防线。</w:t>
      </w:r>
    </w:p>
    <w:p w14:paraId="5DA916C9">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lang w:eastAsia="zh-CN"/>
        </w:rPr>
        <w:t>任何一道关卡的失效，都会导致整个体系变弱，渗漏风险加大。因此必须采取相应的管理手段，保证各道防渗漏关卡的稳固。</w:t>
      </w:r>
    </w:p>
    <w:p w14:paraId="5F633A2A">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五、管理要求</w:t>
      </w:r>
    </w:p>
    <w:p w14:paraId="7F1CBEBD">
      <w:pPr>
        <w:pStyle w:val="22"/>
        <w:keepNext w:val="0"/>
        <w:keepLines w:val="0"/>
        <w:pageBreakBefore w:val="0"/>
        <w:widowControl w:val="0"/>
        <w:tabs>
          <w:tab w:val="left" w:pos="883"/>
        </w:tabs>
        <w:kinsoku/>
        <w:wordWrap/>
        <w:overflowPunct/>
        <w:topLinePunct w:val="0"/>
        <w:autoSpaceDE/>
        <w:autoSpaceDN/>
        <w:bidi w:val="0"/>
        <w:adjustRightInd/>
        <w:snapToGrid/>
        <w:spacing w:before="0" w:line="560" w:lineRule="exact"/>
        <w:ind w:right="527"/>
        <w:contextualSpacing/>
        <w:textAlignment w:val="auto"/>
        <w:outlineLvl w:val="9"/>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（一）招标管理</w:t>
      </w:r>
    </w:p>
    <w:p w14:paraId="0F0546C2">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lang w:eastAsia="zh-CN"/>
        </w:rPr>
        <w:t>工程管理部联合总师办建立防渗漏标准，并按防渗漏标准设计和出图。</w:t>
      </w:r>
    </w:p>
    <w:p w14:paraId="31C7ED3A">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lang w:eastAsia="zh-CN"/>
        </w:rPr>
        <w:t>工程管理部配合招标采供部对招标文件中防渗漏技术标准及相关管理标准进行补充完善，并将相关强制节点做法纳入招标文件。</w:t>
      </w:r>
    </w:p>
    <w:p w14:paraId="346DCC48">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lang w:eastAsia="zh-CN"/>
        </w:rPr>
        <w:t>项目工程部要求施工单位在投标技术标中响应招标文件防渗漏要求，并在施工组织设计中编制具体的防渗漏措施，施工中予以落实。</w:t>
      </w:r>
    </w:p>
    <w:p w14:paraId="68216DD7">
      <w:pPr>
        <w:pStyle w:val="22"/>
        <w:keepNext w:val="0"/>
        <w:keepLines w:val="0"/>
        <w:pageBreakBefore w:val="0"/>
        <w:widowControl w:val="0"/>
        <w:tabs>
          <w:tab w:val="left" w:pos="883"/>
        </w:tabs>
        <w:kinsoku/>
        <w:wordWrap/>
        <w:overflowPunct/>
        <w:topLinePunct w:val="0"/>
        <w:autoSpaceDE/>
        <w:autoSpaceDN/>
        <w:bidi w:val="0"/>
        <w:adjustRightInd/>
        <w:snapToGrid/>
        <w:spacing w:before="0" w:line="560" w:lineRule="exact"/>
        <w:ind w:right="527"/>
        <w:contextualSpacing/>
        <w:textAlignment w:val="auto"/>
        <w:outlineLvl w:val="9"/>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（二）工程策划管理</w:t>
      </w:r>
    </w:p>
    <w:p w14:paraId="5A03EFCD">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lang w:eastAsia="zh-CN"/>
        </w:rPr>
        <w:t>项目部按公司要求进行前期工程管理策划，形成项目工程管理策划书。</w:t>
      </w:r>
    </w:p>
    <w:p w14:paraId="2EFB4AD7">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lang w:eastAsia="zh-CN"/>
        </w:rPr>
        <w:t>项目工程管理策划书必须包含项目渗漏率控制指标及防渗漏控制标准及管理措施。</w:t>
      </w:r>
    </w:p>
    <w:p w14:paraId="099AA7D0">
      <w:pPr>
        <w:pStyle w:val="22"/>
        <w:keepNext w:val="0"/>
        <w:keepLines w:val="0"/>
        <w:pageBreakBefore w:val="0"/>
        <w:widowControl w:val="0"/>
        <w:tabs>
          <w:tab w:val="left" w:pos="883"/>
        </w:tabs>
        <w:kinsoku/>
        <w:wordWrap/>
        <w:overflowPunct/>
        <w:topLinePunct w:val="0"/>
        <w:autoSpaceDE/>
        <w:autoSpaceDN/>
        <w:bidi w:val="0"/>
        <w:adjustRightInd/>
        <w:snapToGrid/>
        <w:spacing w:before="0" w:line="560" w:lineRule="exact"/>
        <w:ind w:right="527"/>
        <w:contextualSpacing/>
        <w:textAlignment w:val="auto"/>
        <w:outlineLvl w:val="9"/>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（三）方案管理</w:t>
      </w:r>
    </w:p>
    <w:p w14:paraId="5F5AAC38">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各项目必须编制防渗防裂专项方案，方案应包含组织保障、管理措施、材料管控、技术标准、试验检验等。</w:t>
      </w:r>
    </w:p>
    <w:p w14:paraId="2EB6578E">
      <w:pPr>
        <w:pStyle w:val="22"/>
        <w:keepNext w:val="0"/>
        <w:keepLines w:val="0"/>
        <w:pageBreakBefore w:val="0"/>
        <w:widowControl w:val="0"/>
        <w:tabs>
          <w:tab w:val="left" w:pos="883"/>
        </w:tabs>
        <w:kinsoku/>
        <w:wordWrap/>
        <w:overflowPunct/>
        <w:topLinePunct w:val="0"/>
        <w:autoSpaceDE/>
        <w:autoSpaceDN/>
        <w:bidi w:val="0"/>
        <w:adjustRightInd/>
        <w:snapToGrid/>
        <w:spacing w:before="0" w:line="560" w:lineRule="exact"/>
        <w:ind w:right="527"/>
        <w:contextualSpacing/>
        <w:textAlignment w:val="auto"/>
        <w:outlineLvl w:val="9"/>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（四）样板管理</w:t>
      </w:r>
    </w:p>
    <w:p w14:paraId="37CD253F">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lang w:eastAsia="zh-CN"/>
        </w:rPr>
        <w:t>涉及渗漏的关键部位施工，必须做工艺样板，包括但不限于以下方面必须做样板：</w:t>
      </w:r>
    </w:p>
    <w:p w14:paraId="112F5596">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（1） 地下室防水层及管道穿地下室外墙洞口的封堵、防水；</w:t>
      </w:r>
    </w:p>
    <w:p w14:paraId="2E1E9D79">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（2）门窗安装及塞缝；</w:t>
      </w:r>
    </w:p>
    <w:p w14:paraId="027A1305">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（3）外墙脚手洞、螺杆洞封堵；</w:t>
      </w:r>
    </w:p>
    <w:p w14:paraId="4054E5FC">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（4）管道穿外墙、穿楼板洞口封堵；</w:t>
      </w:r>
    </w:p>
    <w:p w14:paraId="2F091A1B">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（5）外墙装饰（包括外保温）；</w:t>
      </w:r>
    </w:p>
    <w:p w14:paraId="087708A3">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（6）屋面面层（包括屋面防水、屋面保温等）；</w:t>
      </w:r>
    </w:p>
    <w:p w14:paraId="745F6793">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（7）烟道预留洞口封堵；</w:t>
      </w:r>
    </w:p>
    <w:p w14:paraId="3BDC5670">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（8）卫生间立管封堵；</w:t>
      </w:r>
    </w:p>
    <w:p w14:paraId="786D5EED">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9</w:t>
      </w:r>
      <w:r>
        <w:rPr>
          <w:rFonts w:hint="eastAsia" w:ascii="宋体" w:hAnsi="宋体" w:eastAsia="宋体" w:cs="宋体"/>
          <w:b w:val="0"/>
          <w:bCs w:val="0"/>
          <w:color w:val="auto"/>
          <w:sz w:val="21"/>
          <w:szCs w:val="21"/>
          <w:highlight w:val="none"/>
          <w:lang w:eastAsia="zh-CN"/>
        </w:rPr>
        <w:t>）幕墙根部防渗漏样板；</w:t>
      </w:r>
    </w:p>
    <w:p w14:paraId="29AC09DF">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（10）车库及屋面变形缝处防水节点。</w:t>
      </w:r>
    </w:p>
    <w:p w14:paraId="46568342">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lang w:eastAsia="zh-CN"/>
        </w:rPr>
        <w:t>样板完成后必须经监理、项目工程部验收确认。</w:t>
      </w:r>
    </w:p>
    <w:p w14:paraId="53D757A9">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lang w:eastAsia="zh-CN"/>
        </w:rPr>
        <w:t>施工单位负责督促、检查施工人员按照样板进行施工；监理单位、项目部负责按照样板验收。</w:t>
      </w:r>
    </w:p>
    <w:p w14:paraId="2992C191">
      <w:pPr>
        <w:pStyle w:val="22"/>
        <w:keepNext w:val="0"/>
        <w:keepLines w:val="0"/>
        <w:pageBreakBefore w:val="0"/>
        <w:widowControl w:val="0"/>
        <w:tabs>
          <w:tab w:val="left" w:pos="883"/>
        </w:tabs>
        <w:kinsoku/>
        <w:wordWrap/>
        <w:overflowPunct/>
        <w:topLinePunct w:val="0"/>
        <w:autoSpaceDE/>
        <w:autoSpaceDN/>
        <w:bidi w:val="0"/>
        <w:adjustRightInd/>
        <w:snapToGrid/>
        <w:spacing w:before="0" w:line="560" w:lineRule="exact"/>
        <w:ind w:right="527"/>
        <w:contextualSpacing/>
        <w:textAlignment w:val="auto"/>
        <w:outlineLvl w:val="9"/>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（五）旁站监督管理</w:t>
      </w:r>
    </w:p>
    <w:p w14:paraId="62189A40">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涉及易渗漏部位的施工工序，监理必须旁站监督，并留有旁站记录，包括但不限于以下工序：地下室底板及墙面、顶板防水层施工；基坑回土；楼屋面砼浇捣；外墙螺杆洞、脚手洞封堵；屋面防水层施工；屋面变形缝防水施工。</w:t>
      </w:r>
    </w:p>
    <w:p w14:paraId="6EFBAEDA">
      <w:pPr>
        <w:pStyle w:val="22"/>
        <w:keepNext w:val="0"/>
        <w:keepLines w:val="0"/>
        <w:pageBreakBefore w:val="0"/>
        <w:widowControl w:val="0"/>
        <w:tabs>
          <w:tab w:val="left" w:pos="883"/>
        </w:tabs>
        <w:kinsoku/>
        <w:wordWrap/>
        <w:overflowPunct/>
        <w:topLinePunct w:val="0"/>
        <w:autoSpaceDE/>
        <w:autoSpaceDN/>
        <w:bidi w:val="0"/>
        <w:adjustRightInd/>
        <w:snapToGrid/>
        <w:spacing w:before="0" w:line="560" w:lineRule="exact"/>
        <w:ind w:right="527"/>
        <w:contextualSpacing/>
        <w:textAlignment w:val="auto"/>
        <w:outlineLvl w:val="9"/>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（六）雨季检查</w:t>
      </w:r>
    </w:p>
    <w:p w14:paraId="3E37F3F3">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雨季，项目部应派专人对现场渗漏情况进行检查，检查应形成雨季检查记录，整改封闭后应进行相关试验检验，渗漏点及封闭应记录在案并留有影像资料。</w:t>
      </w:r>
    </w:p>
    <w:p w14:paraId="147B2ABE">
      <w:pPr>
        <w:pStyle w:val="22"/>
        <w:keepNext w:val="0"/>
        <w:keepLines w:val="0"/>
        <w:pageBreakBefore w:val="0"/>
        <w:widowControl w:val="0"/>
        <w:tabs>
          <w:tab w:val="left" w:pos="883"/>
        </w:tabs>
        <w:kinsoku/>
        <w:wordWrap/>
        <w:overflowPunct/>
        <w:topLinePunct w:val="0"/>
        <w:autoSpaceDE/>
        <w:autoSpaceDN/>
        <w:bidi w:val="0"/>
        <w:adjustRightInd/>
        <w:snapToGrid/>
        <w:spacing w:before="0" w:line="560" w:lineRule="exact"/>
        <w:ind w:right="527"/>
        <w:contextualSpacing/>
        <w:textAlignment w:val="auto"/>
        <w:outlineLvl w:val="9"/>
        <w:rPr>
          <w:rFonts w:hint="eastAsia" w:ascii="宋体" w:hAnsi="宋体" w:eastAsia="宋体" w:cs="宋体"/>
          <w:b w:val="0"/>
          <w:bCs w:val="0"/>
          <w:color w:val="auto"/>
          <w:kern w:val="0"/>
          <w:sz w:val="21"/>
          <w:szCs w:val="21"/>
          <w:highlight w:val="none"/>
          <w:lang w:val="en-US" w:eastAsia="zh-CN" w:bidi="ar-SA"/>
        </w:rPr>
      </w:pPr>
      <w:r>
        <w:rPr>
          <w:rFonts w:hint="eastAsia" w:ascii="宋体" w:hAnsi="宋体" w:eastAsia="宋体" w:cs="宋体"/>
          <w:b w:val="0"/>
          <w:bCs w:val="0"/>
          <w:color w:val="auto"/>
          <w:kern w:val="0"/>
          <w:sz w:val="21"/>
          <w:szCs w:val="21"/>
          <w:highlight w:val="none"/>
          <w:lang w:val="en-US" w:eastAsia="zh-CN" w:bidi="ar-SA"/>
        </w:rPr>
        <w:t>（七）试验检验</w:t>
      </w:r>
    </w:p>
    <w:p w14:paraId="781B818A">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 xml:space="preserve">所有项目必须完成以下试验检验，所有试验检验及维修必须留有影像资料及书面记录。   </w:t>
      </w:r>
    </w:p>
    <w:p w14:paraId="09F06216">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lang w:eastAsia="zh-CN"/>
        </w:rPr>
        <w:t>卫生间楼板</w:t>
      </w:r>
    </w:p>
    <w:p w14:paraId="3C38AD1A">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eastAsia="zh-CN"/>
        </w:rPr>
        <w:t>（1）防水施工前，结构板蓄水试验24小时，如有渗漏，修复结构板后再次蓄水试验2</w:t>
      </w:r>
      <w:r>
        <w:rPr>
          <w:rFonts w:hint="eastAsia" w:ascii="宋体" w:hAnsi="宋体" w:eastAsia="宋体" w:cs="宋体"/>
          <w:b w:val="0"/>
          <w:bCs w:val="0"/>
          <w:color w:val="auto"/>
          <w:sz w:val="21"/>
          <w:szCs w:val="21"/>
          <w:highlight w:val="none"/>
          <w:lang w:val="en-US" w:eastAsia="zh-CN"/>
        </w:rPr>
        <w:t>4</w:t>
      </w:r>
      <w:r>
        <w:rPr>
          <w:rFonts w:hint="eastAsia" w:ascii="宋体" w:hAnsi="宋体" w:eastAsia="宋体" w:cs="宋体"/>
          <w:b w:val="0"/>
          <w:bCs w:val="0"/>
          <w:color w:val="auto"/>
          <w:sz w:val="21"/>
          <w:szCs w:val="21"/>
          <w:highlight w:val="none"/>
          <w:lang w:eastAsia="zh-CN"/>
        </w:rPr>
        <w:t>小时，修至不漏为止。</w:t>
      </w:r>
    </w:p>
    <w:p w14:paraId="736E8572">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（2）防水层及装修面层完成后，第二次蓄水试验24小时，达到不渗漏为止，否则修复后 再次蓄水试验24小时。</w:t>
      </w:r>
    </w:p>
    <w:p w14:paraId="1716BE85">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（3）如属精装修房，第二次蓄水试验总包、精装修单位共同参与验收，作为交接验收依据之一；面层完成后由精装修单位完成第三次蓄水试验：蓄水24小时，达到不渗漏为止，否则修复后再次蓄水试验24小时。</w:t>
      </w:r>
    </w:p>
    <w:p w14:paraId="736690F0">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lang w:eastAsia="zh-CN"/>
        </w:rPr>
        <w:t>屋面</w:t>
      </w:r>
    </w:p>
    <w:p w14:paraId="0CAFD98B">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（1）防水施工前，结构板蓄水试验24小时，如有渗漏，修复结构板后再次蓄水试验24小时，修至不漏为止。</w:t>
      </w:r>
    </w:p>
    <w:p w14:paraId="6F019E7A">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（2）防水层及面层完成后，第二次蓄水试验24小时，达到不渗漏、防水层不起泡为止，否则修复后再次蓄水试验24小时。</w:t>
      </w:r>
    </w:p>
    <w:p w14:paraId="44DD47CD">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（3）如属坡屋面，蓄水试验改为24小时淋水试验，淋水试验标准见外墙工程防渗漏篇淋蓄水要求。</w:t>
      </w:r>
    </w:p>
    <w:p w14:paraId="740F9763">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lang w:eastAsia="zh-CN"/>
        </w:rPr>
        <w:t>厨房、阳台</w:t>
      </w:r>
    </w:p>
    <w:p w14:paraId="192DF4B9">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（1）装修面层施工前，结构板蓄水试验24小时，如有渗漏，修复结构板后再次蓄水试验24小时，修至不漏为止。</w:t>
      </w:r>
    </w:p>
    <w:p w14:paraId="3A95E886">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（2）装修面层完成后，第二次蓄水试验24小时，达到不渗漏为止，否则修复后再次蓄水试验24小时。</w:t>
      </w:r>
    </w:p>
    <w:p w14:paraId="5192C1AC">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（3）如属精装修房，第二次蓄水试验总包、精装修单位共同参与验收，作为交接验收依据之一；面层完成后由精装修单位完成第三次蓄水试验：蓄水24小时，达到不渗漏为止，否则修复后再次蓄水试验24小时。</w:t>
      </w:r>
    </w:p>
    <w:p w14:paraId="6AA58BC3">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4.</w:t>
      </w:r>
      <w:r>
        <w:rPr>
          <w:rFonts w:hint="eastAsia" w:ascii="宋体" w:hAnsi="宋体" w:eastAsia="宋体" w:cs="宋体"/>
          <w:b w:val="0"/>
          <w:bCs w:val="0"/>
          <w:color w:val="auto"/>
          <w:sz w:val="21"/>
          <w:szCs w:val="21"/>
          <w:highlight w:val="none"/>
          <w:lang w:eastAsia="zh-CN"/>
        </w:rPr>
        <w:t>外门窗</w:t>
      </w:r>
    </w:p>
    <w:p w14:paraId="5F212C63">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（1）样板窗完成，对样板窗做喷水试验，标准见外墙工程防渗漏篇淋蓄水要求。</w:t>
      </w:r>
    </w:p>
    <w:p w14:paraId="26BAC81F">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（2）外门窗及外立面完成，对外墙及外门窗做淋水试验，标准见外墙工程防渗漏篇淋蓄水要求。</w:t>
      </w:r>
    </w:p>
    <w:p w14:paraId="05063AD5">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5.</w:t>
      </w:r>
      <w:r>
        <w:rPr>
          <w:rFonts w:hint="eastAsia" w:ascii="宋体" w:hAnsi="宋体" w:eastAsia="宋体" w:cs="宋体"/>
          <w:b w:val="0"/>
          <w:bCs w:val="0"/>
          <w:color w:val="auto"/>
          <w:sz w:val="21"/>
          <w:szCs w:val="21"/>
          <w:highlight w:val="none"/>
          <w:lang w:eastAsia="zh-CN"/>
        </w:rPr>
        <w:t>上水管道</w:t>
      </w:r>
    </w:p>
    <w:p w14:paraId="23CB4B1C">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（1）工程完成后按规范要求做管道施压，确认无渗漏，方可隐蔽。</w:t>
      </w:r>
    </w:p>
    <w:p w14:paraId="5C01416F">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 xml:space="preserve">（2）装修阶段，有条件的，给水管线与设备应采用带水作业，提前发现渗漏隐患。 </w:t>
      </w:r>
    </w:p>
    <w:p w14:paraId="5112AE24">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lang w:eastAsia="zh-CN"/>
        </w:rPr>
        <w:t>）下水管道及存水容器工程完成做通球试验，确认畅通后管道口用胶带纸封闭。</w:t>
      </w:r>
    </w:p>
    <w:p w14:paraId="5A1005B2">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lang w:val="en-US" w:eastAsia="zh-CN"/>
        </w:rPr>
        <w:t>六</w:t>
      </w:r>
      <w:r>
        <w:rPr>
          <w:rFonts w:hint="eastAsia" w:ascii="宋体" w:hAnsi="宋体" w:eastAsia="宋体" w:cs="宋体"/>
          <w:b w:val="0"/>
          <w:bCs/>
          <w:color w:val="auto"/>
          <w:sz w:val="21"/>
          <w:szCs w:val="21"/>
          <w:highlight w:val="none"/>
          <w:lang w:eastAsia="zh-CN"/>
        </w:rPr>
        <w:t>、</w:t>
      </w:r>
      <w:r>
        <w:rPr>
          <w:rFonts w:hint="eastAsia" w:ascii="宋体" w:hAnsi="宋体" w:eastAsia="宋体" w:cs="宋体"/>
          <w:b w:val="0"/>
          <w:bCs/>
          <w:color w:val="auto"/>
          <w:sz w:val="21"/>
          <w:szCs w:val="21"/>
          <w:highlight w:val="none"/>
        </w:rPr>
        <w:t>防渗漏体系的组成</w:t>
      </w:r>
    </w:p>
    <w:p w14:paraId="66954299">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（一）</w:t>
      </w:r>
      <w:r>
        <w:rPr>
          <w:rFonts w:hint="eastAsia" w:ascii="宋体" w:hAnsi="宋体" w:eastAsia="宋体" w:cs="宋体"/>
          <w:b w:val="0"/>
          <w:bCs w:val="0"/>
          <w:color w:val="auto"/>
          <w:sz w:val="21"/>
          <w:szCs w:val="21"/>
          <w:highlight w:val="none"/>
        </w:rPr>
        <w:t>项目工程的防渗漏是一个系统性工程，各分部工程的防渗漏均由结构自防水和防水材料防水两部分组成。</w:t>
      </w:r>
    </w:p>
    <w:p w14:paraId="663DAA1B">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（二）</w:t>
      </w:r>
      <w:r>
        <w:rPr>
          <w:rFonts w:hint="eastAsia" w:ascii="宋体" w:hAnsi="宋体" w:eastAsia="宋体" w:cs="宋体"/>
          <w:b w:val="0"/>
          <w:bCs w:val="0"/>
          <w:color w:val="auto"/>
          <w:sz w:val="21"/>
          <w:szCs w:val="21"/>
          <w:highlight w:val="none"/>
        </w:rPr>
        <w:t>项目工程防渗漏应进行综合治理，重点应做好“三关”的控制,“三关”并重，缺一不可。</w:t>
      </w:r>
    </w:p>
    <w:p w14:paraId="138CD1BF">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rPr>
        <w:t>结构自防水——第一关</w:t>
      </w:r>
    </w:p>
    <w:p w14:paraId="78C50E3E">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即必须保证防水部位的混凝土结构的密实性，砌筑工程的灰缝饱满度，抹灰工程的砂浆粘结牢固度且无裂缝，门窗后塞口塞缝的饱满密实度等，这是整个防渗漏体系的基础和前提，基础工作不过关，防渗漏体系则无法保证。</w:t>
      </w:r>
    </w:p>
    <w:p w14:paraId="60A4761C">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rPr>
        <w:t>淋（蓄）水试验——第二关</w:t>
      </w:r>
    </w:p>
    <w:p w14:paraId="7D4140D1">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在各结构层、防水层施工前（后）的淋（蓄）水试验，是对紧前工序防水能力的真实检验，应通过合理的淋（蓄）水试验来检验防渗漏体系的效果。</w:t>
      </w:r>
    </w:p>
    <w:p w14:paraId="069245F9">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rPr>
        <w:t>防水材料的防水——第三关</w:t>
      </w:r>
    </w:p>
    <w:p w14:paraId="28B07C2D">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必须因地制宜地选择合适的防水材料并规范施工验收程序，严格控制。</w:t>
      </w:r>
    </w:p>
    <w:p w14:paraId="05383B82">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（三）</w:t>
      </w:r>
      <w:r>
        <w:rPr>
          <w:rFonts w:hint="eastAsia" w:ascii="宋体" w:hAnsi="宋体" w:eastAsia="宋体" w:cs="宋体"/>
          <w:b w:val="0"/>
          <w:bCs w:val="0"/>
          <w:color w:val="auto"/>
          <w:sz w:val="21"/>
          <w:szCs w:val="21"/>
          <w:highlight w:val="none"/>
        </w:rPr>
        <w:t>本防渗漏体系共由</w:t>
      </w:r>
      <w:r>
        <w:rPr>
          <w:rFonts w:hint="eastAsia" w:ascii="宋体" w:hAnsi="宋体" w:eastAsia="宋体" w:cs="宋体"/>
          <w:b w:val="0"/>
          <w:bCs w:val="0"/>
          <w:color w:val="auto"/>
          <w:sz w:val="21"/>
          <w:szCs w:val="21"/>
          <w:highlight w:val="none"/>
          <w:lang w:eastAsia="zh-CN"/>
        </w:rPr>
        <w:t>六</w:t>
      </w:r>
      <w:r>
        <w:rPr>
          <w:rFonts w:hint="eastAsia" w:ascii="宋体" w:hAnsi="宋体" w:eastAsia="宋体" w:cs="宋体"/>
          <w:b w:val="0"/>
          <w:bCs w:val="0"/>
          <w:color w:val="auto"/>
          <w:sz w:val="21"/>
          <w:szCs w:val="21"/>
          <w:highlight w:val="none"/>
        </w:rPr>
        <w:t>个部分组成，每一部分独立成篇。</w:t>
      </w:r>
    </w:p>
    <w:p w14:paraId="19ED5F53">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rPr>
        <w:t>第一部分为地下工程，该部分按照国家规范规定为按级设防，设防等级按照不同部位统一确定为一至二级。</w:t>
      </w:r>
    </w:p>
    <w:p w14:paraId="2A4735BD">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shd w:val="clear" w:color="auto" w:fill="FFFFFF"/>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rPr>
        <w:t>第二部分为屋面工程，该部分按照新版国家规范规定设防等级划分原则发生变化，</w:t>
      </w:r>
      <w:r>
        <w:rPr>
          <w:rFonts w:hint="eastAsia" w:ascii="宋体" w:hAnsi="宋体" w:eastAsia="宋体" w:cs="宋体"/>
          <w:b w:val="0"/>
          <w:bCs w:val="0"/>
          <w:color w:val="auto"/>
          <w:sz w:val="21"/>
          <w:szCs w:val="21"/>
          <w:highlight w:val="none"/>
          <w:shd w:val="clear" w:color="auto" w:fill="FFFFFF"/>
          <w:lang w:eastAsia="zh-CN"/>
        </w:rPr>
        <w:t>公司</w:t>
      </w:r>
      <w:r>
        <w:rPr>
          <w:rFonts w:hint="eastAsia" w:ascii="宋体" w:hAnsi="宋体" w:eastAsia="宋体" w:cs="宋体"/>
          <w:b w:val="0"/>
          <w:bCs w:val="0"/>
          <w:color w:val="auto"/>
          <w:sz w:val="21"/>
          <w:szCs w:val="21"/>
          <w:highlight w:val="none"/>
          <w:shd w:val="clear" w:color="auto" w:fill="FFFFFF"/>
        </w:rPr>
        <w:t>全部住宅屋面工程设防等级统一确定为一级。</w:t>
      </w:r>
    </w:p>
    <w:p w14:paraId="06E39929">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rPr>
        <w:t>第三至第</w:t>
      </w:r>
      <w:r>
        <w:rPr>
          <w:rFonts w:hint="eastAsia" w:ascii="宋体" w:hAnsi="宋体" w:eastAsia="宋体" w:cs="宋体"/>
          <w:b w:val="0"/>
          <w:bCs w:val="0"/>
          <w:color w:val="auto"/>
          <w:sz w:val="21"/>
          <w:szCs w:val="21"/>
          <w:highlight w:val="none"/>
          <w:lang w:eastAsia="zh-CN"/>
        </w:rPr>
        <w:t>六</w:t>
      </w:r>
      <w:r>
        <w:rPr>
          <w:rFonts w:hint="eastAsia" w:ascii="宋体" w:hAnsi="宋体" w:eastAsia="宋体" w:cs="宋体"/>
          <w:b w:val="0"/>
          <w:bCs w:val="0"/>
          <w:color w:val="auto"/>
          <w:sz w:val="21"/>
          <w:szCs w:val="21"/>
          <w:highlight w:val="none"/>
        </w:rPr>
        <w:t>部分分为厨房卫生间部分、阳露台部分、外墙部分、其它部分等，按照国家规范为非按级设防，其中露台工程统一规定按照一级屋面工程等级设防。</w:t>
      </w:r>
    </w:p>
    <w:p w14:paraId="5D907B6A">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eastAsia="zh-CN"/>
        </w:rPr>
        <w:t>（四）</w:t>
      </w:r>
      <w:r>
        <w:rPr>
          <w:rFonts w:hint="eastAsia" w:ascii="宋体" w:hAnsi="宋体" w:eastAsia="宋体" w:cs="宋体"/>
          <w:b w:val="0"/>
          <w:bCs w:val="0"/>
          <w:color w:val="auto"/>
          <w:sz w:val="21"/>
          <w:szCs w:val="21"/>
          <w:highlight w:val="none"/>
        </w:rPr>
        <w:t>以上各部分文件详见附件。</w:t>
      </w:r>
    </w:p>
    <w:p w14:paraId="01638776">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仿宋_GB2312" w:hAnsi="仿宋_GB2312" w:eastAsia="仿宋_GB2312" w:cs="仿宋_GB2312"/>
          <w:b w:val="0"/>
          <w:bCs w:val="0"/>
          <w:color w:val="auto"/>
          <w:sz w:val="28"/>
          <w:szCs w:val="28"/>
          <w:highlight w:val="none"/>
        </w:rPr>
        <w:sectPr>
          <w:pgSz w:w="11906" w:h="16838"/>
          <w:pgMar w:top="2098" w:right="1474" w:bottom="1984" w:left="1587"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eastAsia="宋体" w:cs="宋体"/>
          <w:b w:val="0"/>
          <w:bCs w:val="0"/>
          <w:color w:val="auto"/>
          <w:sz w:val="21"/>
          <w:szCs w:val="21"/>
          <w:highlight w:val="none"/>
          <w:lang w:eastAsia="zh-CN"/>
        </w:rPr>
        <w:t>（五）</w:t>
      </w:r>
      <w:r>
        <w:rPr>
          <w:rFonts w:hint="eastAsia" w:ascii="宋体" w:hAnsi="宋体" w:eastAsia="宋体" w:cs="宋体"/>
          <w:b w:val="0"/>
          <w:bCs w:val="0"/>
          <w:color w:val="auto"/>
          <w:sz w:val="21"/>
          <w:szCs w:val="21"/>
          <w:highlight w:val="none"/>
        </w:rPr>
        <w:t>本防渗漏体系的逻辑关系图—“结构树”，详见下图。</w:t>
      </w:r>
    </w:p>
    <w:p w14:paraId="5DD20EE0">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r>
        <w:rPr>
          <w:color w:val="auto"/>
          <w:highlight w:val="none"/>
        </w:rPr>
        <mc:AlternateContent>
          <mc:Choice Requires="wps">
            <w:drawing>
              <wp:anchor distT="0" distB="0" distL="114300" distR="114300" simplePos="0" relativeHeight="251954176" behindDoc="0" locked="0" layoutInCell="1" allowOverlap="1">
                <wp:simplePos x="0" y="0"/>
                <wp:positionH relativeFrom="column">
                  <wp:posOffset>3810</wp:posOffset>
                </wp:positionH>
                <wp:positionV relativeFrom="paragraph">
                  <wp:posOffset>15240</wp:posOffset>
                </wp:positionV>
                <wp:extent cx="8306435" cy="680085"/>
                <wp:effectExtent l="4445" t="4445" r="33020" b="39370"/>
                <wp:wrapNone/>
                <wp:docPr id="241" name="矩形 166"/>
                <wp:cNvGraphicFramePr/>
                <a:graphic xmlns:a="http://schemas.openxmlformats.org/drawingml/2006/main">
                  <a:graphicData uri="http://schemas.microsoft.com/office/word/2010/wordprocessingShape">
                    <wps:wsp>
                      <wps:cNvSpPr>
                        <a:spLocks noChangeArrowheads="1"/>
                      </wps:cNvSpPr>
                      <wps:spPr bwMode="auto">
                        <a:xfrm>
                          <a:off x="0" y="0"/>
                          <a:ext cx="8339455" cy="680085"/>
                        </a:xfrm>
                        <a:prstGeom prst="rect">
                          <a:avLst/>
                        </a:prstGeom>
                        <a:solidFill>
                          <a:srgbClr val="808080"/>
                        </a:solidFill>
                        <a:ln w="9525">
                          <a:solidFill>
                            <a:srgbClr val="F2F2F2"/>
                          </a:solidFill>
                          <a:miter lim="800000"/>
                        </a:ln>
                        <a:effectLst>
                          <a:outerShdw dist="28398" dir="3806097" algn="ctr" rotWithShape="0">
                            <a:srgbClr val="243F60">
                              <a:alpha val="50000"/>
                            </a:srgbClr>
                          </a:outerShdw>
                        </a:effectLst>
                      </wps:spPr>
                      <wps:txbx>
                        <w:txbxContent>
                          <w:p w14:paraId="2A4A4898">
                            <w:pPr>
                              <w:jc w:val="center"/>
                              <w:rPr>
                                <w:color w:val="FFFFFF"/>
                              </w:rPr>
                            </w:pPr>
                            <w:r>
                              <w:rPr>
                                <w:rFonts w:hint="eastAsia" w:ascii="黑体" w:eastAsia="黑体"/>
                                <w:b/>
                                <w:color w:val="FFFFFF"/>
                                <w:sz w:val="52"/>
                                <w:szCs w:val="52"/>
                                <w:lang w:eastAsia="zh-CN"/>
                              </w:rPr>
                              <w:t>经发地产</w:t>
                            </w:r>
                            <w:r>
                              <w:rPr>
                                <w:rFonts w:hint="eastAsia" w:ascii="黑体" w:eastAsia="黑体"/>
                                <w:b/>
                                <w:color w:val="FFFFFF"/>
                                <w:sz w:val="52"/>
                                <w:szCs w:val="52"/>
                              </w:rPr>
                              <w:t>防渗漏体系“结构树”</w:t>
                            </w:r>
                          </w:p>
                        </w:txbxContent>
                      </wps:txbx>
                      <wps:bodyPr rot="0" vert="horz" wrap="square" lIns="91440" tIns="45720" rIns="91440" bIns="45720" anchor="ctr" anchorCtr="0" upright="1">
                        <a:noAutofit/>
                      </wps:bodyPr>
                    </wps:wsp>
                  </a:graphicData>
                </a:graphic>
              </wp:anchor>
            </w:drawing>
          </mc:Choice>
          <mc:Fallback>
            <w:pict>
              <v:rect id="矩形 166" o:spid="_x0000_s1026" o:spt="1" style="position:absolute;left:0pt;margin-left:0.3pt;margin-top:1.2pt;height:53.55pt;width:654.05pt;z-index:251954176;v-text-anchor:middle;mso-width-relative:page;mso-height-relative:page;" fillcolor="#808080" filled="t" stroked="t" coordsize="21600,21600" o:gfxdata="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t/32f9cAAAAHAQAA&#10;DwAAAAAAAAABACAAAAAiAAAAZHJzL2Rvd25yZXYueG1sUEsBAhQAFAAAAAgAh07iQE8euAaMAgAA&#10;JwUAAA4AAAAAAAAAAQAgAAAAJgEAAGRycy9lMm9Eb2MueG1sUEsFBgAAAAAGAAYAWQEAACQGAAAA&#10;AA==&#10;">
                <v:fill on="t" focussize="0,0"/>
                <v:stroke color="#F2F2F2" miterlimit="8" joinstyle="miter"/>
                <v:imagedata o:title=""/>
                <o:lock v:ext="edit" aspectratio="f"/>
                <v:shadow on="t" color="#243F60" opacity="32768f" offset="1pt,2pt" origin="0f,0f" matrix="65536f,0f,0f,65536f"/>
                <v:textbox>
                  <w:txbxContent>
                    <w:p w14:paraId="2A4A4898">
                      <w:pPr>
                        <w:jc w:val="center"/>
                        <w:rPr>
                          <w:color w:val="FFFFFF"/>
                        </w:rPr>
                      </w:pPr>
                      <w:r>
                        <w:rPr>
                          <w:rFonts w:hint="eastAsia" w:ascii="黑体" w:eastAsia="黑体"/>
                          <w:b/>
                          <w:color w:val="FFFFFF"/>
                          <w:sz w:val="52"/>
                          <w:szCs w:val="52"/>
                          <w:lang w:eastAsia="zh-CN"/>
                        </w:rPr>
                        <w:t>经发地产</w:t>
                      </w:r>
                      <w:r>
                        <w:rPr>
                          <w:rFonts w:hint="eastAsia" w:ascii="黑体" w:eastAsia="黑体"/>
                          <w:b/>
                          <w:color w:val="FFFFFF"/>
                          <w:sz w:val="52"/>
                          <w:szCs w:val="52"/>
                        </w:rPr>
                        <w:t>防渗漏体系“结构树”</w:t>
                      </w:r>
                    </w:p>
                  </w:txbxContent>
                </v:textbox>
              </v:rect>
            </w:pict>
          </mc:Fallback>
        </mc:AlternateContent>
      </w:r>
    </w:p>
    <w:p w14:paraId="1C666EFA">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61935F1B">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60B4CFEF">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4386CC59">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705F832D">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3A2BCD6D">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4C0D9684">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053A65FF">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7535317B">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13808AC0">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23CCEF23">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06CD9352">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665C7559">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175AA5A5">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19E12709">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1FDDC636">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36F2460C">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4FDB18EB">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59209760">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559EDA0E">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5F565C04">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2FB3D3AF">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01C22056">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07D2E305">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3B46E8D7">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0423617F">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38549DB2">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018F95E3">
      <w:pPr>
        <w:keepNext w:val="0"/>
        <w:keepLines w:val="0"/>
        <w:pageBreakBefore w:val="0"/>
        <w:widowControl w:val="0"/>
        <w:kinsoku/>
        <w:wordWrap/>
        <w:overflowPunct/>
        <w:topLinePunct w:val="0"/>
        <w:autoSpaceDE/>
        <w:autoSpaceDN/>
        <w:bidi w:val="0"/>
        <w:adjustRightInd/>
        <w:snapToGrid/>
        <w:spacing w:line="560" w:lineRule="exact"/>
        <w:ind w:firstLine="465"/>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65957264">
      <w:pPr>
        <w:keepNext w:val="0"/>
        <w:keepLines w:val="0"/>
        <w:pageBreakBefore w:val="0"/>
        <w:widowControl w:val="0"/>
        <w:kinsoku/>
        <w:wordWrap/>
        <w:overflowPunct/>
        <w:topLinePunct w:val="0"/>
        <w:autoSpaceDE/>
        <w:autoSpaceDN/>
        <w:bidi w:val="0"/>
        <w:adjustRightInd/>
        <w:snapToGrid/>
        <w:spacing w:line="560" w:lineRule="exact"/>
        <w:textAlignment w:val="auto"/>
        <w:outlineLvl w:val="9"/>
        <w:rPr>
          <w:rFonts w:hint="eastAsia" w:ascii="仿宋_GB2312" w:hAnsi="仿宋_GB2312" w:eastAsia="仿宋_GB2312" w:cs="仿宋_GB2312"/>
          <w:b w:val="0"/>
          <w:bCs w:val="0"/>
          <w:color w:val="auto"/>
          <w:sz w:val="32"/>
          <w:szCs w:val="32"/>
          <w:highlight w:val="none"/>
          <w:lang w:val="en-US" w:eastAsia="zh-CN"/>
        </w:rPr>
      </w:pPr>
    </w:p>
    <w:p w14:paraId="4561B696">
      <w:pPr>
        <w:keepNext w:val="0"/>
        <w:keepLines w:val="0"/>
        <w:pageBreakBefore w:val="0"/>
        <w:widowControl w:val="0"/>
        <w:kinsoku/>
        <w:wordWrap/>
        <w:overflowPunct/>
        <w:topLinePunct w:val="0"/>
        <w:autoSpaceDE/>
        <w:autoSpaceDN/>
        <w:bidi w:val="0"/>
        <w:adjustRightInd/>
        <w:snapToGrid/>
        <w:spacing w:line="560" w:lineRule="exact"/>
        <w:textAlignment w:val="auto"/>
        <w:outlineLvl w:val="9"/>
        <w:rPr>
          <w:color w:val="auto"/>
          <w:highlight w:val="none"/>
        </w:rPr>
        <w:sectPr>
          <w:pgSz w:w="14740" w:h="20863"/>
          <w:pgMar w:top="1417" w:right="720" w:bottom="1417" w:left="850" w:header="851" w:footer="992" w:gutter="0"/>
          <w:pgBorders>
            <w:top w:val="none" w:sz="0" w:space="0"/>
            <w:left w:val="none" w:sz="0" w:space="0"/>
            <w:bottom w:val="none" w:sz="0" w:space="0"/>
            <w:right w:val="none" w:sz="0" w:space="0"/>
          </w:pgBorders>
          <w:cols w:space="720" w:num="1"/>
          <w:docGrid w:type="lines" w:linePitch="312" w:charSpace="0"/>
        </w:sectPr>
      </w:pPr>
      <w:r>
        <w:rPr>
          <w:color w:val="auto"/>
          <w:highlight w:val="none"/>
        </w:rPr>
        <mc:AlternateContent>
          <mc:Choice Requires="wpc">
            <w:drawing>
              <wp:inline distT="0" distB="0" distL="114300" distR="114300">
                <wp:extent cx="8258175" cy="9813290"/>
                <wp:effectExtent l="28575" t="28575" r="38100" b="45085"/>
                <wp:docPr id="150" name="画布 17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57150" cap="flat" cmpd="sng">
                          <a:solidFill>
                            <a:srgbClr val="10253F"/>
                          </a:solidFill>
                          <a:prstDash val="solid"/>
                          <a:miter/>
                          <a:headEnd type="none" w="med" len="med"/>
                          <a:tailEnd type="none" w="med" len="med"/>
                        </a:ln>
                      </wpc:whole>
                      <wps:wsp>
                        <wps:cNvPr id="1866" name="矩形 1579"/>
                        <wps:cNvSpPr/>
                        <wps:spPr>
                          <a:xfrm>
                            <a:off x="5601335" y="1035685"/>
                            <a:ext cx="2296795" cy="1906905"/>
                          </a:xfrm>
                          <a:prstGeom prst="rect">
                            <a:avLst/>
                          </a:prstGeom>
                          <a:solidFill>
                            <a:srgbClr val="77933C">
                              <a:alpha val="50195"/>
                            </a:srgbClr>
                          </a:solidFill>
                          <a:ln w="9525" cap="flat" cmpd="sng">
                            <a:solidFill>
                              <a:srgbClr val="000000"/>
                            </a:solidFill>
                            <a:prstDash val="lgDash"/>
                            <a:miter/>
                            <a:headEnd type="none" w="med" len="med"/>
                            <a:tailEnd type="none" w="med" len="med"/>
                          </a:ln>
                          <a:effectLst/>
                        </wps:spPr>
                        <wps:bodyPr upright="1"/>
                      </wps:wsp>
                      <wps:wsp>
                        <wps:cNvPr id="1867" name="矩形 1580"/>
                        <wps:cNvSpPr/>
                        <wps:spPr>
                          <a:xfrm>
                            <a:off x="1946910" y="2986405"/>
                            <a:ext cx="3592830" cy="6005195"/>
                          </a:xfrm>
                          <a:prstGeom prst="rect">
                            <a:avLst/>
                          </a:prstGeom>
                          <a:solidFill>
                            <a:srgbClr val="8EB4E3">
                              <a:alpha val="50195"/>
                            </a:srgbClr>
                          </a:solidFill>
                          <a:ln w="9525" cap="flat" cmpd="sng">
                            <a:solidFill>
                              <a:srgbClr val="000000"/>
                            </a:solidFill>
                            <a:prstDash val="lgDash"/>
                            <a:miter/>
                            <a:headEnd type="none" w="med" len="med"/>
                            <a:tailEnd type="none" w="med" len="med"/>
                          </a:ln>
                          <a:effectLst/>
                        </wps:spPr>
                        <wps:bodyPr upright="1"/>
                      </wps:wsp>
                      <wps:wsp>
                        <wps:cNvPr id="1868" name="矩形 1581"/>
                        <wps:cNvSpPr/>
                        <wps:spPr>
                          <a:xfrm>
                            <a:off x="1947545" y="1034415"/>
                            <a:ext cx="3592830" cy="1906905"/>
                          </a:xfrm>
                          <a:prstGeom prst="rect">
                            <a:avLst/>
                          </a:prstGeom>
                          <a:solidFill>
                            <a:srgbClr val="984807">
                              <a:alpha val="50195"/>
                            </a:srgbClr>
                          </a:solidFill>
                          <a:ln w="9525" cap="flat" cmpd="sng">
                            <a:solidFill>
                              <a:srgbClr val="000000"/>
                            </a:solidFill>
                            <a:prstDash val="lgDash"/>
                            <a:miter/>
                            <a:headEnd type="none" w="med" len="med"/>
                            <a:tailEnd type="none" w="med" len="med"/>
                          </a:ln>
                          <a:effectLst/>
                        </wps:spPr>
                        <wps:bodyPr upright="1"/>
                      </wps:wsp>
                      <wps:wsp>
                        <wps:cNvPr id="1869" name="矩形 1582"/>
                        <wps:cNvSpPr/>
                        <wps:spPr>
                          <a:xfrm>
                            <a:off x="690880" y="1034415"/>
                            <a:ext cx="1195070" cy="7957185"/>
                          </a:xfrm>
                          <a:prstGeom prst="rect">
                            <a:avLst/>
                          </a:prstGeom>
                          <a:solidFill>
                            <a:srgbClr val="A6A6A6">
                              <a:alpha val="50195"/>
                            </a:srgbClr>
                          </a:solidFill>
                          <a:ln w="9525" cap="flat" cmpd="sng">
                            <a:solidFill>
                              <a:srgbClr val="000000"/>
                            </a:solidFill>
                            <a:prstDash val="lgDash"/>
                            <a:miter/>
                            <a:headEnd type="none" w="med" len="med"/>
                            <a:tailEnd type="none" w="med" len="med"/>
                          </a:ln>
                          <a:effectLst/>
                        </wps:spPr>
                        <wps:bodyPr upright="1"/>
                      </wps:wsp>
                      <wps:wsp>
                        <wps:cNvPr id="1870" name="直接箭头连接符 1583"/>
                        <wps:cNvCnPr/>
                        <wps:spPr>
                          <a:xfrm>
                            <a:off x="583565" y="4295775"/>
                            <a:ext cx="205740" cy="2540"/>
                          </a:xfrm>
                          <a:prstGeom prst="straightConnector1">
                            <a:avLst/>
                          </a:prstGeom>
                          <a:ln w="50800" cap="flat" cmpd="sng">
                            <a:solidFill>
                              <a:srgbClr val="4F6228"/>
                            </a:solidFill>
                            <a:prstDash val="solid"/>
                            <a:headEnd type="none" w="med" len="med"/>
                            <a:tailEnd type="none" w="med" len="med"/>
                          </a:ln>
                          <a:effectLst/>
                        </wps:spPr>
                        <wps:bodyPr/>
                      </wps:wsp>
                      <wps:wsp>
                        <wps:cNvPr id="1871" name="直接箭头连接符 1584"/>
                        <wps:cNvCnPr/>
                        <wps:spPr>
                          <a:xfrm flipH="1">
                            <a:off x="786130" y="2413000"/>
                            <a:ext cx="3810" cy="3745230"/>
                          </a:xfrm>
                          <a:prstGeom prst="straightConnector1">
                            <a:avLst/>
                          </a:prstGeom>
                          <a:ln w="50800" cap="flat" cmpd="sng">
                            <a:solidFill>
                              <a:srgbClr val="4F6228"/>
                            </a:solidFill>
                            <a:prstDash val="solid"/>
                            <a:headEnd type="none" w="med" len="med"/>
                            <a:tailEnd type="none" w="med" len="med"/>
                          </a:ln>
                          <a:effectLst/>
                        </wps:spPr>
                        <wps:bodyPr/>
                      </wps:wsp>
                      <wps:wsp>
                        <wps:cNvPr id="1872" name="直接箭头连接符 1585"/>
                        <wps:cNvCnPr/>
                        <wps:spPr>
                          <a:xfrm>
                            <a:off x="789940" y="2444750"/>
                            <a:ext cx="223520" cy="1270"/>
                          </a:xfrm>
                          <a:prstGeom prst="straightConnector1">
                            <a:avLst/>
                          </a:prstGeom>
                          <a:ln w="50800" cap="flat" cmpd="sng">
                            <a:solidFill>
                              <a:srgbClr val="4F6228"/>
                            </a:solidFill>
                            <a:prstDash val="solid"/>
                            <a:headEnd type="none" w="med" len="med"/>
                            <a:tailEnd type="none" w="med" len="med"/>
                          </a:ln>
                          <a:effectLst/>
                        </wps:spPr>
                        <wps:bodyPr/>
                      </wps:wsp>
                      <wps:wsp>
                        <wps:cNvPr id="1873" name="直接箭头连接符 1586"/>
                        <wps:cNvCnPr/>
                        <wps:spPr>
                          <a:xfrm>
                            <a:off x="786130" y="6144895"/>
                            <a:ext cx="337820" cy="3810"/>
                          </a:xfrm>
                          <a:prstGeom prst="straightConnector1">
                            <a:avLst/>
                          </a:prstGeom>
                          <a:ln w="50800" cap="flat" cmpd="sng">
                            <a:solidFill>
                              <a:srgbClr val="4F6228"/>
                            </a:solidFill>
                            <a:prstDash val="solid"/>
                            <a:headEnd type="none" w="med" len="med"/>
                            <a:tailEnd type="none" w="med" len="med"/>
                          </a:ln>
                          <a:effectLst/>
                        </wps:spPr>
                        <wps:bodyPr/>
                      </wps:wsp>
                      <wps:wsp>
                        <wps:cNvPr id="1874" name="矩形 1587"/>
                        <wps:cNvSpPr/>
                        <wps:spPr>
                          <a:xfrm>
                            <a:off x="1016000" y="1069340"/>
                            <a:ext cx="387985" cy="2816225"/>
                          </a:xfrm>
                          <a:prstGeom prst="rect">
                            <a:avLst/>
                          </a:prstGeom>
                          <a:solidFill>
                            <a:srgbClr val="7F7F7F"/>
                          </a:solidFill>
                          <a:ln w="1587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0028A9A6">
                              <w:pPr>
                                <w:rPr>
                                  <w:b/>
                                  <w:color w:val="FFFFFF"/>
                                  <w:sz w:val="28"/>
                                  <w:szCs w:val="28"/>
                                </w:rPr>
                              </w:pPr>
                            </w:p>
                            <w:p w14:paraId="723F4D2A">
                              <w:pPr>
                                <w:rPr>
                                  <w:b/>
                                  <w:color w:val="FFFFFF"/>
                                  <w:sz w:val="28"/>
                                  <w:szCs w:val="28"/>
                                </w:rPr>
                              </w:pPr>
                              <w:r>
                                <w:rPr>
                                  <w:rFonts w:hint="eastAsia"/>
                                  <w:b/>
                                  <w:color w:val="FFFFFF"/>
                                  <w:sz w:val="28"/>
                                  <w:szCs w:val="28"/>
                                </w:rPr>
                                <w:t>结构自防水</w:t>
                              </w:r>
                            </w:p>
                          </w:txbxContent>
                        </wps:txbx>
                        <wps:bodyPr upright="1"/>
                      </wps:wsp>
                      <wps:wsp>
                        <wps:cNvPr id="1875" name="矩形 1588"/>
                        <wps:cNvSpPr/>
                        <wps:spPr>
                          <a:xfrm>
                            <a:off x="1015365" y="4489450"/>
                            <a:ext cx="388620" cy="3077845"/>
                          </a:xfrm>
                          <a:prstGeom prst="rect">
                            <a:avLst/>
                          </a:prstGeom>
                          <a:solidFill>
                            <a:srgbClr val="7F7F7F"/>
                          </a:solidFill>
                          <a:ln w="1587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243FB68E">
                              <w:pPr>
                                <w:rPr>
                                  <w:b/>
                                  <w:color w:val="FFFFFF"/>
                                  <w:sz w:val="28"/>
                                  <w:szCs w:val="28"/>
                                </w:rPr>
                              </w:pPr>
                            </w:p>
                            <w:p w14:paraId="11946FC7">
                              <w:pPr>
                                <w:rPr>
                                  <w:b/>
                                  <w:color w:val="FFFFFF"/>
                                  <w:sz w:val="28"/>
                                  <w:szCs w:val="28"/>
                                </w:rPr>
                              </w:pPr>
                              <w:r>
                                <w:rPr>
                                  <w:rFonts w:hint="eastAsia"/>
                                  <w:b/>
                                  <w:color w:val="FFFFFF"/>
                                  <w:sz w:val="28"/>
                                  <w:szCs w:val="28"/>
                                </w:rPr>
                                <w:t>防水材料防水</w:t>
                              </w:r>
                            </w:p>
                            <w:p w14:paraId="7DE9F2F2"/>
                          </w:txbxContent>
                        </wps:txbx>
                        <wps:bodyPr upright="1"/>
                      </wps:wsp>
                      <wps:wsp>
                        <wps:cNvPr id="1876" name="棱台 1589"/>
                        <wps:cNvSpPr/>
                        <wps:spPr>
                          <a:xfrm>
                            <a:off x="2152650" y="1261745"/>
                            <a:ext cx="950595" cy="388620"/>
                          </a:xfrm>
                          <a:prstGeom prst="bevel">
                            <a:avLst>
                              <a:gd name="adj" fmla="val 12500"/>
                            </a:avLst>
                          </a:prstGeom>
                          <a:solidFill>
                            <a:srgbClr val="7F7F7F"/>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412AF1FA">
                              <w:pPr>
                                <w:rPr>
                                  <w:b/>
                                  <w:color w:val="FFFFFF"/>
                                  <w:szCs w:val="21"/>
                                </w:rPr>
                              </w:pPr>
                              <w:r>
                                <w:rPr>
                                  <w:rFonts w:hint="eastAsia"/>
                                  <w:b/>
                                  <w:color w:val="FFFFFF"/>
                                  <w:szCs w:val="21"/>
                                </w:rPr>
                                <w:t>1.地下工程</w:t>
                              </w:r>
                            </w:p>
                          </w:txbxContent>
                        </wps:txbx>
                        <wps:bodyPr anchor="ctr" anchorCtr="0" upright="1"/>
                      </wps:wsp>
                      <wps:wsp>
                        <wps:cNvPr id="1877" name="棱台 1590"/>
                        <wps:cNvSpPr/>
                        <wps:spPr>
                          <a:xfrm>
                            <a:off x="2152650" y="2233295"/>
                            <a:ext cx="951865" cy="387350"/>
                          </a:xfrm>
                          <a:prstGeom prst="bevel">
                            <a:avLst>
                              <a:gd name="adj" fmla="val 12500"/>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122FA503">
                              <w:pPr>
                                <w:rPr>
                                  <w:b/>
                                  <w:color w:val="FFFFFF"/>
                                  <w:szCs w:val="21"/>
                                </w:rPr>
                              </w:pPr>
                              <w:r>
                                <w:rPr>
                                  <w:rFonts w:hint="eastAsia"/>
                                  <w:b/>
                                  <w:color w:val="FFFFFF"/>
                                  <w:szCs w:val="21"/>
                                </w:rPr>
                                <w:t>2.屋面工程</w:t>
                              </w:r>
                            </w:p>
                          </w:txbxContent>
                        </wps:txbx>
                        <wps:bodyPr anchor="ctr" anchorCtr="0" upright="1"/>
                      </wps:wsp>
                      <wps:wsp>
                        <wps:cNvPr id="1878" name="棱台 1591"/>
                        <wps:cNvSpPr/>
                        <wps:spPr>
                          <a:xfrm>
                            <a:off x="2152650" y="3152775"/>
                            <a:ext cx="965835" cy="389890"/>
                          </a:xfrm>
                          <a:prstGeom prst="bevel">
                            <a:avLst>
                              <a:gd name="adj" fmla="val 12500"/>
                            </a:avLst>
                          </a:prstGeom>
                          <a:solidFill>
                            <a:srgbClr val="7F7F7F"/>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3E2834FF">
                              <w:pPr>
                                <w:rPr>
                                  <w:b/>
                                  <w:color w:val="FFFFFF"/>
                                  <w:szCs w:val="21"/>
                                </w:rPr>
                              </w:pPr>
                              <w:r>
                                <w:rPr>
                                  <w:rFonts w:hint="eastAsia"/>
                                  <w:b/>
                                  <w:color w:val="FFFFFF"/>
                                  <w:szCs w:val="21"/>
                                </w:rPr>
                                <w:t>3.厨卫部分</w:t>
                              </w:r>
                            </w:p>
                          </w:txbxContent>
                        </wps:txbx>
                        <wps:bodyPr anchor="ctr" anchorCtr="0" upright="1"/>
                      </wps:wsp>
                      <wps:wsp>
                        <wps:cNvPr id="1879" name="棱台 1592"/>
                        <wps:cNvSpPr/>
                        <wps:spPr>
                          <a:xfrm>
                            <a:off x="2148205" y="4101465"/>
                            <a:ext cx="1061720" cy="387985"/>
                          </a:xfrm>
                          <a:prstGeom prst="bevel">
                            <a:avLst>
                              <a:gd name="adj" fmla="val 12500"/>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1875ADC6">
                              <w:pPr>
                                <w:rPr>
                                  <w:b/>
                                  <w:color w:val="FFFFFF"/>
                                  <w:szCs w:val="21"/>
                                </w:rPr>
                              </w:pPr>
                              <w:r>
                                <w:rPr>
                                  <w:rFonts w:hint="eastAsia"/>
                                  <w:b/>
                                  <w:color w:val="FFFFFF"/>
                                  <w:szCs w:val="21"/>
                                </w:rPr>
                                <w:t>4.阳露台部分</w:t>
                              </w:r>
                            </w:p>
                          </w:txbxContent>
                        </wps:txbx>
                        <wps:bodyPr anchor="ctr" anchorCtr="0" upright="1"/>
                      </wps:wsp>
                      <wps:wsp>
                        <wps:cNvPr id="1880" name="棱台 1593"/>
                        <wps:cNvSpPr/>
                        <wps:spPr>
                          <a:xfrm>
                            <a:off x="2152650" y="5112385"/>
                            <a:ext cx="1059180" cy="388620"/>
                          </a:xfrm>
                          <a:prstGeom prst="bevel">
                            <a:avLst>
                              <a:gd name="adj" fmla="val 12500"/>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7705758B">
                              <w:pPr>
                                <w:rPr>
                                  <w:b/>
                                  <w:color w:val="FFFFFF"/>
                                  <w:szCs w:val="21"/>
                                </w:rPr>
                              </w:pPr>
                              <w:r>
                                <w:rPr>
                                  <w:rFonts w:hint="eastAsia"/>
                                  <w:b/>
                                  <w:color w:val="FFFFFF"/>
                                  <w:szCs w:val="21"/>
                                </w:rPr>
                                <w:t>5.外墙部分</w:t>
                              </w:r>
                            </w:p>
                          </w:txbxContent>
                        </wps:txbx>
                        <wps:bodyPr upright="1"/>
                      </wps:wsp>
                      <wps:wsp>
                        <wps:cNvPr id="1882" name="棱台 1595"/>
                        <wps:cNvSpPr/>
                        <wps:spPr>
                          <a:xfrm>
                            <a:off x="2156460" y="7706360"/>
                            <a:ext cx="1003935" cy="389890"/>
                          </a:xfrm>
                          <a:prstGeom prst="bevel">
                            <a:avLst>
                              <a:gd name="adj" fmla="val 12500"/>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3884DABD">
                              <w:pPr>
                                <w:rPr>
                                  <w:b/>
                                  <w:color w:val="FFFFFF"/>
                                  <w:szCs w:val="21"/>
                                </w:rPr>
                              </w:pPr>
                              <w:r>
                                <w:rPr>
                                  <w:rFonts w:hint="eastAsia"/>
                                  <w:b/>
                                  <w:color w:val="FFFFFF"/>
                                  <w:szCs w:val="21"/>
                                  <w:lang w:val="en-US" w:eastAsia="zh-CN"/>
                                </w:rPr>
                                <w:t>6</w:t>
                              </w:r>
                              <w:r>
                                <w:rPr>
                                  <w:rFonts w:hint="eastAsia"/>
                                  <w:b/>
                                  <w:color w:val="FFFFFF"/>
                                  <w:szCs w:val="21"/>
                                </w:rPr>
                                <w:t>.其它部分</w:t>
                              </w:r>
                            </w:p>
                          </w:txbxContent>
                        </wps:txbx>
                        <wps:bodyPr upright="1"/>
                      </wps:wsp>
                      <wps:wsp>
                        <wps:cNvPr id="1883" name="直接箭头连接符 1596"/>
                        <wps:cNvCnPr/>
                        <wps:spPr>
                          <a:xfrm>
                            <a:off x="1617980" y="2413000"/>
                            <a:ext cx="1905" cy="3745230"/>
                          </a:xfrm>
                          <a:prstGeom prst="straightConnector1">
                            <a:avLst/>
                          </a:prstGeom>
                          <a:ln w="50800" cap="flat" cmpd="sng">
                            <a:solidFill>
                              <a:srgbClr val="4F6228"/>
                            </a:solidFill>
                            <a:prstDash val="solid"/>
                            <a:headEnd type="none" w="med" len="med"/>
                            <a:tailEnd type="none" w="med" len="med"/>
                          </a:ln>
                          <a:effectLst/>
                        </wps:spPr>
                        <wps:bodyPr/>
                      </wps:wsp>
                      <wps:wsp>
                        <wps:cNvPr id="1884" name="直接箭头连接符 1597"/>
                        <wps:cNvCnPr/>
                        <wps:spPr>
                          <a:xfrm>
                            <a:off x="1394460" y="2442210"/>
                            <a:ext cx="223520" cy="1270"/>
                          </a:xfrm>
                          <a:prstGeom prst="straightConnector1">
                            <a:avLst/>
                          </a:prstGeom>
                          <a:ln w="50800" cap="flat" cmpd="sng">
                            <a:solidFill>
                              <a:srgbClr val="4F6228"/>
                            </a:solidFill>
                            <a:prstDash val="solid"/>
                            <a:headEnd type="none" w="med" len="med"/>
                            <a:tailEnd type="none" w="med" len="med"/>
                          </a:ln>
                          <a:effectLst/>
                        </wps:spPr>
                        <wps:bodyPr/>
                      </wps:wsp>
                      <wps:wsp>
                        <wps:cNvPr id="1885" name="矩形 1598"/>
                        <wps:cNvSpPr/>
                        <wps:spPr>
                          <a:xfrm>
                            <a:off x="118745" y="1917700"/>
                            <a:ext cx="464820" cy="5649595"/>
                          </a:xfrm>
                          <a:prstGeom prst="rect">
                            <a:avLst/>
                          </a:prstGeom>
                          <a:solidFill>
                            <a:srgbClr val="7F7F7F"/>
                          </a:solidFill>
                          <a:ln w="1587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19BF39BB">
                              <w:pPr>
                                <w:jc w:val="left"/>
                                <w:rPr>
                                  <w:b/>
                                  <w:color w:val="FFFFFF"/>
                                  <w:sz w:val="28"/>
                                  <w:szCs w:val="28"/>
                                </w:rPr>
                              </w:pPr>
                            </w:p>
                            <w:p w14:paraId="2722682D">
                              <w:pPr>
                                <w:jc w:val="left"/>
                                <w:rPr>
                                  <w:rFonts w:hint="eastAsia" w:ascii="宋体" w:hAnsi="宋体"/>
                                  <w:b/>
                                  <w:color w:val="FFFFFF"/>
                                  <w:sz w:val="36"/>
                                  <w:szCs w:val="36"/>
                                </w:rPr>
                              </w:pPr>
                            </w:p>
                            <w:p w14:paraId="159EE041">
                              <w:pPr>
                                <w:jc w:val="left"/>
                                <w:rPr>
                                  <w:rFonts w:hint="eastAsia" w:ascii="宋体" w:hAnsi="宋体"/>
                                  <w:b/>
                                  <w:color w:val="FFFFFF"/>
                                  <w:sz w:val="36"/>
                                  <w:szCs w:val="36"/>
                                </w:rPr>
                              </w:pPr>
                            </w:p>
                            <w:p w14:paraId="09EA92AF">
                              <w:pPr>
                                <w:jc w:val="left"/>
                                <w:rPr>
                                  <w:rFonts w:hint="eastAsia" w:ascii="宋体" w:hAnsi="宋体"/>
                                  <w:b/>
                                  <w:color w:val="FFFFFF"/>
                                  <w:sz w:val="36"/>
                                  <w:szCs w:val="36"/>
                                </w:rPr>
                              </w:pPr>
                            </w:p>
                            <w:p w14:paraId="4BBE03C2">
                              <w:pPr>
                                <w:jc w:val="left"/>
                                <w:rPr>
                                  <w:rFonts w:ascii="宋体" w:hAnsi="宋体"/>
                                  <w:b/>
                                  <w:color w:val="FFFFFF"/>
                                  <w:sz w:val="36"/>
                                  <w:szCs w:val="36"/>
                                </w:rPr>
                              </w:pPr>
                              <w:r>
                                <w:rPr>
                                  <w:rFonts w:hint="eastAsia" w:ascii="宋体" w:hAnsi="宋体"/>
                                  <w:b/>
                                  <w:color w:val="FFFFFF"/>
                                  <w:sz w:val="36"/>
                                  <w:szCs w:val="36"/>
                                </w:rPr>
                                <w:t>工程防渗漏体系</w:t>
                              </w:r>
                            </w:p>
                            <w:p w14:paraId="3B4F706F"/>
                          </w:txbxContent>
                        </wps:txbx>
                        <wps:bodyPr upright="1"/>
                      </wps:wsp>
                      <wps:wsp>
                        <wps:cNvPr id="1886" name="直接箭头连接符 1599"/>
                        <wps:cNvCnPr/>
                        <wps:spPr>
                          <a:xfrm flipV="1">
                            <a:off x="1394460" y="6141085"/>
                            <a:ext cx="224790" cy="3810"/>
                          </a:xfrm>
                          <a:prstGeom prst="straightConnector1">
                            <a:avLst/>
                          </a:prstGeom>
                          <a:ln w="50800" cap="flat" cmpd="sng">
                            <a:solidFill>
                              <a:srgbClr val="4F6228"/>
                            </a:solidFill>
                            <a:prstDash val="solid"/>
                            <a:headEnd type="none" w="med" len="med"/>
                            <a:tailEnd type="none" w="med" len="med"/>
                          </a:ln>
                          <a:effectLst/>
                        </wps:spPr>
                        <wps:bodyPr/>
                      </wps:wsp>
                      <wps:wsp>
                        <wps:cNvPr id="1887" name="流程图: 文档 1600"/>
                        <wps:cNvSpPr/>
                        <wps:spPr>
                          <a:xfrm>
                            <a:off x="3764280" y="1069340"/>
                            <a:ext cx="1645285" cy="380365"/>
                          </a:xfrm>
                          <a:prstGeom prst="flowChartDocumen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50B4D08C">
                              <w:pPr>
                                <w:rPr>
                                  <w:b/>
                                  <w:color w:val="FFFFFF"/>
                                </w:rPr>
                              </w:pPr>
                              <w:r>
                                <w:rPr>
                                  <w:rFonts w:hint="eastAsia"/>
                                  <w:b/>
                                  <w:color w:val="FFFFFF"/>
                                </w:rPr>
                                <w:t>1.1地下室底板外墙部分</w:t>
                              </w:r>
                            </w:p>
                          </w:txbxContent>
                        </wps:txbx>
                        <wps:bodyPr anchor="ctr" anchorCtr="0" upright="1"/>
                      </wps:wsp>
                      <wps:wsp>
                        <wps:cNvPr id="1888" name="直接箭头连接符 1601"/>
                        <wps:cNvCnPr/>
                        <wps:spPr>
                          <a:xfrm flipH="1">
                            <a:off x="3449320" y="1245870"/>
                            <a:ext cx="2540" cy="414020"/>
                          </a:xfrm>
                          <a:prstGeom prst="straightConnector1">
                            <a:avLst/>
                          </a:prstGeom>
                          <a:ln w="9525" cap="flat" cmpd="sng">
                            <a:solidFill>
                              <a:srgbClr val="000000"/>
                            </a:solidFill>
                            <a:prstDash val="solid"/>
                            <a:headEnd type="none" w="med" len="med"/>
                            <a:tailEnd type="none" w="med" len="med"/>
                          </a:ln>
                          <a:effectLst/>
                        </wps:spPr>
                        <wps:bodyPr/>
                      </wps:wsp>
                      <wps:wsp>
                        <wps:cNvPr id="1889" name="直接箭头连接符 1602"/>
                        <wps:cNvCnPr/>
                        <wps:spPr>
                          <a:xfrm>
                            <a:off x="3451860" y="1729105"/>
                            <a:ext cx="317500" cy="635"/>
                          </a:xfrm>
                          <a:prstGeom prst="straightConnector1">
                            <a:avLst/>
                          </a:prstGeom>
                          <a:ln w="9525" cap="flat" cmpd="sng">
                            <a:solidFill>
                              <a:srgbClr val="000000"/>
                            </a:solidFill>
                            <a:prstDash val="solid"/>
                            <a:headEnd type="none" w="med" len="med"/>
                            <a:tailEnd type="none" w="med" len="med"/>
                          </a:ln>
                          <a:effectLst/>
                        </wps:spPr>
                        <wps:bodyPr/>
                      </wps:wsp>
                      <wps:wsp>
                        <wps:cNvPr id="1890" name="直接箭头连接符 1603"/>
                        <wps:cNvCnPr/>
                        <wps:spPr>
                          <a:xfrm flipV="1">
                            <a:off x="3072765" y="1449705"/>
                            <a:ext cx="379095" cy="1270"/>
                          </a:xfrm>
                          <a:prstGeom prst="straightConnector1">
                            <a:avLst/>
                          </a:prstGeom>
                          <a:ln w="9525" cap="flat" cmpd="sng">
                            <a:solidFill>
                              <a:srgbClr val="000000"/>
                            </a:solidFill>
                            <a:prstDash val="solid"/>
                            <a:headEnd type="none" w="med" len="med"/>
                            <a:tailEnd type="none" w="med" len="med"/>
                          </a:ln>
                          <a:effectLst/>
                        </wps:spPr>
                        <wps:bodyPr/>
                      </wps:wsp>
                      <wps:wsp>
                        <wps:cNvPr id="1891" name="直接箭头连接符 1604"/>
                        <wps:cNvCnPr/>
                        <wps:spPr>
                          <a:xfrm>
                            <a:off x="1617980" y="4298315"/>
                            <a:ext cx="205740" cy="2540"/>
                          </a:xfrm>
                          <a:prstGeom prst="straightConnector1">
                            <a:avLst/>
                          </a:prstGeom>
                          <a:ln w="50800" cap="flat" cmpd="sng">
                            <a:solidFill>
                              <a:srgbClr val="4F6228"/>
                            </a:solidFill>
                            <a:prstDash val="solid"/>
                            <a:headEnd type="none" w="med" len="med"/>
                            <a:tailEnd type="none" w="med" len="med"/>
                          </a:ln>
                          <a:effectLst/>
                        </wps:spPr>
                        <wps:bodyPr/>
                      </wps:wsp>
                      <wps:wsp>
                        <wps:cNvPr id="146" name="直接箭头连接符 1605"/>
                        <wps:cNvCnPr/>
                        <wps:spPr>
                          <a:xfrm flipH="1">
                            <a:off x="1798955" y="1449705"/>
                            <a:ext cx="23495" cy="5231765"/>
                          </a:xfrm>
                          <a:prstGeom prst="straightConnector1">
                            <a:avLst/>
                          </a:prstGeom>
                          <a:ln w="50800" cap="flat" cmpd="sng">
                            <a:solidFill>
                              <a:srgbClr val="4F6228"/>
                            </a:solidFill>
                            <a:prstDash val="solid"/>
                            <a:round/>
                            <a:headEnd type="none" w="med" len="med"/>
                            <a:tailEnd type="none" w="med" len="med"/>
                          </a:ln>
                        </wps:spPr>
                        <wps:bodyPr/>
                      </wps:wsp>
                      <wps:wsp>
                        <wps:cNvPr id="1893" name="直接箭头连接符 1606"/>
                        <wps:cNvCnPr/>
                        <wps:spPr>
                          <a:xfrm>
                            <a:off x="1786890" y="1454785"/>
                            <a:ext cx="365760" cy="1270"/>
                          </a:xfrm>
                          <a:prstGeom prst="straightConnector1">
                            <a:avLst/>
                          </a:prstGeom>
                          <a:ln w="50800" cap="flat" cmpd="sng">
                            <a:solidFill>
                              <a:srgbClr val="4F6228"/>
                            </a:solidFill>
                            <a:prstDash val="solid"/>
                            <a:headEnd type="none" w="med" len="med"/>
                            <a:tailEnd type="triangle" w="med" len="med"/>
                          </a:ln>
                          <a:effectLst/>
                        </wps:spPr>
                        <wps:bodyPr/>
                      </wps:wsp>
                      <wps:wsp>
                        <wps:cNvPr id="1894" name="直接箭头连接符 1607"/>
                        <wps:cNvCnPr/>
                        <wps:spPr>
                          <a:xfrm>
                            <a:off x="1822450" y="2411730"/>
                            <a:ext cx="362585" cy="1270"/>
                          </a:xfrm>
                          <a:prstGeom prst="straightConnector1">
                            <a:avLst/>
                          </a:prstGeom>
                          <a:ln w="50800" cap="flat" cmpd="sng">
                            <a:solidFill>
                              <a:srgbClr val="4F6228"/>
                            </a:solidFill>
                            <a:prstDash val="solid"/>
                            <a:headEnd type="none" w="med" len="med"/>
                            <a:tailEnd type="triangle" w="med" len="med"/>
                          </a:ln>
                          <a:effectLst/>
                        </wps:spPr>
                        <wps:bodyPr/>
                      </wps:wsp>
                      <wps:wsp>
                        <wps:cNvPr id="1895" name="直接箭头连接符 1608"/>
                        <wps:cNvCnPr/>
                        <wps:spPr>
                          <a:xfrm>
                            <a:off x="1822450" y="3341370"/>
                            <a:ext cx="327660" cy="1270"/>
                          </a:xfrm>
                          <a:prstGeom prst="straightConnector1">
                            <a:avLst/>
                          </a:prstGeom>
                          <a:ln w="50800" cap="flat" cmpd="sng">
                            <a:solidFill>
                              <a:srgbClr val="4F6228"/>
                            </a:solidFill>
                            <a:prstDash val="solid"/>
                            <a:headEnd type="none" w="med" len="med"/>
                            <a:tailEnd type="triangle" w="med" len="med"/>
                          </a:ln>
                          <a:effectLst/>
                        </wps:spPr>
                        <wps:bodyPr/>
                      </wps:wsp>
                      <wps:wsp>
                        <wps:cNvPr id="1896" name="直接箭头连接符 1609"/>
                        <wps:cNvCnPr/>
                        <wps:spPr>
                          <a:xfrm>
                            <a:off x="1825625" y="4295775"/>
                            <a:ext cx="327025" cy="1270"/>
                          </a:xfrm>
                          <a:prstGeom prst="straightConnector1">
                            <a:avLst/>
                          </a:prstGeom>
                          <a:ln w="50800" cap="flat" cmpd="sng">
                            <a:solidFill>
                              <a:srgbClr val="4F6228"/>
                            </a:solidFill>
                            <a:prstDash val="solid"/>
                            <a:headEnd type="none" w="med" len="med"/>
                            <a:tailEnd type="triangle" w="med" len="med"/>
                          </a:ln>
                          <a:effectLst/>
                        </wps:spPr>
                        <wps:bodyPr/>
                      </wps:wsp>
                      <wps:wsp>
                        <wps:cNvPr id="1897" name="直接箭头连接符 1610"/>
                        <wps:cNvCnPr/>
                        <wps:spPr>
                          <a:xfrm>
                            <a:off x="1824990" y="5306060"/>
                            <a:ext cx="327660" cy="635"/>
                          </a:xfrm>
                          <a:prstGeom prst="straightConnector1">
                            <a:avLst/>
                          </a:prstGeom>
                          <a:ln w="50800" cap="flat" cmpd="sng">
                            <a:solidFill>
                              <a:srgbClr val="4F6228"/>
                            </a:solidFill>
                            <a:prstDash val="solid"/>
                            <a:headEnd type="none" w="med" len="med"/>
                            <a:tailEnd type="triangle" w="med" len="med"/>
                          </a:ln>
                          <a:effectLst/>
                        </wps:spPr>
                        <wps:bodyPr/>
                      </wps:wsp>
                      <wps:wsp>
                        <wps:cNvPr id="1899" name="直接箭头连接符 1612"/>
                        <wps:cNvCnPr/>
                        <wps:spPr>
                          <a:xfrm>
                            <a:off x="1786255" y="7900670"/>
                            <a:ext cx="370205" cy="635"/>
                          </a:xfrm>
                          <a:prstGeom prst="straightConnector1">
                            <a:avLst/>
                          </a:prstGeom>
                          <a:ln w="50800" cap="flat" cmpd="sng">
                            <a:solidFill>
                              <a:srgbClr val="4F6228"/>
                            </a:solidFill>
                            <a:prstDash val="solid"/>
                            <a:headEnd type="none" w="med" len="med"/>
                            <a:tailEnd type="triangle" w="med" len="med"/>
                          </a:ln>
                          <a:effectLst/>
                        </wps:spPr>
                        <wps:bodyPr/>
                      </wps:wsp>
                      <wps:wsp>
                        <wps:cNvPr id="1900" name="流程图: 文档 1613"/>
                        <wps:cNvSpPr/>
                        <wps:spPr>
                          <a:xfrm>
                            <a:off x="3769360" y="1539875"/>
                            <a:ext cx="1338580" cy="377825"/>
                          </a:xfrm>
                          <a:prstGeom prst="flowChartDocumen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6FFD4AE0">
                              <w:pPr>
                                <w:rPr>
                                  <w:b/>
                                  <w:color w:val="FFFFFF"/>
                                </w:rPr>
                              </w:pPr>
                              <w:r>
                                <w:rPr>
                                  <w:rFonts w:hint="eastAsia"/>
                                  <w:b/>
                                  <w:color w:val="FFFFFF"/>
                                </w:rPr>
                                <w:t>1.2地下室顶板部分</w:t>
                              </w:r>
                            </w:p>
                          </w:txbxContent>
                        </wps:txbx>
                        <wps:bodyPr anchor="ctr" anchorCtr="0" upright="1"/>
                      </wps:wsp>
                      <wps:wsp>
                        <wps:cNvPr id="1901" name="直接箭头连接符 1614"/>
                        <wps:cNvCnPr/>
                        <wps:spPr>
                          <a:xfrm>
                            <a:off x="3446780" y="1647825"/>
                            <a:ext cx="5080" cy="81280"/>
                          </a:xfrm>
                          <a:prstGeom prst="straightConnector1">
                            <a:avLst/>
                          </a:prstGeom>
                          <a:ln w="9525" cap="flat" cmpd="sng">
                            <a:solidFill>
                              <a:srgbClr val="000000"/>
                            </a:solidFill>
                            <a:prstDash val="solid"/>
                            <a:headEnd type="none" w="med" len="med"/>
                            <a:tailEnd type="none" w="med" len="med"/>
                          </a:ln>
                          <a:effectLst/>
                        </wps:spPr>
                        <wps:bodyPr/>
                      </wps:wsp>
                      <wps:wsp>
                        <wps:cNvPr id="1902" name="直接箭头连接符 1615"/>
                        <wps:cNvCnPr/>
                        <wps:spPr>
                          <a:xfrm>
                            <a:off x="3449320" y="1244600"/>
                            <a:ext cx="317500" cy="1270"/>
                          </a:xfrm>
                          <a:prstGeom prst="straightConnector1">
                            <a:avLst/>
                          </a:prstGeom>
                          <a:ln w="9525" cap="flat" cmpd="sng">
                            <a:solidFill>
                              <a:srgbClr val="000000"/>
                            </a:solidFill>
                            <a:prstDash val="solid"/>
                            <a:headEnd type="none" w="med" len="med"/>
                            <a:tailEnd type="none" w="med" len="med"/>
                          </a:ln>
                          <a:effectLst/>
                        </wps:spPr>
                        <wps:bodyPr/>
                      </wps:wsp>
                      <wps:wsp>
                        <wps:cNvPr id="1903" name="流程图: 文档 1616"/>
                        <wps:cNvSpPr/>
                        <wps:spPr>
                          <a:xfrm>
                            <a:off x="3762375" y="2030730"/>
                            <a:ext cx="1350645" cy="379730"/>
                          </a:xfrm>
                          <a:prstGeom prst="flowChartDocumen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06F729B8">
                              <w:pPr>
                                <w:jc w:val="left"/>
                                <w:rPr>
                                  <w:b/>
                                  <w:color w:val="FFFFFF"/>
                                </w:rPr>
                              </w:pPr>
                              <w:r>
                                <w:rPr>
                                  <w:rFonts w:hint="eastAsia"/>
                                  <w:b/>
                                  <w:color w:val="FFFFFF"/>
                                </w:rPr>
                                <w:t>2.1平屋面部分</w:t>
                              </w:r>
                            </w:p>
                          </w:txbxContent>
                        </wps:txbx>
                        <wps:bodyPr anchor="ctr" anchorCtr="0" upright="1"/>
                      </wps:wsp>
                      <wps:wsp>
                        <wps:cNvPr id="1904" name="直接箭头连接符 1617"/>
                        <wps:cNvCnPr/>
                        <wps:spPr>
                          <a:xfrm>
                            <a:off x="3454400" y="2183765"/>
                            <a:ext cx="1905" cy="501650"/>
                          </a:xfrm>
                          <a:prstGeom prst="straightConnector1">
                            <a:avLst/>
                          </a:prstGeom>
                          <a:ln w="9525" cap="flat" cmpd="sng">
                            <a:solidFill>
                              <a:srgbClr val="000000"/>
                            </a:solidFill>
                            <a:prstDash val="solid"/>
                            <a:headEnd type="none" w="med" len="med"/>
                            <a:tailEnd type="none" w="med" len="med"/>
                          </a:ln>
                          <a:effectLst/>
                        </wps:spPr>
                        <wps:bodyPr/>
                      </wps:wsp>
                      <wps:wsp>
                        <wps:cNvPr id="1905" name="直接箭头连接符 1618"/>
                        <wps:cNvCnPr/>
                        <wps:spPr>
                          <a:xfrm>
                            <a:off x="3446145" y="2685415"/>
                            <a:ext cx="316230" cy="1270"/>
                          </a:xfrm>
                          <a:prstGeom prst="straightConnector1">
                            <a:avLst/>
                          </a:prstGeom>
                          <a:ln w="9525" cap="flat" cmpd="sng">
                            <a:solidFill>
                              <a:srgbClr val="000000"/>
                            </a:solidFill>
                            <a:prstDash val="solid"/>
                            <a:headEnd type="none" w="med" len="med"/>
                            <a:tailEnd type="none" w="med" len="med"/>
                          </a:ln>
                          <a:effectLst/>
                        </wps:spPr>
                        <wps:bodyPr/>
                      </wps:wsp>
                      <wps:wsp>
                        <wps:cNvPr id="1906" name="流程图: 文档 1619"/>
                        <wps:cNvSpPr/>
                        <wps:spPr>
                          <a:xfrm>
                            <a:off x="3774440" y="2496820"/>
                            <a:ext cx="1338580" cy="377825"/>
                          </a:xfrm>
                          <a:prstGeom prst="flowChartDocumen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3BCE4593">
                              <w:pPr>
                                <w:jc w:val="left"/>
                                <w:rPr>
                                  <w:b/>
                                  <w:color w:val="FFFFFF"/>
                                </w:rPr>
                              </w:pPr>
                              <w:r>
                                <w:rPr>
                                  <w:rFonts w:hint="eastAsia"/>
                                  <w:b/>
                                  <w:color w:val="FFFFFF"/>
                                </w:rPr>
                                <w:t>2.2坡屋面部分</w:t>
                              </w:r>
                            </w:p>
                          </w:txbxContent>
                        </wps:txbx>
                        <wps:bodyPr anchor="ctr" anchorCtr="0" upright="1"/>
                      </wps:wsp>
                      <wps:wsp>
                        <wps:cNvPr id="1907" name="直接箭头连接符 1620"/>
                        <wps:cNvCnPr/>
                        <wps:spPr>
                          <a:xfrm>
                            <a:off x="3456305" y="2182495"/>
                            <a:ext cx="318135" cy="1270"/>
                          </a:xfrm>
                          <a:prstGeom prst="straightConnector1">
                            <a:avLst/>
                          </a:prstGeom>
                          <a:ln w="9525" cap="flat" cmpd="sng">
                            <a:solidFill>
                              <a:srgbClr val="000000"/>
                            </a:solidFill>
                            <a:prstDash val="solid"/>
                            <a:headEnd type="none" w="med" len="med"/>
                            <a:tailEnd type="none" w="med" len="med"/>
                          </a:ln>
                          <a:effectLst/>
                        </wps:spPr>
                        <wps:bodyPr/>
                      </wps:wsp>
                      <wps:wsp>
                        <wps:cNvPr id="1908" name="流程图: 文档 1621"/>
                        <wps:cNvSpPr/>
                        <wps:spPr>
                          <a:xfrm>
                            <a:off x="3763010" y="2942590"/>
                            <a:ext cx="1350010" cy="381635"/>
                          </a:xfrm>
                          <a:prstGeom prst="flowChartDocumen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131082AB">
                              <w:pPr>
                                <w:jc w:val="left"/>
                                <w:rPr>
                                  <w:b/>
                                  <w:color w:val="FFFFFF"/>
                                </w:rPr>
                              </w:pPr>
                              <w:r>
                                <w:rPr>
                                  <w:rFonts w:hint="eastAsia"/>
                                  <w:b/>
                                  <w:color w:val="FFFFFF"/>
                                </w:rPr>
                                <w:t>3.1毛坯厨房部分</w:t>
                              </w:r>
                            </w:p>
                          </w:txbxContent>
                        </wps:txbx>
                        <wps:bodyPr anchor="ctr" anchorCtr="0" upright="1"/>
                      </wps:wsp>
                      <wps:wsp>
                        <wps:cNvPr id="1909" name="直接箭头连接符 1622"/>
                        <wps:cNvCnPr/>
                        <wps:spPr>
                          <a:xfrm>
                            <a:off x="3443605" y="3151505"/>
                            <a:ext cx="635" cy="462915"/>
                          </a:xfrm>
                          <a:prstGeom prst="straightConnector1">
                            <a:avLst/>
                          </a:prstGeom>
                          <a:ln w="9525" cap="flat" cmpd="sng">
                            <a:solidFill>
                              <a:srgbClr val="000000"/>
                            </a:solidFill>
                            <a:prstDash val="solid"/>
                            <a:headEnd type="none" w="med" len="med"/>
                            <a:tailEnd type="none" w="med" len="med"/>
                          </a:ln>
                          <a:effectLst/>
                        </wps:spPr>
                        <wps:bodyPr/>
                      </wps:wsp>
                      <wps:wsp>
                        <wps:cNvPr id="1910" name="直接箭头连接符 1623"/>
                        <wps:cNvCnPr/>
                        <wps:spPr>
                          <a:xfrm>
                            <a:off x="3446145" y="3614420"/>
                            <a:ext cx="316865" cy="1270"/>
                          </a:xfrm>
                          <a:prstGeom prst="straightConnector1">
                            <a:avLst/>
                          </a:prstGeom>
                          <a:ln w="9525" cap="flat" cmpd="sng">
                            <a:solidFill>
                              <a:srgbClr val="000000"/>
                            </a:solidFill>
                            <a:prstDash val="solid"/>
                            <a:headEnd type="none" w="med" len="med"/>
                            <a:tailEnd type="none" w="med" len="med"/>
                          </a:ln>
                          <a:effectLst/>
                        </wps:spPr>
                        <wps:bodyPr/>
                      </wps:wsp>
                      <wps:wsp>
                        <wps:cNvPr id="1911" name="流程图: 文档 1624"/>
                        <wps:cNvSpPr/>
                        <wps:spPr>
                          <a:xfrm>
                            <a:off x="3762375" y="3414395"/>
                            <a:ext cx="1338580" cy="378460"/>
                          </a:xfrm>
                          <a:prstGeom prst="flowChartDocumen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0BCF3960">
                              <w:pPr>
                                <w:rPr>
                                  <w:b/>
                                  <w:color w:val="FFFFFF"/>
                                </w:rPr>
                              </w:pPr>
                              <w:r>
                                <w:rPr>
                                  <w:rFonts w:hint="eastAsia"/>
                                  <w:b/>
                                  <w:color w:val="FFFFFF"/>
                                </w:rPr>
                                <w:t>3.2毛坯卫生间部分</w:t>
                              </w:r>
                            </w:p>
                          </w:txbxContent>
                        </wps:txbx>
                        <wps:bodyPr anchor="ctr" anchorCtr="0" upright="1"/>
                      </wps:wsp>
                      <wps:wsp>
                        <wps:cNvPr id="1912" name="直接箭头连接符 1625"/>
                        <wps:cNvCnPr/>
                        <wps:spPr>
                          <a:xfrm>
                            <a:off x="3448685" y="3151505"/>
                            <a:ext cx="317500" cy="1270"/>
                          </a:xfrm>
                          <a:prstGeom prst="straightConnector1">
                            <a:avLst/>
                          </a:prstGeom>
                          <a:ln w="9525" cap="flat" cmpd="sng">
                            <a:solidFill>
                              <a:srgbClr val="000000"/>
                            </a:solidFill>
                            <a:prstDash val="solid"/>
                            <a:headEnd type="none" w="med" len="med"/>
                            <a:tailEnd type="none" w="med" len="med"/>
                          </a:ln>
                          <a:effectLst/>
                        </wps:spPr>
                        <wps:bodyPr/>
                      </wps:wsp>
                      <wps:wsp>
                        <wps:cNvPr id="1913" name="直接箭头连接符 1626"/>
                        <wps:cNvCnPr/>
                        <wps:spPr>
                          <a:xfrm flipV="1">
                            <a:off x="3118485" y="2444750"/>
                            <a:ext cx="337820" cy="1270"/>
                          </a:xfrm>
                          <a:prstGeom prst="straightConnector1">
                            <a:avLst/>
                          </a:prstGeom>
                          <a:ln w="9525" cap="flat" cmpd="sng">
                            <a:solidFill>
                              <a:srgbClr val="000000"/>
                            </a:solidFill>
                            <a:prstDash val="solid"/>
                            <a:headEnd type="none" w="med" len="med"/>
                            <a:tailEnd type="none" w="med" len="med"/>
                          </a:ln>
                          <a:effectLst/>
                        </wps:spPr>
                        <wps:bodyPr/>
                      </wps:wsp>
                      <wps:wsp>
                        <wps:cNvPr id="1914" name="直接箭头连接符 1627"/>
                        <wps:cNvCnPr/>
                        <wps:spPr>
                          <a:xfrm flipV="1">
                            <a:off x="3118485" y="3340100"/>
                            <a:ext cx="337820" cy="1270"/>
                          </a:xfrm>
                          <a:prstGeom prst="straightConnector1">
                            <a:avLst/>
                          </a:prstGeom>
                          <a:ln w="9525" cap="flat" cmpd="sng">
                            <a:solidFill>
                              <a:srgbClr val="000000"/>
                            </a:solidFill>
                            <a:prstDash val="solid"/>
                            <a:headEnd type="none" w="med" len="med"/>
                            <a:tailEnd type="none" w="med" len="med"/>
                          </a:ln>
                          <a:effectLst/>
                        </wps:spPr>
                        <wps:bodyPr/>
                      </wps:wsp>
                      <wps:wsp>
                        <wps:cNvPr id="1915" name="流程图: 文档 1628"/>
                        <wps:cNvSpPr/>
                        <wps:spPr>
                          <a:xfrm>
                            <a:off x="3762375" y="3885565"/>
                            <a:ext cx="1350645" cy="380365"/>
                          </a:xfrm>
                          <a:prstGeom prst="flowChartDocumen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44E57136">
                              <w:pPr>
                                <w:rPr>
                                  <w:b/>
                                  <w:color w:val="FFFFFF"/>
                                </w:rPr>
                              </w:pPr>
                              <w:r>
                                <w:rPr>
                                  <w:rFonts w:hint="eastAsia"/>
                                  <w:b/>
                                  <w:color w:val="FFFFFF"/>
                                </w:rPr>
                                <w:t>4.1阳台部分</w:t>
                              </w:r>
                            </w:p>
                          </w:txbxContent>
                        </wps:txbx>
                        <wps:bodyPr anchor="ctr" anchorCtr="0" upright="1"/>
                      </wps:wsp>
                      <wps:wsp>
                        <wps:cNvPr id="1916" name="直接箭头连接符 1629"/>
                        <wps:cNvCnPr/>
                        <wps:spPr>
                          <a:xfrm>
                            <a:off x="3456940" y="4101465"/>
                            <a:ext cx="1270" cy="462915"/>
                          </a:xfrm>
                          <a:prstGeom prst="straightConnector1">
                            <a:avLst/>
                          </a:prstGeom>
                          <a:ln w="9525" cap="flat" cmpd="sng">
                            <a:solidFill>
                              <a:srgbClr val="000000"/>
                            </a:solidFill>
                            <a:prstDash val="solid"/>
                            <a:headEnd type="none" w="med" len="med"/>
                            <a:tailEnd type="none" w="med" len="med"/>
                          </a:ln>
                          <a:effectLst/>
                        </wps:spPr>
                        <wps:bodyPr/>
                      </wps:wsp>
                      <wps:wsp>
                        <wps:cNvPr id="1917" name="直接箭头连接符 1630"/>
                        <wps:cNvCnPr/>
                        <wps:spPr>
                          <a:xfrm>
                            <a:off x="3456940" y="4558665"/>
                            <a:ext cx="317500" cy="1270"/>
                          </a:xfrm>
                          <a:prstGeom prst="straightConnector1">
                            <a:avLst/>
                          </a:prstGeom>
                          <a:ln w="9525" cap="flat" cmpd="sng">
                            <a:solidFill>
                              <a:srgbClr val="000000"/>
                            </a:solidFill>
                            <a:prstDash val="solid"/>
                            <a:headEnd type="none" w="med" len="med"/>
                            <a:tailEnd type="none" w="med" len="med"/>
                          </a:ln>
                          <a:effectLst/>
                        </wps:spPr>
                        <wps:bodyPr/>
                      </wps:wsp>
                      <wps:wsp>
                        <wps:cNvPr id="1918" name="流程图: 文档 1631"/>
                        <wps:cNvSpPr/>
                        <wps:spPr>
                          <a:xfrm>
                            <a:off x="3774440" y="4310380"/>
                            <a:ext cx="1338580" cy="376555"/>
                          </a:xfrm>
                          <a:prstGeom prst="flowChartDocumen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32D0D1D5">
                              <w:pPr>
                                <w:rPr>
                                  <w:b/>
                                  <w:color w:val="FFFFFF"/>
                                </w:rPr>
                              </w:pPr>
                              <w:r>
                                <w:rPr>
                                  <w:rFonts w:hint="eastAsia"/>
                                  <w:b/>
                                  <w:color w:val="FFFFFF"/>
                                </w:rPr>
                                <w:t>4.2露台部分</w:t>
                              </w:r>
                            </w:p>
                          </w:txbxContent>
                        </wps:txbx>
                        <wps:bodyPr anchor="ctr" anchorCtr="0" upright="1"/>
                      </wps:wsp>
                      <wps:wsp>
                        <wps:cNvPr id="1919" name="直接箭头连接符 1632"/>
                        <wps:cNvCnPr/>
                        <wps:spPr>
                          <a:xfrm>
                            <a:off x="3456940" y="4094480"/>
                            <a:ext cx="317500" cy="1270"/>
                          </a:xfrm>
                          <a:prstGeom prst="straightConnector1">
                            <a:avLst/>
                          </a:prstGeom>
                          <a:ln w="9525" cap="flat" cmpd="sng">
                            <a:solidFill>
                              <a:srgbClr val="000000"/>
                            </a:solidFill>
                            <a:prstDash val="solid"/>
                            <a:headEnd type="none" w="med" len="med"/>
                            <a:tailEnd type="none" w="med" len="med"/>
                          </a:ln>
                          <a:effectLst/>
                        </wps:spPr>
                        <wps:bodyPr/>
                      </wps:wsp>
                      <wps:wsp>
                        <wps:cNvPr id="1920" name="流程图: 文档 1633"/>
                        <wps:cNvSpPr/>
                        <wps:spPr>
                          <a:xfrm>
                            <a:off x="3776980" y="5295900"/>
                            <a:ext cx="1338580" cy="376555"/>
                          </a:xfrm>
                          <a:prstGeom prst="flowChartDocumen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1474E8F8">
                              <w:pPr>
                                <w:rPr>
                                  <w:b/>
                                  <w:color w:val="FFFFFF"/>
                                </w:rPr>
                              </w:pPr>
                              <w:r>
                                <w:rPr>
                                  <w:rFonts w:hint="eastAsia"/>
                                  <w:b/>
                                  <w:color w:val="FFFFFF"/>
                                </w:rPr>
                                <w:t>5.2节点构造部分</w:t>
                              </w:r>
                            </w:p>
                          </w:txbxContent>
                        </wps:txbx>
                        <wps:bodyPr anchor="ctr" anchorCtr="0" upright="1"/>
                      </wps:wsp>
                      <wps:wsp>
                        <wps:cNvPr id="1926" name="流程图: 文档 1639"/>
                        <wps:cNvSpPr/>
                        <wps:spPr>
                          <a:xfrm>
                            <a:off x="3778250" y="7433945"/>
                            <a:ext cx="1337310" cy="380365"/>
                          </a:xfrm>
                          <a:prstGeom prst="flowChartDocumen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2564AA48">
                              <w:pPr>
                                <w:rPr>
                                  <w:b/>
                                  <w:color w:val="FFFFFF"/>
                                </w:rPr>
                              </w:pPr>
                              <w:r>
                                <w:rPr>
                                  <w:rFonts w:hint="eastAsia"/>
                                  <w:b/>
                                  <w:color w:val="FFFFFF"/>
                                  <w:lang w:val="en-US" w:eastAsia="zh-CN"/>
                                </w:rPr>
                                <w:t>6</w:t>
                              </w:r>
                              <w:r>
                                <w:rPr>
                                  <w:rFonts w:hint="eastAsia"/>
                                  <w:b/>
                                  <w:color w:val="FFFFFF"/>
                                </w:rPr>
                                <w:t>.2室外水体部分</w:t>
                              </w:r>
                            </w:p>
                          </w:txbxContent>
                        </wps:txbx>
                        <wps:bodyPr anchor="ctr" anchorCtr="0" upright="1"/>
                      </wps:wsp>
                      <wps:wsp>
                        <wps:cNvPr id="147" name="直接箭头连接符 1640"/>
                        <wps:cNvCnPr/>
                        <wps:spPr>
                          <a:xfrm>
                            <a:off x="3457575" y="6059805"/>
                            <a:ext cx="9525" cy="1299845"/>
                          </a:xfrm>
                          <a:prstGeom prst="straightConnector1">
                            <a:avLst/>
                          </a:prstGeom>
                          <a:ln w="9525" cap="flat" cmpd="sng">
                            <a:solidFill>
                              <a:srgbClr val="000000"/>
                            </a:solidFill>
                            <a:prstDash val="solid"/>
                            <a:round/>
                            <a:headEnd type="none" w="med" len="med"/>
                            <a:tailEnd type="none" w="med" len="med"/>
                          </a:ln>
                        </wps:spPr>
                        <wps:bodyPr/>
                      </wps:wsp>
                      <wps:wsp>
                        <wps:cNvPr id="1928" name="直接箭头连接符 1641"/>
                        <wps:cNvCnPr/>
                        <wps:spPr>
                          <a:xfrm>
                            <a:off x="3458210" y="8418830"/>
                            <a:ext cx="316865" cy="1270"/>
                          </a:xfrm>
                          <a:prstGeom prst="straightConnector1">
                            <a:avLst/>
                          </a:prstGeom>
                          <a:ln w="9525" cap="flat" cmpd="sng">
                            <a:solidFill>
                              <a:srgbClr val="000000"/>
                            </a:solidFill>
                            <a:prstDash val="solid"/>
                            <a:headEnd type="none" w="med" len="med"/>
                            <a:tailEnd type="none" w="med" len="med"/>
                          </a:ln>
                          <a:effectLst/>
                        </wps:spPr>
                        <wps:bodyPr/>
                      </wps:wsp>
                      <wps:wsp>
                        <wps:cNvPr id="1929" name="流程图: 文档 1642"/>
                        <wps:cNvSpPr/>
                        <wps:spPr>
                          <a:xfrm>
                            <a:off x="3774440" y="8171815"/>
                            <a:ext cx="1338580" cy="376555"/>
                          </a:xfrm>
                          <a:prstGeom prst="flowChartDocumen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6957AF08">
                              <w:pPr>
                                <w:rPr>
                                  <w:b/>
                                  <w:color w:val="FFFFFF"/>
                                </w:rPr>
                              </w:pPr>
                              <w:r>
                                <w:rPr>
                                  <w:rFonts w:hint="eastAsia"/>
                                  <w:b/>
                                  <w:color w:val="FFFFFF"/>
                                  <w:lang w:val="en-US" w:eastAsia="zh-CN"/>
                                </w:rPr>
                                <w:t>6</w:t>
                              </w:r>
                              <w:r>
                                <w:rPr>
                                  <w:rFonts w:hint="eastAsia"/>
                                  <w:b/>
                                  <w:color w:val="FFFFFF"/>
                                </w:rPr>
                                <w:t>.3零星工程部分</w:t>
                              </w:r>
                            </w:p>
                          </w:txbxContent>
                        </wps:txbx>
                        <wps:bodyPr anchor="ctr" anchorCtr="0" upright="1"/>
                      </wps:wsp>
                      <wps:wsp>
                        <wps:cNvPr id="1930" name="直接箭头连接符 1643"/>
                        <wps:cNvCnPr/>
                        <wps:spPr>
                          <a:xfrm>
                            <a:off x="3441700" y="7601585"/>
                            <a:ext cx="318135" cy="1270"/>
                          </a:xfrm>
                          <a:prstGeom prst="straightConnector1">
                            <a:avLst/>
                          </a:prstGeom>
                          <a:ln w="9525" cap="flat" cmpd="sng">
                            <a:solidFill>
                              <a:srgbClr val="000000"/>
                            </a:solidFill>
                            <a:prstDash val="solid"/>
                            <a:headEnd type="none" w="med" len="med"/>
                            <a:tailEnd type="none" w="med" len="med"/>
                          </a:ln>
                          <a:effectLst/>
                        </wps:spPr>
                        <wps:bodyPr/>
                      </wps:wsp>
                      <wps:wsp>
                        <wps:cNvPr id="1931" name="直接箭头连接符 1644"/>
                        <wps:cNvCnPr/>
                        <wps:spPr>
                          <a:xfrm>
                            <a:off x="3210560" y="4300855"/>
                            <a:ext cx="247650" cy="1270"/>
                          </a:xfrm>
                          <a:prstGeom prst="straightConnector1">
                            <a:avLst/>
                          </a:prstGeom>
                          <a:ln w="9525" cap="flat" cmpd="sng">
                            <a:solidFill>
                              <a:srgbClr val="000000"/>
                            </a:solidFill>
                            <a:prstDash val="solid"/>
                            <a:headEnd type="none" w="med" len="med"/>
                            <a:tailEnd type="none" w="med" len="med"/>
                          </a:ln>
                          <a:effectLst/>
                        </wps:spPr>
                        <wps:bodyPr/>
                      </wps:wsp>
                      <wps:wsp>
                        <wps:cNvPr id="1932" name="直接箭头连接符 1645"/>
                        <wps:cNvCnPr/>
                        <wps:spPr>
                          <a:xfrm flipV="1">
                            <a:off x="3163570" y="5305425"/>
                            <a:ext cx="283210" cy="1270"/>
                          </a:xfrm>
                          <a:prstGeom prst="straightConnector1">
                            <a:avLst/>
                          </a:prstGeom>
                          <a:ln w="9525" cap="flat" cmpd="sng">
                            <a:solidFill>
                              <a:srgbClr val="000000"/>
                            </a:solidFill>
                            <a:prstDash val="solid"/>
                            <a:headEnd type="none" w="med" len="med"/>
                            <a:tailEnd type="none" w="med" len="med"/>
                          </a:ln>
                          <a:effectLst/>
                        </wps:spPr>
                        <wps:bodyPr/>
                      </wps:wsp>
                      <wps:wsp>
                        <wps:cNvPr id="1934" name="直接箭头连接符 1647"/>
                        <wps:cNvCnPr/>
                        <wps:spPr>
                          <a:xfrm>
                            <a:off x="3111500" y="7882255"/>
                            <a:ext cx="328930" cy="0"/>
                          </a:xfrm>
                          <a:prstGeom prst="straightConnector1">
                            <a:avLst/>
                          </a:prstGeom>
                          <a:ln w="9525" cap="flat" cmpd="sng">
                            <a:solidFill>
                              <a:srgbClr val="000000"/>
                            </a:solidFill>
                            <a:prstDash val="solid"/>
                            <a:headEnd type="none" w="med" len="med"/>
                            <a:tailEnd type="none" w="med" len="med"/>
                          </a:ln>
                          <a:effectLst/>
                        </wps:spPr>
                        <wps:bodyPr/>
                      </wps:wsp>
                      <wps:wsp>
                        <wps:cNvPr id="1935" name="矩形 1648"/>
                        <wps:cNvSpPr/>
                        <wps:spPr>
                          <a:xfrm>
                            <a:off x="1947545" y="497205"/>
                            <a:ext cx="3594100" cy="442595"/>
                          </a:xfrm>
                          <a:prstGeom prst="rect">
                            <a:avLst/>
                          </a:prstGeom>
                          <a:solidFill>
                            <a:srgbClr val="FF6600">
                              <a:alpha val="79999"/>
                            </a:srgbClr>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448FC7BF">
                              <w:pPr>
                                <w:rPr>
                                  <w:b/>
                                  <w:color w:val="FFFFFF"/>
                                  <w:sz w:val="28"/>
                                  <w:szCs w:val="28"/>
                                </w:rPr>
                              </w:pPr>
                              <w:r>
                                <w:rPr>
                                  <w:rFonts w:hint="eastAsia"/>
                                  <w:b/>
                                  <w:color w:val="FFFFFF"/>
                                  <w:sz w:val="28"/>
                                  <w:szCs w:val="28"/>
                                </w:rPr>
                                <w:t>防水按级设防部分</w:t>
                              </w:r>
                            </w:p>
                          </w:txbxContent>
                        </wps:txbx>
                        <wps:bodyPr lIns="91440" tIns="10800" rIns="91440" bIns="10800" anchor="ctr" anchorCtr="0" upright="1"/>
                      </wps:wsp>
                      <wps:wsp>
                        <wps:cNvPr id="1936" name="矩形 1649"/>
                        <wps:cNvSpPr/>
                        <wps:spPr>
                          <a:xfrm>
                            <a:off x="1947545" y="9057005"/>
                            <a:ext cx="3592830" cy="467995"/>
                          </a:xfrm>
                          <a:prstGeom prst="rect">
                            <a:avLst/>
                          </a:prstGeom>
                          <a:solidFill>
                            <a:srgbClr val="4F6228"/>
                          </a:solidFill>
                          <a:ln w="38100" cap="flat" cmpd="sng">
                            <a:solidFill>
                              <a:srgbClr val="F2F2F2"/>
                            </a:solidFill>
                            <a:prstDash val="solid"/>
                            <a:miter/>
                            <a:headEnd type="none" w="med" len="med"/>
                            <a:tailEnd type="none" w="med" len="med"/>
                          </a:ln>
                          <a:effectLst>
                            <a:outerShdw dist="28398" dir="3806096" algn="ctr" rotWithShape="0">
                              <a:srgbClr val="4F6228">
                                <a:alpha val="50000"/>
                              </a:srgbClr>
                            </a:outerShdw>
                          </a:effectLst>
                        </wps:spPr>
                        <wps:txbx>
                          <w:txbxContent>
                            <w:p w14:paraId="0C216EDC">
                              <w:pPr>
                                <w:rPr>
                                  <w:b/>
                                  <w:color w:val="FFFFFF"/>
                                  <w:sz w:val="28"/>
                                  <w:szCs w:val="28"/>
                                </w:rPr>
                              </w:pPr>
                              <w:r>
                                <w:rPr>
                                  <w:rFonts w:hint="eastAsia"/>
                                  <w:b/>
                                  <w:color w:val="FFFFFF"/>
                                  <w:sz w:val="28"/>
                                  <w:szCs w:val="28"/>
                                </w:rPr>
                                <w:t>防水非按级设防部分</w:t>
                              </w:r>
                            </w:p>
                            <w:p w14:paraId="168C6A5E">
                              <w:pPr>
                                <w:rPr>
                                  <w:b/>
                                  <w:color w:val="FFFFFF"/>
                                  <w:sz w:val="28"/>
                                  <w:szCs w:val="28"/>
                                </w:rPr>
                              </w:pPr>
                            </w:p>
                            <w:p w14:paraId="2B3EAAD3">
                              <w:r>
                                <w:object>
                                  <v:shape id="_x0000_i1025" o:spt="75" type="#_x0000_t75" style="height:144pt;width:216pt;" o:ole="t" filled="f" stroked="f" coordsize="21600,21600">
                                    <v:path/>
                                    <v:fill on="f" focussize="0,0"/>
                                    <v:stroke on="f"/>
                                    <v:imagedata r:id="rId34" cropleft="-2882f" croptop="-7318f" cropbottom="-5495f" o:title=""/>
                                    <o:lock v:ext="edit" grouping="f" rotation="f" text="f" aspectratio="t"/>
                                    <w10:wrap type="none"/>
                                    <w10:anchorlock/>
                                  </v:shape>
                                  <o:OLEObject Type="Embed" ProgID="Excel.Chart.8" ShapeID="_x0000_i1025" DrawAspect="Content" ObjectID="_1468075725" r:id="rId33">
                                    <o:LockedField>false</o:LockedField>
                                  </o:OLEObject>
                                </w:object>
                              </w:r>
                            </w:p>
                          </w:txbxContent>
                        </wps:txbx>
                        <wps:bodyPr lIns="91440" tIns="10800" rIns="91440" bIns="10800" anchor="ctr" anchorCtr="0" upright="1"/>
                      </wps:wsp>
                      <wps:wsp>
                        <wps:cNvPr id="1937" name="流程图: 可选过程 1650"/>
                        <wps:cNvSpPr/>
                        <wps:spPr>
                          <a:xfrm>
                            <a:off x="5703570" y="1287780"/>
                            <a:ext cx="801370" cy="299085"/>
                          </a:xfrm>
                          <a:prstGeom prst="flowChartAlternateProcess">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3EBBE2AC">
                              <w:pPr>
                                <w:jc w:val="left"/>
                                <w:rPr>
                                  <w:b/>
                                  <w:color w:val="FFFFFF"/>
                                </w:rPr>
                              </w:pPr>
                              <w:r>
                                <w:rPr>
                                  <w:rFonts w:hint="eastAsia"/>
                                  <w:b/>
                                  <w:color w:val="FFFFFF"/>
                                </w:rPr>
                                <w:t>非种植顶板板</w:t>
                              </w:r>
                            </w:p>
                          </w:txbxContent>
                        </wps:txbx>
                        <wps:bodyPr lIns="18000" tIns="45720" rIns="18000" bIns="45720" anchor="ctr" anchorCtr="0" upright="1"/>
                      </wps:wsp>
                      <wps:wsp>
                        <wps:cNvPr id="1938" name="流程图: 可选过程 1651"/>
                        <wps:cNvSpPr/>
                        <wps:spPr>
                          <a:xfrm>
                            <a:off x="5698490" y="1647825"/>
                            <a:ext cx="801370" cy="481330"/>
                          </a:xfrm>
                          <a:prstGeom prst="flowChartAlternateProcess">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39E546C6">
                              <w:pPr>
                                <w:rPr>
                                  <w:b/>
                                  <w:color w:val="FFFFFF"/>
                                </w:rPr>
                              </w:pPr>
                              <w:r>
                                <w:rPr>
                                  <w:rFonts w:hint="eastAsia"/>
                                  <w:b/>
                                  <w:color w:val="FFFFFF"/>
                                </w:rPr>
                                <w:t>种植顶板</w:t>
                              </w:r>
                            </w:p>
                            <w:p w14:paraId="7059E5F3">
                              <w:pPr>
                                <w:rPr>
                                  <w:b/>
                                  <w:color w:val="FFFFFF"/>
                                </w:rPr>
                              </w:pPr>
                              <w:r>
                                <w:rPr>
                                  <w:rFonts w:hint="eastAsia"/>
                                  <w:b/>
                                  <w:color w:val="FFFFFF"/>
                                </w:rPr>
                                <w:t>种植屋面</w:t>
                              </w:r>
                            </w:p>
                            <w:p w14:paraId="3B031F37">
                              <w:pPr>
                                <w:rPr>
                                  <w:b/>
                                  <w:color w:val="FFFFFF"/>
                                </w:rPr>
                              </w:pPr>
                            </w:p>
                            <w:p w14:paraId="6BD8604E">
                              <w:pPr>
                                <w:rPr>
                                  <w:b/>
                                  <w:color w:val="FFFFFF"/>
                                </w:rPr>
                              </w:pPr>
                            </w:p>
                          </w:txbxContent>
                        </wps:txbx>
                        <wps:bodyPr lIns="18000" tIns="45720" rIns="18000" bIns="45720" anchor="ctr" anchorCtr="0" upright="1"/>
                      </wps:wsp>
                      <wps:wsp>
                        <wps:cNvPr id="1939" name="流程图: 可选过程 1652"/>
                        <wps:cNvSpPr/>
                        <wps:spPr>
                          <a:xfrm>
                            <a:off x="5698490" y="2543175"/>
                            <a:ext cx="801370" cy="299720"/>
                          </a:xfrm>
                          <a:prstGeom prst="flowChartAlternateProcess">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78C01ED7">
                              <w:pPr>
                                <w:jc w:val="left"/>
                                <w:rPr>
                                  <w:b/>
                                  <w:color w:val="FFFFFF"/>
                                </w:rPr>
                              </w:pPr>
                              <w:r>
                                <w:rPr>
                                  <w:rFonts w:hint="eastAsia"/>
                                  <w:b/>
                                  <w:color w:val="FFFFFF"/>
                                </w:rPr>
                                <w:t>平板瓦屋面</w:t>
                              </w:r>
                            </w:p>
                          </w:txbxContent>
                        </wps:txbx>
                        <wps:bodyPr lIns="18000" tIns="45720" rIns="18000" bIns="45720" upright="1"/>
                      </wps:wsp>
                      <wps:wsp>
                        <wps:cNvPr id="1940" name="流程图: 可选过程 1653"/>
                        <wps:cNvSpPr/>
                        <wps:spPr>
                          <a:xfrm>
                            <a:off x="5703570" y="2884170"/>
                            <a:ext cx="810895" cy="300355"/>
                          </a:xfrm>
                          <a:prstGeom prst="flowChartAlternateProcess">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5B9FDE14">
                              <w:pPr>
                                <w:jc w:val="left"/>
                                <w:rPr>
                                  <w:b/>
                                  <w:color w:val="FFFFFF"/>
                                </w:rPr>
                              </w:pPr>
                              <w:r>
                                <w:rPr>
                                  <w:rFonts w:hint="eastAsia"/>
                                  <w:b/>
                                  <w:color w:val="FFFFFF"/>
                                </w:rPr>
                                <w:t>筒瓦屋面</w:t>
                              </w:r>
                            </w:p>
                          </w:txbxContent>
                        </wps:txbx>
                        <wps:bodyPr lIns="18000" tIns="45720" rIns="18000" bIns="45720" anchor="ctr" anchorCtr="0" upright="1"/>
                      </wps:wsp>
                      <wps:wsp>
                        <wps:cNvPr id="1941" name="流程图: 可选过程 1654"/>
                        <wps:cNvSpPr/>
                        <wps:spPr>
                          <a:xfrm>
                            <a:off x="5705475" y="3406775"/>
                            <a:ext cx="934085" cy="299720"/>
                          </a:xfrm>
                          <a:prstGeom prst="flowChartAlternateProcess">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4CE258B6">
                              <w:pPr>
                                <w:jc w:val="left"/>
                                <w:rPr>
                                  <w:b/>
                                  <w:color w:val="FFFFFF"/>
                                </w:rPr>
                              </w:pPr>
                              <w:r>
                                <w:rPr>
                                  <w:rFonts w:hint="eastAsia"/>
                                  <w:b/>
                                  <w:color w:val="FFFFFF"/>
                                </w:rPr>
                                <w:t>每层外挑阳台</w:t>
                              </w:r>
                            </w:p>
                          </w:txbxContent>
                        </wps:txbx>
                        <wps:bodyPr lIns="18000" tIns="45720" rIns="18000" bIns="45720" upright="1"/>
                      </wps:wsp>
                      <wps:wsp>
                        <wps:cNvPr id="1942" name="流程图: 可选过程 1655"/>
                        <wps:cNvSpPr/>
                        <wps:spPr>
                          <a:xfrm>
                            <a:off x="5704840" y="3779520"/>
                            <a:ext cx="829310" cy="430530"/>
                          </a:xfrm>
                          <a:prstGeom prst="flowChartAlternateProcess">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4F604BF1">
                              <w:pPr>
                                <w:spacing w:line="240" w:lineRule="exact"/>
                                <w:jc w:val="left"/>
                                <w:rPr>
                                  <w:rFonts w:hAnsi="宋体" w:cs="宋体"/>
                                  <w:b/>
                                  <w:bCs/>
                                  <w:color w:val="FFFFFF"/>
                                  <w:sz w:val="18"/>
                                  <w:szCs w:val="18"/>
                                </w:rPr>
                              </w:pPr>
                              <w:r>
                                <w:rPr>
                                  <w:rFonts w:hint="eastAsia" w:hAnsi="宋体" w:cs="宋体"/>
                                  <w:b/>
                                  <w:bCs/>
                                  <w:color w:val="FFFFFF"/>
                                  <w:sz w:val="18"/>
                                  <w:szCs w:val="18"/>
                                </w:rPr>
                                <w:t>每两层及以上</w:t>
                              </w:r>
                            </w:p>
                            <w:p w14:paraId="75EF7FED">
                              <w:pPr>
                                <w:spacing w:line="240" w:lineRule="exact"/>
                                <w:jc w:val="left"/>
                                <w:rPr>
                                  <w:rFonts w:hAnsi="宋体" w:cs="宋体"/>
                                  <w:b/>
                                  <w:bCs/>
                                  <w:color w:val="FFFFFF"/>
                                  <w:sz w:val="18"/>
                                  <w:szCs w:val="18"/>
                                </w:rPr>
                              </w:pPr>
                              <w:r>
                                <w:rPr>
                                  <w:rFonts w:hint="eastAsia" w:hAnsi="宋体" w:cs="宋体"/>
                                  <w:b/>
                                  <w:bCs/>
                                  <w:color w:val="FFFFFF"/>
                                  <w:sz w:val="18"/>
                                  <w:szCs w:val="18"/>
                                </w:rPr>
                                <w:t>外挑阳台</w:t>
                              </w:r>
                            </w:p>
                          </w:txbxContent>
                        </wps:txbx>
                        <wps:bodyPr lIns="18000" tIns="45720" rIns="18000" bIns="45720" upright="1"/>
                      </wps:wsp>
                      <wps:wsp>
                        <wps:cNvPr id="1943" name="直接箭头连接符 1656"/>
                        <wps:cNvCnPr/>
                        <wps:spPr>
                          <a:xfrm>
                            <a:off x="5404485" y="1879600"/>
                            <a:ext cx="301625" cy="635"/>
                          </a:xfrm>
                          <a:prstGeom prst="straightConnector1">
                            <a:avLst/>
                          </a:prstGeom>
                          <a:ln w="9525" cap="flat" cmpd="sng">
                            <a:solidFill>
                              <a:srgbClr val="000000"/>
                            </a:solidFill>
                            <a:prstDash val="solid"/>
                            <a:headEnd type="none" w="med" len="med"/>
                            <a:tailEnd type="none" w="med" len="med"/>
                          </a:ln>
                          <a:effectLst/>
                        </wps:spPr>
                        <wps:bodyPr/>
                      </wps:wsp>
                      <wps:wsp>
                        <wps:cNvPr id="1944" name="直接箭头连接符 1657"/>
                        <wps:cNvCnPr/>
                        <wps:spPr>
                          <a:xfrm>
                            <a:off x="5113020" y="1679575"/>
                            <a:ext cx="296545" cy="1270"/>
                          </a:xfrm>
                          <a:prstGeom prst="straightConnector1">
                            <a:avLst/>
                          </a:prstGeom>
                          <a:ln w="9525" cap="flat" cmpd="sng">
                            <a:solidFill>
                              <a:srgbClr val="000000"/>
                            </a:solidFill>
                            <a:prstDash val="solid"/>
                            <a:headEnd type="none" w="med" len="med"/>
                            <a:tailEnd type="none" w="med" len="med"/>
                          </a:ln>
                          <a:effectLst/>
                        </wps:spPr>
                        <wps:bodyPr/>
                      </wps:wsp>
                      <wps:wsp>
                        <wps:cNvPr id="1945" name="直接箭头连接符 1658"/>
                        <wps:cNvCnPr/>
                        <wps:spPr>
                          <a:xfrm flipH="1">
                            <a:off x="5409565" y="1437640"/>
                            <a:ext cx="3810" cy="441960"/>
                          </a:xfrm>
                          <a:prstGeom prst="straightConnector1">
                            <a:avLst/>
                          </a:prstGeom>
                          <a:ln w="9525" cap="flat" cmpd="sng">
                            <a:solidFill>
                              <a:srgbClr val="000000"/>
                            </a:solidFill>
                            <a:prstDash val="solid"/>
                            <a:headEnd type="none" w="med" len="med"/>
                            <a:tailEnd type="none" w="med" len="med"/>
                          </a:ln>
                          <a:effectLst/>
                        </wps:spPr>
                        <wps:bodyPr/>
                      </wps:wsp>
                      <wps:wsp>
                        <wps:cNvPr id="1946" name="直接箭头连接符 1659"/>
                        <wps:cNvCnPr/>
                        <wps:spPr>
                          <a:xfrm>
                            <a:off x="5409565" y="1436370"/>
                            <a:ext cx="294005" cy="1270"/>
                          </a:xfrm>
                          <a:prstGeom prst="straightConnector1">
                            <a:avLst/>
                          </a:prstGeom>
                          <a:ln w="9525" cap="flat" cmpd="sng">
                            <a:solidFill>
                              <a:srgbClr val="000000"/>
                            </a:solidFill>
                            <a:prstDash val="solid"/>
                            <a:headEnd type="none" w="med" len="med"/>
                            <a:tailEnd type="none" w="med" len="med"/>
                          </a:ln>
                          <a:effectLst/>
                        </wps:spPr>
                        <wps:bodyPr/>
                      </wps:wsp>
                      <wps:wsp>
                        <wps:cNvPr id="1947" name="直接箭头连接符 1660"/>
                        <wps:cNvCnPr/>
                        <wps:spPr>
                          <a:xfrm>
                            <a:off x="5413375" y="3070860"/>
                            <a:ext cx="294005" cy="1905"/>
                          </a:xfrm>
                          <a:prstGeom prst="straightConnector1">
                            <a:avLst/>
                          </a:prstGeom>
                          <a:ln w="9525" cap="flat" cmpd="sng">
                            <a:solidFill>
                              <a:srgbClr val="000000"/>
                            </a:solidFill>
                            <a:prstDash val="solid"/>
                            <a:headEnd type="none" w="med" len="med"/>
                            <a:tailEnd type="none" w="med" len="med"/>
                          </a:ln>
                          <a:effectLst/>
                        </wps:spPr>
                        <wps:bodyPr/>
                      </wps:wsp>
                      <wps:wsp>
                        <wps:cNvPr id="1948" name="直接箭头连接符 1661"/>
                        <wps:cNvCnPr/>
                        <wps:spPr>
                          <a:xfrm>
                            <a:off x="5114925" y="2684145"/>
                            <a:ext cx="153035" cy="2540"/>
                          </a:xfrm>
                          <a:prstGeom prst="straightConnector1">
                            <a:avLst/>
                          </a:prstGeom>
                          <a:ln w="9525" cap="flat" cmpd="sng">
                            <a:solidFill>
                              <a:srgbClr val="000000"/>
                            </a:solidFill>
                            <a:prstDash val="solid"/>
                            <a:headEnd type="none" w="med" len="med"/>
                            <a:tailEnd type="none" w="med" len="med"/>
                          </a:ln>
                          <a:effectLst/>
                        </wps:spPr>
                        <wps:bodyPr/>
                      </wps:wsp>
                      <wps:wsp>
                        <wps:cNvPr id="1949" name="直接箭头连接符 1662"/>
                        <wps:cNvCnPr/>
                        <wps:spPr>
                          <a:xfrm>
                            <a:off x="5412105" y="2686685"/>
                            <a:ext cx="1905" cy="386080"/>
                          </a:xfrm>
                          <a:prstGeom prst="straightConnector1">
                            <a:avLst/>
                          </a:prstGeom>
                          <a:ln w="9525" cap="flat" cmpd="sng">
                            <a:solidFill>
                              <a:srgbClr val="000000"/>
                            </a:solidFill>
                            <a:prstDash val="solid"/>
                            <a:headEnd type="none" w="med" len="med"/>
                            <a:tailEnd type="none" w="med" len="med"/>
                          </a:ln>
                          <a:effectLst/>
                        </wps:spPr>
                        <wps:bodyPr/>
                      </wps:wsp>
                      <wps:wsp>
                        <wps:cNvPr id="1950" name="直接箭头连接符 1663"/>
                        <wps:cNvCnPr/>
                        <wps:spPr>
                          <a:xfrm>
                            <a:off x="5420360" y="2682875"/>
                            <a:ext cx="294005" cy="1270"/>
                          </a:xfrm>
                          <a:prstGeom prst="straightConnector1">
                            <a:avLst/>
                          </a:prstGeom>
                          <a:ln w="9525" cap="flat" cmpd="sng">
                            <a:solidFill>
                              <a:srgbClr val="000000"/>
                            </a:solidFill>
                            <a:prstDash val="solid"/>
                            <a:headEnd type="none" w="med" len="med"/>
                            <a:tailEnd type="none" w="med" len="med"/>
                          </a:ln>
                          <a:effectLst/>
                        </wps:spPr>
                        <wps:bodyPr/>
                      </wps:wsp>
                      <wps:wsp>
                        <wps:cNvPr id="1951" name="直接箭头连接符 1664"/>
                        <wps:cNvCnPr/>
                        <wps:spPr>
                          <a:xfrm>
                            <a:off x="5404485" y="4037330"/>
                            <a:ext cx="294005" cy="635"/>
                          </a:xfrm>
                          <a:prstGeom prst="straightConnector1">
                            <a:avLst/>
                          </a:prstGeom>
                          <a:ln w="9525" cap="flat" cmpd="sng">
                            <a:solidFill>
                              <a:srgbClr val="000000"/>
                            </a:solidFill>
                            <a:prstDash val="solid"/>
                            <a:headEnd type="none" w="med" len="med"/>
                            <a:tailEnd type="none" w="med" len="med"/>
                          </a:ln>
                          <a:effectLst/>
                        </wps:spPr>
                        <wps:bodyPr/>
                      </wps:wsp>
                      <wps:wsp>
                        <wps:cNvPr id="1952" name="直接箭头连接符 1665"/>
                        <wps:cNvCnPr/>
                        <wps:spPr>
                          <a:xfrm>
                            <a:off x="5097780" y="3961130"/>
                            <a:ext cx="296545" cy="635"/>
                          </a:xfrm>
                          <a:prstGeom prst="straightConnector1">
                            <a:avLst/>
                          </a:prstGeom>
                          <a:ln w="9525" cap="flat" cmpd="sng">
                            <a:solidFill>
                              <a:srgbClr val="000000"/>
                            </a:solidFill>
                            <a:prstDash val="solid"/>
                            <a:headEnd type="none" w="med" len="med"/>
                            <a:tailEnd type="none" w="med" len="med"/>
                          </a:ln>
                          <a:effectLst/>
                        </wps:spPr>
                        <wps:bodyPr/>
                      </wps:wsp>
                      <wps:wsp>
                        <wps:cNvPr id="1953" name="直接箭头连接符 1666"/>
                        <wps:cNvCnPr/>
                        <wps:spPr>
                          <a:xfrm>
                            <a:off x="5404485" y="3658235"/>
                            <a:ext cx="1270" cy="379095"/>
                          </a:xfrm>
                          <a:prstGeom prst="straightConnector1">
                            <a:avLst/>
                          </a:prstGeom>
                          <a:ln w="9525" cap="flat" cmpd="sng">
                            <a:solidFill>
                              <a:srgbClr val="000000"/>
                            </a:solidFill>
                            <a:prstDash val="solid"/>
                            <a:headEnd type="none" w="med" len="med"/>
                            <a:tailEnd type="none" w="med" len="med"/>
                          </a:ln>
                          <a:effectLst/>
                        </wps:spPr>
                        <wps:bodyPr/>
                      </wps:wsp>
                      <wps:wsp>
                        <wps:cNvPr id="1954" name="直接箭头连接符 1667"/>
                        <wps:cNvCnPr/>
                        <wps:spPr>
                          <a:xfrm>
                            <a:off x="5404485" y="3656330"/>
                            <a:ext cx="294005" cy="1905"/>
                          </a:xfrm>
                          <a:prstGeom prst="straightConnector1">
                            <a:avLst/>
                          </a:prstGeom>
                          <a:ln w="9525" cap="flat" cmpd="sng">
                            <a:solidFill>
                              <a:srgbClr val="000000"/>
                            </a:solidFill>
                            <a:prstDash val="solid"/>
                            <a:headEnd type="none" w="med" len="med"/>
                            <a:tailEnd type="none" w="med" len="med"/>
                          </a:ln>
                          <a:effectLst/>
                        </wps:spPr>
                        <wps:bodyPr/>
                      </wps:wsp>
                      <wps:wsp>
                        <wps:cNvPr id="1955" name="直接箭头连接符 1668"/>
                        <wps:cNvCnPr/>
                        <wps:spPr>
                          <a:xfrm>
                            <a:off x="5100955" y="2252980"/>
                            <a:ext cx="297815" cy="1270"/>
                          </a:xfrm>
                          <a:prstGeom prst="straightConnector1">
                            <a:avLst/>
                          </a:prstGeom>
                          <a:ln w="9525" cap="flat" cmpd="sng">
                            <a:solidFill>
                              <a:srgbClr val="000000"/>
                            </a:solidFill>
                            <a:prstDash val="solid"/>
                            <a:headEnd type="none" w="med" len="med"/>
                            <a:tailEnd type="none" w="sm" len="sm"/>
                          </a:ln>
                          <a:effectLst/>
                        </wps:spPr>
                        <wps:bodyPr/>
                      </wps:wsp>
                      <wps:wsp>
                        <wps:cNvPr id="1956" name="直接箭头连接符 1669"/>
                        <wps:cNvCnPr/>
                        <wps:spPr>
                          <a:xfrm>
                            <a:off x="6534150" y="2378710"/>
                            <a:ext cx="400685" cy="635"/>
                          </a:xfrm>
                          <a:prstGeom prst="straightConnector1">
                            <a:avLst/>
                          </a:prstGeom>
                          <a:ln w="9525" cap="flat" cmpd="sng">
                            <a:solidFill>
                              <a:srgbClr val="000000"/>
                            </a:solidFill>
                            <a:prstDash val="solid"/>
                            <a:headEnd type="none" w="med" len="med"/>
                            <a:tailEnd type="none" w="med" len="med"/>
                          </a:ln>
                          <a:effectLst/>
                        </wps:spPr>
                        <wps:bodyPr/>
                      </wps:wsp>
                      <wps:wsp>
                        <wps:cNvPr id="1957" name="流程图: 可选过程 1670"/>
                        <wps:cNvSpPr/>
                        <wps:spPr>
                          <a:xfrm>
                            <a:off x="5705475" y="4276090"/>
                            <a:ext cx="1035050" cy="300990"/>
                          </a:xfrm>
                          <a:prstGeom prst="flowChartAlternateProcess">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093778FB">
                              <w:pPr>
                                <w:jc w:val="left"/>
                                <w:rPr>
                                  <w:b/>
                                  <w:color w:val="FFFFFF"/>
                                </w:rPr>
                              </w:pPr>
                              <w:r>
                                <w:rPr>
                                  <w:rFonts w:hint="eastAsia"/>
                                  <w:b/>
                                  <w:color w:val="FFFFFF"/>
                                </w:rPr>
                                <w:t>非功能房间露台</w:t>
                              </w:r>
                            </w:p>
                          </w:txbxContent>
                        </wps:txbx>
                        <wps:bodyPr lIns="18000" tIns="45720" rIns="18000" bIns="45720" upright="1"/>
                      </wps:wsp>
                      <wps:wsp>
                        <wps:cNvPr id="1958" name="流程图: 可选过程 1671"/>
                        <wps:cNvSpPr/>
                        <wps:spPr>
                          <a:xfrm>
                            <a:off x="5705475" y="4650105"/>
                            <a:ext cx="1035050" cy="299720"/>
                          </a:xfrm>
                          <a:prstGeom prst="flowChartAlternateProcess">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13DF958A">
                              <w:pPr>
                                <w:jc w:val="left"/>
                                <w:rPr>
                                  <w:b/>
                                  <w:color w:val="FFFFFF"/>
                                </w:rPr>
                              </w:pPr>
                              <w:r>
                                <w:rPr>
                                  <w:rFonts w:hint="eastAsia"/>
                                  <w:b/>
                                  <w:color w:val="FFFFFF"/>
                                </w:rPr>
                                <w:t>有功能房间露台</w:t>
                              </w:r>
                            </w:p>
                          </w:txbxContent>
                        </wps:txbx>
                        <wps:bodyPr lIns="18000" tIns="45720" rIns="18000" bIns="45720" upright="1"/>
                      </wps:wsp>
                      <wps:wsp>
                        <wps:cNvPr id="1959" name="直接箭头连接符 1672"/>
                        <wps:cNvCnPr/>
                        <wps:spPr>
                          <a:xfrm>
                            <a:off x="5412105" y="4803140"/>
                            <a:ext cx="294005" cy="1905"/>
                          </a:xfrm>
                          <a:prstGeom prst="straightConnector1">
                            <a:avLst/>
                          </a:prstGeom>
                          <a:ln w="9525" cap="flat" cmpd="sng">
                            <a:solidFill>
                              <a:srgbClr val="000000"/>
                            </a:solidFill>
                            <a:prstDash val="solid"/>
                            <a:headEnd type="none" w="med" len="med"/>
                            <a:tailEnd type="none" w="med" len="med"/>
                          </a:ln>
                          <a:effectLst/>
                        </wps:spPr>
                        <wps:bodyPr/>
                      </wps:wsp>
                      <wps:wsp>
                        <wps:cNvPr id="1960" name="直接箭头连接符 1673"/>
                        <wps:cNvCnPr/>
                        <wps:spPr>
                          <a:xfrm>
                            <a:off x="5114925" y="4535170"/>
                            <a:ext cx="297180" cy="1270"/>
                          </a:xfrm>
                          <a:prstGeom prst="straightConnector1">
                            <a:avLst/>
                          </a:prstGeom>
                          <a:ln w="9525" cap="flat" cmpd="sng">
                            <a:solidFill>
                              <a:srgbClr val="000000"/>
                            </a:solidFill>
                            <a:prstDash val="solid"/>
                            <a:headEnd type="none" w="med" len="med"/>
                            <a:tailEnd type="none" w="med" len="med"/>
                          </a:ln>
                          <a:effectLst/>
                        </wps:spPr>
                        <wps:bodyPr/>
                      </wps:wsp>
                      <wps:wsp>
                        <wps:cNvPr id="1961" name="直接箭头连接符 1674"/>
                        <wps:cNvCnPr/>
                        <wps:spPr>
                          <a:xfrm>
                            <a:off x="5412105" y="4424045"/>
                            <a:ext cx="1270" cy="379095"/>
                          </a:xfrm>
                          <a:prstGeom prst="straightConnector1">
                            <a:avLst/>
                          </a:prstGeom>
                          <a:ln w="9525" cap="flat" cmpd="sng">
                            <a:solidFill>
                              <a:srgbClr val="000000"/>
                            </a:solidFill>
                            <a:prstDash val="solid"/>
                            <a:headEnd type="none" w="med" len="med"/>
                            <a:tailEnd type="none" w="med" len="med"/>
                          </a:ln>
                          <a:effectLst/>
                        </wps:spPr>
                        <wps:bodyPr/>
                      </wps:wsp>
                      <wps:wsp>
                        <wps:cNvPr id="1962" name="直接箭头连接符 1675"/>
                        <wps:cNvCnPr/>
                        <wps:spPr>
                          <a:xfrm>
                            <a:off x="5412105" y="4423410"/>
                            <a:ext cx="294005" cy="635"/>
                          </a:xfrm>
                          <a:prstGeom prst="straightConnector1">
                            <a:avLst/>
                          </a:prstGeom>
                          <a:ln w="9525" cap="flat" cmpd="sng">
                            <a:solidFill>
                              <a:srgbClr val="000000"/>
                            </a:solidFill>
                            <a:prstDash val="solid"/>
                            <a:headEnd type="none" w="med" len="med"/>
                            <a:tailEnd type="none" w="med" len="med"/>
                          </a:ln>
                          <a:effectLst/>
                        </wps:spPr>
                        <wps:bodyPr/>
                      </wps:wsp>
                      <wps:wsp>
                        <wps:cNvPr id="1963" name="直接箭头连接符 1676"/>
                        <wps:cNvCnPr/>
                        <wps:spPr>
                          <a:xfrm flipV="1">
                            <a:off x="6535420" y="3071495"/>
                            <a:ext cx="399415" cy="1270"/>
                          </a:xfrm>
                          <a:prstGeom prst="straightConnector1">
                            <a:avLst/>
                          </a:prstGeom>
                          <a:ln w="9525" cap="flat" cmpd="sng">
                            <a:solidFill>
                              <a:srgbClr val="000000"/>
                            </a:solidFill>
                            <a:prstDash val="solid"/>
                            <a:headEnd type="none" w="med" len="med"/>
                            <a:tailEnd type="none" w="med" len="med"/>
                          </a:ln>
                          <a:effectLst/>
                        </wps:spPr>
                        <wps:bodyPr/>
                      </wps:wsp>
                      <wps:wsp>
                        <wps:cNvPr id="1964" name="直接箭头连接符 1677"/>
                        <wps:cNvCnPr/>
                        <wps:spPr>
                          <a:xfrm>
                            <a:off x="6934835" y="2379345"/>
                            <a:ext cx="1270" cy="691515"/>
                          </a:xfrm>
                          <a:prstGeom prst="straightConnector1">
                            <a:avLst/>
                          </a:prstGeom>
                          <a:ln w="9525" cap="flat" cmpd="sng">
                            <a:solidFill>
                              <a:srgbClr val="000000"/>
                            </a:solidFill>
                            <a:prstDash val="solid"/>
                            <a:headEnd type="none" w="med" len="med"/>
                            <a:tailEnd type="none" w="med" len="med"/>
                          </a:ln>
                          <a:effectLst/>
                        </wps:spPr>
                        <wps:bodyPr/>
                      </wps:wsp>
                      <wps:wsp>
                        <wps:cNvPr id="1965" name="六边形 1678"/>
                        <wps:cNvSpPr/>
                        <wps:spPr>
                          <a:xfrm>
                            <a:off x="7247255" y="2409825"/>
                            <a:ext cx="648970" cy="576580"/>
                          </a:xfrm>
                          <a:prstGeom prst="hexagon">
                            <a:avLst>
                              <a:gd name="adj" fmla="val 26174"/>
                              <a:gd name="vf" fmla="val 115470"/>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098986C5">
                              <w:pPr>
                                <w:rPr>
                                  <w:b/>
                                  <w:color w:val="FFFFFF"/>
                                </w:rPr>
                              </w:pPr>
                              <w:r>
                                <w:rPr>
                                  <w:rFonts w:hint="eastAsia"/>
                                  <w:b/>
                                  <w:color w:val="FFFFFF"/>
                                </w:rPr>
                                <w:t>一级设防</w:t>
                              </w:r>
                            </w:p>
                          </w:txbxContent>
                        </wps:txbx>
                        <wps:bodyPr lIns="18000" tIns="10800" rIns="18000" bIns="10800" anchor="ctr" anchorCtr="0" upright="1"/>
                      </wps:wsp>
                      <wps:wsp>
                        <wps:cNvPr id="1966" name="六边形 1679"/>
                        <wps:cNvSpPr/>
                        <wps:spPr>
                          <a:xfrm>
                            <a:off x="7219315" y="1658620"/>
                            <a:ext cx="678180" cy="574675"/>
                          </a:xfrm>
                          <a:prstGeom prst="hexagon">
                            <a:avLst>
                              <a:gd name="adj" fmla="val 26251"/>
                              <a:gd name="vf" fmla="val 115470"/>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64EB0D11">
                              <w:pPr>
                                <w:rPr>
                                  <w:b/>
                                  <w:color w:val="FFFFFF"/>
                                </w:rPr>
                              </w:pPr>
                              <w:r>
                                <w:rPr>
                                  <w:rFonts w:hint="eastAsia"/>
                                  <w:b/>
                                  <w:color w:val="FFFFFF"/>
                                </w:rPr>
                                <w:t>一级设防</w:t>
                              </w:r>
                            </w:p>
                          </w:txbxContent>
                        </wps:txbx>
                        <wps:bodyPr lIns="18000" tIns="10800" rIns="18000" bIns="10800" anchor="ctr" anchorCtr="0" upright="1"/>
                      </wps:wsp>
                      <wps:wsp>
                        <wps:cNvPr id="1967" name="直接箭头连接符 1680"/>
                        <wps:cNvCnPr/>
                        <wps:spPr>
                          <a:xfrm>
                            <a:off x="6499225" y="1945640"/>
                            <a:ext cx="720090" cy="0"/>
                          </a:xfrm>
                          <a:prstGeom prst="straightConnector1">
                            <a:avLst/>
                          </a:prstGeom>
                          <a:ln w="9525" cap="flat" cmpd="sng">
                            <a:solidFill>
                              <a:srgbClr val="000000"/>
                            </a:solidFill>
                            <a:prstDash val="solid"/>
                            <a:headEnd type="none" w="med" len="med"/>
                            <a:tailEnd type="none" w="med" len="med"/>
                          </a:ln>
                          <a:effectLst/>
                        </wps:spPr>
                        <wps:bodyPr/>
                      </wps:wsp>
                      <wps:wsp>
                        <wps:cNvPr id="1968" name="直接箭头连接符 1681"/>
                        <wps:cNvCnPr/>
                        <wps:spPr>
                          <a:xfrm flipV="1">
                            <a:off x="5409565" y="1252855"/>
                            <a:ext cx="1764665" cy="6350"/>
                          </a:xfrm>
                          <a:prstGeom prst="straightConnector1">
                            <a:avLst/>
                          </a:prstGeom>
                          <a:ln w="9525" cap="flat" cmpd="sng">
                            <a:solidFill>
                              <a:srgbClr val="000000"/>
                            </a:solidFill>
                            <a:prstDash val="solid"/>
                            <a:headEnd type="none" w="med" len="med"/>
                            <a:tailEnd type="none" w="med" len="med"/>
                          </a:ln>
                          <a:effectLst/>
                        </wps:spPr>
                        <wps:bodyPr/>
                      </wps:wsp>
                      <wps:wsp>
                        <wps:cNvPr id="1969" name="六边形 1682"/>
                        <wps:cNvSpPr/>
                        <wps:spPr>
                          <a:xfrm>
                            <a:off x="7174230" y="965200"/>
                            <a:ext cx="693420" cy="574675"/>
                          </a:xfrm>
                          <a:prstGeom prst="hexagon">
                            <a:avLst>
                              <a:gd name="adj" fmla="val 28221"/>
                              <a:gd name="vf" fmla="val 115470"/>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497FD223">
                              <w:pPr>
                                <w:rPr>
                                  <w:b/>
                                  <w:color w:val="FFFFFF"/>
                                </w:rPr>
                              </w:pPr>
                              <w:r>
                                <w:rPr>
                                  <w:rFonts w:hint="eastAsia"/>
                                  <w:b/>
                                  <w:color w:val="FFFFFF"/>
                                </w:rPr>
                                <w:t>一、二级设防</w:t>
                              </w:r>
                            </w:p>
                          </w:txbxContent>
                        </wps:txbx>
                        <wps:bodyPr lIns="18000" tIns="10800" rIns="18000" bIns="10800" anchor="ctr" anchorCtr="0" upright="1"/>
                      </wps:wsp>
                      <wps:wsp>
                        <wps:cNvPr id="1970" name="直接箭头连接符 1683"/>
                        <wps:cNvCnPr/>
                        <wps:spPr>
                          <a:xfrm>
                            <a:off x="6504940" y="1496060"/>
                            <a:ext cx="421640" cy="1270"/>
                          </a:xfrm>
                          <a:prstGeom prst="straightConnector1">
                            <a:avLst/>
                          </a:prstGeom>
                          <a:ln w="9525" cap="flat" cmpd="sng">
                            <a:solidFill>
                              <a:srgbClr val="000000"/>
                            </a:solidFill>
                            <a:prstDash val="solid"/>
                            <a:headEnd type="none" w="med" len="med"/>
                            <a:tailEnd type="none" w="med" len="med"/>
                          </a:ln>
                          <a:effectLst/>
                        </wps:spPr>
                        <wps:bodyPr/>
                      </wps:wsp>
                      <wps:wsp>
                        <wps:cNvPr id="1971" name="直接箭头连接符 1684"/>
                        <wps:cNvCnPr/>
                        <wps:spPr>
                          <a:xfrm>
                            <a:off x="6926580" y="1261745"/>
                            <a:ext cx="635" cy="234315"/>
                          </a:xfrm>
                          <a:prstGeom prst="straightConnector1">
                            <a:avLst/>
                          </a:prstGeom>
                          <a:ln w="9525" cap="flat" cmpd="sng">
                            <a:solidFill>
                              <a:srgbClr val="000000"/>
                            </a:solidFill>
                            <a:prstDash val="solid"/>
                            <a:headEnd type="none" w="med" len="med"/>
                            <a:tailEnd type="none" w="med" len="med"/>
                          </a:ln>
                          <a:effectLst/>
                        </wps:spPr>
                        <wps:bodyPr/>
                      </wps:wsp>
                      <wps:wsp>
                        <wps:cNvPr id="1972" name="矩形 1685"/>
                        <wps:cNvSpPr/>
                        <wps:spPr>
                          <a:xfrm>
                            <a:off x="5571490" y="497205"/>
                            <a:ext cx="2296160" cy="442595"/>
                          </a:xfrm>
                          <a:prstGeom prst="rect">
                            <a:avLst/>
                          </a:prstGeom>
                          <a:solidFill>
                            <a:srgbClr val="953735">
                              <a:alpha val="79999"/>
                            </a:srgbClr>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7B68686C">
                              <w:pPr>
                                <w:rPr>
                                  <w:rFonts w:ascii="宋体" w:hAnsi="宋体"/>
                                  <w:b/>
                                  <w:color w:val="FFFFFF"/>
                                  <w:sz w:val="28"/>
                                  <w:szCs w:val="28"/>
                                </w:rPr>
                              </w:pPr>
                              <w:r>
                                <w:rPr>
                                  <w:rFonts w:hint="eastAsia" w:ascii="宋体" w:hAnsi="宋体"/>
                                  <w:b/>
                                  <w:color w:val="FFFFFF"/>
                                  <w:sz w:val="28"/>
                                  <w:szCs w:val="28"/>
                                </w:rPr>
                                <w:t>防水设防等级</w:t>
                              </w:r>
                            </w:p>
                          </w:txbxContent>
                        </wps:txbx>
                        <wps:bodyPr lIns="91440" tIns="10800" rIns="91440" bIns="10800" anchor="ctr" anchorCtr="0" upright="1"/>
                      </wps:wsp>
                      <wps:wsp>
                        <wps:cNvPr id="1973" name="矩形 1686"/>
                        <wps:cNvSpPr/>
                        <wps:spPr>
                          <a:xfrm>
                            <a:off x="691515" y="9047480"/>
                            <a:ext cx="1195070" cy="468630"/>
                          </a:xfrm>
                          <a:prstGeom prst="rect">
                            <a:avLst/>
                          </a:prstGeom>
                          <a:solidFill>
                            <a:srgbClr val="0070C0"/>
                          </a:solidFill>
                          <a:ln w="1587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5B8C08DD">
                              <w:pPr>
                                <w:rPr>
                                  <w:b/>
                                  <w:color w:val="FFFFFF"/>
                                  <w:sz w:val="24"/>
                                </w:rPr>
                              </w:pPr>
                              <w:r>
                                <w:rPr>
                                  <w:rFonts w:hint="eastAsia"/>
                                  <w:b/>
                                  <w:color w:val="FFFFFF"/>
                                  <w:sz w:val="24"/>
                                </w:rPr>
                                <w:t>基本组成</w:t>
                              </w:r>
                            </w:p>
                          </w:txbxContent>
                        </wps:txbx>
                        <wps:bodyPr anchor="ctr" anchorCtr="0" upright="1"/>
                      </wps:wsp>
                      <wps:wsp>
                        <wps:cNvPr id="1974" name="矩形 1687"/>
                        <wps:cNvSpPr/>
                        <wps:spPr>
                          <a:xfrm>
                            <a:off x="691515" y="497205"/>
                            <a:ext cx="1193800" cy="442595"/>
                          </a:xfrm>
                          <a:prstGeom prst="rect">
                            <a:avLst/>
                          </a:prstGeom>
                          <a:solidFill>
                            <a:srgbClr val="0070C0"/>
                          </a:solidFill>
                          <a:ln w="1587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7629D25E">
                              <w:pPr>
                                <w:rPr>
                                  <w:b/>
                                  <w:color w:val="FFFFFF"/>
                                  <w:sz w:val="24"/>
                                </w:rPr>
                              </w:pPr>
                              <w:r>
                                <w:rPr>
                                  <w:rFonts w:hint="eastAsia"/>
                                  <w:b/>
                                  <w:color w:val="FFFFFF"/>
                                  <w:sz w:val="24"/>
                                </w:rPr>
                                <w:t>基本组成</w:t>
                              </w:r>
                            </w:p>
                          </w:txbxContent>
                        </wps:txbx>
                        <wps:bodyPr anchor="ctr" anchorCtr="0" upright="1"/>
                      </wps:wsp>
                      <wps:wsp>
                        <wps:cNvPr id="1975" name="直接箭头连接符 1688"/>
                        <wps:cNvCnPr/>
                        <wps:spPr>
                          <a:xfrm>
                            <a:off x="5100955" y="2179320"/>
                            <a:ext cx="298450" cy="635"/>
                          </a:xfrm>
                          <a:prstGeom prst="straightConnector1">
                            <a:avLst/>
                          </a:prstGeom>
                          <a:ln w="9525" cap="flat" cmpd="sng">
                            <a:solidFill>
                              <a:srgbClr val="000000"/>
                            </a:solidFill>
                            <a:prstDash val="solid"/>
                            <a:headEnd type="none" w="med" len="med"/>
                            <a:tailEnd type="none" w="sm" len="sm"/>
                          </a:ln>
                          <a:effectLst/>
                        </wps:spPr>
                        <wps:bodyPr/>
                      </wps:wsp>
                      <wps:wsp>
                        <wps:cNvPr id="1976" name="直接箭头连接符 1689"/>
                        <wps:cNvCnPr/>
                        <wps:spPr>
                          <a:xfrm flipV="1">
                            <a:off x="5413375" y="2029460"/>
                            <a:ext cx="285115" cy="1270"/>
                          </a:xfrm>
                          <a:prstGeom prst="straightConnector1">
                            <a:avLst/>
                          </a:prstGeom>
                          <a:ln w="9525" cap="flat" cmpd="sng">
                            <a:solidFill>
                              <a:srgbClr val="000000"/>
                            </a:solidFill>
                            <a:prstDash val="solid"/>
                            <a:headEnd type="none" w="med" len="med"/>
                            <a:tailEnd type="none" w="med" len="med"/>
                          </a:ln>
                          <a:effectLst/>
                        </wps:spPr>
                        <wps:bodyPr/>
                      </wps:wsp>
                      <wps:wsp>
                        <wps:cNvPr id="1977" name="直接箭头连接符 1690"/>
                        <wps:cNvCnPr/>
                        <wps:spPr>
                          <a:xfrm flipV="1">
                            <a:off x="5410835" y="2030730"/>
                            <a:ext cx="635" cy="148590"/>
                          </a:xfrm>
                          <a:prstGeom prst="straightConnector1">
                            <a:avLst/>
                          </a:prstGeom>
                          <a:ln w="9525" cap="flat" cmpd="sng">
                            <a:solidFill>
                              <a:srgbClr val="000000"/>
                            </a:solidFill>
                            <a:prstDash val="solid"/>
                            <a:headEnd type="none" w="med" len="med"/>
                            <a:tailEnd type="none" w="med" len="med"/>
                          </a:ln>
                          <a:effectLst/>
                        </wps:spPr>
                        <wps:bodyPr/>
                      </wps:wsp>
                      <wps:wsp>
                        <wps:cNvPr id="1978" name="直接箭头连接符 1691"/>
                        <wps:cNvCnPr/>
                        <wps:spPr>
                          <a:xfrm>
                            <a:off x="5267325" y="2835910"/>
                            <a:ext cx="153035" cy="2540"/>
                          </a:xfrm>
                          <a:prstGeom prst="straightConnector1">
                            <a:avLst/>
                          </a:prstGeom>
                          <a:ln w="9525" cap="flat" cmpd="sng">
                            <a:solidFill>
                              <a:srgbClr val="000000"/>
                            </a:solidFill>
                            <a:prstDash val="solid"/>
                            <a:headEnd type="none" w="med" len="med"/>
                            <a:tailEnd type="none" w="sm" len="sm"/>
                          </a:ln>
                          <a:effectLst/>
                        </wps:spPr>
                        <wps:bodyPr/>
                      </wps:wsp>
                      <wps:wsp>
                        <wps:cNvPr id="1979" name="直接箭头连接符 1692"/>
                        <wps:cNvCnPr/>
                        <wps:spPr>
                          <a:xfrm>
                            <a:off x="5267325" y="2685415"/>
                            <a:ext cx="635" cy="145415"/>
                          </a:xfrm>
                          <a:prstGeom prst="straightConnector1">
                            <a:avLst/>
                          </a:prstGeom>
                          <a:ln w="9525" cap="flat" cmpd="sng">
                            <a:solidFill>
                              <a:srgbClr val="000000"/>
                            </a:solidFill>
                            <a:prstDash val="solid"/>
                            <a:headEnd type="none" w="med" len="med"/>
                            <a:tailEnd type="none" w="med" len="med"/>
                          </a:ln>
                          <a:effectLst/>
                        </wps:spPr>
                        <wps:bodyPr/>
                      </wps:wsp>
                      <wps:wsp>
                        <wps:cNvPr id="1980" name="流程图: 可选过程 1693"/>
                        <wps:cNvSpPr/>
                        <wps:spPr>
                          <a:xfrm>
                            <a:off x="5714365" y="2197100"/>
                            <a:ext cx="800100" cy="299720"/>
                          </a:xfrm>
                          <a:prstGeom prst="flowChartAlternateProcess">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49611416">
                              <w:pPr>
                                <w:rPr>
                                  <w:b/>
                                  <w:color w:val="FFFFFF"/>
                                </w:rPr>
                              </w:pPr>
                              <w:r>
                                <w:rPr>
                                  <w:rFonts w:hint="eastAsia"/>
                                  <w:b/>
                                  <w:color w:val="FFFFFF"/>
                                </w:rPr>
                                <w:t>普通平屋面</w:t>
                              </w:r>
                            </w:p>
                          </w:txbxContent>
                        </wps:txbx>
                        <wps:bodyPr lIns="18000" tIns="45720" rIns="18000" bIns="45720" anchor="ctr" anchorCtr="0" upright="1"/>
                      </wps:wsp>
                      <wps:wsp>
                        <wps:cNvPr id="1981" name="直接箭头连接符 1694"/>
                        <wps:cNvCnPr/>
                        <wps:spPr>
                          <a:xfrm>
                            <a:off x="5399405" y="2376805"/>
                            <a:ext cx="332740" cy="1905"/>
                          </a:xfrm>
                          <a:prstGeom prst="straightConnector1">
                            <a:avLst/>
                          </a:prstGeom>
                          <a:ln w="9525" cap="flat" cmpd="sng">
                            <a:solidFill>
                              <a:srgbClr val="000000"/>
                            </a:solidFill>
                            <a:prstDash val="solid"/>
                            <a:headEnd type="none" w="med" len="med"/>
                            <a:tailEnd type="none" w="sm" len="sm"/>
                          </a:ln>
                          <a:effectLst/>
                        </wps:spPr>
                        <wps:bodyPr/>
                      </wps:wsp>
                      <wps:wsp>
                        <wps:cNvPr id="1982" name="直接箭头连接符 1695"/>
                        <wps:cNvCnPr/>
                        <wps:spPr>
                          <a:xfrm>
                            <a:off x="5399405" y="2254250"/>
                            <a:ext cx="635" cy="124460"/>
                          </a:xfrm>
                          <a:prstGeom prst="straightConnector1">
                            <a:avLst/>
                          </a:prstGeom>
                          <a:ln w="9525" cap="flat" cmpd="sng">
                            <a:solidFill>
                              <a:srgbClr val="000000"/>
                            </a:solidFill>
                            <a:prstDash val="solid"/>
                            <a:headEnd type="none" w="med" len="med"/>
                            <a:tailEnd type="none" w="med" len="med"/>
                          </a:ln>
                          <a:effectLst/>
                        </wps:spPr>
                        <wps:bodyPr/>
                      </wps:wsp>
                      <wps:wsp>
                        <wps:cNvPr id="1983" name="直接箭头连接符 1696"/>
                        <wps:cNvCnPr/>
                        <wps:spPr>
                          <a:xfrm>
                            <a:off x="6499860" y="2693670"/>
                            <a:ext cx="764540" cy="2540"/>
                          </a:xfrm>
                          <a:prstGeom prst="straightConnector1">
                            <a:avLst/>
                          </a:prstGeom>
                          <a:ln w="9525" cap="flat" cmpd="sng">
                            <a:solidFill>
                              <a:srgbClr val="000000"/>
                            </a:solidFill>
                            <a:prstDash val="solid"/>
                            <a:headEnd type="none" w="med" len="med"/>
                            <a:tailEnd type="none" w="sm" len="sm"/>
                          </a:ln>
                          <a:effectLst/>
                        </wps:spPr>
                        <wps:bodyPr/>
                      </wps:wsp>
                      <wps:wsp>
                        <wps:cNvPr id="1984" name="直接箭头连接符 1697"/>
                        <wps:cNvCnPr/>
                        <wps:spPr>
                          <a:xfrm>
                            <a:off x="3332480" y="1450975"/>
                            <a:ext cx="2540" cy="995045"/>
                          </a:xfrm>
                          <a:prstGeom prst="straightConnector1">
                            <a:avLst/>
                          </a:prstGeom>
                          <a:ln w="9525" cap="flat" cmpd="sng">
                            <a:solidFill>
                              <a:srgbClr val="000000"/>
                            </a:solidFill>
                            <a:prstDash val="dash"/>
                            <a:headEnd type="oval" w="sm" len="sm"/>
                            <a:tailEnd type="oval" w="sm" len="sm"/>
                          </a:ln>
                          <a:effectLst/>
                        </wps:spPr>
                        <wps:bodyPr/>
                      </wps:wsp>
                      <wps:wsp>
                        <wps:cNvPr id="1990" name="直接箭头连接符 1703"/>
                        <wps:cNvCnPr/>
                        <wps:spPr>
                          <a:xfrm>
                            <a:off x="3332480" y="2420620"/>
                            <a:ext cx="2540" cy="922020"/>
                          </a:xfrm>
                          <a:prstGeom prst="straightConnector1">
                            <a:avLst/>
                          </a:prstGeom>
                          <a:ln w="9525" cap="flat" cmpd="sng">
                            <a:solidFill>
                              <a:srgbClr val="000000"/>
                            </a:solidFill>
                            <a:prstDash val="dash"/>
                            <a:headEnd type="none" w="sm" len="sm"/>
                            <a:tailEnd type="oval" w="sm" len="sm"/>
                          </a:ln>
                          <a:effectLst/>
                        </wps:spPr>
                        <wps:bodyPr/>
                      </wps:wsp>
                      <wps:wsp>
                        <wps:cNvPr id="1991" name="直接箭头连接符 1704"/>
                        <wps:cNvCnPr/>
                        <wps:spPr>
                          <a:xfrm>
                            <a:off x="3329940" y="3374390"/>
                            <a:ext cx="2540" cy="921385"/>
                          </a:xfrm>
                          <a:prstGeom prst="straightConnector1">
                            <a:avLst/>
                          </a:prstGeom>
                          <a:ln w="9525" cap="flat" cmpd="sng">
                            <a:solidFill>
                              <a:srgbClr val="000000"/>
                            </a:solidFill>
                            <a:prstDash val="dash"/>
                            <a:headEnd type="none" w="sm" len="sm"/>
                            <a:tailEnd type="oval" w="sm" len="sm"/>
                          </a:ln>
                          <a:effectLst/>
                        </wps:spPr>
                        <wps:bodyPr/>
                      </wps:wsp>
                      <wps:wsp>
                        <wps:cNvPr id="148" name="直接箭头连接符 1705"/>
                        <wps:cNvCnPr/>
                        <wps:spPr>
                          <a:xfrm flipH="1">
                            <a:off x="3330575" y="4379595"/>
                            <a:ext cx="4445" cy="2327275"/>
                          </a:xfrm>
                          <a:prstGeom prst="straightConnector1">
                            <a:avLst/>
                          </a:prstGeom>
                          <a:ln w="9525" cap="flat" cmpd="sng">
                            <a:solidFill>
                              <a:srgbClr val="000000"/>
                            </a:solidFill>
                            <a:prstDash val="dash"/>
                            <a:round/>
                            <a:headEnd type="none" w="sm" len="sm"/>
                            <a:tailEnd type="oval" w="sm" len="sm"/>
                          </a:ln>
                        </wps:spPr>
                        <wps:bodyPr/>
                      </wps:wsp>
                      <wps:wsp>
                        <wps:cNvPr id="1995" name="直接箭头连接符 1708"/>
                        <wps:cNvCnPr/>
                        <wps:spPr>
                          <a:xfrm>
                            <a:off x="6943725" y="4015105"/>
                            <a:ext cx="0" cy="442595"/>
                          </a:xfrm>
                          <a:prstGeom prst="straightConnector1">
                            <a:avLst/>
                          </a:prstGeom>
                          <a:ln w="9525" cap="flat" cmpd="sng">
                            <a:solidFill>
                              <a:srgbClr val="000000"/>
                            </a:solidFill>
                            <a:prstDash val="solid"/>
                            <a:headEnd type="none" w="med" len="med"/>
                            <a:tailEnd type="none" w="med" len="med"/>
                          </a:ln>
                          <a:effectLst/>
                        </wps:spPr>
                        <wps:bodyPr/>
                      </wps:wsp>
                      <wps:wsp>
                        <wps:cNvPr id="1996" name="直接箭头连接符 1709"/>
                        <wps:cNvCnPr/>
                        <wps:spPr>
                          <a:xfrm flipV="1">
                            <a:off x="6943725" y="4132580"/>
                            <a:ext cx="170180" cy="2540"/>
                          </a:xfrm>
                          <a:prstGeom prst="straightConnector1">
                            <a:avLst/>
                          </a:prstGeom>
                          <a:ln w="9525" cap="flat" cmpd="sng">
                            <a:solidFill>
                              <a:srgbClr val="000000"/>
                            </a:solidFill>
                            <a:prstDash val="solid"/>
                            <a:headEnd type="none" w="med" len="med"/>
                            <a:tailEnd type="none" w="med" len="med"/>
                          </a:ln>
                          <a:effectLst/>
                        </wps:spPr>
                        <wps:bodyPr/>
                      </wps:wsp>
                      <wps:wsp>
                        <wps:cNvPr id="1997" name="直接箭头连接符 1710"/>
                        <wps:cNvCnPr/>
                        <wps:spPr>
                          <a:xfrm>
                            <a:off x="6576060" y="4015105"/>
                            <a:ext cx="367665" cy="0"/>
                          </a:xfrm>
                          <a:prstGeom prst="straightConnector1">
                            <a:avLst/>
                          </a:prstGeom>
                          <a:ln w="9525" cap="flat" cmpd="sng">
                            <a:solidFill>
                              <a:srgbClr val="000000"/>
                            </a:solidFill>
                            <a:prstDash val="solid"/>
                            <a:headEnd type="none" w="med" len="med"/>
                            <a:tailEnd type="none" w="med" len="med"/>
                          </a:ln>
                          <a:effectLst/>
                        </wps:spPr>
                        <wps:bodyPr/>
                      </wps:wsp>
                      <wps:wsp>
                        <wps:cNvPr id="1998" name="直接箭头连接符 1711"/>
                        <wps:cNvCnPr/>
                        <wps:spPr>
                          <a:xfrm flipV="1">
                            <a:off x="6772275" y="4457700"/>
                            <a:ext cx="170815" cy="2540"/>
                          </a:xfrm>
                          <a:prstGeom prst="straightConnector1">
                            <a:avLst/>
                          </a:prstGeom>
                          <a:ln w="9525" cap="flat" cmpd="sng">
                            <a:solidFill>
                              <a:srgbClr val="000000"/>
                            </a:solidFill>
                            <a:prstDash val="solid"/>
                            <a:headEnd type="none" w="med" len="med"/>
                            <a:tailEnd type="none" w="med" len="med"/>
                          </a:ln>
                          <a:effectLst/>
                        </wps:spPr>
                        <wps:bodyPr/>
                      </wps:wsp>
                      <wps:wsp>
                        <wps:cNvPr id="1999" name="流程图: 可选过程 1712"/>
                        <wps:cNvSpPr/>
                        <wps:spPr>
                          <a:xfrm>
                            <a:off x="7037070" y="4563745"/>
                            <a:ext cx="1094740" cy="491490"/>
                          </a:xfrm>
                          <a:prstGeom prst="flowChartAlternateProcess">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040409A3">
                              <w:pPr>
                                <w:pStyle w:val="50"/>
                                <w:spacing w:before="0" w:beforeAutospacing="0" w:after="0" w:afterAutospacing="0" w:line="240" w:lineRule="exact"/>
                                <w:jc w:val="center"/>
                              </w:pPr>
                              <w:r>
                                <w:rPr>
                                  <w:rFonts w:hint="eastAsia" w:ascii="Times New Roman"/>
                                  <w:b/>
                                  <w:bCs/>
                                  <w:color w:val="FFFFFF"/>
                                  <w:kern w:val="2"/>
                                  <w:sz w:val="18"/>
                                  <w:szCs w:val="18"/>
                                </w:rPr>
                                <w:t>参照屋面工程</w:t>
                              </w:r>
                            </w:p>
                            <w:p w14:paraId="4CC93664">
                              <w:pPr>
                                <w:pStyle w:val="50"/>
                                <w:spacing w:before="0" w:beforeAutospacing="0" w:after="0" w:afterAutospacing="0" w:line="240" w:lineRule="exact"/>
                                <w:jc w:val="center"/>
                              </w:pPr>
                              <w:r>
                                <w:rPr>
                                  <w:rFonts w:hint="eastAsia" w:ascii="Times New Roman"/>
                                  <w:b/>
                                  <w:bCs/>
                                  <w:color w:val="FFFFFF"/>
                                  <w:kern w:val="2"/>
                                  <w:sz w:val="18"/>
                                  <w:szCs w:val="18"/>
                                </w:rPr>
                                <w:t>一级设防</w:t>
                              </w:r>
                            </w:p>
                          </w:txbxContent>
                        </wps:txbx>
                        <wps:bodyPr lIns="18000" tIns="45720" rIns="18000" bIns="45720" upright="1"/>
                      </wps:wsp>
                      <wps:wsp>
                        <wps:cNvPr id="2000" name="直接箭头连接符 1713"/>
                        <wps:cNvCnPr/>
                        <wps:spPr>
                          <a:xfrm>
                            <a:off x="6740525" y="4822190"/>
                            <a:ext cx="296545" cy="635"/>
                          </a:xfrm>
                          <a:prstGeom prst="straightConnector1">
                            <a:avLst/>
                          </a:prstGeom>
                          <a:ln w="9525" cap="flat" cmpd="sng">
                            <a:solidFill>
                              <a:srgbClr val="000000"/>
                            </a:solidFill>
                            <a:prstDash val="solid"/>
                            <a:headEnd type="none" w="med" len="med"/>
                            <a:tailEnd type="none" w="med" len="med"/>
                          </a:ln>
                          <a:effectLst/>
                        </wps:spPr>
                        <wps:bodyPr/>
                      </wps:wsp>
                      <wps:wsp>
                        <wps:cNvPr id="2001" name="流程图: 可选过程 1714"/>
                        <wps:cNvSpPr/>
                        <wps:spPr>
                          <a:xfrm>
                            <a:off x="7103745" y="3790315"/>
                            <a:ext cx="1094740" cy="670560"/>
                          </a:xfrm>
                          <a:prstGeom prst="flowChartAlternateProcess">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0D6317BE">
                              <w:pPr>
                                <w:pStyle w:val="50"/>
                                <w:spacing w:before="0" w:beforeAutospacing="0" w:after="0" w:afterAutospacing="0" w:line="240" w:lineRule="exact"/>
                                <w:rPr>
                                  <w:rFonts w:ascii="Times New Roman"/>
                                  <w:b/>
                                  <w:bCs/>
                                  <w:color w:val="FFFFFF"/>
                                  <w:kern w:val="2"/>
                                  <w:sz w:val="18"/>
                                  <w:szCs w:val="18"/>
                                </w:rPr>
                              </w:pPr>
                              <w:r>
                                <w:rPr>
                                  <w:rFonts w:hint="eastAsia" w:ascii="Times New Roman"/>
                                  <w:b/>
                                  <w:bCs/>
                                  <w:color w:val="FFFFFF"/>
                                  <w:kern w:val="2"/>
                                  <w:sz w:val="18"/>
                                  <w:szCs w:val="18"/>
                                </w:rPr>
                                <w:t>公司可根据具体情况自行选择防水构造节点</w:t>
                              </w:r>
                            </w:p>
                          </w:txbxContent>
                        </wps:txbx>
                        <wps:bodyPr lIns="18000" tIns="45720" rIns="18000" bIns="45720" upright="1"/>
                      </wps:wsp>
                      <wps:wsp>
                        <wps:cNvPr id="2002" name="流程图: 文档 1715"/>
                        <wps:cNvSpPr/>
                        <wps:spPr>
                          <a:xfrm>
                            <a:off x="3764280" y="4803140"/>
                            <a:ext cx="1337945" cy="375920"/>
                          </a:xfrm>
                          <a:prstGeom prst="flowChartDocument">
                            <a:avLst/>
                          </a:prstGeom>
                          <a:solidFill>
                            <a:srgbClr val="7F7F7F"/>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7400FB4C">
                              <w:pPr>
                                <w:pStyle w:val="50"/>
                                <w:spacing w:before="0" w:beforeAutospacing="0" w:after="0" w:afterAutospacing="0"/>
                                <w:jc w:val="both"/>
                              </w:pPr>
                              <w:r>
                                <w:rPr>
                                  <w:rFonts w:hint="eastAsia" w:ascii="Calibri" w:hAnsi="Calibri" w:cs="Times New Roman"/>
                                  <w:b/>
                                  <w:bCs/>
                                  <w:color w:val="FFFFFF"/>
                                  <w:kern w:val="2"/>
                                  <w:sz w:val="21"/>
                                  <w:szCs w:val="21"/>
                                </w:rPr>
                                <w:t>5</w:t>
                              </w:r>
                              <w:r>
                                <w:rPr>
                                  <w:rFonts w:ascii="Calibri" w:hAnsi="Calibri" w:cs="Times New Roman"/>
                                  <w:b/>
                                  <w:bCs/>
                                  <w:color w:val="FFFFFF"/>
                                  <w:kern w:val="2"/>
                                  <w:sz w:val="21"/>
                                  <w:szCs w:val="21"/>
                                </w:rPr>
                                <w:t>.</w:t>
                              </w:r>
                              <w:r>
                                <w:rPr>
                                  <w:rFonts w:hint="eastAsia" w:ascii="Calibri" w:hAnsi="Calibri" w:cs="Times New Roman"/>
                                  <w:b/>
                                  <w:bCs/>
                                  <w:color w:val="FFFFFF"/>
                                  <w:kern w:val="2"/>
                                  <w:sz w:val="21"/>
                                  <w:szCs w:val="21"/>
                                </w:rPr>
                                <w:t>1</w:t>
                              </w:r>
                              <w:r>
                                <w:rPr>
                                  <w:rFonts w:hint="eastAsia" w:ascii="Calibri" w:cs="Times New Roman"/>
                                  <w:b/>
                                  <w:bCs/>
                                  <w:color w:val="FFFFFF"/>
                                  <w:kern w:val="2"/>
                                  <w:sz w:val="21"/>
                                  <w:szCs w:val="21"/>
                                </w:rPr>
                                <w:t>外窗部分</w:t>
                              </w:r>
                            </w:p>
                          </w:txbxContent>
                        </wps:txbx>
                        <wps:bodyPr anchor="ctr" anchorCtr="0" upright="1"/>
                      </wps:wsp>
                      <wps:wsp>
                        <wps:cNvPr id="2003" name="直接箭头连接符 1716"/>
                        <wps:cNvCnPr/>
                        <wps:spPr>
                          <a:xfrm>
                            <a:off x="3460115" y="5058410"/>
                            <a:ext cx="635" cy="462280"/>
                          </a:xfrm>
                          <a:prstGeom prst="straightConnector1">
                            <a:avLst/>
                          </a:prstGeom>
                          <a:ln w="9525" cap="flat" cmpd="sng">
                            <a:solidFill>
                              <a:srgbClr val="000000"/>
                            </a:solidFill>
                            <a:prstDash val="solid"/>
                            <a:headEnd type="none" w="med" len="med"/>
                            <a:tailEnd type="none" w="med" len="med"/>
                          </a:ln>
                          <a:effectLst/>
                        </wps:spPr>
                        <wps:bodyPr/>
                      </wps:wsp>
                      <wps:wsp>
                        <wps:cNvPr id="2004" name="直接箭头连接符 1717"/>
                        <wps:cNvCnPr/>
                        <wps:spPr>
                          <a:xfrm>
                            <a:off x="3460115" y="5515610"/>
                            <a:ext cx="316865" cy="635"/>
                          </a:xfrm>
                          <a:prstGeom prst="straightConnector1">
                            <a:avLst/>
                          </a:prstGeom>
                          <a:ln w="9525" cap="flat" cmpd="sng">
                            <a:solidFill>
                              <a:srgbClr val="000000"/>
                            </a:solidFill>
                            <a:prstDash val="solid"/>
                            <a:headEnd type="none" w="med" len="med"/>
                            <a:tailEnd type="none" w="med" len="med"/>
                          </a:ln>
                          <a:effectLst/>
                        </wps:spPr>
                        <wps:bodyPr/>
                      </wps:wsp>
                      <wps:wsp>
                        <wps:cNvPr id="2005" name="直接箭头连接符 1718"/>
                        <wps:cNvCnPr/>
                        <wps:spPr>
                          <a:xfrm>
                            <a:off x="3460115" y="5051425"/>
                            <a:ext cx="316865" cy="635"/>
                          </a:xfrm>
                          <a:prstGeom prst="straightConnector1">
                            <a:avLst/>
                          </a:prstGeom>
                          <a:ln w="9525" cap="flat" cmpd="sng">
                            <a:solidFill>
                              <a:srgbClr val="000000"/>
                            </a:solidFill>
                            <a:prstDash val="solid"/>
                            <a:headEnd type="none" w="med" len="med"/>
                            <a:tailEnd type="none" w="med" len="med"/>
                          </a:ln>
                          <a:effectLst/>
                        </wps:spPr>
                        <wps:bodyPr/>
                      </wps:wsp>
                      <wps:wsp>
                        <wps:cNvPr id="2006" name="流程图: 文档 1719"/>
                        <wps:cNvSpPr/>
                        <wps:spPr>
                          <a:xfrm>
                            <a:off x="3759835" y="6744970"/>
                            <a:ext cx="1336675" cy="380365"/>
                          </a:xfrm>
                          <a:prstGeom prst="flowChartDocument">
                            <a:avLst/>
                          </a:prstGeom>
                          <a:solidFill>
                            <a:srgbClr val="7F7F7F"/>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05685D3B">
                              <w:pPr>
                                <w:pStyle w:val="50"/>
                                <w:spacing w:before="0" w:beforeAutospacing="0" w:after="0" w:afterAutospacing="0"/>
                                <w:jc w:val="both"/>
                              </w:pPr>
                              <w:r>
                                <w:rPr>
                                  <w:rFonts w:hint="eastAsia" w:ascii="Calibri" w:hAnsi="Calibri" w:cs="Times New Roman"/>
                                  <w:b/>
                                  <w:bCs/>
                                  <w:color w:val="FFFFFF"/>
                                  <w:sz w:val="21"/>
                                  <w:szCs w:val="21"/>
                                  <w:lang w:val="en-US" w:eastAsia="zh-CN"/>
                                </w:rPr>
                                <w:t>6</w:t>
                              </w:r>
                              <w:r>
                                <w:rPr>
                                  <w:rFonts w:ascii="Calibri" w:hAnsi="Calibri" w:cs="Times New Roman"/>
                                  <w:b/>
                                  <w:bCs/>
                                  <w:color w:val="FFFFFF"/>
                                  <w:sz w:val="21"/>
                                  <w:szCs w:val="21"/>
                                </w:rPr>
                                <w:t>.1</w:t>
                              </w:r>
                              <w:r>
                                <w:rPr>
                                  <w:rFonts w:hint="eastAsia" w:ascii="Calibri" w:hAnsi="Calibri" w:cs="Times New Roman"/>
                                  <w:b/>
                                  <w:bCs/>
                                  <w:color w:val="FFFFFF"/>
                                  <w:sz w:val="21"/>
                                  <w:szCs w:val="21"/>
                                </w:rPr>
                                <w:t>设备</w:t>
                              </w:r>
                              <w:r>
                                <w:rPr>
                                  <w:rFonts w:hint="eastAsia" w:ascii="Calibri" w:hAnsi="Times New Roman" w:cs="Times New Roman"/>
                                  <w:b/>
                                  <w:bCs/>
                                  <w:color w:val="FFFFFF"/>
                                  <w:sz w:val="21"/>
                                  <w:szCs w:val="21"/>
                                </w:rPr>
                                <w:t>功能性用房</w:t>
                              </w:r>
                            </w:p>
                          </w:txbxContent>
                        </wps:txbx>
                        <wps:bodyPr anchor="ctr" anchorCtr="0" upright="1"/>
                      </wps:wsp>
                      <wps:wsp>
                        <wps:cNvPr id="2007" name="直接箭头连接符 1720"/>
                        <wps:cNvCnPr/>
                        <wps:spPr>
                          <a:xfrm>
                            <a:off x="3440430" y="6932930"/>
                            <a:ext cx="316865" cy="1270"/>
                          </a:xfrm>
                          <a:prstGeom prst="straightConnector1">
                            <a:avLst/>
                          </a:prstGeom>
                          <a:ln w="9525" cap="flat" cmpd="sng">
                            <a:solidFill>
                              <a:srgbClr val="000000"/>
                            </a:solidFill>
                            <a:prstDash val="solid"/>
                            <a:headEnd type="none" w="med" len="med"/>
                            <a:tailEnd type="none" w="med" len="med"/>
                          </a:ln>
                          <a:effectLst/>
                        </wps:spPr>
                        <wps:bodyPr/>
                      </wps:wsp>
                      <wps:wsp>
                        <wps:cNvPr id="149" name="直接箭头连接符 1721"/>
                        <wps:cNvCnPr/>
                        <wps:spPr>
                          <a:xfrm flipV="1">
                            <a:off x="3330575" y="6696710"/>
                            <a:ext cx="7620" cy="7620"/>
                          </a:xfrm>
                          <a:prstGeom prst="straightConnector1">
                            <a:avLst/>
                          </a:prstGeom>
                          <a:ln w="9525" cap="flat" cmpd="sng">
                            <a:solidFill>
                              <a:srgbClr val="000000"/>
                            </a:solidFill>
                            <a:prstDash val="dash"/>
                            <a:round/>
                            <a:headEnd type="none" w="sm" len="sm"/>
                            <a:tailEnd type="oval" w="sm" len="sm"/>
                          </a:ln>
                        </wps:spPr>
                        <wps:bodyPr/>
                      </wps:wsp>
                    </wpc:wpc>
                  </a:graphicData>
                </a:graphic>
              </wp:inline>
            </w:drawing>
          </mc:Choice>
          <mc:Fallback>
            <w:pict>
              <v:group id="画布 1722" o:spid="_x0000_s1026" o:spt="203" style="height:772.7pt;width:650.25pt;" coordsize="8258175,9813290" editas="canvas" o:gfxdata="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">
                <o:lock v:ext="edit" aspectratio="f"/>
                <v:shape id="画布 1722" o:spid="_x0000_s1026" style="position:absolute;left:0;top:0;height:9813290;width:8258175;" filled="f" stroked="t" coordsize="21600,21600" o:gfxdata="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">
                  <v:fill on="f" focussize="0,0"/>
                  <v:stroke weight="4.5pt" color="#10253F" joinstyle="miter"/>
                  <v:imagedata o:title=""/>
                  <o:lock v:ext="edit" aspectratio="t"/>
                </v:shape>
                <v:rect id="矩形 1579" o:spid="_x0000_s1026" o:spt="1" style="position:absolute;left:5601335;top:1035685;height:1906905;width:2296795;" fillcolor="#77933C" filled="t" stroked="t" coordsize="21600,21600" o:gfxdata="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f0&#10;5afUAAAABwEAAA8AAAAAAAAAAQAgAAAAIgAAAGRycy9kb3ducmV2LnhtbFBLAQIUABQAAAAIAIdO&#10;4kCuUodYJwIAAGEEAAAOAAAAAAAAAAEAIAAAACMBAABkcnMvZTJvRG9jLnhtbFBLBQYAAAAABgAG&#10;AFkBAAC8BQAAAAA=&#10;">
                  <v:fill on="t" opacity="32895f" focussize="0,0"/>
                  <v:stroke color="#000000" joinstyle="miter" dashstyle="longDash"/>
                  <v:imagedata o:title=""/>
                  <o:lock v:ext="edit" aspectratio="f"/>
                </v:rect>
                <v:rect id="矩形 1580" o:spid="_x0000_s1026" o:spt="1" style="position:absolute;left:1946910;top:2986405;height:6005195;width:3592830;" fillcolor="#8EB4E3" filled="t" stroked="t" coordsize="21600,21600" o:gfxdata="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Ou5a02AAAAAcBAAAPAAAAAAAAAAEAIAAAACIAAABkcnMvZG93bnJldi54bWxQSwECFAAUAAAA&#10;CACHTuJAUo15oicCAABhBAAADgAAAAAAAAABACAAAAAnAQAAZHJzL2Uyb0RvYy54bWxQSwUGAAAA&#10;AAYABgBZAQAAwAUAAAAA&#10;">
                  <v:fill on="t" opacity="32895f" focussize="0,0"/>
                  <v:stroke color="#000000" joinstyle="miter" dashstyle="longDash"/>
                  <v:imagedata o:title=""/>
                  <o:lock v:ext="edit" aspectratio="f"/>
                </v:rect>
                <v:rect id="矩形 1581" o:spid="_x0000_s1026" o:spt="1" style="position:absolute;left:1947545;top:1034415;height:1906905;width:3592830;" fillcolor="#984807" filled="t" stroked="t" coordsize="21600,21600" o:gfxdata="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i&#10;BvAr1QAAAAcBAAAPAAAAAAAAAAEAIAAAACIAAABkcnMvZG93bnJldi54bWxQSwECFAAUAAAACACH&#10;TuJAiT/vqicCAABhBAAADgAAAAAAAAABACAAAAAkAQAAZHJzL2Uyb0RvYy54bWxQSwUGAAAAAAYA&#10;BgBZAQAAvQUAAAAA&#10;">
                  <v:fill on="t" opacity="32895f" focussize="0,0"/>
                  <v:stroke color="#000000" joinstyle="miter" dashstyle="longDash"/>
                  <v:imagedata o:title=""/>
                  <o:lock v:ext="edit" aspectratio="f"/>
                </v:rect>
                <v:rect id="矩形 1582" o:spid="_x0000_s1026" o:spt="1" style="position:absolute;left:690880;top:1034415;height:7957185;width:1195070;" fillcolor="#A6A6A6" filled="t" stroked="t" coordsize="21600,21600" o:gfxdata="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gM&#10;xc7XAAAABwEAAA8AAAAAAAAAAQAgAAAAIgAAAGRycy9kb3ducmV2LnhtbFBLAQIUABQAAAAIAIdO&#10;4kAX0vCrJAIAAGAEAAAOAAAAAAAAAAEAIAAAACYBAABkcnMvZTJvRG9jLnhtbFBLBQYAAAAABgAG&#10;AFkBAAC8BQAAAAA=&#10;">
                  <v:fill on="t" opacity="32895f" focussize="0,0"/>
                  <v:stroke color="#000000" joinstyle="miter" dashstyle="longDash"/>
                  <v:imagedata o:title=""/>
                  <o:lock v:ext="edit" aspectratio="f"/>
                </v:rect>
                <v:shape id="直接箭头连接符 1583" o:spid="_x0000_s1026" o:spt="32" type="#_x0000_t32" style="position:absolute;left:583565;top:4295775;height:2540;width:205740;" filled="f" stroked="t" coordsize="21600,21600" o:gfxdata="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58F71gAAAAcBAAAPAAAA&#10;AAAAAAEAIAAAACIAAABkcnMvZG93bnJldi54bWxQSwECFAAUAAAACACHTuJAAtLvchcCAAAOBAAA&#10;DgAAAAAAAAABACAAAAAlAQAAZHJzL2Uyb0RvYy54bWxQSwUGAAAAAAYABgBZAQAArgUAAAAA&#10;">
                  <v:fill on="f" focussize="0,0"/>
                  <v:stroke weight="4pt" color="#4F6228" joinstyle="round"/>
                  <v:imagedata o:title=""/>
                  <o:lock v:ext="edit" aspectratio="f"/>
                </v:shape>
                <v:shape id="直接箭头连接符 1584" o:spid="_x0000_s1026" o:spt="32" type="#_x0000_t32" style="position:absolute;left:786130;top:2413000;flip:x;height:3745230;width:3810;" filled="f" stroked="t" coordsize="21600,21600" o:gfxdata="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xyny41gAAAAcB&#10;AAAPAAAAAAAAAAEAIAAAACIAAABkcnMvZG93bnJldi54bWxQSwECFAAUAAAACACHTuJA4L1Cuh0C&#10;AAAZBAAADgAAAAAAAAABACAAAAAlAQAAZHJzL2Uyb0RvYy54bWxQSwUGAAAAAAYABgBZAQAAtAUA&#10;AAAA&#10;">
                  <v:fill on="f" focussize="0,0"/>
                  <v:stroke weight="4pt" color="#4F6228" joinstyle="round"/>
                  <v:imagedata o:title=""/>
                  <o:lock v:ext="edit" aspectratio="f"/>
                </v:shape>
                <v:shape id="直接箭头连接符 1585" o:spid="_x0000_s1026" o:spt="32" type="#_x0000_t32" style="position:absolute;left:789940;top:2444750;height:1270;width:223520;" filled="f" stroked="t" coordsize="21600,21600" o:gfxdata="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D58F71gAAAAcBAAAP&#10;AAAAAAAAAAEAIAAAACIAAABkcnMvZG93bnJldi54bWxQSwECFAAUAAAACACHTuJA5YkSYBoCAAAO&#10;BAAADgAAAAAAAAABACAAAAAlAQAAZHJzL2Uyb0RvYy54bWxQSwUGAAAAAAYABgBZAQAAsQUAAAAA&#10;">
                  <v:fill on="f" focussize="0,0"/>
                  <v:stroke weight="4pt" color="#4F6228" joinstyle="round"/>
                  <v:imagedata o:title=""/>
                  <o:lock v:ext="edit" aspectratio="f"/>
                </v:shape>
                <v:shape id="直接箭头连接符 1586" o:spid="_x0000_s1026" o:spt="32" type="#_x0000_t32" style="position:absolute;left:786130;top:6144895;height:3810;width:337820;" filled="f" stroked="t" coordsize="21600,21600" o:gfxdata="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fBe9YAAAAHAQAA&#10;DwAAAAAAAAABACAAAAAiAAAAZHJzL2Rvd25yZXYueG1sUEsBAhQAFAAAAAgAh07iQCRaZ54bAgAA&#10;DgQAAA4AAAAAAAAAAQAgAAAAJQEAAGRycy9lMm9Eb2MueG1sUEsFBgAAAAAGAAYAWQEAALIFAAAA&#10;AA==&#10;">
                  <v:fill on="f" focussize="0,0"/>
                  <v:stroke weight="4pt" color="#4F6228" joinstyle="round"/>
                  <v:imagedata o:title=""/>
                  <o:lock v:ext="edit" aspectratio="f"/>
                </v:shape>
                <v:rect id="矩形 1587" o:spid="_x0000_s1026" o:spt="1" style="position:absolute;left:1016000;top:1069340;height:2816225;width:387985;" fillcolor="#7F7F7F" filled="t" stroked="t" coordsize="21600,21600" o:gfxdata="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82/Vm9gAAAAHAQAADwAAAAAAAAABACAAAAAiAAAAZHJzL2Rvd25yZXYueG1sUEsBAhQAFAAA&#10;AAgAh07iQDjMRphhAgAA4wQAAA4AAAAAAAAAAQAgAAAAJwEAAGRycy9lMm9Eb2MueG1sUEsFBgAA&#10;AAAGAAYAWQEAAPoFAAAAAA==&#10;">
                  <v:fill on="t" focussize="0,0"/>
                  <v:stroke weight="1.25pt" color="#F2F2F2" joinstyle="miter"/>
                  <v:imagedata o:title=""/>
                  <o:lock v:ext="edit" aspectratio="f"/>
                  <v:shadow on="t" color="#243F60" opacity="32768f" offset="1pt,2pt" origin="0f,0f" matrix="65536f,0f,0f,65536f"/>
                  <v:textbox>
                    <w:txbxContent>
                      <w:p w14:paraId="0028A9A6">
                        <w:pPr>
                          <w:rPr>
                            <w:b/>
                            <w:color w:val="FFFFFF"/>
                            <w:sz w:val="28"/>
                            <w:szCs w:val="28"/>
                          </w:rPr>
                        </w:pPr>
                      </w:p>
                      <w:p w14:paraId="723F4D2A">
                        <w:pPr>
                          <w:rPr>
                            <w:b/>
                            <w:color w:val="FFFFFF"/>
                            <w:sz w:val="28"/>
                            <w:szCs w:val="28"/>
                          </w:rPr>
                        </w:pPr>
                        <w:r>
                          <w:rPr>
                            <w:rFonts w:hint="eastAsia"/>
                            <w:b/>
                            <w:color w:val="FFFFFF"/>
                            <w:sz w:val="28"/>
                            <w:szCs w:val="28"/>
                          </w:rPr>
                          <w:t>结构自防水</w:t>
                        </w:r>
                      </w:p>
                    </w:txbxContent>
                  </v:textbox>
                </v:rect>
                <v:rect id="矩形 1588" o:spid="_x0000_s1026" o:spt="1" style="position:absolute;left:1015365;top:4489450;height:3077845;width:388620;" fillcolor="#7F7F7F" filled="t" stroked="t" coordsize="21600,21600" o:gfxdata="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82/Vm9gAAAAHAQAADwAAAAAAAAABACAAAAAiAAAAZHJzL2Rvd25yZXYueG1sUEsBAhQAFAAA&#10;AAgAh07iQFMhXoRhAgAA4wQAAA4AAAAAAAAAAQAgAAAAJwEAAGRycy9lMm9Eb2MueG1sUEsFBgAA&#10;AAAGAAYAWQEAAPoFAAAAAA==&#10;">
                  <v:fill on="t" focussize="0,0"/>
                  <v:stroke weight="1.25pt" color="#F2F2F2" joinstyle="miter"/>
                  <v:imagedata o:title=""/>
                  <o:lock v:ext="edit" aspectratio="f"/>
                  <v:shadow on="t" color="#243F60" opacity="32768f" offset="1pt,2pt" origin="0f,0f" matrix="65536f,0f,0f,65536f"/>
                  <v:textbox>
                    <w:txbxContent>
                      <w:p w14:paraId="243FB68E">
                        <w:pPr>
                          <w:rPr>
                            <w:b/>
                            <w:color w:val="FFFFFF"/>
                            <w:sz w:val="28"/>
                            <w:szCs w:val="28"/>
                          </w:rPr>
                        </w:pPr>
                      </w:p>
                      <w:p w14:paraId="11946FC7">
                        <w:pPr>
                          <w:rPr>
                            <w:b/>
                            <w:color w:val="FFFFFF"/>
                            <w:sz w:val="28"/>
                            <w:szCs w:val="28"/>
                          </w:rPr>
                        </w:pPr>
                        <w:r>
                          <w:rPr>
                            <w:rFonts w:hint="eastAsia"/>
                            <w:b/>
                            <w:color w:val="FFFFFF"/>
                            <w:sz w:val="28"/>
                            <w:szCs w:val="28"/>
                          </w:rPr>
                          <w:t>防水材料防水</w:t>
                        </w:r>
                      </w:p>
                      <w:p w14:paraId="7DE9F2F2"/>
                    </w:txbxContent>
                  </v:textbox>
                </v:rect>
                <v:shape id="棱台 1589" o:spid="_x0000_s1026" o:spt="84" type="#_x0000_t84" style="position:absolute;left:2152650;top:1261745;height:388620;width:950595;v-text-anchor:middle;" fillcolor="#7F7F7F" filled="t" stroked="t" coordsize="21600,21600" o:gfxdata="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fnztTWAAAABwEAAA8AAAAAAAAAAQAg&#10;AAAAIgAAAGRycy9kb3ducmV2LnhtbFBLAQIUABQAAAAIAIdO4kCZms62ggIAACkFAAAOAAAAAAAA&#10;AAEAIAAAACUBAABkcnMvZTJvRG9jLnhtbFBLBQYAAAAABgAGAFkBAAAZBgAAAAA=&#10;" adj="2700">
                  <v:fill on="t" focussize="0,0"/>
                  <v:stroke color="#F2F2F2" joinstyle="miter"/>
                  <v:imagedata o:title=""/>
                  <o:lock v:ext="edit" aspectratio="f"/>
                  <v:shadow on="t" color="#243F60" opacity="32768f" offset="1pt,2pt" origin="0f,0f" matrix="65536f,0f,0f,65536f"/>
                  <v:textbox>
                    <w:txbxContent>
                      <w:p w14:paraId="412AF1FA">
                        <w:pPr>
                          <w:rPr>
                            <w:b/>
                            <w:color w:val="FFFFFF"/>
                            <w:szCs w:val="21"/>
                          </w:rPr>
                        </w:pPr>
                        <w:r>
                          <w:rPr>
                            <w:rFonts w:hint="eastAsia"/>
                            <w:b/>
                            <w:color w:val="FFFFFF"/>
                            <w:szCs w:val="21"/>
                          </w:rPr>
                          <w:t>1.地下工程</w:t>
                        </w:r>
                      </w:p>
                    </w:txbxContent>
                  </v:textbox>
                </v:shape>
                <v:shape id="棱台 1590" o:spid="_x0000_s1026" o:spt="84" type="#_x0000_t84" style="position:absolute;left:2152650;top:2233295;height:387350;width:951865;v-text-anchor:middle;" fillcolor="#808080" filled="t" stroked="t" coordsize="21600,21600" o:gfxdata="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bSW/11AAAAAcBAAAPAAAAAAAAAAEAIAAAACIA&#10;AABkcnMvZG93bnJldi54bWxQSwECFAAUAAAACACHTuJAYApO0n8CAAApBQAADgAAAAAAAAABACAA&#10;AAAjAQAAZHJzL2Uyb0RvYy54bWxQSwUGAAAAAAYABgBZAQAAFAYAAAAA&#10;" adj="2700">
                  <v:fill on="t" focussize="0,0"/>
                  <v:stroke color="#F2F2F2" joinstyle="miter"/>
                  <v:imagedata o:title=""/>
                  <o:lock v:ext="edit" aspectratio="f"/>
                  <v:shadow on="t" color="#243F60" opacity="32768f" offset="1pt,2pt" origin="0f,0f" matrix="65536f,0f,0f,65536f"/>
                  <v:textbox>
                    <w:txbxContent>
                      <w:p w14:paraId="122FA503">
                        <w:pPr>
                          <w:rPr>
                            <w:b/>
                            <w:color w:val="FFFFFF"/>
                            <w:szCs w:val="21"/>
                          </w:rPr>
                        </w:pPr>
                        <w:r>
                          <w:rPr>
                            <w:rFonts w:hint="eastAsia"/>
                            <w:b/>
                            <w:color w:val="FFFFFF"/>
                            <w:szCs w:val="21"/>
                          </w:rPr>
                          <w:t>2.屋面工程</w:t>
                        </w:r>
                      </w:p>
                    </w:txbxContent>
                  </v:textbox>
                </v:shape>
                <v:shape id="棱台 1591" o:spid="_x0000_s1026" o:spt="84" type="#_x0000_t84" style="position:absolute;left:2152650;top:3152775;height:389890;width:965835;v-text-anchor:middle;" fillcolor="#7F7F7F" filled="t" stroked="t" coordsize="21600,21600" o:gfxdata="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n587U1gAAAAcBAAAPAAAAAAAAAAEAIAAA&#10;ACIAAABkcnMvZG93bnJldi54bWxQSwECFAAUAAAACACHTuJAqvv9pIACAAApBQAADgAAAAAAAAAB&#10;ACAAAAAlAQAAZHJzL2Uyb0RvYy54bWxQSwUGAAAAAAYABgBZAQAAFwYAAAAA&#10;" adj="2700">
                  <v:fill on="t" focussize="0,0"/>
                  <v:stroke color="#F2F2F2" joinstyle="miter"/>
                  <v:imagedata o:title=""/>
                  <o:lock v:ext="edit" aspectratio="f"/>
                  <v:shadow on="t" color="#243F60" opacity="32768f" offset="1pt,2pt" origin="0f,0f" matrix="65536f,0f,0f,65536f"/>
                  <v:textbox>
                    <w:txbxContent>
                      <w:p w14:paraId="3E2834FF">
                        <w:pPr>
                          <w:rPr>
                            <w:b/>
                            <w:color w:val="FFFFFF"/>
                            <w:szCs w:val="21"/>
                          </w:rPr>
                        </w:pPr>
                        <w:r>
                          <w:rPr>
                            <w:rFonts w:hint="eastAsia"/>
                            <w:b/>
                            <w:color w:val="FFFFFF"/>
                            <w:szCs w:val="21"/>
                          </w:rPr>
                          <w:t>3.厨卫部分</w:t>
                        </w:r>
                      </w:p>
                    </w:txbxContent>
                  </v:textbox>
                </v:shape>
                <v:shape id="棱台 1592" o:spid="_x0000_s1026" o:spt="84" type="#_x0000_t84" style="position:absolute;left:2148205;top:4101465;height:387985;width:1061720;v-text-anchor:middle;" fillcolor="#808080" filled="t" stroked="t" coordsize="21600,21600" o:gfxdata="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FtJb/XUAAAABwEAAA8AAAAAAAAAAQAg&#10;AAAAIgAAAGRycy9kb3ducmV2LnhtbFBLAQIUABQAAAAIAIdO4kA67sEVhAIAACoFAAAOAAAAAAAA&#10;AAEAIAAAACMBAABkcnMvZTJvRG9jLnhtbFBLBQYAAAAABgAGAFkBAAAZBgAAAAA=&#10;" adj="2700">
                  <v:fill on="t" focussize="0,0"/>
                  <v:stroke color="#F2F2F2" joinstyle="miter"/>
                  <v:imagedata o:title=""/>
                  <o:lock v:ext="edit" aspectratio="f"/>
                  <v:shadow on="t" color="#243F60" opacity="32768f" offset="1pt,2pt" origin="0f,0f" matrix="65536f,0f,0f,65536f"/>
                  <v:textbox>
                    <w:txbxContent>
                      <w:p w14:paraId="1875ADC6">
                        <w:pPr>
                          <w:rPr>
                            <w:b/>
                            <w:color w:val="FFFFFF"/>
                            <w:szCs w:val="21"/>
                          </w:rPr>
                        </w:pPr>
                        <w:r>
                          <w:rPr>
                            <w:rFonts w:hint="eastAsia"/>
                            <w:b/>
                            <w:color w:val="FFFFFF"/>
                            <w:szCs w:val="21"/>
                          </w:rPr>
                          <w:t>4.阳露台部分</w:t>
                        </w:r>
                      </w:p>
                    </w:txbxContent>
                  </v:textbox>
                </v:shape>
                <v:shape id="棱台 1593" o:spid="_x0000_s1026" o:spt="84" type="#_x0000_t84" style="position:absolute;left:2152650;top:5112385;height:388620;width:1059180;" fillcolor="#808080" filled="t" stroked="t" coordsize="21600,21600" o:gfxdata="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iq7XudYAAAAHAQAADwAAAAAAAAABACAAAAAiAAAAZHJzL2Rv&#10;d25yZXYueG1sUEsBAhQAFAAAAAgAh07iQA9P3wZ1AgAADwUAAA4AAAAAAAAAAQAgAAAAJQEAAGRy&#10;cy9lMm9Eb2MueG1sUEsFBgAAAAAGAAYAWQEAAAwGAAAAAA==&#10;" adj="2700">
                  <v:fill on="t" focussize="0,0"/>
                  <v:stroke color="#F2F2F2" joinstyle="miter"/>
                  <v:imagedata o:title=""/>
                  <o:lock v:ext="edit" aspectratio="f"/>
                  <v:shadow on="t" color="#243F60" opacity="32768f" offset="1pt,2pt" origin="0f,0f" matrix="65536f,0f,0f,65536f"/>
                  <v:textbox>
                    <w:txbxContent>
                      <w:p w14:paraId="7705758B">
                        <w:pPr>
                          <w:rPr>
                            <w:b/>
                            <w:color w:val="FFFFFF"/>
                            <w:szCs w:val="21"/>
                          </w:rPr>
                        </w:pPr>
                        <w:r>
                          <w:rPr>
                            <w:rFonts w:hint="eastAsia"/>
                            <w:b/>
                            <w:color w:val="FFFFFF"/>
                            <w:szCs w:val="21"/>
                          </w:rPr>
                          <w:t>5.外墙部分</w:t>
                        </w:r>
                      </w:p>
                    </w:txbxContent>
                  </v:textbox>
                </v:shape>
                <v:shape id="棱台 1595" o:spid="_x0000_s1026" o:spt="84" type="#_x0000_t84" style="position:absolute;left:2156460;top:7706360;height:389890;width:1003935;" fillcolor="#808080" filled="t" stroked="t" coordsize="21600,21600" o:gfxdata="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iq7XudYAAAAHAQAADwAAAAAAAAABACAAAAAiAAAAZHJz&#10;L2Rvd25yZXYueG1sUEsBAhQAFAAAAAgAh07iQDT+W8Z4AgAADwUAAA4AAAAAAAAAAQAgAAAAJQEA&#10;AGRycy9lMm9Eb2MueG1sUEsFBgAAAAAGAAYAWQEAAA8GAAAAAA==&#10;" adj="2700">
                  <v:fill on="t" focussize="0,0"/>
                  <v:stroke color="#F2F2F2" joinstyle="miter"/>
                  <v:imagedata o:title=""/>
                  <o:lock v:ext="edit" aspectratio="f"/>
                  <v:shadow on="t" color="#243F60" opacity="32768f" offset="1pt,2pt" origin="0f,0f" matrix="65536f,0f,0f,65536f"/>
                  <v:textbox>
                    <w:txbxContent>
                      <w:p w14:paraId="3884DABD">
                        <w:pPr>
                          <w:rPr>
                            <w:b/>
                            <w:color w:val="FFFFFF"/>
                            <w:szCs w:val="21"/>
                          </w:rPr>
                        </w:pPr>
                        <w:r>
                          <w:rPr>
                            <w:rFonts w:hint="eastAsia"/>
                            <w:b/>
                            <w:color w:val="FFFFFF"/>
                            <w:szCs w:val="21"/>
                            <w:lang w:val="en-US" w:eastAsia="zh-CN"/>
                          </w:rPr>
                          <w:t>6</w:t>
                        </w:r>
                        <w:r>
                          <w:rPr>
                            <w:rFonts w:hint="eastAsia"/>
                            <w:b/>
                            <w:color w:val="FFFFFF"/>
                            <w:szCs w:val="21"/>
                          </w:rPr>
                          <w:t>.其它部分</w:t>
                        </w:r>
                      </w:p>
                    </w:txbxContent>
                  </v:textbox>
                </v:shape>
                <v:shape id="直接箭头连接符 1596" o:spid="_x0000_s1026" o:spt="32" type="#_x0000_t32" style="position:absolute;left:1617980;top:2413000;height:3745230;width:1905;" filled="f" stroked="t" coordsize="21600,21600" o:gfxdata="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PnwXvWAAAABwEA&#10;AA8AAAAAAAAAAQAgAAAAIgAAAGRycy9kb3ducmV2LnhtbFBLAQIUABQAAAAIAIdO4kCL88XwHAIA&#10;ABAEAAAOAAAAAAAAAAEAIAAAACUBAABkcnMvZTJvRG9jLnhtbFBLBQYAAAAABgAGAFkBAACzBQAA&#10;AAA=&#10;">
                  <v:fill on="f" focussize="0,0"/>
                  <v:stroke weight="4pt" color="#4F6228" joinstyle="round"/>
                  <v:imagedata o:title=""/>
                  <o:lock v:ext="edit" aspectratio="f"/>
                </v:shape>
                <v:shape id="直接箭头连接符 1597" o:spid="_x0000_s1026" o:spt="32" type="#_x0000_t32" style="position:absolute;left:1394460;top:2442210;height:1270;width:223520;" filled="f" stroked="t" coordsize="21600,21600" o:gfxdata="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fBe9YAAAAHAQAA&#10;DwAAAAAAAAABACAAAAAiAAAAZHJzL2Rvd25yZXYueG1sUEsBAhQAFAAAAAgAh07iQEA6EggbAgAA&#10;DwQAAA4AAAAAAAAAAQAgAAAAJQEAAGRycy9lMm9Eb2MueG1sUEsFBgAAAAAGAAYAWQEAALIFAAAA&#10;AA==&#10;">
                  <v:fill on="f" focussize="0,0"/>
                  <v:stroke weight="4pt" color="#4F6228" joinstyle="round"/>
                  <v:imagedata o:title=""/>
                  <o:lock v:ext="edit" aspectratio="f"/>
                </v:shape>
                <v:rect id="矩形 1598" o:spid="_x0000_s1026" o:spt="1" style="position:absolute;left:118745;top:1917700;height:5649595;width:464820;" fillcolor="#7F7F7F" filled="t" stroked="t" coordsize="21600,21600" o:gfxdata="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zb9Wb2AAAAAcBAAAPAAAAAAAAAAEAIAAAACIAAABkcnMvZG93bnJldi54bWxQSwECFAAUAAAA&#10;CACHTuJATejjD2ACAADiBAAADgAAAAAAAAABACAAAAAnAQAAZHJzL2Uyb0RvYy54bWxQSwUGAAAA&#10;AAYABgBZAQAA+QUAAAAA&#10;">
                  <v:fill on="t" focussize="0,0"/>
                  <v:stroke weight="1.25pt" color="#F2F2F2" joinstyle="miter"/>
                  <v:imagedata o:title=""/>
                  <o:lock v:ext="edit" aspectratio="f"/>
                  <v:shadow on="t" color="#243F60" opacity="32768f" offset="1pt,2pt" origin="0f,0f" matrix="65536f,0f,0f,65536f"/>
                  <v:textbox>
                    <w:txbxContent>
                      <w:p w14:paraId="19BF39BB">
                        <w:pPr>
                          <w:jc w:val="left"/>
                          <w:rPr>
                            <w:b/>
                            <w:color w:val="FFFFFF"/>
                            <w:sz w:val="28"/>
                            <w:szCs w:val="28"/>
                          </w:rPr>
                        </w:pPr>
                      </w:p>
                      <w:p w14:paraId="2722682D">
                        <w:pPr>
                          <w:jc w:val="left"/>
                          <w:rPr>
                            <w:rFonts w:hint="eastAsia" w:ascii="宋体" w:hAnsi="宋体"/>
                            <w:b/>
                            <w:color w:val="FFFFFF"/>
                            <w:sz w:val="36"/>
                            <w:szCs w:val="36"/>
                          </w:rPr>
                        </w:pPr>
                      </w:p>
                      <w:p w14:paraId="159EE041">
                        <w:pPr>
                          <w:jc w:val="left"/>
                          <w:rPr>
                            <w:rFonts w:hint="eastAsia" w:ascii="宋体" w:hAnsi="宋体"/>
                            <w:b/>
                            <w:color w:val="FFFFFF"/>
                            <w:sz w:val="36"/>
                            <w:szCs w:val="36"/>
                          </w:rPr>
                        </w:pPr>
                      </w:p>
                      <w:p w14:paraId="09EA92AF">
                        <w:pPr>
                          <w:jc w:val="left"/>
                          <w:rPr>
                            <w:rFonts w:hint="eastAsia" w:ascii="宋体" w:hAnsi="宋体"/>
                            <w:b/>
                            <w:color w:val="FFFFFF"/>
                            <w:sz w:val="36"/>
                            <w:szCs w:val="36"/>
                          </w:rPr>
                        </w:pPr>
                      </w:p>
                      <w:p w14:paraId="4BBE03C2">
                        <w:pPr>
                          <w:jc w:val="left"/>
                          <w:rPr>
                            <w:rFonts w:ascii="宋体" w:hAnsi="宋体"/>
                            <w:b/>
                            <w:color w:val="FFFFFF"/>
                            <w:sz w:val="36"/>
                            <w:szCs w:val="36"/>
                          </w:rPr>
                        </w:pPr>
                        <w:r>
                          <w:rPr>
                            <w:rFonts w:hint="eastAsia" w:ascii="宋体" w:hAnsi="宋体"/>
                            <w:b/>
                            <w:color w:val="FFFFFF"/>
                            <w:sz w:val="36"/>
                            <w:szCs w:val="36"/>
                          </w:rPr>
                          <w:t>工程防渗漏体系</w:t>
                        </w:r>
                      </w:p>
                      <w:p w14:paraId="3B4F706F"/>
                    </w:txbxContent>
                  </v:textbox>
                </v:rect>
                <v:shape id="直接箭头连接符 1599" o:spid="_x0000_s1026" o:spt="32" type="#_x0000_t32" style="position:absolute;left:1394460;top:6141085;flip:y;height:3810;width:224790;" filled="f" stroked="t" coordsize="21600,21600" o:gfxdata="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PHKfLjW&#10;AAAABwEAAA8AAAAAAAAAAQAgAAAAIgAAAGRycy9kb3ducmV2LnhtbFBLAQIUABQAAAAIAIdO4kAs&#10;j6a6IgIAABkEAAAOAAAAAAAAAAEAIAAAACUBAABkcnMvZTJvRG9jLnhtbFBLBQYAAAAABgAGAFkB&#10;AAC5BQAAAAA=&#10;">
                  <v:fill on="f" focussize="0,0"/>
                  <v:stroke weight="4pt" color="#4F6228" joinstyle="round"/>
                  <v:imagedata o:title=""/>
                  <o:lock v:ext="edit" aspectratio="f"/>
                </v:shape>
                <v:shape id="流程图: 文档 1600" o:spid="_x0000_s1026" o:spt="114" type="#_x0000_t114" style="position:absolute;left:3764280;top:1069340;height:380365;width:1645285;v-text-anchor:middle;" fillcolor="#808080" filled="t" stroked="t" coordsize="21600,21600" o:gfxdata="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w4tJddYAAAAHAQAADwAAAAAA&#10;AAABACAAAAAiAAAAZHJzL2Rvd25yZXYueG1sUEsBAhQAFAAAAAgAh07iQN6lxDuHAgAAFQUAAA4A&#10;AAAAAAAAAQAgAAAAJQEAAGRycy9lMm9Eb2MueG1sUEsFBgAAAAAGAAYAWQEAAB4GAAAAAA==&#10;">
                  <v:fill on="t" focussize="0,0"/>
                  <v:stroke color="#F2F2F2" joinstyle="miter"/>
                  <v:imagedata o:title=""/>
                  <o:lock v:ext="edit" aspectratio="f"/>
                  <v:shadow on="t" color="#243F60" opacity="32768f" offset="1pt,2pt" origin="0f,0f" matrix="65536f,0f,0f,65536f"/>
                  <v:textbox>
                    <w:txbxContent>
                      <w:p w14:paraId="50B4D08C">
                        <w:pPr>
                          <w:rPr>
                            <w:b/>
                            <w:color w:val="FFFFFF"/>
                          </w:rPr>
                        </w:pPr>
                        <w:r>
                          <w:rPr>
                            <w:rFonts w:hint="eastAsia"/>
                            <w:b/>
                            <w:color w:val="FFFFFF"/>
                          </w:rPr>
                          <w:t>1.1地下室底板外墙部分</w:t>
                        </w:r>
                      </w:p>
                    </w:txbxContent>
                  </v:textbox>
                </v:shape>
                <v:shape id="直接箭头连接符 1601" o:spid="_x0000_s1026" o:spt="32" type="#_x0000_t32" style="position:absolute;left:3449320;top:1245870;flip:x;height:414020;width:2540;" filled="f" stroked="t" coordsize="21600,21600" o:gfxdata="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BAYNUNUAAAAHAQAA&#10;DwAAAAAAAAABACAAAAAiAAAAZHJzL2Rvd25yZXYueG1sUEsBAhQAFAAAAAgAh07iQBED6uQcAgAA&#10;GAQAAA4AAAAAAAAAAQAgAAAAJAEAAGRycy9lMm9Eb2MueG1sUEsFBgAAAAAGAAYAWQEAALIFAAAA&#10;AA==&#10;">
                  <v:fill on="f" focussize="0,0"/>
                  <v:stroke color="#000000" joinstyle="round"/>
                  <v:imagedata o:title=""/>
                  <o:lock v:ext="edit" aspectratio="f"/>
                </v:shape>
                <v:shape id="直接箭头连接符 1602" o:spid="_x0000_s1026" o:spt="32" type="#_x0000_t32" style="position:absolute;left:3451860;top:1729105;height:635;width:31750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EztYfWAAAABwEAAA8AAAAA&#10;AAAAAQAgAAAAIgAAAGRycy9kb3ducmV2LnhtbFBLAQIUABQAAAAIAIdO4kAXTQK2FgIAAA0EAAAO&#10;AAAAAAAAAAEAIAAAACUBAABkcnMvZTJvRG9jLnhtbFBLBQYAAAAABgAGAFkBAACtBQAAAAA=&#10;">
                  <v:fill on="f" focussize="0,0"/>
                  <v:stroke color="#000000" joinstyle="round"/>
                  <v:imagedata o:title=""/>
                  <o:lock v:ext="edit" aspectratio="f"/>
                </v:shape>
                <v:shape id="直接箭头连接符 1603" o:spid="_x0000_s1026" o:spt="32" type="#_x0000_t32" style="position:absolute;left:3072765;top:1449705;flip:y;height:1270;width:379095;" filled="f" stroked="t" coordsize="21600,21600" o:gfxdata="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QGDVDVAAAABwEA&#10;AA8AAAAAAAAAAQAgAAAAIgAAAGRycy9kb3ducmV2LnhtbFBLAQIUABQAAAAIAIdO4kB2DOvaHQIA&#10;ABgEAAAOAAAAAAAAAAEAIAAAACQBAABkcnMvZTJvRG9jLnhtbFBLBQYAAAAABgAGAFkBAACzBQAA&#10;AAA=&#10;">
                  <v:fill on="f" focussize="0,0"/>
                  <v:stroke color="#000000" joinstyle="round"/>
                  <v:imagedata o:title=""/>
                  <o:lock v:ext="edit" aspectratio="f"/>
                </v:shape>
                <v:shape id="直接箭头连接符 1604" o:spid="_x0000_s1026" o:spt="32" type="#_x0000_t32" style="position:absolute;left:1617980;top:4298315;height:2540;width:205740;" filled="f" stroked="t" coordsize="21600,21600" o:gfxdata="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PnwXvWAAAABwEAAA8A&#10;AAAAAAAAAQAgAAAAIgAAAGRycy9kb3ducmV2LnhtbFBLAQIUABQAAAAIAIdO4kAO1pM4GQIAAA8E&#10;AAAOAAAAAAAAAAEAIAAAACUBAABkcnMvZTJvRG9jLnhtbFBLBQYAAAAABgAGAFkBAACwBQAAAAA=&#10;">
                  <v:fill on="f" focussize="0,0"/>
                  <v:stroke weight="4pt" color="#4F6228" joinstyle="round"/>
                  <v:imagedata o:title=""/>
                  <o:lock v:ext="edit" aspectratio="f"/>
                </v:shape>
                <v:shape id="直接箭头连接符 1605" o:spid="_x0000_s1026" o:spt="32" type="#_x0000_t32" style="position:absolute;left:1798955;top:1449705;flip:x;height:5231765;width:23495;" filled="f" stroked="t" coordsize="21600,21600" o:gfxdata="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8cp8uNYA&#10;AAAHAQAADwAAAAAAAAABACAAAAAiAAAAZHJzL2Rvd25yZXYueG1sUEsBAhQAFAAAAAgAh07iQNMg&#10;r28hAgAAFgQAAA4AAAAAAAAAAQAgAAAAJQEAAGRycy9lMm9Eb2MueG1sUEsFBgAAAAAGAAYAWQEA&#10;ALgFAAAAAA==&#10;">
                  <v:fill on="f" focussize="0,0"/>
                  <v:stroke weight="4pt" color="#4F6228" joinstyle="round"/>
                  <v:imagedata o:title=""/>
                  <o:lock v:ext="edit" aspectratio="f"/>
                </v:shape>
                <v:shape id="直接箭头连接符 1606" o:spid="_x0000_s1026" o:spt="32" type="#_x0000_t32" style="position:absolute;left:1786890;top:1454785;height:1270;width:365760;" filled="f" stroked="t" coordsize="21600,21600" o:gfxdata="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J2vJJ&#10;1wAAAAcBAAAPAAAAAAAAAAEAIAAAACIAAABkcnMvZG93bnJldi54bWxQSwECFAAUAAAACACHTuJA&#10;93dYaiICAAATBAAADgAAAAAAAAABACAAAAAmAQAAZHJzL2Uyb0RvYy54bWxQSwUGAAAAAAYABgBZ&#10;AQAAugUAAAAA&#10;">
                  <v:fill on="f" focussize="0,0"/>
                  <v:stroke weight="4pt" color="#4F6228" joinstyle="round" endarrow="block"/>
                  <v:imagedata o:title=""/>
                  <o:lock v:ext="edit" aspectratio="f"/>
                </v:shape>
                <v:shape id="直接箭头连接符 1607" o:spid="_x0000_s1026" o:spt="32" type="#_x0000_t32" style="position:absolute;left:1822450;top:2411730;height:1270;width:362585;" filled="f" stroked="t" coordsize="21600,21600" o:gfxdata="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J2vJJ&#10;1wAAAAcBAAAPAAAAAAAAAAEAIAAAACIAAABkcnMvZG93bnJldi54bWxQSwECFAAUAAAACACHTuJA&#10;StgXcyICAAATBAAADgAAAAAAAAABACAAAAAmAQAAZHJzL2Uyb0RvYy54bWxQSwUGAAAAAAYABgBZ&#10;AQAAugUAAAAA&#10;">
                  <v:fill on="f" focussize="0,0"/>
                  <v:stroke weight="4pt" color="#4F6228" joinstyle="round" endarrow="block"/>
                  <v:imagedata o:title=""/>
                  <o:lock v:ext="edit" aspectratio="f"/>
                </v:shape>
                <v:shape id="直接箭头连接符 1608" o:spid="_x0000_s1026" o:spt="32" type="#_x0000_t32" style="position:absolute;left:1822450;top:3341370;height:1270;width:327660;" filled="f" stroked="t" coordsize="21600,21600" o:gfxdata="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J2vJJ1wAA&#10;AAcBAAAPAAAAAAAAAAEAIAAAACIAAABkcnMvZG93bnJldi54bWxQSwECFAAUAAAACACHTuJAHClp&#10;oh8CAAATBAAADgAAAAAAAAABACAAAAAmAQAAZHJzL2Uyb0RvYy54bWxQSwUGAAAAAAYABgBZAQAA&#10;twUAAAAA&#10;">
                  <v:fill on="f" focussize="0,0"/>
                  <v:stroke weight="4pt" color="#4F6228" joinstyle="round" endarrow="block"/>
                  <v:imagedata o:title=""/>
                  <o:lock v:ext="edit" aspectratio="f"/>
                </v:shape>
                <v:shape id="直接箭头连接符 1609" o:spid="_x0000_s1026" o:spt="32" type="#_x0000_t32" style="position:absolute;left:1825625;top:4295775;height:1270;width:327025;" filled="f" stroked="t" coordsize="21600,21600" o:gfxdata="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J2vJJ1wAA&#10;AAcBAAAPAAAAAAAAAAEAIAAAACIAAABkcnMvZG93bnJldi54bWxQSwECFAAUAAAACACHTuJAfBi7&#10;1h8CAAATBAAADgAAAAAAAAABACAAAAAmAQAAZHJzL2Uyb0RvYy54bWxQSwUGAAAAAAYABgBZAQAA&#10;twUAAAAA&#10;">
                  <v:fill on="f" focussize="0,0"/>
                  <v:stroke weight="4pt" color="#4F6228" joinstyle="round" endarrow="block"/>
                  <v:imagedata o:title=""/>
                  <o:lock v:ext="edit" aspectratio="f"/>
                </v:shape>
                <v:shape id="直接箭头连接符 1610" o:spid="_x0000_s1026" o:spt="32" type="#_x0000_t32" style="position:absolute;left:1824990;top:5306060;height:635;width:327660;" filled="f" stroked="t" coordsize="21600,21600" o:gfxdata="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ydrySdcAAAAH&#10;AQAADwAAAAAAAAABACAAAAAiAAAAZHJzL2Rvd25yZXYueG1sUEsBAhQAFAAAAAgAh07iQGoCfggd&#10;AgAAEgQAAA4AAAAAAAAAAQAgAAAAJgEAAGRycy9lMm9Eb2MueG1sUEsFBgAAAAAGAAYAWQEAALUF&#10;AAAAAA==&#10;">
                  <v:fill on="f" focussize="0,0"/>
                  <v:stroke weight="4pt" color="#4F6228" joinstyle="round" endarrow="block"/>
                  <v:imagedata o:title=""/>
                  <o:lock v:ext="edit" aspectratio="f"/>
                </v:shape>
                <v:shape id="直接箭头连接符 1612" o:spid="_x0000_s1026" o:spt="32" type="#_x0000_t32" style="position:absolute;left:1786255;top:7900670;height:635;width:370205;" filled="f" stroked="t" coordsize="21600,21600" o:gfxdata="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J2vJJ1wAA&#10;AAcBAAAPAAAAAAAAAAEAIAAAACIAAABkcnMvZG93bnJldi54bWxQSwECFAAUAAAACACHTuJASynF&#10;2R8CAAASBAAADgAAAAAAAAABACAAAAAmAQAAZHJzL2Uyb0RvYy54bWxQSwUGAAAAAAYABgBZAQAA&#10;twUAAAAA&#10;">
                  <v:fill on="f" focussize="0,0"/>
                  <v:stroke weight="4pt" color="#4F6228" joinstyle="round" endarrow="block"/>
                  <v:imagedata o:title=""/>
                  <o:lock v:ext="edit" aspectratio="f"/>
                </v:shape>
                <v:shape id="流程图: 文档 1613" o:spid="_x0000_s1026" o:spt="114" type="#_x0000_t114" style="position:absolute;left:3769360;top:1539875;height:377825;width:1338580;v-text-anchor:middle;" fillcolor="#808080" filled="t" stroked="t" coordsize="21600,21600" o:gfxdata="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w4tJddYAAAAHAQAADwAA&#10;AAAAAAABACAAAAAiAAAAZHJzL2Rvd25yZXYueG1sUEsBAhQAFAAAAAgAh07iQEbaFnGKAgAAFQUA&#10;AA4AAAAAAAAAAQAgAAAAJQEAAGRycy9lMm9Eb2MueG1sUEsFBgAAAAAGAAYAWQEAACEGAAAAAA==&#10;">
                  <v:fill on="t" focussize="0,0"/>
                  <v:stroke color="#F2F2F2" joinstyle="miter"/>
                  <v:imagedata o:title=""/>
                  <o:lock v:ext="edit" aspectratio="f"/>
                  <v:shadow on="t" color="#243F60" opacity="32768f" offset="1pt,2pt" origin="0f,0f" matrix="65536f,0f,0f,65536f"/>
                  <v:textbox>
                    <w:txbxContent>
                      <w:p w14:paraId="6FFD4AE0">
                        <w:pPr>
                          <w:rPr>
                            <w:b/>
                            <w:color w:val="FFFFFF"/>
                          </w:rPr>
                        </w:pPr>
                        <w:r>
                          <w:rPr>
                            <w:rFonts w:hint="eastAsia"/>
                            <w:b/>
                            <w:color w:val="FFFFFF"/>
                          </w:rPr>
                          <w:t>1.2地下室顶板部分</w:t>
                        </w:r>
                      </w:p>
                    </w:txbxContent>
                  </v:textbox>
                </v:shape>
                <v:shape id="直接箭头连接符 1614" o:spid="_x0000_s1026" o:spt="32" type="#_x0000_t32" style="position:absolute;left:3446780;top:1647825;height:81280;width:508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xM7WH1gAAAAcBAAAPAAAAAAAA&#10;AAEAIAAAACIAAABkcnMvZG93bnJldi54bWxQSwECFAAUAAAACACHTuJAmCLxthQCAAANBAAADgAA&#10;AAAAAAABACAAAAAlAQAAZHJzL2Uyb0RvYy54bWxQSwUGAAAAAAYABgBZAQAAqwUAAAAA&#10;">
                  <v:fill on="f" focussize="0,0"/>
                  <v:stroke color="#000000" joinstyle="round"/>
                  <v:imagedata o:title=""/>
                  <o:lock v:ext="edit" aspectratio="f"/>
                </v:shape>
                <v:shape id="直接箭头连接符 1615" o:spid="_x0000_s1026" o:spt="32" type="#_x0000_t32" style="position:absolute;left:3449320;top:1244600;height:1270;width:31750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TO1h9YAAAAHAQAADwAAAAAA&#10;AAABACAAAAAiAAAAZHJzL2Rvd25yZXYueG1sUEsBAhQAFAAAAAgAh07iQBiQnm0VAgAADgQAAA4A&#10;AAAAAAAAAQAgAAAAJQEAAGRycy9lMm9Eb2MueG1sUEsFBgAAAAAGAAYAWQEAAKwFAAAAAA==&#10;">
                  <v:fill on="f" focussize="0,0"/>
                  <v:stroke color="#000000" joinstyle="round"/>
                  <v:imagedata o:title=""/>
                  <o:lock v:ext="edit" aspectratio="f"/>
                </v:shape>
                <v:shape id="流程图: 文档 1616" o:spid="_x0000_s1026" o:spt="114" type="#_x0000_t114" style="position:absolute;left:3762375;top:2030730;height:379730;width:1350645;v-text-anchor:middle;" fillcolor="#808080" filled="t" stroked="t" coordsize="21600,21600" o:gfxdata="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MOLSXXWAAAABwEAAA8A&#10;AAAAAAAAAQAgAAAAIgAAAGRycy9kb3ducmV2LnhtbFBLAQIUABQAAAAIAIdO4kBIB9Z6iwIAABUF&#10;AAAOAAAAAAAAAAEAIAAAACUBAABkcnMvZTJvRG9jLnhtbFBLBQYAAAAABgAGAFkBAAAiBgAAAAA=&#10;">
                  <v:fill on="t" focussize="0,0"/>
                  <v:stroke color="#F2F2F2" joinstyle="miter"/>
                  <v:imagedata o:title=""/>
                  <o:lock v:ext="edit" aspectratio="f"/>
                  <v:shadow on="t" color="#243F60" opacity="32768f" offset="1pt,2pt" origin="0f,0f" matrix="65536f,0f,0f,65536f"/>
                  <v:textbox>
                    <w:txbxContent>
                      <w:p w14:paraId="06F729B8">
                        <w:pPr>
                          <w:jc w:val="left"/>
                          <w:rPr>
                            <w:b/>
                            <w:color w:val="FFFFFF"/>
                          </w:rPr>
                        </w:pPr>
                        <w:r>
                          <w:rPr>
                            <w:rFonts w:hint="eastAsia"/>
                            <w:b/>
                            <w:color w:val="FFFFFF"/>
                          </w:rPr>
                          <w:t>2.1平屋面部分</w:t>
                        </w:r>
                      </w:p>
                    </w:txbxContent>
                  </v:textbox>
                </v:shape>
                <v:shape id="直接箭头连接符 1617" o:spid="_x0000_s1026" o:spt="32" type="#_x0000_t32" style="position:absolute;left:3454400;top:2183765;height:501650;width:190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TO1h9YAAAAHAQAADwAA&#10;AAAAAAABACAAAAAiAAAAZHJzL2Rvd25yZXYueG1sUEsBAhQAFAAAAAgAh07iQNLIOr8YAgAADgQA&#10;AA4AAAAAAAAAAQAgAAAAJQEAAGRycy9lMm9Eb2MueG1sUEsFBgAAAAAGAAYAWQEAAK8FAAAAAA==&#10;">
                  <v:fill on="f" focussize="0,0"/>
                  <v:stroke color="#000000" joinstyle="round"/>
                  <v:imagedata o:title=""/>
                  <o:lock v:ext="edit" aspectratio="f"/>
                </v:shape>
                <v:shape id="直接箭头连接符 1618" o:spid="_x0000_s1026" o:spt="32" type="#_x0000_t32" style="position:absolute;left:3446145;top:2685415;height:1270;width:31623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TO1h9YAAAAHAQAADwAA&#10;AAAAAAABACAAAAAiAAAAZHJzL2Rvd25yZXYueG1sUEsBAhQAFAAAAAgAh07iQL052bcYAgAADgQA&#10;AA4AAAAAAAAAAQAgAAAAJQEAAGRycy9lMm9Eb2MueG1sUEsFBgAAAAAGAAYAWQEAAK8FAAAAAA==&#10;">
                  <v:fill on="f" focussize="0,0"/>
                  <v:stroke color="#000000" joinstyle="round"/>
                  <v:imagedata o:title=""/>
                  <o:lock v:ext="edit" aspectratio="f"/>
                </v:shape>
                <v:shape id="流程图: 文档 1619" o:spid="_x0000_s1026" o:spt="114" type="#_x0000_t114" style="position:absolute;left:3774440;top:2496820;height:377825;width:1338580;v-text-anchor:middle;" fillcolor="#808080" filled="t" stroked="t" coordsize="21600,21600" o:gfxdata="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MOLSXXWAAAABwEAAA8AAAAA&#10;AAAAAQAgAAAAIgAAAGRycy9kb3ducmV2LnhtbFBLAQIUABQAAAAIAIdO4kCqyj6viAIAABUFAAAO&#10;AAAAAAAAAAEAIAAAACUBAABkcnMvZTJvRG9jLnhtbFBLBQYAAAAABgAGAFkBAAAfBgAAAAA=&#10;">
                  <v:fill on="t" focussize="0,0"/>
                  <v:stroke color="#F2F2F2" joinstyle="miter"/>
                  <v:imagedata o:title=""/>
                  <o:lock v:ext="edit" aspectratio="f"/>
                  <v:shadow on="t" color="#243F60" opacity="32768f" offset="1pt,2pt" origin="0f,0f" matrix="65536f,0f,0f,65536f"/>
                  <v:textbox>
                    <w:txbxContent>
                      <w:p w14:paraId="3BCE4593">
                        <w:pPr>
                          <w:jc w:val="left"/>
                          <w:rPr>
                            <w:b/>
                            <w:color w:val="FFFFFF"/>
                          </w:rPr>
                        </w:pPr>
                        <w:r>
                          <w:rPr>
                            <w:rFonts w:hint="eastAsia"/>
                            <w:b/>
                            <w:color w:val="FFFFFF"/>
                          </w:rPr>
                          <w:t>2.2坡屋面部分</w:t>
                        </w:r>
                      </w:p>
                    </w:txbxContent>
                  </v:textbox>
                </v:shape>
                <v:shape id="直接箭头连接符 1620" o:spid="_x0000_s1026" o:spt="32" type="#_x0000_t32" style="position:absolute;left:3456305;top:2182495;height:1270;width:31813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EztYfWAAAABwEAAA8AAAAA&#10;AAAAAQAgAAAAIgAAAGRycy9kb3ducmV2LnhtbFBLAQIUABQAAAAIAIdO4kD0GhBcFgIAAA4EAAAO&#10;AAAAAAAAAAEAIAAAACUBAABkcnMvZTJvRG9jLnhtbFBLBQYAAAAABgAGAFkBAACtBQAAAAA=&#10;">
                  <v:fill on="f" focussize="0,0"/>
                  <v:stroke color="#000000" joinstyle="round"/>
                  <v:imagedata o:title=""/>
                  <o:lock v:ext="edit" aspectratio="f"/>
                </v:shape>
                <v:shape id="流程图: 文档 1621" o:spid="_x0000_s1026" o:spt="114" type="#_x0000_t114" style="position:absolute;left:3763010;top:2942590;height:381635;width:1350010;v-text-anchor:middle;" fillcolor="#808080" filled="t" stroked="t" coordsize="21600,21600" o:gfxdata="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Di0l11gAAAAcBAAAPAAAAAAAA&#10;AAEAIAAAACIAAABkcnMvZG93bnJldi54bWxQSwECFAAUAAAACACHTuJA+ne614YCAAAVBQAADgAA&#10;AAAAAAABACAAAAAlAQAAZHJzL2Uyb0RvYy54bWxQSwUGAAAAAAYABgBZAQAAHQYAAAAA&#10;">
                  <v:fill on="t" focussize="0,0"/>
                  <v:stroke color="#F2F2F2" joinstyle="miter"/>
                  <v:imagedata o:title=""/>
                  <o:lock v:ext="edit" aspectratio="f"/>
                  <v:shadow on="t" color="#243F60" opacity="32768f" offset="1pt,2pt" origin="0f,0f" matrix="65536f,0f,0f,65536f"/>
                  <v:textbox>
                    <w:txbxContent>
                      <w:p w14:paraId="131082AB">
                        <w:pPr>
                          <w:jc w:val="left"/>
                          <w:rPr>
                            <w:b/>
                            <w:color w:val="FFFFFF"/>
                          </w:rPr>
                        </w:pPr>
                        <w:r>
                          <w:rPr>
                            <w:rFonts w:hint="eastAsia"/>
                            <w:b/>
                            <w:color w:val="FFFFFF"/>
                          </w:rPr>
                          <w:t>3.1毛坯厨房部分</w:t>
                        </w:r>
                      </w:p>
                    </w:txbxContent>
                  </v:textbox>
                </v:shape>
                <v:shape id="直接箭头连接符 1622" o:spid="_x0000_s1026" o:spt="32" type="#_x0000_t32" style="position:absolute;left:3443605;top:3151505;height:462915;width:63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EztYfWAAAABwEAAA8AAAAAAAAA&#10;AQAgAAAAIgAAAGRycy9kb3ducmV2LnhtbFBLAQIUABQAAAAIAIdO4kD2fCvgEwIAAA0EAAAOAAAA&#10;AAAAAAEAIAAAACUBAABkcnMvZTJvRG9jLnhtbFBLBQYAAAAABgAGAFkBAACqBQAAAAA=&#10;">
                  <v:fill on="f" focussize="0,0"/>
                  <v:stroke color="#000000" joinstyle="round"/>
                  <v:imagedata o:title=""/>
                  <o:lock v:ext="edit" aspectratio="f"/>
                </v:shape>
                <v:shape id="直接箭头连接符 1623" o:spid="_x0000_s1026" o:spt="32" type="#_x0000_t32" style="position:absolute;left:3446145;top:3614420;height:1270;width:31686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xM7WH1gAAAAcBAAAPAAAAAAAA&#10;AAEAIAAAACIAAABkcnMvZG93bnJldi54bWxQSwECFAAUAAAACACHTuJAtnjEmRQCAAAOBAAADgAA&#10;AAAAAAABACAAAAAlAQAAZHJzL2Uyb0RvYy54bWxQSwUGAAAAAAYABgBZAQAAqwUAAAAA&#10;">
                  <v:fill on="f" focussize="0,0"/>
                  <v:stroke color="#000000" joinstyle="round"/>
                  <v:imagedata o:title=""/>
                  <o:lock v:ext="edit" aspectratio="f"/>
                </v:shape>
                <v:shape id="流程图: 文档 1624" o:spid="_x0000_s1026" o:spt="114" type="#_x0000_t114" style="position:absolute;left:3762375;top:3414395;height:378460;width:1338580;v-text-anchor:middle;" fillcolor="#808080" filled="t" stroked="t" coordsize="21600,21600" o:gfxdata="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w4tJddYAAAAHAQAA&#10;DwAAAAAAAAABACAAAAAiAAAAZHJzL2Rvd25yZXYueG1sUEsBAhQAFAAAAAgAh07iQIDIdu6NAgAA&#10;FQUAAA4AAAAAAAAAAQAgAAAAJQEAAGRycy9lMm9Eb2MueG1sUEsFBgAAAAAGAAYAWQEAACQGAAAA&#10;AA==&#10;">
                  <v:fill on="t" focussize="0,0"/>
                  <v:stroke color="#F2F2F2" joinstyle="miter"/>
                  <v:imagedata o:title=""/>
                  <o:lock v:ext="edit" aspectratio="f"/>
                  <v:shadow on="t" color="#243F60" opacity="32768f" offset="1pt,2pt" origin="0f,0f" matrix="65536f,0f,0f,65536f"/>
                  <v:textbox>
                    <w:txbxContent>
                      <w:p w14:paraId="0BCF3960">
                        <w:pPr>
                          <w:rPr>
                            <w:b/>
                            <w:color w:val="FFFFFF"/>
                          </w:rPr>
                        </w:pPr>
                        <w:r>
                          <w:rPr>
                            <w:rFonts w:hint="eastAsia"/>
                            <w:b/>
                            <w:color w:val="FFFFFF"/>
                          </w:rPr>
                          <w:t>3.2毛坯卫生间部分</w:t>
                        </w:r>
                      </w:p>
                    </w:txbxContent>
                  </v:textbox>
                </v:shape>
                <v:shape id="直接箭头连接符 1625" o:spid="_x0000_s1026" o:spt="32" type="#_x0000_t32" style="position:absolute;left:3448685;top:3151505;height:1270;width:31750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TO1h9YAAAAHAQAADwAA&#10;AAAAAAABACAAAAAiAAAAZHJzL2Rvd25yZXYueG1sUEsBAhQAFAAAAAgAh07iQNLCpigYAgAADgQA&#10;AA4AAAAAAAAAAQAgAAAAJQEAAGRycy9lMm9Eb2MueG1sUEsFBgAAAAAGAAYAWQEAAK8FAAAAAA==&#10;">
                  <v:fill on="f" focussize="0,0"/>
                  <v:stroke color="#000000" joinstyle="round"/>
                  <v:imagedata o:title=""/>
                  <o:lock v:ext="edit" aspectratio="f"/>
                </v:shape>
                <v:shape id="直接箭头连接符 1626" o:spid="_x0000_s1026" o:spt="32" type="#_x0000_t32" style="position:absolute;left:3118485;top:2444750;flip:y;height:1270;width:337820;" filled="f" stroked="t" coordsize="21600,21600" o:gfxdata="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EBg1Q1QAAAAcB&#10;AAAPAAAAAAAAAAEAIAAAACIAAABkcnMvZG93bnJldi54bWxQSwECFAAUAAAACACHTuJAkPfchR4C&#10;AAAYBAAADgAAAAAAAAABACAAAAAkAQAAZHJzL2Uyb0RvYy54bWxQSwUGAAAAAAYABgBZAQAAtAUA&#10;AAAA&#10;">
                  <v:fill on="f" focussize="0,0"/>
                  <v:stroke color="#000000" joinstyle="round"/>
                  <v:imagedata o:title=""/>
                  <o:lock v:ext="edit" aspectratio="f"/>
                </v:shape>
                <v:shape id="直接箭头连接符 1627" o:spid="_x0000_s1026" o:spt="32" type="#_x0000_t32" style="position:absolute;left:3118485;top:3340100;flip:y;height:1270;width:337820;" filled="f" stroked="t" coordsize="21600,21600" o:gfxdata="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QGDVDVAAAABwEA&#10;AA8AAAAAAAAAAQAgAAAAIgAAAGRycy9kb3ducmV2LnhtbFBLAQIUABQAAAAIAIdO4kDWwZFaHQIA&#10;ABgEAAAOAAAAAAAAAAEAIAAAACQBAABkcnMvZTJvRG9jLnhtbFBLBQYAAAAABgAGAFkBAACzBQAA&#10;AAA=&#10;">
                  <v:fill on="f" focussize="0,0"/>
                  <v:stroke color="#000000" joinstyle="round"/>
                  <v:imagedata o:title=""/>
                  <o:lock v:ext="edit" aspectratio="f"/>
                </v:shape>
                <v:shape id="流程图: 文档 1628" o:spid="_x0000_s1026" o:spt="114" type="#_x0000_t114" style="position:absolute;left:3762375;top:3885565;height:380365;width:1350645;v-text-anchor:middle;" fillcolor="#808080" filled="t" stroked="t" coordsize="21600,21600" o:gfxdata="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MOLSXXWAAAABwEAAA8AAAAA&#10;AAAAAQAgAAAAIgAAAGRycy9kb3ducmV2LnhtbFBLAQIUABQAAAAIAIdO4kATOnbFiAIAABUFAAAO&#10;AAAAAAAAAAEAIAAAACUBAABkcnMvZTJvRG9jLnhtbFBLBQYAAAAABgAGAFkBAAAfBgAAAAA=&#10;">
                  <v:fill on="t" focussize="0,0"/>
                  <v:stroke color="#F2F2F2" joinstyle="miter"/>
                  <v:imagedata o:title=""/>
                  <o:lock v:ext="edit" aspectratio="f"/>
                  <v:shadow on="t" color="#243F60" opacity="32768f" offset="1pt,2pt" origin="0f,0f" matrix="65536f,0f,0f,65536f"/>
                  <v:textbox>
                    <w:txbxContent>
                      <w:p w14:paraId="44E57136">
                        <w:pPr>
                          <w:rPr>
                            <w:b/>
                            <w:color w:val="FFFFFF"/>
                          </w:rPr>
                        </w:pPr>
                        <w:r>
                          <w:rPr>
                            <w:rFonts w:hint="eastAsia"/>
                            <w:b/>
                            <w:color w:val="FFFFFF"/>
                          </w:rPr>
                          <w:t>4.1阳台部分</w:t>
                        </w:r>
                      </w:p>
                    </w:txbxContent>
                  </v:textbox>
                </v:shape>
                <v:shape id="直接箭头连接符 1629" o:spid="_x0000_s1026" o:spt="32" type="#_x0000_t32" style="position:absolute;left:3456940;top:4101465;height:462915;width:127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EztYfWAAAABwEAAA8AAAAA&#10;AAAAAQAgAAAAIgAAAGRycy9kb3ducmV2LnhtbFBLAQIUABQAAAAIAIdO4kDioXpnFgIAAA4EAAAO&#10;AAAAAAAAAAEAIAAAACUBAABkcnMvZTJvRG9jLnhtbFBLBQYAAAAABgAGAFkBAACtBQAAAAA=&#10;">
                  <v:fill on="f" focussize="0,0"/>
                  <v:stroke color="#000000" joinstyle="round"/>
                  <v:imagedata o:title=""/>
                  <o:lock v:ext="edit" aspectratio="f"/>
                </v:shape>
                <v:shape id="直接箭头连接符 1630" o:spid="_x0000_s1026" o:spt="32" type="#_x0000_t32" style="position:absolute;left:3456940;top:4558665;height:1270;width:31750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xM7WH1gAAAAcBAAAPAAAA&#10;AAAAAAEAIAAAACIAAABkcnMvZG93bnJldi54bWxQSwECFAAUAAAACACHTuJA6xs1JBcCAAAOBAAA&#10;DgAAAAAAAAABACAAAAAlAQAAZHJzL2Uyb0RvYy54bWxQSwUGAAAAAAYABgBZAQAArgUAAAAA&#10;">
                  <v:fill on="f" focussize="0,0"/>
                  <v:stroke color="#000000" joinstyle="round"/>
                  <v:imagedata o:title=""/>
                  <o:lock v:ext="edit" aspectratio="f"/>
                </v:shape>
                <v:shape id="流程图: 文档 1631" o:spid="_x0000_s1026" o:spt="114" type="#_x0000_t114" style="position:absolute;left:3774440;top:4310380;height:376555;width:1338580;v-text-anchor:middle;" fillcolor="#808080" filled="t" stroked="t" coordsize="21600,21600" o:gfxdata="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Di0l11gAAAAcBAAAPAAAA&#10;AAAAAAEAIAAAACIAAABkcnMvZG93bnJldi54bWxQSwECFAAUAAAACACHTuJAutQcRYkCAAAVBQAA&#10;DgAAAAAAAAABACAAAAAlAQAAZHJzL2Uyb0RvYy54bWxQSwUGAAAAAAYABgBZAQAAIAYAAAAA&#10;">
                  <v:fill on="t" focussize="0,0"/>
                  <v:stroke color="#F2F2F2" joinstyle="miter"/>
                  <v:imagedata o:title=""/>
                  <o:lock v:ext="edit" aspectratio="f"/>
                  <v:shadow on="t" color="#243F60" opacity="32768f" offset="1pt,2pt" origin="0f,0f" matrix="65536f,0f,0f,65536f"/>
                  <v:textbox>
                    <w:txbxContent>
                      <w:p w14:paraId="32D0D1D5">
                        <w:pPr>
                          <w:rPr>
                            <w:b/>
                            <w:color w:val="FFFFFF"/>
                          </w:rPr>
                        </w:pPr>
                        <w:r>
                          <w:rPr>
                            <w:rFonts w:hint="eastAsia"/>
                            <w:b/>
                            <w:color w:val="FFFFFF"/>
                          </w:rPr>
                          <w:t>4.2露台部分</w:t>
                        </w:r>
                      </w:p>
                    </w:txbxContent>
                  </v:textbox>
                </v:shape>
                <v:shape id="直接箭头连接符 1632" o:spid="_x0000_s1026" o:spt="32" type="#_x0000_t32" style="position:absolute;left:3456940;top:4094480;height:1270;width:31750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TO1h9YAAAAHAQAADwAA&#10;AAAAAAABACAAAAAiAAAAZHJzL2Rvd25yZXYueG1sUEsBAhQAFAAAAAgAh07iQOguXXkYAgAADgQA&#10;AA4AAAAAAAAAAQAgAAAAJQEAAGRycy9lMm9Eb2MueG1sUEsFBgAAAAAGAAYAWQEAAK8FAAAAAA==&#10;">
                  <v:fill on="f" focussize="0,0"/>
                  <v:stroke color="#000000" joinstyle="round"/>
                  <v:imagedata o:title=""/>
                  <o:lock v:ext="edit" aspectratio="f"/>
                </v:shape>
                <v:shape id="流程图: 文档 1633" o:spid="_x0000_s1026" o:spt="114" type="#_x0000_t114" style="position:absolute;left:3776980;top:5295900;height:376555;width:1338580;v-text-anchor:middle;" fillcolor="#808080" filled="t" stroked="t" coordsize="21600,21600" o:gfxdata="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MOLSXXWAAAABwEAAA8AAAAA&#10;AAAAAQAgAAAAIgAAAGRycy9kb3ducmV2LnhtbFBLAQIUABQAAAAIAIdO4kDqzF7riAIAABUFAAAO&#10;AAAAAAAAAAEAIAAAACUBAABkcnMvZTJvRG9jLnhtbFBLBQYAAAAABgAGAFkBAAAfBgAAAAA=&#10;">
                  <v:fill on="t" focussize="0,0"/>
                  <v:stroke color="#F2F2F2" joinstyle="miter"/>
                  <v:imagedata o:title=""/>
                  <o:lock v:ext="edit" aspectratio="f"/>
                  <v:shadow on="t" color="#243F60" opacity="32768f" offset="1pt,2pt" origin="0f,0f" matrix="65536f,0f,0f,65536f"/>
                  <v:textbox>
                    <w:txbxContent>
                      <w:p w14:paraId="1474E8F8">
                        <w:pPr>
                          <w:rPr>
                            <w:b/>
                            <w:color w:val="FFFFFF"/>
                          </w:rPr>
                        </w:pPr>
                        <w:r>
                          <w:rPr>
                            <w:rFonts w:hint="eastAsia"/>
                            <w:b/>
                            <w:color w:val="FFFFFF"/>
                          </w:rPr>
                          <w:t>5.2节点构造部分</w:t>
                        </w:r>
                      </w:p>
                    </w:txbxContent>
                  </v:textbox>
                </v:shape>
                <v:shape id="流程图: 文档 1639" o:spid="_x0000_s1026" o:spt="114" type="#_x0000_t114" style="position:absolute;left:3778250;top:7433945;height:380365;width:1337310;v-text-anchor:middle;" fillcolor="#808080" filled="t" stroked="t" coordsize="21600,21600" o:gfxdata="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MOLSXXWAAAABwEAAA8A&#10;AAAAAAAAAQAgAAAAIgAAAGRycy9kb3ducmV2LnhtbFBLAQIUABQAAAAIAIdO4kCNGk5yiwIAABUF&#10;AAAOAAAAAAAAAAEAIAAAACUBAABkcnMvZTJvRG9jLnhtbFBLBQYAAAAABgAGAFkBAAAiBgAAAAA=&#10;">
                  <v:fill on="t" focussize="0,0"/>
                  <v:stroke color="#F2F2F2" joinstyle="miter"/>
                  <v:imagedata o:title=""/>
                  <o:lock v:ext="edit" aspectratio="f"/>
                  <v:shadow on="t" color="#243F60" opacity="32768f" offset="1pt,2pt" origin="0f,0f" matrix="65536f,0f,0f,65536f"/>
                  <v:textbox>
                    <w:txbxContent>
                      <w:p w14:paraId="2564AA48">
                        <w:pPr>
                          <w:rPr>
                            <w:b/>
                            <w:color w:val="FFFFFF"/>
                          </w:rPr>
                        </w:pPr>
                        <w:r>
                          <w:rPr>
                            <w:rFonts w:hint="eastAsia"/>
                            <w:b/>
                            <w:color w:val="FFFFFF"/>
                            <w:lang w:val="en-US" w:eastAsia="zh-CN"/>
                          </w:rPr>
                          <w:t>6</w:t>
                        </w:r>
                        <w:r>
                          <w:rPr>
                            <w:rFonts w:hint="eastAsia"/>
                            <w:b/>
                            <w:color w:val="FFFFFF"/>
                          </w:rPr>
                          <w:t>.2室外水体部分</w:t>
                        </w:r>
                      </w:p>
                    </w:txbxContent>
                  </v:textbox>
                </v:shape>
                <v:shape id="直接箭头连接符 1640" o:spid="_x0000_s1026" o:spt="32" type="#_x0000_t32" style="position:absolute;left:3457575;top:6059805;height:1299845;width:952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EztYfWAAAABwEAAA8AAAAAAAAA&#10;AQAgAAAAIgAAAGRycy9kb3ducmV2LnhtbFBLAQIUABQAAAAIAIdO4kAF23NeEwIAAAoEAAAOAAAA&#10;AAAAAAEAIAAAACUBAABkcnMvZTJvRG9jLnhtbFBLBQYAAAAABgAGAFkBAACqBQAAAAA=&#10;">
                  <v:fill on="f" focussize="0,0"/>
                  <v:stroke color="#000000" joinstyle="round"/>
                  <v:imagedata o:title=""/>
                  <o:lock v:ext="edit" aspectratio="f"/>
                </v:shape>
                <v:shape id="直接箭头连接符 1641" o:spid="_x0000_s1026" o:spt="32" type="#_x0000_t32" style="position:absolute;left:3458210;top:8418830;height:1270;width:31686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xM7WH1gAAAAcBAAAPAAAA&#10;AAAAAAEAIAAAACIAAABkcnMvZG93bnJldi54bWxQSwECFAAUAAAACACHTuJAYXS++RcCAAAOBAAA&#10;DgAAAAAAAAABACAAAAAlAQAAZHJzL2Uyb0RvYy54bWxQSwUGAAAAAAYABgBZAQAArgUAAAAA&#10;">
                  <v:fill on="f" focussize="0,0"/>
                  <v:stroke color="#000000" joinstyle="round"/>
                  <v:imagedata o:title=""/>
                  <o:lock v:ext="edit" aspectratio="f"/>
                </v:shape>
                <v:shape id="流程图: 文档 1642" o:spid="_x0000_s1026" o:spt="114" type="#_x0000_t114" style="position:absolute;left:3774440;top:8171815;height:376555;width:1338580;v-text-anchor:middle;" fillcolor="#808080" filled="t" stroked="t" coordsize="21600,21600" o:gfxdata="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Di0l11gAAAAcBAAAP&#10;AAAAAAAAAAEAIAAAACIAAABkcnMvZG93bnJldi54bWxQSwECFAAUAAAACACHTuJA3hg+g4wCAAAV&#10;BQAADgAAAAAAAAABACAAAAAlAQAAZHJzL2Uyb0RvYy54bWxQSwUGAAAAAAYABgBZAQAAIwYAAAAA&#10;">
                  <v:fill on="t" focussize="0,0"/>
                  <v:stroke color="#F2F2F2" joinstyle="miter"/>
                  <v:imagedata o:title=""/>
                  <o:lock v:ext="edit" aspectratio="f"/>
                  <v:shadow on="t" color="#243F60" opacity="32768f" offset="1pt,2pt" origin="0f,0f" matrix="65536f,0f,0f,65536f"/>
                  <v:textbox>
                    <w:txbxContent>
                      <w:p w14:paraId="6957AF08">
                        <w:pPr>
                          <w:rPr>
                            <w:b/>
                            <w:color w:val="FFFFFF"/>
                          </w:rPr>
                        </w:pPr>
                        <w:r>
                          <w:rPr>
                            <w:rFonts w:hint="eastAsia"/>
                            <w:b/>
                            <w:color w:val="FFFFFF"/>
                            <w:lang w:val="en-US" w:eastAsia="zh-CN"/>
                          </w:rPr>
                          <w:t>6</w:t>
                        </w:r>
                        <w:r>
                          <w:rPr>
                            <w:rFonts w:hint="eastAsia"/>
                            <w:b/>
                            <w:color w:val="FFFFFF"/>
                          </w:rPr>
                          <w:t>.3零星工程部分</w:t>
                        </w:r>
                      </w:p>
                    </w:txbxContent>
                  </v:textbox>
                </v:shape>
                <v:shape id="直接箭头连接符 1643" o:spid="_x0000_s1026" o:spt="32" type="#_x0000_t32" style="position:absolute;left:3441700;top:7601585;height:1270;width:31813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xM7WH1gAAAAcBAAAPAAAA&#10;AAAAAAEAIAAAACIAAABkcnMvZG93bnJldi54bWxQSwECFAAUAAAACACHTuJAwKO4xxcCAAAOBAAA&#10;DgAAAAAAAAABACAAAAAlAQAAZHJzL2Uyb0RvYy54bWxQSwUGAAAAAAYABgBZAQAArgUAAAAA&#10;">
                  <v:fill on="f" focussize="0,0"/>
                  <v:stroke color="#000000" joinstyle="round"/>
                  <v:imagedata o:title=""/>
                  <o:lock v:ext="edit" aspectratio="f"/>
                </v:shape>
                <v:shape id="直接箭头连接符 1644" o:spid="_x0000_s1026" o:spt="32" type="#_x0000_t32" style="position:absolute;left:3210560;top:4300855;height:1270;width:24765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EztYfWAAAABwEAAA8A&#10;AAAAAAAAAQAgAAAAIgAAAGRycy9kb3ducmV2LnhtbFBLAQIUABQAAAAIAIdO4kCxfoq/GQIAAA4E&#10;AAAOAAAAAAAAAAEAIAAAACUBAABkcnMvZTJvRG9jLnhtbFBLBQYAAAAABgAGAFkBAACwBQAAAAA=&#10;">
                  <v:fill on="f" focussize="0,0"/>
                  <v:stroke color="#000000" joinstyle="round"/>
                  <v:imagedata o:title=""/>
                  <o:lock v:ext="edit" aspectratio="f"/>
                </v:shape>
                <v:shape id="直接箭头连接符 1645" o:spid="_x0000_s1026" o:spt="32" type="#_x0000_t32" style="position:absolute;left:3163570;top:5305425;flip:y;height:1270;width:283210;" filled="f" stroked="t" coordsize="21600,21600" o:gfxdata="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QGDVDVAAAABwEA&#10;AA8AAAAAAAAAAQAgAAAAIgAAAGRycy9kb3ducmV2LnhtbFBLAQIUABQAAAAIAIdO4kBrL9DQHQIA&#10;ABgEAAAOAAAAAAAAAAEAIAAAACQBAABkcnMvZTJvRG9jLnhtbFBLBQYAAAAABgAGAFkBAACzBQAA&#10;AAA=&#10;">
                  <v:fill on="f" focussize="0,0"/>
                  <v:stroke color="#000000" joinstyle="round"/>
                  <v:imagedata o:title=""/>
                  <o:lock v:ext="edit" aspectratio="f"/>
                </v:shape>
                <v:shape id="直接箭头连接符 1647" o:spid="_x0000_s1026" o:spt="32" type="#_x0000_t32" style="position:absolute;left:3111500;top:7882255;height:0;width:32893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EztYfWAAAABwEAAA8AAAAA&#10;AAAAAQAgAAAAIgAAAGRycy9kb3ducmV2LnhtbFBLAQIUABQAAAAIAIdO4kBVpyoRFgIAAAsEAAAO&#10;AAAAAAAAAAEAIAAAACUBAABkcnMvZTJvRG9jLnhtbFBLBQYAAAAABgAGAFkBAACtBQAAAAA=&#10;">
                  <v:fill on="f" focussize="0,0"/>
                  <v:stroke color="#000000" joinstyle="round"/>
                  <v:imagedata o:title=""/>
                  <o:lock v:ext="edit" aspectratio="f"/>
                </v:shape>
                <v:rect id="矩形 1648" o:spid="_x0000_s1026" o:spt="1" style="position:absolute;left:1947545;top:497205;height:442595;width:3594100;v-text-anchor:middle;" fillcolor="#FF6600" filled="t" stroked="t" coordsize="21600,21600" o:gfxdata="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ISJWHfY&#10;AAAABwEAAA8AAAAAAAAAAQAgAAAAIgAAAGRycy9kb3ducmV2LnhtbFBLAQIUABQAAAAIAIdO4kB3&#10;oiiFkgIAAFEFAAAOAAAAAAAAAAEAIAAAACcBAABkcnMvZTJvRG9jLnhtbFBLBQYAAAAABgAGAFkB&#10;AAArBgAAAAA=&#10;">
                  <v:fill on="t" opacity="52428f" focussize="0,0"/>
                  <v:stroke color="#F2F2F2" joinstyle="miter"/>
                  <v:imagedata o:title=""/>
                  <o:lock v:ext="edit" aspectratio="f"/>
                  <v:shadow on="t" color="#243F60" opacity="32768f" offset="1pt,2pt" origin="0f,0f" matrix="65536f,0f,0f,65536f"/>
                  <v:textbox inset="2.54mm,0.3mm,2.54mm,0.3mm">
                    <w:txbxContent>
                      <w:p w14:paraId="448FC7BF">
                        <w:pPr>
                          <w:rPr>
                            <w:b/>
                            <w:color w:val="FFFFFF"/>
                            <w:sz w:val="28"/>
                            <w:szCs w:val="28"/>
                          </w:rPr>
                        </w:pPr>
                        <w:r>
                          <w:rPr>
                            <w:rFonts w:hint="eastAsia"/>
                            <w:b/>
                            <w:color w:val="FFFFFF"/>
                            <w:sz w:val="28"/>
                            <w:szCs w:val="28"/>
                          </w:rPr>
                          <w:t>防水按级设防部分</w:t>
                        </w:r>
                      </w:p>
                    </w:txbxContent>
                  </v:textbox>
                </v:rect>
                <v:rect id="矩形 1649" o:spid="_x0000_s1026" o:spt="1" style="position:absolute;left:1947545;top:9057005;height:467995;width:3592830;v-text-anchor:middle;" fillcolor="#4F6228" filled="t" stroked="t" coordsize="21600,21600" o:gfxdata="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OIfLcfWAAAABwEAAA8AAAAAAAAA&#10;AQAgAAAAIgAAAGRycy9kb3ducmV2LnhtbFBLAQIUABQAAAAIAIdO4kATyU8phQIAADIFAAAOAAAA&#10;AAAAAAEAIAAAACUBAABkcnMvZTJvRG9jLnhtbFBLBQYAAAAABgAGAFkBAAAcBgAAAAA=&#10;">
                  <v:fill on="t" focussize="0,0"/>
                  <v:stroke weight="3pt" color="#F2F2F2" joinstyle="miter"/>
                  <v:imagedata o:title=""/>
                  <o:lock v:ext="edit" aspectratio="f"/>
                  <v:shadow on="t" color="#4F6228" opacity="32768f" offset="1pt,2pt" origin="0f,0f" matrix="65536f,0f,0f,65536f"/>
                  <v:textbox inset="2.54mm,0.3mm,2.54mm,0.3mm">
                    <w:txbxContent>
                      <w:p w14:paraId="0C216EDC">
                        <w:pPr>
                          <w:rPr>
                            <w:b/>
                            <w:color w:val="FFFFFF"/>
                            <w:sz w:val="28"/>
                            <w:szCs w:val="28"/>
                          </w:rPr>
                        </w:pPr>
                        <w:r>
                          <w:rPr>
                            <w:rFonts w:hint="eastAsia"/>
                            <w:b/>
                            <w:color w:val="FFFFFF"/>
                            <w:sz w:val="28"/>
                            <w:szCs w:val="28"/>
                          </w:rPr>
                          <w:t>防水非按级设防部分</w:t>
                        </w:r>
                      </w:p>
                      <w:p w14:paraId="168C6A5E">
                        <w:pPr>
                          <w:rPr>
                            <w:b/>
                            <w:color w:val="FFFFFF"/>
                            <w:sz w:val="28"/>
                            <w:szCs w:val="28"/>
                          </w:rPr>
                        </w:pPr>
                      </w:p>
                      <w:p w14:paraId="2B3EAAD3">
                        <w:r>
                          <w:object>
                            <v:shape id="_x0000_i1025" o:spt="75" type="#_x0000_t75" style="height:144pt;width:216pt;" o:ole="t" filled="f" stroked="f" coordsize="21600,21600">
                              <v:path/>
                              <v:fill on="f" focussize="0,0"/>
                              <v:stroke on="f"/>
                              <v:imagedata r:id="rId34" cropleft="-2882f" croptop="-7318f" cropbottom="-5495f" o:title=""/>
                              <o:lock v:ext="edit" grouping="f" rotation="f" text="f" aspectratio="t"/>
                              <w10:wrap type="none"/>
                              <w10:anchorlock/>
                            </v:shape>
                            <o:OLEObject Type="Embed" ProgID="Excel.Chart.8" ShapeID="_x0000_i1025" DrawAspect="Content" ObjectID="_1468075726" r:id="rId35">
                              <o:LockedField>false</o:LockedField>
                            </o:OLEObject>
                          </w:object>
                        </w:r>
                      </w:p>
                    </w:txbxContent>
                  </v:textbox>
                </v:rect>
                <v:shape id="流程图: 可选过程 1650" o:spid="_x0000_s1026" o:spt="176" type="#_x0000_t176" style="position:absolute;left:5703570;top:1287780;height:299085;width:801370;v-text-anchor:middle;" fillcolor="#808080" filled="t" stroked="t" coordsize="21600,21600" o:gfxdata="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Y5IFv2AAAAAcBAAAPAAAAAAAAAAEAIAAAACIAAABkcnMvZG93&#10;bnJldi54bWxQSwECFAAUAAAACACHTuJAlOhoo6sCAABWBQAADgAAAAAAAAABACAAAAAnAQAAZHJz&#10;L2Uyb0RvYy54bWxQSwUGAAAAAAYABgBZAQAARAYAAAAA&#10;">
                  <v:fill on="t" focussize="0,0"/>
                  <v:stroke color="#F2F2F2" joinstyle="miter"/>
                  <v:imagedata o:title=""/>
                  <o:lock v:ext="edit" aspectratio="f"/>
                  <v:shadow on="t" color="#243F60" opacity="32768f" offset="1pt,2pt" origin="0f,0f" matrix="65536f,0f,0f,65536f"/>
                  <v:textbox inset="0.5mm,1.27mm,0.5mm,1.27mm">
                    <w:txbxContent>
                      <w:p w14:paraId="3EBBE2AC">
                        <w:pPr>
                          <w:jc w:val="left"/>
                          <w:rPr>
                            <w:b/>
                            <w:color w:val="FFFFFF"/>
                          </w:rPr>
                        </w:pPr>
                        <w:r>
                          <w:rPr>
                            <w:rFonts w:hint="eastAsia"/>
                            <w:b/>
                            <w:color w:val="FFFFFF"/>
                          </w:rPr>
                          <w:t>非种植顶板板</w:t>
                        </w:r>
                      </w:p>
                    </w:txbxContent>
                  </v:textbox>
                </v:shape>
                <v:shape id="流程图: 可选过程 1651" o:spid="_x0000_s1026" o:spt="176" type="#_x0000_t176" style="position:absolute;left:5698490;top:1647825;height:481330;width:801370;v-text-anchor:middle;" fillcolor="#808080" filled="t" stroked="t" coordsize="21600,21600" o:gfxdata="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BjkgW/YAAAABwEAAA8AAAAAAAAAAQAgAAAAIgAAAGRy&#10;cy9kb3ducmV2LnhtbFBLAQIUABQAAAAIAIdO4kAduf2hsAIAAFYFAAAOAAAAAAAAAAEAIAAAACcB&#10;AABkcnMvZTJvRG9jLnhtbFBLBQYAAAAABgAGAFkBAABJBgAAAAA=&#10;">
                  <v:fill on="t" focussize="0,0"/>
                  <v:stroke color="#F2F2F2" joinstyle="miter"/>
                  <v:imagedata o:title=""/>
                  <o:lock v:ext="edit" aspectratio="f"/>
                  <v:shadow on="t" color="#243F60" opacity="32768f" offset="1pt,2pt" origin="0f,0f" matrix="65536f,0f,0f,65536f"/>
                  <v:textbox inset="0.5mm,1.27mm,0.5mm,1.27mm">
                    <w:txbxContent>
                      <w:p w14:paraId="39E546C6">
                        <w:pPr>
                          <w:rPr>
                            <w:b/>
                            <w:color w:val="FFFFFF"/>
                          </w:rPr>
                        </w:pPr>
                        <w:r>
                          <w:rPr>
                            <w:rFonts w:hint="eastAsia"/>
                            <w:b/>
                            <w:color w:val="FFFFFF"/>
                          </w:rPr>
                          <w:t>种植顶板</w:t>
                        </w:r>
                      </w:p>
                      <w:p w14:paraId="7059E5F3">
                        <w:pPr>
                          <w:rPr>
                            <w:b/>
                            <w:color w:val="FFFFFF"/>
                          </w:rPr>
                        </w:pPr>
                        <w:r>
                          <w:rPr>
                            <w:rFonts w:hint="eastAsia"/>
                            <w:b/>
                            <w:color w:val="FFFFFF"/>
                          </w:rPr>
                          <w:t>种植屋面</w:t>
                        </w:r>
                      </w:p>
                      <w:p w14:paraId="3B031F37">
                        <w:pPr>
                          <w:rPr>
                            <w:b/>
                            <w:color w:val="FFFFFF"/>
                          </w:rPr>
                        </w:pPr>
                      </w:p>
                      <w:p w14:paraId="6BD8604E">
                        <w:pPr>
                          <w:rPr>
                            <w:b/>
                            <w:color w:val="FFFFFF"/>
                          </w:rPr>
                        </w:pPr>
                      </w:p>
                    </w:txbxContent>
                  </v:textbox>
                </v:shape>
                <v:shape id="流程图: 可选过程 1652" o:spid="_x0000_s1026" o:spt="176" type="#_x0000_t176" style="position:absolute;left:5698490;top:2543175;height:299720;width:801370;" fillcolor="#808080" filled="t" stroked="t" coordsize="21600,21600" o:gfxdata="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IjewtfXAAAABwEAAA8AAAAAAAAAAQAgAAAAIgAAAGRycy9kb3ducmV2LnhtbFBL&#10;AQIUABQAAAAIAIdO4kDZ+iPoogIAADsFAAAOAAAAAAAAAAEAIAAAACYBAABkcnMvZTJvRG9jLnht&#10;bFBLBQYAAAAABgAGAFkBAAA6BgAAAAA=&#10;">
                  <v:fill on="t" focussize="0,0"/>
                  <v:stroke color="#F2F2F2" joinstyle="miter"/>
                  <v:imagedata o:title=""/>
                  <o:lock v:ext="edit" aspectratio="f"/>
                  <v:shadow on="t" color="#243F60" opacity="32768f" offset="1pt,2pt" origin="0f,0f" matrix="65536f,0f,0f,65536f"/>
                  <v:textbox inset="0.5mm,1.27mm,0.5mm,1.27mm">
                    <w:txbxContent>
                      <w:p w14:paraId="78C01ED7">
                        <w:pPr>
                          <w:jc w:val="left"/>
                          <w:rPr>
                            <w:b/>
                            <w:color w:val="FFFFFF"/>
                          </w:rPr>
                        </w:pPr>
                        <w:r>
                          <w:rPr>
                            <w:rFonts w:hint="eastAsia"/>
                            <w:b/>
                            <w:color w:val="FFFFFF"/>
                          </w:rPr>
                          <w:t>平板瓦屋面</w:t>
                        </w:r>
                      </w:p>
                    </w:txbxContent>
                  </v:textbox>
                </v:shape>
                <v:shape id="流程图: 可选过程 1653" o:spid="_x0000_s1026" o:spt="176" type="#_x0000_t176" style="position:absolute;left:5703570;top:2884170;height:300355;width:810895;v-text-anchor:middle;" fillcolor="#808080" filled="t" stroked="t" coordsize="21600,21600" o:gfxdata="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Y5IFv2AAAAAcBAAAPAAAAAAAAAAEAIAAAACIAAABkcnMvZG93&#10;bnJldi54bWxQSwECFAAUAAAACACHTuJAHlIHHasCAABWBQAADgAAAAAAAAABACAAAAAnAQAAZHJz&#10;L2Uyb0RvYy54bWxQSwUGAAAAAAYABgBZAQAARAYAAAAA&#10;">
                  <v:fill on="t" focussize="0,0"/>
                  <v:stroke color="#F2F2F2" joinstyle="miter"/>
                  <v:imagedata o:title=""/>
                  <o:lock v:ext="edit" aspectratio="f"/>
                  <v:shadow on="t" color="#243F60" opacity="32768f" offset="1pt,2pt" origin="0f,0f" matrix="65536f,0f,0f,65536f"/>
                  <v:textbox inset="0.5mm,1.27mm,0.5mm,1.27mm">
                    <w:txbxContent>
                      <w:p w14:paraId="5B9FDE14">
                        <w:pPr>
                          <w:jc w:val="left"/>
                          <w:rPr>
                            <w:b/>
                            <w:color w:val="FFFFFF"/>
                          </w:rPr>
                        </w:pPr>
                        <w:r>
                          <w:rPr>
                            <w:rFonts w:hint="eastAsia"/>
                            <w:b/>
                            <w:color w:val="FFFFFF"/>
                          </w:rPr>
                          <w:t>筒瓦屋面</w:t>
                        </w:r>
                      </w:p>
                    </w:txbxContent>
                  </v:textbox>
                </v:shape>
                <v:shape id="流程图: 可选过程 1654" o:spid="_x0000_s1026" o:spt="176" type="#_x0000_t176" style="position:absolute;left:5705475;top:3406775;height:299720;width:934085;" fillcolor="#808080" filled="t" stroked="t" coordsize="21600,21600" o:gfxdata="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IjewtfXAAAABwEAAA8AAAAAAAAAAQAgAAAAIgAAAGRycy9kb3ducmV2LnhtbFBLAQIU&#10;ABQAAAAIAIdO4kDV0p/PnwIAADsFAAAOAAAAAAAAAAEAIAAAACYBAABkcnMvZTJvRG9jLnhtbFBL&#10;BQYAAAAABgAGAFkBAAA3BgAAAAA=&#10;">
                  <v:fill on="t" focussize="0,0"/>
                  <v:stroke color="#F2F2F2" joinstyle="miter"/>
                  <v:imagedata o:title=""/>
                  <o:lock v:ext="edit" aspectratio="f"/>
                  <v:shadow on="t" color="#243F60" opacity="32768f" offset="1pt,2pt" origin="0f,0f" matrix="65536f,0f,0f,65536f"/>
                  <v:textbox inset="0.5mm,1.27mm,0.5mm,1.27mm">
                    <w:txbxContent>
                      <w:p w14:paraId="4CE258B6">
                        <w:pPr>
                          <w:jc w:val="left"/>
                          <w:rPr>
                            <w:b/>
                            <w:color w:val="FFFFFF"/>
                          </w:rPr>
                        </w:pPr>
                        <w:r>
                          <w:rPr>
                            <w:rFonts w:hint="eastAsia"/>
                            <w:b/>
                            <w:color w:val="FFFFFF"/>
                          </w:rPr>
                          <w:t>每层外挑阳台</w:t>
                        </w:r>
                      </w:p>
                    </w:txbxContent>
                  </v:textbox>
                </v:shape>
                <v:shape id="流程图: 可选过程 1655" o:spid="_x0000_s1026" o:spt="176" type="#_x0000_t176" style="position:absolute;left:5704840;top:3779520;height:430530;width:829310;" fillcolor="#808080" filled="t" stroked="t" coordsize="21600,21600" o:gfxdata="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IjewtfXAAAABwEAAA8AAAAAAAAAAQAgAAAAIgAAAGRycy9kb3ducmV2LnhtbFBL&#10;AQIUABQAAAAIAIdO4kClexeOogIAADsFAAAOAAAAAAAAAAEAIAAAACYBAABkcnMvZTJvRG9jLnht&#10;bFBLBQYAAAAABgAGAFkBAAA6BgAAAAA=&#10;">
                  <v:fill on="t" focussize="0,0"/>
                  <v:stroke color="#F2F2F2" joinstyle="miter"/>
                  <v:imagedata o:title=""/>
                  <o:lock v:ext="edit" aspectratio="f"/>
                  <v:shadow on="t" color="#243F60" opacity="32768f" offset="1pt,2pt" origin="0f,0f" matrix="65536f,0f,0f,65536f"/>
                  <v:textbox inset="0.5mm,1.27mm,0.5mm,1.27mm">
                    <w:txbxContent>
                      <w:p w14:paraId="4F604BF1">
                        <w:pPr>
                          <w:spacing w:line="240" w:lineRule="exact"/>
                          <w:jc w:val="left"/>
                          <w:rPr>
                            <w:rFonts w:hAnsi="宋体" w:cs="宋体"/>
                            <w:b/>
                            <w:bCs/>
                            <w:color w:val="FFFFFF"/>
                            <w:sz w:val="18"/>
                            <w:szCs w:val="18"/>
                          </w:rPr>
                        </w:pPr>
                        <w:r>
                          <w:rPr>
                            <w:rFonts w:hint="eastAsia" w:hAnsi="宋体" w:cs="宋体"/>
                            <w:b/>
                            <w:bCs/>
                            <w:color w:val="FFFFFF"/>
                            <w:sz w:val="18"/>
                            <w:szCs w:val="18"/>
                          </w:rPr>
                          <w:t>每两层及以上</w:t>
                        </w:r>
                      </w:p>
                      <w:p w14:paraId="75EF7FED">
                        <w:pPr>
                          <w:spacing w:line="240" w:lineRule="exact"/>
                          <w:jc w:val="left"/>
                          <w:rPr>
                            <w:rFonts w:hAnsi="宋体" w:cs="宋体"/>
                            <w:b/>
                            <w:bCs/>
                            <w:color w:val="FFFFFF"/>
                            <w:sz w:val="18"/>
                            <w:szCs w:val="18"/>
                          </w:rPr>
                        </w:pPr>
                        <w:r>
                          <w:rPr>
                            <w:rFonts w:hint="eastAsia" w:hAnsi="宋体" w:cs="宋体"/>
                            <w:b/>
                            <w:bCs/>
                            <w:color w:val="FFFFFF"/>
                            <w:sz w:val="18"/>
                            <w:szCs w:val="18"/>
                          </w:rPr>
                          <w:t>外挑阳台</w:t>
                        </w:r>
                      </w:p>
                    </w:txbxContent>
                  </v:textbox>
                </v:shape>
                <v:shape id="直接箭头连接符 1656" o:spid="_x0000_s1026" o:spt="32" type="#_x0000_t32" style="position:absolute;left:5404485;top:1879600;height:635;width:30162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EztYfWAAAABwEAAA8AAAAAAAAA&#10;AQAgAAAAIgAAAGRycy9kb3ducmV2LnhtbFBLAQIUABQAAAAIAIdO4kAoyvFLEwIAAA0EAAAOAAAA&#10;AAAAAAEAIAAAACUBAABkcnMvZTJvRG9jLnhtbFBLBQYAAAAABgAGAFkBAACqBQAAAAA=&#10;">
                  <v:fill on="f" focussize="0,0"/>
                  <v:stroke color="#000000" joinstyle="round"/>
                  <v:imagedata o:title=""/>
                  <o:lock v:ext="edit" aspectratio="f"/>
                </v:shape>
                <v:shape id="直接箭头连接符 1657" o:spid="_x0000_s1026" o:spt="32" type="#_x0000_t32" style="position:absolute;left:5113020;top:1679575;height:1270;width:29654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xM7WH1gAAAAcBAAAPAAAA&#10;AAAAAAEAIAAAACIAAABkcnMvZG93bnJldi54bWxQSwECFAAUAAAACACHTuJAkQvAoRcCAAAOBAAA&#10;DgAAAAAAAAABACAAAAAlAQAAZHJzL2Uyb0RvYy54bWxQSwUGAAAAAAYABgBZAQAArgUAAAAA&#10;">
                  <v:fill on="f" focussize="0,0"/>
                  <v:stroke color="#000000" joinstyle="round"/>
                  <v:imagedata o:title=""/>
                  <o:lock v:ext="edit" aspectratio="f"/>
                </v:shape>
                <v:shape id="直接箭头连接符 1658" o:spid="_x0000_s1026" o:spt="32" type="#_x0000_t32" style="position:absolute;left:5409565;top:1437640;flip:x;height:441960;width:3810;" filled="f" stroked="t" coordsize="21600,21600" o:gfxdata="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BAYNUNUAAAAH&#10;AQAADwAAAAAAAAABACAAAAAiAAAAZHJzL2Rvd25yZXYueG1sUEsBAhQAFAAAAAgAh07iQH9IAQIf&#10;AgAAGAQAAA4AAAAAAAAAAQAgAAAAJAEAAGRycy9lMm9Eb2MueG1sUEsFBgAAAAAGAAYAWQEAALUF&#10;AAAAAA==&#10;">
                  <v:fill on="f" focussize="0,0"/>
                  <v:stroke color="#000000" joinstyle="round"/>
                  <v:imagedata o:title=""/>
                  <o:lock v:ext="edit" aspectratio="f"/>
                </v:shape>
                <v:shape id="直接箭头连接符 1659" o:spid="_x0000_s1026" o:spt="32" type="#_x0000_t32" style="position:absolute;left:5409565;top:1436370;height:1270;width:29400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TO1h9YAAAAHAQAADwAAAAAA&#10;AAABACAAAAAiAAAAZHJzL2Rvd25yZXYueG1sUEsBAhQAFAAAAAgAh07iQHR4O0wVAgAADgQAAA4A&#10;AAAAAAAAAQAgAAAAJQEAAGRycy9lMm9Eb2MueG1sUEsFBgAAAAAGAAYAWQEAAKwFAAAAAA==&#10;">
                  <v:fill on="f" focussize="0,0"/>
                  <v:stroke color="#000000" joinstyle="round"/>
                  <v:imagedata o:title=""/>
                  <o:lock v:ext="edit" aspectratio="f"/>
                </v:shape>
                <v:shape id="直接箭头连接符 1660" o:spid="_x0000_s1026" o:spt="32" type="#_x0000_t32" style="position:absolute;left:5413375;top:3070860;height:1905;width:29400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xM7WH1gAAAAcBAAAPAAAAAAAA&#10;AAEAIAAAACIAAABkcnMvZG93bnJldi54bWxQSwECFAAUAAAACACHTuJACk82BxQCAAAOBAAADgAA&#10;AAAAAAABACAAAAAlAQAAZHJzL2Uyb0RvYy54bWxQSwUGAAAAAAYABgBZAQAAqwUAAAAA&#10;">
                  <v:fill on="f" focussize="0,0"/>
                  <v:stroke color="#000000" joinstyle="round"/>
                  <v:imagedata o:title=""/>
                  <o:lock v:ext="edit" aspectratio="f"/>
                </v:shape>
                <v:shape id="直接箭头连接符 1661" o:spid="_x0000_s1026" o:spt="32" type="#_x0000_t32" style="position:absolute;left:5114925;top:2684145;height:2540;width:15303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TO1h9YAAAAHAQAADwAA&#10;AAAAAAABACAAAAAiAAAAZHJzL2Rvd25yZXYueG1sUEsBAhQAFAAAAAgAh07iQCkQGUgYAgAADgQA&#10;AA4AAAAAAAAAAQAgAAAAJQEAAGRycy9lMm9Eb2MueG1sUEsFBgAAAAAGAAYAWQEAAK8FAAAAAA==&#10;">
                  <v:fill on="f" focussize="0,0"/>
                  <v:stroke color="#000000" joinstyle="round"/>
                  <v:imagedata o:title=""/>
                  <o:lock v:ext="edit" aspectratio="f"/>
                </v:shape>
                <v:shape id="直接箭头连接符 1662" o:spid="_x0000_s1026" o:spt="32" type="#_x0000_t32" style="position:absolute;left:5412105;top:2686685;height:386080;width:190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TO1h9YAAAAHAQAADwAA&#10;AAAAAAABACAAAAAiAAAAZHJzL2Rvd25yZXYueG1sUEsBAhQAFAAAAAgAh07iQEMHrdAYAgAADgQA&#10;AA4AAAAAAAAAAQAgAAAAJQEAAGRycy9lMm9Eb2MueG1sUEsFBgAAAAAGAAYAWQEAAK8FAAAAAA==&#10;">
                  <v:fill on="f" focussize="0,0"/>
                  <v:stroke color="#000000" joinstyle="round"/>
                  <v:imagedata o:title=""/>
                  <o:lock v:ext="edit" aspectratio="f"/>
                </v:shape>
                <v:shape id="直接箭头连接符 1663" o:spid="_x0000_s1026" o:spt="32" type="#_x0000_t32" style="position:absolute;left:5420360;top:2682875;height:1270;width:29400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EztYfWAAAABwEAAA8A&#10;AAAAAAAAAQAgAAAAIgAAAGRycy9kb3ducmV2LnhtbFBLAQIUABQAAAAIAIdO4kB4PbS/GQIAAA4E&#10;AAAOAAAAAAAAAAEAIAAAACUBAABkcnMvZTJvRG9jLnhtbFBLBQYAAAAABgAGAFkBAACwBQAAAAA=&#10;">
                  <v:fill on="f" focussize="0,0"/>
                  <v:stroke color="#000000" joinstyle="round"/>
                  <v:imagedata o:title=""/>
                  <o:lock v:ext="edit" aspectratio="f"/>
                </v:shape>
                <v:shape id="直接箭头连接符 1664" o:spid="_x0000_s1026" o:spt="32" type="#_x0000_t32" style="position:absolute;left:5404485;top:4037330;height:635;width:29400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TO1h9YAAAAHAQAADwAAAAAA&#10;AAABACAAAAAiAAAAZHJzL2Rvd25yZXYueG1sUEsBAhQAFAAAAAgAh07iQGkQ7lAVAgAADQQAAA4A&#10;AAAAAAAAAQAgAAAAJQEAAGRycy9lMm9Eb2MueG1sUEsFBgAAAAAGAAYAWQEAAKwFAAAAAA==&#10;">
                  <v:fill on="f" focussize="0,0"/>
                  <v:stroke color="#000000" joinstyle="round"/>
                  <v:imagedata o:title=""/>
                  <o:lock v:ext="edit" aspectratio="f"/>
                </v:shape>
                <v:shape id="直接箭头连接符 1665" o:spid="_x0000_s1026" o:spt="32" type="#_x0000_t32" style="position:absolute;left:5097780;top:3961130;height:635;width:29654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EztYfWAAAABwEAAA8AAAAA&#10;AAAAAQAgAAAAIgAAAGRycy9kb3ducmV2LnhtbFBLAQIUABQAAAAIAIdO4kD23HOnFgIAAA0EAAAO&#10;AAAAAAAAAAEAIAAAACUBAABkcnMvZTJvRG9jLnhtbFBLBQYAAAAABgAGAFkBAACtBQAAAAA=&#10;">
                  <v:fill on="f" focussize="0,0"/>
                  <v:stroke color="#000000" joinstyle="round"/>
                  <v:imagedata o:title=""/>
                  <o:lock v:ext="edit" aspectratio="f"/>
                </v:shape>
                <v:shape id="直接箭头连接符 1666" o:spid="_x0000_s1026" o:spt="32" type="#_x0000_t32" style="position:absolute;left:5404485;top:3658235;height:379095;width:127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EztYfWAAAABwEAAA8A&#10;AAAAAAAAAQAgAAAAIgAAAGRycy9kb3ducmV2LnhtbFBLAQIUABQAAAAIAIdO4kD0mVc+GQIAAA4E&#10;AAAOAAAAAAAAAAEAIAAAACUBAABkcnMvZTJvRG9jLnhtbFBLBQYAAAAABgAGAFkBAACwBQAAAAA=&#10;">
                  <v:fill on="f" focussize="0,0"/>
                  <v:stroke color="#000000" joinstyle="round"/>
                  <v:imagedata o:title=""/>
                  <o:lock v:ext="edit" aspectratio="f"/>
                </v:shape>
                <v:shape id="直接箭头连接符 1667" o:spid="_x0000_s1026" o:spt="32" type="#_x0000_t32" style="position:absolute;left:5404485;top:3656330;height:1905;width:29400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xM7WH1gAAAAcBAAAPAAAAAAAA&#10;AAEAIAAAACIAAABkcnMvZG93bnJldi54bWxQSwECFAAUAAAACACHTuJAcctsZxQCAAAOBAAADgAA&#10;AAAAAAABACAAAAAlAQAAZHJzL2Uyb0RvYy54bWxQSwUGAAAAAAYABgBZAQAAqwUAAAAA&#10;">
                  <v:fill on="f" focussize="0,0"/>
                  <v:stroke color="#000000" joinstyle="round"/>
                  <v:imagedata o:title=""/>
                  <o:lock v:ext="edit" aspectratio="f"/>
                </v:shape>
                <v:shape id="直接箭头连接符 1668" o:spid="_x0000_s1026" o:spt="32" type="#_x0000_t32" style="position:absolute;left:5100955;top:2252980;height:1270;width:297815;" filled="f" stroked="t" coordsize="21600,21600" o:gfxdata="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ku2Y/1wAAAAcBAAAP&#10;AAAAAAAAAAEAIAAAACIAAABkcnMvZG93bnJldi54bWxQSwECFAAUAAAACACHTuJAyFKjWRkCAAAM&#10;BAAADgAAAAAAAAABACAAAAAmAQAAZHJzL2Uyb0RvYy54bWxQSwUGAAAAAAYABgBZAQAAsQUAAAAA&#10;">
                  <v:fill on="f" focussize="0,0"/>
                  <v:stroke color="#000000" joinstyle="round" endarrowwidth="narrow" endarrowlength="short"/>
                  <v:imagedata o:title=""/>
                  <o:lock v:ext="edit" aspectratio="f"/>
                </v:shape>
                <v:shape id="直接箭头连接符 1669" o:spid="_x0000_s1026" o:spt="32" type="#_x0000_t32" style="position:absolute;left:6534150;top:2378710;height:635;width:40068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TO1h9YAAAAHAQAADwAAAAAA&#10;AAABACAAAAAiAAAAZHJzL2Rvd25yZXYueG1sUEsBAhQAFAAAAAgAh07iQGSTu70VAgAADQQAAA4A&#10;AAAAAAAAAQAgAAAAJQEAAGRycy9lMm9Eb2MueG1sUEsFBgAAAAAGAAYAWQEAAKwFAAAAAA==&#10;">
                  <v:fill on="f" focussize="0,0"/>
                  <v:stroke color="#000000" joinstyle="round"/>
                  <v:imagedata o:title=""/>
                  <o:lock v:ext="edit" aspectratio="f"/>
                </v:shape>
                <v:shape id="流程图: 可选过程 1670" o:spid="_x0000_s1026" o:spt="176" type="#_x0000_t176" style="position:absolute;left:5705475;top:4276090;height:300990;width:1035050;" fillcolor="#808080" filled="t" stroked="t" coordsize="21600,21600" o:gfxdata="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IjewtfXAAAABwEAAA8AAAAAAAAAAQAgAAAAIgAAAGRycy9kb3ducmV2LnhtbFBL&#10;AQIUABQAAAAIAIdO4kDQ2cyOogIAADwFAAAOAAAAAAAAAAEAIAAAACYBAABkcnMvZTJvRG9jLnht&#10;bFBLBQYAAAAABgAGAFkBAAA6BgAAAAA=&#10;">
                  <v:fill on="t" focussize="0,0"/>
                  <v:stroke color="#F2F2F2" joinstyle="miter"/>
                  <v:imagedata o:title=""/>
                  <o:lock v:ext="edit" aspectratio="f"/>
                  <v:shadow on="t" color="#243F60" opacity="32768f" offset="1pt,2pt" origin="0f,0f" matrix="65536f,0f,0f,65536f"/>
                  <v:textbox inset="0.5mm,1.27mm,0.5mm,1.27mm">
                    <w:txbxContent>
                      <w:p w14:paraId="093778FB">
                        <w:pPr>
                          <w:jc w:val="left"/>
                          <w:rPr>
                            <w:b/>
                            <w:color w:val="FFFFFF"/>
                          </w:rPr>
                        </w:pPr>
                        <w:r>
                          <w:rPr>
                            <w:rFonts w:hint="eastAsia"/>
                            <w:b/>
                            <w:color w:val="FFFFFF"/>
                          </w:rPr>
                          <w:t>非功能房间露台</w:t>
                        </w:r>
                      </w:p>
                    </w:txbxContent>
                  </v:textbox>
                </v:shape>
                <v:shape id="流程图: 可选过程 1671" o:spid="_x0000_s1026" o:spt="176" type="#_x0000_t176" style="position:absolute;left:5705475;top:4650105;height:299720;width:1035050;" fillcolor="#808080" filled="t" stroked="t" coordsize="21600,21600" o:gfxdata="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iN7C19cAAAAHAQAADwAAAAAAAAABACAAAAAiAAAAZHJzL2Rvd25yZXYueG1s&#10;UEsBAhQAFAAAAAgAh07iQH+8NPykAgAAPAUAAA4AAAAAAAAAAQAgAAAAJgEAAGRycy9lMm9Eb2Mu&#10;eG1sUEsFBgAAAAAGAAYAWQEAADwGAAAAAA==&#10;">
                  <v:fill on="t" focussize="0,0"/>
                  <v:stroke color="#F2F2F2" joinstyle="miter"/>
                  <v:imagedata o:title=""/>
                  <o:lock v:ext="edit" aspectratio="f"/>
                  <v:shadow on="t" color="#243F60" opacity="32768f" offset="1pt,2pt" origin="0f,0f" matrix="65536f,0f,0f,65536f"/>
                  <v:textbox inset="0.5mm,1.27mm,0.5mm,1.27mm">
                    <w:txbxContent>
                      <w:p w14:paraId="13DF958A">
                        <w:pPr>
                          <w:jc w:val="left"/>
                          <w:rPr>
                            <w:b/>
                            <w:color w:val="FFFFFF"/>
                          </w:rPr>
                        </w:pPr>
                        <w:r>
                          <w:rPr>
                            <w:rFonts w:hint="eastAsia"/>
                            <w:b/>
                            <w:color w:val="FFFFFF"/>
                          </w:rPr>
                          <w:t>有功能房间露台</w:t>
                        </w:r>
                      </w:p>
                    </w:txbxContent>
                  </v:textbox>
                </v:shape>
                <v:shape id="直接箭头连接符 1672" o:spid="_x0000_s1026" o:spt="32" type="#_x0000_t32" style="position:absolute;left:5412105;top:4803140;height:1905;width:29400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EztYfWAAAABwEAAA8AAAAAAAAA&#10;AQAgAAAAIgAAAGRycy9kb3ducmV2LnhtbFBLAQIUABQAAAAIAIdO4kBqeYmlEwIAAA4EAAAOAAAA&#10;AAAAAAEAIAAAACUBAABkcnMvZTJvRG9jLnhtbFBLBQYAAAAABgAGAFkBAACqBQAAAAA=&#10;">
                  <v:fill on="f" focussize="0,0"/>
                  <v:stroke color="#000000" joinstyle="round"/>
                  <v:imagedata o:title=""/>
                  <o:lock v:ext="edit" aspectratio="f"/>
                </v:shape>
                <v:shape id="直接箭头连接符 1673" o:spid="_x0000_s1026" o:spt="32" type="#_x0000_t32" style="position:absolute;left:5114925;top:4535170;height:1270;width:29718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xM7WH1gAAAAcBAAAPAAAA&#10;AAAAAAEAIAAAACIAAABkcnMvZG93bnJldi54bWxQSwECFAAUAAAACACHTuJAlJM3mxcCAAAOBAAA&#10;DgAAAAAAAAABACAAAAAlAQAAZHJzL2Uyb0RvYy54bWxQSwUGAAAAAAYABgBZAQAArgUAAAAA&#10;">
                  <v:fill on="f" focussize="0,0"/>
                  <v:stroke color="#000000" joinstyle="round"/>
                  <v:imagedata o:title=""/>
                  <o:lock v:ext="edit" aspectratio="f"/>
                </v:shape>
                <v:shape id="直接箭头连接符 1674" o:spid="_x0000_s1026" o:spt="32" type="#_x0000_t32" style="position:absolute;left:5412105;top:4424045;height:379095;width:127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TO1h9YAAAAHAQAADwAA&#10;AAAAAAABACAAAAAiAAAAZHJzL2Rvd25yZXYueG1sUEsBAhQAFAAAAAgAh07iQJC9TygYAgAADgQA&#10;AA4AAAAAAAAAAQAgAAAAJQEAAGRycy9lMm9Eb2MueG1sUEsFBgAAAAAGAAYAWQEAAK8FAAAAAA==&#10;">
                  <v:fill on="f" focussize="0,0"/>
                  <v:stroke color="#000000" joinstyle="round"/>
                  <v:imagedata o:title=""/>
                  <o:lock v:ext="edit" aspectratio="f"/>
                </v:shape>
                <v:shape id="直接箭头连接符 1675" o:spid="_x0000_s1026" o:spt="32" type="#_x0000_t32" style="position:absolute;left:5412105;top:4423410;height:635;width:29400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TO1h9YAAAAHAQAADwAAAAAA&#10;AAABACAAAAAiAAAAZHJzL2Rvd25yZXYueG1sUEsBAhQAFAAAAAgAh07iQOKTmVQVAgAADQQAAA4A&#10;AAAAAAAAAQAgAAAAJQEAAGRycy9lMm9Eb2MueG1sUEsFBgAAAAAGAAYAWQEAAKwFAAAAAA==&#10;">
                  <v:fill on="f" focussize="0,0"/>
                  <v:stroke color="#000000" joinstyle="round"/>
                  <v:imagedata o:title=""/>
                  <o:lock v:ext="edit" aspectratio="f"/>
                </v:shape>
                <v:shape id="直接箭头连接符 1676" o:spid="_x0000_s1026" o:spt="32" type="#_x0000_t32" style="position:absolute;left:6535420;top:3071495;flip:y;height:1270;width:399415;" filled="f" stroked="t" coordsize="21600,21600" o:gfxdata="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BAYNUNUAAAAH&#10;AQAADwAAAAAAAAABACAAAAAiAAAAZHJzL2Rvd25yZXYueG1sUEsBAhQAFAAAAAgAh07iQEQ94hof&#10;AgAAGAQAAA4AAAAAAAAAAQAgAAAAJAEAAGRycy9lMm9Eb2MueG1sUEsFBgAAAAAGAAYAWQEAALUF&#10;AAAAAA==&#10;">
                  <v:fill on="f" focussize="0,0"/>
                  <v:stroke color="#000000" joinstyle="round"/>
                  <v:imagedata o:title=""/>
                  <o:lock v:ext="edit" aspectratio="f"/>
                </v:shape>
                <v:shape id="直接箭头连接符 1677" o:spid="_x0000_s1026" o:spt="32" type="#_x0000_t32" style="position:absolute;left:6934835;top:2379345;height:691515;width:127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EztYfWAAAABwEAAA8A&#10;AAAAAAAAAQAgAAAAIgAAAGRycy9kb3ducmV2LnhtbFBLAQIUABQAAAAIAIdO4kB7TKooGQIAAA4E&#10;AAAOAAAAAAAAAAEAIAAAACUBAABkcnMvZTJvRG9jLnhtbFBLBQYAAAAABgAGAFkBAACwBQAAAAA=&#10;">
                  <v:fill on="f" focussize="0,0"/>
                  <v:stroke color="#000000" joinstyle="round"/>
                  <v:imagedata o:title=""/>
                  <o:lock v:ext="edit" aspectratio="f"/>
                </v:shape>
                <v:shape id="六边形 1678" o:spid="_x0000_s1026" o:spt="9" type="#_x0000_t9" style="position:absolute;left:7247255;top:2409825;height:576580;width:648970;v-text-anchor:middle;" fillcolor="#808080" filled="t" stroked="t" coordsize="21600,21600" o:gfxdata="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W0dNdtYAAAAHAQAADwAAAAAAAAABACAAAAAiAAAAZHJzL2Rv&#10;d25yZXYueG1sUEsBAhQAFAAAAAgAh07iQG4mXTiuAgAAhQUAAA4AAAAAAAAAAQAgAAAAJQEAAGRy&#10;cy9lMm9Eb2MueG1sUEsFBgAAAAAGAAYAWQEAAEUGAAAAAA==&#10;" adj="5023">
                  <v:fill on="t" focussize="0,0"/>
                  <v:stroke color="#F2F2F2" joinstyle="miter"/>
                  <v:imagedata o:title=""/>
                  <o:lock v:ext="edit" aspectratio="f"/>
                  <v:shadow on="t" color="#243F60" opacity="32768f" offset="1pt,2pt" origin="0f,0f" matrix="65536f,0f,0f,65536f"/>
                  <v:textbox inset="0.5mm,0.3mm,0.5mm,0.3mm">
                    <w:txbxContent>
                      <w:p w14:paraId="098986C5">
                        <w:pPr>
                          <w:rPr>
                            <w:b/>
                            <w:color w:val="FFFFFF"/>
                          </w:rPr>
                        </w:pPr>
                        <w:r>
                          <w:rPr>
                            <w:rFonts w:hint="eastAsia"/>
                            <w:b/>
                            <w:color w:val="FFFFFF"/>
                          </w:rPr>
                          <w:t>一级设防</w:t>
                        </w:r>
                      </w:p>
                    </w:txbxContent>
                  </v:textbox>
                </v:shape>
                <v:shape id="六边形 1679" o:spid="_x0000_s1026" o:spt="9" type="#_x0000_t9" style="position:absolute;left:7219315;top:1658620;height:574675;width:678180;v-text-anchor:middle;" fillcolor="#808080" filled="t" stroked="t" coordsize="21600,21600" o:gfxdata="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3okj89UAAAAHAQAADwAAAAAAAAABACAAAAAiAAAAZHJzL2Rvd25y&#10;ZXYueG1sUEsBAhQAFAAAAAgAh07iQMIJGfWsAgAAhQUAAA4AAAAAAAAAAQAgAAAAJAEAAGRycy9l&#10;Mm9Eb2MueG1sUEsFBgAAAAAGAAYAWQEAAEIGAAAAAA==&#10;" adj="4805">
                  <v:fill on="t" focussize="0,0"/>
                  <v:stroke color="#F2F2F2" joinstyle="miter"/>
                  <v:imagedata o:title=""/>
                  <o:lock v:ext="edit" aspectratio="f"/>
                  <v:shadow on="t" color="#243F60" opacity="32768f" offset="1pt,2pt" origin="0f,0f" matrix="65536f,0f,0f,65536f"/>
                  <v:textbox inset="0.5mm,0.3mm,0.5mm,0.3mm">
                    <w:txbxContent>
                      <w:p w14:paraId="64EB0D11">
                        <w:pPr>
                          <w:rPr>
                            <w:b/>
                            <w:color w:val="FFFFFF"/>
                          </w:rPr>
                        </w:pPr>
                        <w:r>
                          <w:rPr>
                            <w:rFonts w:hint="eastAsia"/>
                            <w:b/>
                            <w:color w:val="FFFFFF"/>
                          </w:rPr>
                          <w:t>一级设防</w:t>
                        </w:r>
                      </w:p>
                    </w:txbxContent>
                  </v:textbox>
                </v:shape>
                <v:shape id="直接箭头连接符 1680" o:spid="_x0000_s1026" o:spt="32" type="#_x0000_t32" style="position:absolute;left:6499225;top:1945640;height:0;width:72009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TO1h9YAAAAHAQAADwAAAAAAAAAB&#10;ACAAAAAiAAAAZHJzL2Rvd25yZXYueG1sUEsBAhQAFAAAAAgAh07iQMcVJ/ESAgAACwQAAA4AAAAA&#10;AAAAAQAgAAAAJQEAAGRycy9lMm9Eb2MueG1sUEsFBgAAAAAGAAYAWQEAAKkFAAAAAA==&#10;">
                  <v:fill on="f" focussize="0,0"/>
                  <v:stroke color="#000000" joinstyle="round"/>
                  <v:imagedata o:title=""/>
                  <o:lock v:ext="edit" aspectratio="f"/>
                </v:shape>
                <v:shape id="直接箭头连接符 1681" o:spid="_x0000_s1026" o:spt="32" type="#_x0000_t32" style="position:absolute;left:5409565;top:1252855;flip:y;height:6350;width:1764665;" filled="f" stroked="t" coordsize="21600,21600" o:gfxdata="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EBg1Q1QAAAAcB&#10;AAAPAAAAAAAAAAEAIAAAACIAAABkcnMvZG93bnJldi54bWxQSwECFAAUAAAACACHTuJAE9LrPR4C&#10;AAAZBAAADgAAAAAAAAABACAAAAAkAQAAZHJzL2Uyb0RvYy54bWxQSwUGAAAAAAYABgBZAQAAtAUA&#10;AAAA&#10;">
                  <v:fill on="f" focussize="0,0"/>
                  <v:stroke color="#000000" joinstyle="round"/>
                  <v:imagedata o:title=""/>
                  <o:lock v:ext="edit" aspectratio="f"/>
                </v:shape>
                <v:shape id="六边形 1682" o:spid="_x0000_s1026" o:spt="9" type="#_x0000_t9" style="position:absolute;left:7174230;top:965200;height:574675;width:693420;v-text-anchor:middle;" fillcolor="#808080" filled="t" stroked="t" coordsize="21600,21600" o:gfxdata="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LA1SUbXAAAABwEAAA8AAAAAAAAAAQAgAAAAIgAAAGRycy9kb3du&#10;cmV2LnhtbFBLAQIUABQAAAAIAIdO4kD0B+yyqwIAAIQFAAAOAAAAAAAAAAEAIAAAACYBAABkcnMv&#10;ZTJvRG9jLnhtbFBLBQYAAAAABgAGAFkBAABDBgAAAAA=&#10;" adj="5052">
                  <v:fill on="t" focussize="0,0"/>
                  <v:stroke color="#F2F2F2" joinstyle="miter"/>
                  <v:imagedata o:title=""/>
                  <o:lock v:ext="edit" aspectratio="f"/>
                  <v:shadow on="t" color="#243F60" opacity="32768f" offset="1pt,2pt" origin="0f,0f" matrix="65536f,0f,0f,65536f"/>
                  <v:textbox inset="0.5mm,0.3mm,0.5mm,0.3mm">
                    <w:txbxContent>
                      <w:p w14:paraId="497FD223">
                        <w:pPr>
                          <w:rPr>
                            <w:b/>
                            <w:color w:val="FFFFFF"/>
                          </w:rPr>
                        </w:pPr>
                        <w:r>
                          <w:rPr>
                            <w:rFonts w:hint="eastAsia"/>
                            <w:b/>
                            <w:color w:val="FFFFFF"/>
                          </w:rPr>
                          <w:t>一、二级设防</w:t>
                        </w:r>
                      </w:p>
                    </w:txbxContent>
                  </v:textbox>
                </v:shape>
                <v:shape id="直接箭头连接符 1683" o:spid="_x0000_s1026" o:spt="32" type="#_x0000_t32" style="position:absolute;left:6504940;top:1496060;height:1270;width:42164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EztYfWAAAABwEAAA8AAAAAAAAA&#10;AQAgAAAAIgAAAGRycy9kb3ducmV2LnhtbFBLAQIUABQAAAAIAIdO4kDQ8GStEwIAAA4EAAAOAAAA&#10;AAAAAAEAIAAAACUBAABkcnMvZTJvRG9jLnhtbFBLBQYAAAAABgAGAFkBAACqBQAAAAA=&#10;">
                  <v:fill on="f" focussize="0,0"/>
                  <v:stroke color="#000000" joinstyle="round"/>
                  <v:imagedata o:title=""/>
                  <o:lock v:ext="edit" aspectratio="f"/>
                </v:shape>
                <v:shape id="直接箭头连接符 1684" o:spid="_x0000_s1026" o:spt="32" type="#_x0000_t32" style="position:absolute;left:6926580;top:1261745;height:234315;width:63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EztYfWAAAABwEAAA8AAAAA&#10;AAAAAQAgAAAAIgAAAGRycy9kb3ducmV2LnhtbFBLAQIUABQAAAAIAIdO4kD2F+YYFgIAAA0EAAAO&#10;AAAAAAAAAAEAIAAAACUBAABkcnMvZTJvRG9jLnhtbFBLBQYAAAAABgAGAFkBAACtBQAAAAA=&#10;">
                  <v:fill on="f" focussize="0,0"/>
                  <v:stroke color="#000000" joinstyle="round"/>
                  <v:imagedata o:title=""/>
                  <o:lock v:ext="edit" aspectratio="f"/>
                </v:shape>
                <v:rect id="矩形 1685" o:spid="_x0000_s1026" o:spt="1" style="position:absolute;left:5571490;top:497205;height:442595;width:2296160;v-text-anchor:middle;" fillcolor="#953735" filled="t" stroked="t" coordsize="21600,21600" o:gfxdata="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HtTrhrV&#10;AAAABwEAAA8AAAAAAAAAAQAgAAAAIgAAAGRycy9kb3ducmV2LnhtbFBLAQIUABQAAAAIAIdO4kBL&#10;i4E4lQIAAFEFAAAOAAAAAAAAAAEAIAAAACQBAABkcnMvZTJvRG9jLnhtbFBLBQYAAAAABgAGAFkB&#10;AAArBgAAAAA=&#10;">
                  <v:fill on="t" opacity="52428f" focussize="0,0"/>
                  <v:stroke color="#F2F2F2" joinstyle="miter"/>
                  <v:imagedata o:title=""/>
                  <o:lock v:ext="edit" aspectratio="f"/>
                  <v:shadow on="t" color="#243F60" opacity="32768f" offset="1pt,2pt" origin="0f,0f" matrix="65536f,0f,0f,65536f"/>
                  <v:textbox inset="2.54mm,0.3mm,2.54mm,0.3mm">
                    <w:txbxContent>
                      <w:p w14:paraId="7B68686C">
                        <w:pPr>
                          <w:rPr>
                            <w:rFonts w:ascii="宋体" w:hAnsi="宋体"/>
                            <w:b/>
                            <w:color w:val="FFFFFF"/>
                            <w:sz w:val="28"/>
                            <w:szCs w:val="28"/>
                          </w:rPr>
                        </w:pPr>
                        <w:r>
                          <w:rPr>
                            <w:rFonts w:hint="eastAsia" w:ascii="宋体" w:hAnsi="宋体"/>
                            <w:b/>
                            <w:color w:val="FFFFFF"/>
                            <w:sz w:val="28"/>
                            <w:szCs w:val="28"/>
                          </w:rPr>
                          <w:t>防水设防等级</w:t>
                        </w:r>
                      </w:p>
                    </w:txbxContent>
                  </v:textbox>
                </v:rect>
                <v:rect id="矩形 1686" o:spid="_x0000_s1026" o:spt="1" style="position:absolute;left:691515;top:9047480;height:468630;width:1195070;v-text-anchor:middle;" fillcolor="#0070C0" filled="t" stroked="t" coordsize="21600,21600" o:gfxdata="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Kf1PV9YAAAAHAQAADwAAAAAAAAABACAAAAAiAAAAZHJzL2Rvd25y&#10;ZXYueG1sUEsBAhQAFAAAAAgAh07iQDbOOk9yAgAA/QQAAA4AAAAAAAAAAQAgAAAAJQEAAGRycy9l&#10;Mm9Eb2MueG1sUEsFBgAAAAAGAAYAWQEAAAkGAAAAAA==&#10;">
                  <v:fill on="t" focussize="0,0"/>
                  <v:stroke weight="1.25pt" color="#F2F2F2" joinstyle="miter"/>
                  <v:imagedata o:title=""/>
                  <o:lock v:ext="edit" aspectratio="f"/>
                  <v:shadow on="t" color="#243F60" opacity="32768f" offset="1pt,2pt" origin="0f,0f" matrix="65536f,0f,0f,65536f"/>
                  <v:textbox>
                    <w:txbxContent>
                      <w:p w14:paraId="5B8C08DD">
                        <w:pPr>
                          <w:rPr>
                            <w:b/>
                            <w:color w:val="FFFFFF"/>
                            <w:sz w:val="24"/>
                          </w:rPr>
                        </w:pPr>
                        <w:r>
                          <w:rPr>
                            <w:rFonts w:hint="eastAsia"/>
                            <w:b/>
                            <w:color w:val="FFFFFF"/>
                            <w:sz w:val="24"/>
                          </w:rPr>
                          <w:t>基本组成</w:t>
                        </w:r>
                      </w:p>
                    </w:txbxContent>
                  </v:textbox>
                </v:rect>
                <v:rect id="矩形 1687" o:spid="_x0000_s1026" o:spt="1" style="position:absolute;left:691515;top:497205;height:442595;width:1193800;v-text-anchor:middle;" fillcolor="#0070C0" filled="t" stroked="t" coordsize="21600,21600" o:gfxdata="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Kf1PV9YAAAAHAQAADwAAAAAAAAABACAAAAAiAAAAZHJzL2Rvd25y&#10;ZXYueG1sUEsBAhQAFAAAAAgAh07iQKo61ElyAgAA/AQAAA4AAAAAAAAAAQAgAAAAJQEAAGRycy9l&#10;Mm9Eb2MueG1sUEsFBgAAAAAGAAYAWQEAAAkGAAAAAA==&#10;">
                  <v:fill on="t" focussize="0,0"/>
                  <v:stroke weight="1.25pt" color="#F2F2F2" joinstyle="miter"/>
                  <v:imagedata o:title=""/>
                  <o:lock v:ext="edit" aspectratio="f"/>
                  <v:shadow on="t" color="#243F60" opacity="32768f" offset="1pt,2pt" origin="0f,0f" matrix="65536f,0f,0f,65536f"/>
                  <v:textbox>
                    <w:txbxContent>
                      <w:p w14:paraId="7629D25E">
                        <w:pPr>
                          <w:rPr>
                            <w:b/>
                            <w:color w:val="FFFFFF"/>
                            <w:sz w:val="24"/>
                          </w:rPr>
                        </w:pPr>
                        <w:r>
                          <w:rPr>
                            <w:rFonts w:hint="eastAsia"/>
                            <w:b/>
                            <w:color w:val="FFFFFF"/>
                            <w:sz w:val="24"/>
                          </w:rPr>
                          <w:t>基本组成</w:t>
                        </w:r>
                      </w:p>
                    </w:txbxContent>
                  </v:textbox>
                </v:rect>
                <v:shape id="直接箭头连接符 1688" o:spid="_x0000_s1026" o:spt="32" type="#_x0000_t32" style="position:absolute;left:5100955;top:2179320;height:635;width:298450;" filled="f" stroked="t" coordsize="21600,21600" o:gfxdata="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pLtmP9cAAAAHAQAA&#10;DwAAAAAAAAABACAAAAAiAAAAZHJzL2Rvd25yZXYueG1sUEsBAhQAFAAAAAgAh07iQKcR6n8aAgAA&#10;CwQAAA4AAAAAAAAAAQAgAAAAJgEAAGRycy9lMm9Eb2MueG1sUEsFBgAAAAAGAAYAWQEAALIFAAAA&#10;AA==&#10;">
                  <v:fill on="f" focussize="0,0"/>
                  <v:stroke color="#000000" joinstyle="round" endarrowwidth="narrow" endarrowlength="short"/>
                  <v:imagedata o:title=""/>
                  <o:lock v:ext="edit" aspectratio="f"/>
                </v:shape>
                <v:shape id="直接箭头连接符 1689" o:spid="_x0000_s1026" o:spt="32" type="#_x0000_t32" style="position:absolute;left:5413375;top:2029460;flip:y;height:1270;width:285115;" filled="f" stroked="t" coordsize="21600,21600" o:gfxdata="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EBg1Q1QAAAAcB&#10;AAAPAAAAAAAAAAEAIAAAACIAAABkcnMvZG93bnJldi54bWxQSwECFAAUAAAACACHTuJAqTZEbR4C&#10;AAAYBAAADgAAAAAAAAABACAAAAAkAQAAZHJzL2Uyb0RvYy54bWxQSwUGAAAAAAYABgBZAQAAtAUA&#10;AAAA&#10;">
                  <v:fill on="f" focussize="0,0"/>
                  <v:stroke color="#000000" joinstyle="round"/>
                  <v:imagedata o:title=""/>
                  <o:lock v:ext="edit" aspectratio="f"/>
                </v:shape>
                <v:shape id="直接箭头连接符 1690" o:spid="_x0000_s1026" o:spt="32" type="#_x0000_t32" style="position:absolute;left:5410835;top:2030730;flip:y;height:148590;width:635;" filled="f" stroked="t" coordsize="21600,21600" o:gfxdata="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EBg1Q1QAAAAcBAAAP&#10;AAAAAAAAAAEAIAAAACIAAABkcnMvZG93bnJldi54bWxQSwECFAAUAAAACACHTuJAoqUTKhsCAAAX&#10;BAAADgAAAAAAAAABACAAAAAkAQAAZHJzL2Uyb0RvYy54bWxQSwUGAAAAAAYABgBZAQAAsQUAAAAA&#10;">
                  <v:fill on="f" focussize="0,0"/>
                  <v:stroke color="#000000" joinstyle="round"/>
                  <v:imagedata o:title=""/>
                  <o:lock v:ext="edit" aspectratio="f"/>
                </v:shape>
                <v:shape id="直接箭头连接符 1691" o:spid="_x0000_s1026" o:spt="32" type="#_x0000_t32" style="position:absolute;left:5267325;top:2835910;height:2540;width:153035;" filled="f" stroked="t" coordsize="21600,21600" o:gfxdata="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ku2Y/1wAAAAcB&#10;AAAPAAAAAAAAAAEAIAAAACIAAABkcnMvZG93bnJldi54bWxQSwECFAAUAAAACACHTuJAyqiVQBwC&#10;AAAMBAAADgAAAAAAAAABACAAAAAmAQAAZHJzL2Uyb0RvYy54bWxQSwUGAAAAAAYABgBZAQAAtAUA&#10;AAAA&#10;">
                  <v:fill on="f" focussize="0,0"/>
                  <v:stroke color="#000000" joinstyle="round" endarrowwidth="narrow" endarrowlength="short"/>
                  <v:imagedata o:title=""/>
                  <o:lock v:ext="edit" aspectratio="f"/>
                </v:shape>
                <v:shape id="直接箭头连接符 1692" o:spid="_x0000_s1026" o:spt="32" type="#_x0000_t32" style="position:absolute;left:5267325;top:2685415;height:145415;width:63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EztYfWAAAABwEAAA8AAAAA&#10;AAAAAQAgAAAAIgAAAGRycy9kb3ducmV2LnhtbFBLAQIUABQAAAAIAIdO4kDFF8F4FgIAAA0EAAAO&#10;AAAAAAAAAAEAIAAAACUBAABkcnMvZTJvRG9jLnhtbFBLBQYAAAAABgAGAFkBAACtBQAAAAA=&#10;">
                  <v:fill on="f" focussize="0,0"/>
                  <v:stroke color="#000000" joinstyle="round"/>
                  <v:imagedata o:title=""/>
                  <o:lock v:ext="edit" aspectratio="f"/>
                </v:shape>
                <v:shape id="流程图: 可选过程 1693" o:spid="_x0000_s1026" o:spt="176" type="#_x0000_t176" style="position:absolute;left:5714365;top:2197100;height:299720;width:800100;v-text-anchor:middle;" fillcolor="#808080" filled="t" stroked="t" coordsize="21600,21600" o:gfxdata="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BjkgW/YAAAABwEAAA8AAAAAAAAAAQAgAAAAIgAAAGRycy9k&#10;b3ducmV2LnhtbFBLAQIUABQAAAAIAIdO4kA9hcESrQIAAFYFAAAOAAAAAAAAAAEAIAAAACcBAABk&#10;cnMvZTJvRG9jLnhtbFBLBQYAAAAABgAGAFkBAABGBgAAAAA=&#10;">
                  <v:fill on="t" focussize="0,0"/>
                  <v:stroke color="#F2F2F2" joinstyle="miter"/>
                  <v:imagedata o:title=""/>
                  <o:lock v:ext="edit" aspectratio="f"/>
                  <v:shadow on="t" color="#243F60" opacity="32768f" offset="1pt,2pt" origin="0f,0f" matrix="65536f,0f,0f,65536f"/>
                  <v:textbox inset="0.5mm,1.27mm,0.5mm,1.27mm">
                    <w:txbxContent>
                      <w:p w14:paraId="49611416">
                        <w:pPr>
                          <w:rPr>
                            <w:b/>
                            <w:color w:val="FFFFFF"/>
                          </w:rPr>
                        </w:pPr>
                        <w:r>
                          <w:rPr>
                            <w:rFonts w:hint="eastAsia"/>
                            <w:b/>
                            <w:color w:val="FFFFFF"/>
                          </w:rPr>
                          <w:t>普通平屋面</w:t>
                        </w:r>
                      </w:p>
                    </w:txbxContent>
                  </v:textbox>
                </v:shape>
                <v:shape id="直接箭头连接符 1694" o:spid="_x0000_s1026" o:spt="32" type="#_x0000_t32" style="position:absolute;left:5399405;top:2376805;height:1905;width:332740;" filled="f" stroked="t" coordsize="21600,21600" o:gfxdata="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ku2Y/1wAAAAcB&#10;AAAPAAAAAAAAAAEAIAAAACIAAABkcnMvZG93bnJldi54bWxQSwECFAAUAAAACACHTuJAFEHEcxwC&#10;AAAMBAAADgAAAAAAAAABACAAAAAmAQAAZHJzL2Uyb0RvYy54bWxQSwUGAAAAAAYABgBZAQAAtAUA&#10;AAAA&#10;">
                  <v:fill on="f" focussize="0,0"/>
                  <v:stroke color="#000000" joinstyle="round" endarrowwidth="narrow" endarrowlength="short"/>
                  <v:imagedata o:title=""/>
                  <o:lock v:ext="edit" aspectratio="f"/>
                </v:shape>
                <v:shape id="直接箭头连接符 1695" o:spid="_x0000_s1026" o:spt="32" type="#_x0000_t32" style="position:absolute;left:5399405;top:2254250;height:124460;width:63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EztYfWAAAABwEAAA8AAAAA&#10;AAAAAQAgAAAAIgAAAGRycy9kb3ducmV2LnhtbFBLAQIUABQAAAAIAIdO4kCUIp4GFgIAAA0EAAAO&#10;AAAAAAAAAAEAIAAAACUBAABkcnMvZTJvRG9jLnhtbFBLBQYAAAAABgAGAFkBAACtBQAAAAA=&#10;">
                  <v:fill on="f" focussize="0,0"/>
                  <v:stroke color="#000000" joinstyle="round"/>
                  <v:imagedata o:title=""/>
                  <o:lock v:ext="edit" aspectratio="f"/>
                </v:shape>
                <v:shape id="直接箭头连接符 1696" o:spid="_x0000_s1026" o:spt="32" type="#_x0000_t32" style="position:absolute;left:6499860;top:2693670;height:2540;width:764540;" filled="f" stroked="t" coordsize="21600,21600" o:gfxdata="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ku2Y/1wAAAAcBAAAP&#10;AAAAAAAAAAEAIAAAACIAAABkcnMvZG93bnJldi54bWxQSwECFAAUAAAACACHTuJAcumuVxkCAAAM&#10;BAAADgAAAAAAAAABACAAAAAmAQAAZHJzL2Uyb0RvYy54bWxQSwUGAAAAAAYABgBZAQAAsQUAAAAA&#10;">
                  <v:fill on="f" focussize="0,0"/>
                  <v:stroke color="#000000" joinstyle="round" endarrowwidth="narrow" endarrowlength="short"/>
                  <v:imagedata o:title=""/>
                  <o:lock v:ext="edit" aspectratio="f"/>
                </v:shape>
                <v:shape id="直接箭头连接符 1697" o:spid="_x0000_s1026" o:spt="32" type="#_x0000_t32" style="position:absolute;left:3332480;top:1450975;height:995045;width:2540;" filled="f" stroked="t" coordsize="21600,21600" o:gfxdata="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TOP2+9cAAAAHAQAADwAA&#10;AAAAAAABACAAAAAiAAAAZHJzL2Rvd25yZXYueG1sUEsBAhQAFAAAAAgAh07iQFL8zaIXAgAACQQA&#10;AA4AAAAAAAAAAQAgAAAAJgEAAGRycy9lMm9Eb2MueG1sUEsFBgAAAAAGAAYAWQEAAK8FAAAAAA==&#10;">
                  <v:fill on="f" focussize="0,0"/>
                  <v:stroke color="#000000" joinstyle="round" dashstyle="dash" startarrow="oval" startarrowwidth="narrow" startarrowlength="short" endarrow="oval" endarrowwidth="narrow" endarrowlength="short"/>
                  <v:imagedata o:title=""/>
                  <o:lock v:ext="edit" aspectratio="f"/>
                </v:shape>
                <v:shape id="直接箭头连接符 1703" o:spid="_x0000_s1026" o:spt="32" type="#_x0000_t32" style="position:absolute;left:3332480;top:2420620;height:922020;width:2540;" filled="f" stroked="t" coordsize="21600,21600" o:gfxdata="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uCaHzYAAAABwEA&#10;AA8AAAAAAAAAAQAgAAAAIgAAAGRycy9kb3ducmV2LnhtbFBLAQIUABQAAAAIAIdO4kA1gMvGGgIA&#10;AAkEAAAOAAAAAAAAAAEAIAAAACcBAABkcnMvZTJvRG9jLnhtbFBLBQYAAAAABgAGAFkBAACzBQAA&#10;AAA=&#10;">
                  <v:fill on="f" focussize="0,0"/>
                  <v:stroke color="#000000" joinstyle="round" dashstyle="dash" startarrowwidth="narrow" startarrowlength="short" endarrow="oval" endarrowwidth="narrow" endarrowlength="short"/>
                  <v:imagedata o:title=""/>
                  <o:lock v:ext="edit" aspectratio="f"/>
                </v:shape>
                <v:shape id="直接箭头连接符 1704" o:spid="_x0000_s1026" o:spt="32" type="#_x0000_t32" style="position:absolute;left:3329940;top:3374390;height:921385;width:2540;" filled="f" stroked="t" coordsize="21600,21600" o:gfxdata="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uCaHzYAAAABwEAAA8A&#10;AAAAAAAAAQAgAAAAIgAAAGRycy9kb3ducmV2LnhtbFBLAQIUABQAAAAIAIdO4kAluHniFwIAAAkE&#10;AAAOAAAAAAAAAAEAIAAAACcBAABkcnMvZTJvRG9jLnhtbFBLBQYAAAAABgAGAFkBAACwBQAAAAA=&#10;">
                  <v:fill on="f" focussize="0,0"/>
                  <v:stroke color="#000000" joinstyle="round" dashstyle="dash" startarrowwidth="narrow" startarrowlength="short" endarrow="oval" endarrowwidth="narrow" endarrowlength="short"/>
                  <v:imagedata o:title=""/>
                  <o:lock v:ext="edit" aspectratio="f"/>
                </v:shape>
                <v:shape id="直接箭头连接符 1705" o:spid="_x0000_s1026" o:spt="32" type="#_x0000_t32" style="position:absolute;left:3330575;top:4379595;flip:x;height:2327275;width:4445;" filled="f" stroked="t" coordsize="21600,21600" o:gfxdata="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kgQ++&#10;2AAAAAcBAAAPAAAAAAAAAAEAIAAAACIAAABkcnMvZG93bnJldi54bWxQSwECFAAUAAAACACHTuJA&#10;7q9DhyECAAAPBAAADgAAAAAAAAABACAAAAAnAQAAZHJzL2Uyb0RvYy54bWxQSwUGAAAAAAYABgBZ&#10;AQAAugUAAAAA&#10;">
                  <v:fill on="f" focussize="0,0"/>
                  <v:stroke color="#000000" joinstyle="round" dashstyle="dash" startarrowwidth="narrow" startarrowlength="short" endarrow="oval" endarrowwidth="narrow" endarrowlength="short"/>
                  <v:imagedata o:title=""/>
                  <o:lock v:ext="edit" aspectratio="f"/>
                </v:shape>
                <v:shape id="直接箭头连接符 1708" o:spid="_x0000_s1026" o:spt="32" type="#_x0000_t32" style="position:absolute;left:6943725;top:4015105;height:442595;width:0;"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EztYfWAAAABwEAAA8AAAAAAAAA&#10;AQAgAAAAIgAAAGRycy9kb3ducmV2LnhtbFBLAQIUABQAAAAIAIdO4kDTRoP7EwIAAAsEAAAOAAAA&#10;AAAAAAEAIAAAACUBAABkcnMvZTJvRG9jLnhtbFBLBQYAAAAABgAGAFkBAACqBQAAAAA=&#10;">
                  <v:fill on="f" focussize="0,0"/>
                  <v:stroke color="#000000" joinstyle="round"/>
                  <v:imagedata o:title=""/>
                  <o:lock v:ext="edit" aspectratio="f"/>
                </v:shape>
                <v:shape id="直接箭头连接符 1709" o:spid="_x0000_s1026" o:spt="32" type="#_x0000_t32" style="position:absolute;left:6943725;top:4132580;flip:y;height:2540;width:170180;" filled="f" stroked="t" coordsize="21600,21600" o:gfxdata="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EBg1Q1QAAAAcB&#10;AAAPAAAAAAAAAAEAIAAAACIAAABkcnMvZG93bnJldi54bWxQSwECFAAUAAAACACHTuJA5WTD9R4C&#10;AAAYBAAADgAAAAAAAAABACAAAAAkAQAAZHJzL2Uyb0RvYy54bWxQSwUGAAAAAAYABgBZAQAAtAUA&#10;AAAA&#10;">
                  <v:fill on="f" focussize="0,0"/>
                  <v:stroke color="#000000" joinstyle="round"/>
                  <v:imagedata o:title=""/>
                  <o:lock v:ext="edit" aspectratio="f"/>
                </v:shape>
                <v:shape id="直接箭头连接符 1710" o:spid="_x0000_s1026" o:spt="32" type="#_x0000_t32" style="position:absolute;left:6576060;top:4015105;height:0;width:36766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xM7WH1gAAAAcBAAAPAAAAAAAA&#10;AAEAIAAAACIAAABkcnMvZG93bnJldi54bWxQSwECFAAUAAAACACHTuJA6tzG6RQCAAALBAAADgAA&#10;AAAAAAABACAAAAAlAQAAZHJzL2Uyb0RvYy54bWxQSwUGAAAAAAYABgBZAQAAqwUAAAAA&#10;">
                  <v:fill on="f" focussize="0,0"/>
                  <v:stroke color="#000000" joinstyle="round"/>
                  <v:imagedata o:title=""/>
                  <o:lock v:ext="edit" aspectratio="f"/>
                </v:shape>
                <v:shape id="直接箭头连接符 1711" o:spid="_x0000_s1026" o:spt="32" type="#_x0000_t32" style="position:absolute;left:6772275;top:4457700;flip:y;height:2540;width:170815;" filled="f" stroked="t" coordsize="21600,21600" o:gfxdata="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QGDVDVAAAABwEA&#10;AA8AAAAAAAAAAQAgAAAAIgAAAGRycy9kb3ducmV2LnhtbFBLAQIUABQAAAAIAIdO4kCApPPMHQIA&#10;ABgEAAAOAAAAAAAAAAEAIAAAACQBAABkcnMvZTJvRG9jLnhtbFBLBQYAAAAABgAGAFkBAACzBQAA&#10;AAA=&#10;">
                  <v:fill on="f" focussize="0,0"/>
                  <v:stroke color="#000000" joinstyle="round"/>
                  <v:imagedata o:title=""/>
                  <o:lock v:ext="edit" aspectratio="f"/>
                </v:shape>
                <v:shape id="流程图: 可选过程 1712" o:spid="_x0000_s1026" o:spt="176" type="#_x0000_t176" style="position:absolute;left:7037070;top:4563745;height:491490;width:1094740;" fillcolor="#808080" filled="t" stroked="t" coordsize="21600,21600" o:gfxdata="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iN7C19cAAAAHAQAADwAAAAAAAAABACAAAAAiAAAAZHJzL2Rvd25yZXYueG1s&#10;UEsBAhQAFAAAAAgAh07iQB/7wNKkAgAAPAUAAA4AAAAAAAAAAQAgAAAAJgEAAGRycy9lMm9Eb2Mu&#10;eG1sUEsFBgAAAAAGAAYAWQEAADwGAAAAAA==&#10;">
                  <v:fill on="t" focussize="0,0"/>
                  <v:stroke color="#F2F2F2" joinstyle="miter"/>
                  <v:imagedata o:title=""/>
                  <o:lock v:ext="edit" aspectratio="f"/>
                  <v:shadow on="t" color="#243F60" opacity="32768f" offset="1pt,2pt" origin="0f,0f" matrix="65536f,0f,0f,65536f"/>
                  <v:textbox inset="0.5mm,1.27mm,0.5mm,1.27mm">
                    <w:txbxContent>
                      <w:p w14:paraId="040409A3">
                        <w:pPr>
                          <w:pStyle w:val="50"/>
                          <w:spacing w:before="0" w:beforeAutospacing="0" w:after="0" w:afterAutospacing="0" w:line="240" w:lineRule="exact"/>
                          <w:jc w:val="center"/>
                        </w:pPr>
                        <w:r>
                          <w:rPr>
                            <w:rFonts w:hint="eastAsia" w:ascii="Times New Roman"/>
                            <w:b/>
                            <w:bCs/>
                            <w:color w:val="FFFFFF"/>
                            <w:kern w:val="2"/>
                            <w:sz w:val="18"/>
                            <w:szCs w:val="18"/>
                          </w:rPr>
                          <w:t>参照屋面工程</w:t>
                        </w:r>
                      </w:p>
                      <w:p w14:paraId="4CC93664">
                        <w:pPr>
                          <w:pStyle w:val="50"/>
                          <w:spacing w:before="0" w:beforeAutospacing="0" w:after="0" w:afterAutospacing="0" w:line="240" w:lineRule="exact"/>
                          <w:jc w:val="center"/>
                        </w:pPr>
                        <w:r>
                          <w:rPr>
                            <w:rFonts w:hint="eastAsia" w:ascii="Times New Roman"/>
                            <w:b/>
                            <w:bCs/>
                            <w:color w:val="FFFFFF"/>
                            <w:kern w:val="2"/>
                            <w:sz w:val="18"/>
                            <w:szCs w:val="18"/>
                          </w:rPr>
                          <w:t>一级设防</w:t>
                        </w:r>
                      </w:p>
                    </w:txbxContent>
                  </v:textbox>
                </v:shape>
                <v:shape id="直接箭头连接符 1713" o:spid="_x0000_s1026" o:spt="32" type="#_x0000_t32" style="position:absolute;left:6740525;top:4822190;height:635;width:29654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xM7WH1gAAAAcBAAAPAAAAAAAA&#10;AAEAIAAAACIAAABkcnMvZG93bnJldi54bWxQSwECFAAUAAAACACHTuJApEMGuhQCAAANBAAADgAA&#10;AAAAAAABACAAAAAlAQAAZHJzL2Uyb0RvYy54bWxQSwUGAAAAAAYABgBZAQAAqwUAAAAA&#10;">
                  <v:fill on="f" focussize="0,0"/>
                  <v:stroke color="#000000" joinstyle="round"/>
                  <v:imagedata o:title=""/>
                  <o:lock v:ext="edit" aspectratio="f"/>
                </v:shape>
                <v:shape id="流程图: 可选过程 1714" o:spid="_x0000_s1026" o:spt="176" type="#_x0000_t176" style="position:absolute;left:7103745;top:3790315;height:670560;width:1094740;" fillcolor="#808080" filled="t" stroked="t" coordsize="21600,21600" o:gfxdata="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IjewtfXAAAABwEAAA8AAAAAAAAAAQAgAAAAIgAAAGRycy9kb3ducmV2Lnht&#10;bFBLAQIUABQAAAAIAIdO4kA2gB73pQIAADwFAAAOAAAAAAAAAAEAIAAAACYBAABkcnMvZTJvRG9j&#10;LnhtbFBLBQYAAAAABgAGAFkBAAA9BgAAAAA=&#10;">
                  <v:fill on="t" focussize="0,0"/>
                  <v:stroke color="#F2F2F2" joinstyle="miter"/>
                  <v:imagedata o:title=""/>
                  <o:lock v:ext="edit" aspectratio="f"/>
                  <v:shadow on="t" color="#243F60" opacity="32768f" offset="1pt,2pt" origin="0f,0f" matrix="65536f,0f,0f,65536f"/>
                  <v:textbox inset="0.5mm,1.27mm,0.5mm,1.27mm">
                    <w:txbxContent>
                      <w:p w14:paraId="0D6317BE">
                        <w:pPr>
                          <w:pStyle w:val="50"/>
                          <w:spacing w:before="0" w:beforeAutospacing="0" w:after="0" w:afterAutospacing="0" w:line="240" w:lineRule="exact"/>
                          <w:rPr>
                            <w:rFonts w:ascii="Times New Roman"/>
                            <w:b/>
                            <w:bCs/>
                            <w:color w:val="FFFFFF"/>
                            <w:kern w:val="2"/>
                            <w:sz w:val="18"/>
                            <w:szCs w:val="18"/>
                          </w:rPr>
                        </w:pPr>
                        <w:r>
                          <w:rPr>
                            <w:rFonts w:hint="eastAsia" w:ascii="Times New Roman"/>
                            <w:b/>
                            <w:bCs/>
                            <w:color w:val="FFFFFF"/>
                            <w:kern w:val="2"/>
                            <w:sz w:val="18"/>
                            <w:szCs w:val="18"/>
                          </w:rPr>
                          <w:t>公司可根据具体情况自行选择防水构造节点</w:t>
                        </w:r>
                      </w:p>
                    </w:txbxContent>
                  </v:textbox>
                </v:shape>
                <v:shape id="流程图: 文档 1715" o:spid="_x0000_s1026" o:spt="114" type="#_x0000_t114" style="position:absolute;left:3764280;top:4803140;height:375920;width:1337945;v-text-anchor:middle;" fillcolor="#7F7F7F" filled="t" stroked="t" coordsize="21600,21600" o:gfxdata="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PCNDJ3VAAAABwEAAA8A&#10;AAAAAAAAAQAgAAAAIgAAAGRycy9kb3ducmV2LnhtbFBLAQIUABQAAAAIAIdO4kANTs3sjAIAABUF&#10;AAAOAAAAAAAAAAEAIAAAACQBAABkcnMvZTJvRG9jLnhtbFBLBQYAAAAABgAGAFkBAAAiBgAAAAA=&#10;">
                  <v:fill on="t" focussize="0,0"/>
                  <v:stroke color="#F2F2F2" joinstyle="miter"/>
                  <v:imagedata o:title=""/>
                  <o:lock v:ext="edit" aspectratio="f"/>
                  <v:shadow on="t" color="#243F60" opacity="32768f" offset="1pt,2pt" origin="0f,0f" matrix="65536f,0f,0f,65536f"/>
                  <v:textbox>
                    <w:txbxContent>
                      <w:p w14:paraId="7400FB4C">
                        <w:pPr>
                          <w:pStyle w:val="50"/>
                          <w:spacing w:before="0" w:beforeAutospacing="0" w:after="0" w:afterAutospacing="0"/>
                          <w:jc w:val="both"/>
                        </w:pPr>
                        <w:r>
                          <w:rPr>
                            <w:rFonts w:hint="eastAsia" w:ascii="Calibri" w:hAnsi="Calibri" w:cs="Times New Roman"/>
                            <w:b/>
                            <w:bCs/>
                            <w:color w:val="FFFFFF"/>
                            <w:kern w:val="2"/>
                            <w:sz w:val="21"/>
                            <w:szCs w:val="21"/>
                          </w:rPr>
                          <w:t>5</w:t>
                        </w:r>
                        <w:r>
                          <w:rPr>
                            <w:rFonts w:ascii="Calibri" w:hAnsi="Calibri" w:cs="Times New Roman"/>
                            <w:b/>
                            <w:bCs/>
                            <w:color w:val="FFFFFF"/>
                            <w:kern w:val="2"/>
                            <w:sz w:val="21"/>
                            <w:szCs w:val="21"/>
                          </w:rPr>
                          <w:t>.</w:t>
                        </w:r>
                        <w:r>
                          <w:rPr>
                            <w:rFonts w:hint="eastAsia" w:ascii="Calibri" w:hAnsi="Calibri" w:cs="Times New Roman"/>
                            <w:b/>
                            <w:bCs/>
                            <w:color w:val="FFFFFF"/>
                            <w:kern w:val="2"/>
                            <w:sz w:val="21"/>
                            <w:szCs w:val="21"/>
                          </w:rPr>
                          <w:t>1</w:t>
                        </w:r>
                        <w:r>
                          <w:rPr>
                            <w:rFonts w:hint="eastAsia" w:ascii="Calibri" w:cs="Times New Roman"/>
                            <w:b/>
                            <w:bCs/>
                            <w:color w:val="FFFFFF"/>
                            <w:kern w:val="2"/>
                            <w:sz w:val="21"/>
                            <w:szCs w:val="21"/>
                          </w:rPr>
                          <w:t>外窗部分</w:t>
                        </w:r>
                      </w:p>
                    </w:txbxContent>
                  </v:textbox>
                </v:shape>
                <v:shape id="直接箭头连接符 1716" o:spid="_x0000_s1026" o:spt="32" type="#_x0000_t32" style="position:absolute;left:3460115;top:5058410;height:462280;width:63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TO1h9YAAAAHAQAADwAAAAAA&#10;AAABACAAAAAiAAAAZHJzL2Rvd25yZXYueG1sUEsBAhQAFAAAAAgAh07iQHGHWC4VAgAADQQAAA4A&#10;AAAAAAAAAQAgAAAAJQEAAGRycy9lMm9Eb2MueG1sUEsFBgAAAAAGAAYAWQEAAKwFAAAAAA==&#10;">
                  <v:fill on="f" focussize="0,0"/>
                  <v:stroke color="#000000" joinstyle="round"/>
                  <v:imagedata o:title=""/>
                  <o:lock v:ext="edit" aspectratio="f"/>
                </v:shape>
                <v:shape id="直接箭头连接符 1717" o:spid="_x0000_s1026" o:spt="32" type="#_x0000_t32" style="position:absolute;left:3460115;top:5515610;height:635;width:31686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EztYfWAAAABwEAAA8AAAAAAAAA&#10;AQAgAAAAIgAAAGRycy9kb3ducmV2LnhtbFBLAQIUABQAAAAIAIdO4kCnJDtKEwIAAA0EAAAOAAAA&#10;AAAAAAEAIAAAACUBAABkcnMvZTJvRG9jLnhtbFBLBQYAAAAABgAGAFkBAACqBQAAAAA=&#10;">
                  <v:fill on="f" focussize="0,0"/>
                  <v:stroke color="#000000" joinstyle="round"/>
                  <v:imagedata o:title=""/>
                  <o:lock v:ext="edit" aspectratio="f"/>
                </v:shape>
                <v:shape id="直接箭头连接符 1718" o:spid="_x0000_s1026" o:spt="32" type="#_x0000_t32" style="position:absolute;left:3460115;top:5051425;height:635;width:31686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TO1h9YAAAAHAQAADwAAAAAA&#10;AAABACAAAAAiAAAAZHJzL2Rvd25yZXYueG1sUEsBAhQAFAAAAAgAh07iQGj0HvwVAgAADQQAAA4A&#10;AAAAAAAAAQAgAAAAJQEAAGRycy9lMm9Eb2MueG1sUEsFBgAAAAAGAAYAWQEAAKwFAAAAAA==&#10;">
                  <v:fill on="f" focussize="0,0"/>
                  <v:stroke color="#000000" joinstyle="round"/>
                  <v:imagedata o:title=""/>
                  <o:lock v:ext="edit" aspectratio="f"/>
                </v:shape>
                <v:shape id="流程图: 文档 1719" o:spid="_x0000_s1026" o:spt="114" type="#_x0000_t114" style="position:absolute;left:3759835;top:6744970;height:380365;width:1336675;v-text-anchor:middle;" fillcolor="#7F7F7F" filled="t" stroked="t" coordsize="21600,21600" o:gfxdata="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8I0MndUAAAAHAQAADwAAAAAA&#10;AAABACAAAAAiAAAAZHJzL2Rvd25yZXYueG1sUEsBAhQAFAAAAAgAh07iQIze1DGIAgAAFQUAAA4A&#10;AAAAAAAAAQAgAAAAJAEAAGRycy9lMm9Eb2MueG1sUEsFBgAAAAAGAAYAWQEAAB4GAAAAAA==&#10;">
                  <v:fill on="t" focussize="0,0"/>
                  <v:stroke color="#F2F2F2" joinstyle="miter"/>
                  <v:imagedata o:title=""/>
                  <o:lock v:ext="edit" aspectratio="f"/>
                  <v:shadow on="t" color="#243F60" opacity="32768f" offset="1pt,2pt" origin="0f,0f" matrix="65536f,0f,0f,65536f"/>
                  <v:textbox>
                    <w:txbxContent>
                      <w:p w14:paraId="05685D3B">
                        <w:pPr>
                          <w:pStyle w:val="50"/>
                          <w:spacing w:before="0" w:beforeAutospacing="0" w:after="0" w:afterAutospacing="0"/>
                          <w:jc w:val="both"/>
                        </w:pPr>
                        <w:r>
                          <w:rPr>
                            <w:rFonts w:hint="eastAsia" w:ascii="Calibri" w:hAnsi="Calibri" w:cs="Times New Roman"/>
                            <w:b/>
                            <w:bCs/>
                            <w:color w:val="FFFFFF"/>
                            <w:sz w:val="21"/>
                            <w:szCs w:val="21"/>
                            <w:lang w:val="en-US" w:eastAsia="zh-CN"/>
                          </w:rPr>
                          <w:t>6</w:t>
                        </w:r>
                        <w:r>
                          <w:rPr>
                            <w:rFonts w:ascii="Calibri" w:hAnsi="Calibri" w:cs="Times New Roman"/>
                            <w:b/>
                            <w:bCs/>
                            <w:color w:val="FFFFFF"/>
                            <w:sz w:val="21"/>
                            <w:szCs w:val="21"/>
                          </w:rPr>
                          <w:t>.1</w:t>
                        </w:r>
                        <w:r>
                          <w:rPr>
                            <w:rFonts w:hint="eastAsia" w:ascii="Calibri" w:hAnsi="Calibri" w:cs="Times New Roman"/>
                            <w:b/>
                            <w:bCs/>
                            <w:color w:val="FFFFFF"/>
                            <w:sz w:val="21"/>
                            <w:szCs w:val="21"/>
                          </w:rPr>
                          <w:t>设备</w:t>
                        </w:r>
                        <w:r>
                          <w:rPr>
                            <w:rFonts w:hint="eastAsia" w:ascii="Calibri" w:hAnsi="Times New Roman" w:cs="Times New Roman"/>
                            <w:b/>
                            <w:bCs/>
                            <w:color w:val="FFFFFF"/>
                            <w:sz w:val="21"/>
                            <w:szCs w:val="21"/>
                          </w:rPr>
                          <w:t>功能性用房</w:t>
                        </w:r>
                      </w:p>
                    </w:txbxContent>
                  </v:textbox>
                </v:shape>
                <v:shape id="直接箭头连接符 1720" o:spid="_x0000_s1026" o:spt="32" type="#_x0000_t32" style="position:absolute;left:3440430;top:6932930;height:1270;width:316865;" filled="f" stroked="t" coordsize="21600,21600" o:gfxdata="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TO1h9YAAAAHAQAADwAAAAAA&#10;AAABACAAAAAiAAAAZHJzL2Rvd25yZXYueG1sUEsBAhQAFAAAAAgAh07iQOCkP4kVAgAADgQAAA4A&#10;AAAAAAAAAQAgAAAAJQEAAGRycy9lMm9Eb2MueG1sUEsFBgAAAAAGAAYAWQEAAKwFAAAAAA==&#10;">
                  <v:fill on="f" focussize="0,0"/>
                  <v:stroke color="#000000" joinstyle="round"/>
                  <v:imagedata o:title=""/>
                  <o:lock v:ext="edit" aspectratio="f"/>
                </v:shape>
                <v:shape id="直接箭头连接符 1721" o:spid="_x0000_s1026" o:spt="32" type="#_x0000_t32" style="position:absolute;left:3330575;top:6696710;flip:y;height:7620;width:7620;" filled="f" stroked="t" coordsize="21600,21600" o:gfxdata="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kgQ++2AAA&#10;AAcBAAAPAAAAAAAAAAEAIAAAACIAAABkcnMvZG93bnJldi54bWxQSwECFAAUAAAACACHTuJApcla&#10;yR4CAAAMBAAADgAAAAAAAAABACAAAAAnAQAAZHJzL2Uyb0RvYy54bWxQSwUGAAAAAAYABgBZAQAA&#10;twUAAAAA&#10;">
                  <v:fill on="f" focussize="0,0"/>
                  <v:stroke color="#000000" joinstyle="round" dashstyle="dash" startarrowwidth="narrow" startarrowlength="short" endarrow="oval" endarrowwidth="narrow" endarrowlength="short"/>
                  <v:imagedata o:title=""/>
                  <o:lock v:ext="edit" aspectratio="f"/>
                </v:shape>
                <w10:wrap type="none"/>
                <w10:anchorlock/>
              </v:group>
            </w:pict>
          </mc:Fallback>
        </mc:AlternateContent>
      </w:r>
    </w:p>
    <w:p w14:paraId="435AA1EE">
      <w:pPr>
        <w:keepNext w:val="0"/>
        <w:keepLines w:val="0"/>
        <w:pageBreakBefore w:val="0"/>
        <w:widowControl w:val="0"/>
        <w:tabs>
          <w:tab w:val="left" w:pos="36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kern w:val="0"/>
          <w:sz w:val="21"/>
          <w:szCs w:val="21"/>
          <w:highlight w:val="none"/>
        </w:rPr>
      </w:pPr>
      <w:r>
        <w:rPr>
          <w:rFonts w:hint="eastAsia" w:ascii="宋体" w:hAnsi="宋体" w:eastAsia="宋体" w:cs="宋体"/>
          <w:b w:val="0"/>
          <w:bCs w:val="0"/>
          <w:color w:val="auto"/>
          <w:kern w:val="0"/>
          <w:sz w:val="21"/>
          <w:szCs w:val="21"/>
          <w:highlight w:val="none"/>
          <w:lang w:val="en-US" w:eastAsia="zh-CN"/>
        </w:rPr>
        <w:t>七</w:t>
      </w:r>
      <w:r>
        <w:rPr>
          <w:rFonts w:hint="eastAsia" w:ascii="宋体" w:hAnsi="宋体" w:eastAsia="宋体" w:cs="宋体"/>
          <w:b w:val="0"/>
          <w:bCs w:val="0"/>
          <w:color w:val="auto"/>
          <w:kern w:val="0"/>
          <w:sz w:val="21"/>
          <w:szCs w:val="21"/>
          <w:highlight w:val="none"/>
          <w:lang w:eastAsia="zh-CN"/>
        </w:rPr>
        <w:t>、</w:t>
      </w:r>
      <w:r>
        <w:rPr>
          <w:rFonts w:hint="eastAsia" w:ascii="宋体" w:hAnsi="宋体" w:eastAsia="宋体" w:cs="宋体"/>
          <w:b w:val="0"/>
          <w:bCs w:val="0"/>
          <w:color w:val="auto"/>
          <w:kern w:val="0"/>
          <w:sz w:val="21"/>
          <w:szCs w:val="21"/>
          <w:highlight w:val="none"/>
        </w:rPr>
        <w:t>各分部工程防渗漏控制重点</w:t>
      </w:r>
    </w:p>
    <w:p w14:paraId="3E57DCE9">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防渗漏工程作为影响建筑产品使用功能最大的隐蔽工程，必须遵循“事前控制、事中控制、事后控制”的三步控制法和“631”的工程管理思路，具体为：</w:t>
      </w:r>
    </w:p>
    <w:p w14:paraId="4F8C6CEF">
      <w:pPr>
        <w:keepNext w:val="0"/>
        <w:keepLines w:val="0"/>
        <w:pageBreakBefore w:val="0"/>
        <w:widowControl w:val="0"/>
        <w:kinsoku/>
        <w:wordWrap/>
        <w:overflowPunct/>
        <w:topLinePunct w:val="0"/>
        <w:autoSpaceDE/>
        <w:autoSpaceDN/>
        <w:bidi w:val="0"/>
        <w:adjustRightInd/>
        <w:snapToGrid/>
        <w:spacing w:line="560" w:lineRule="exact"/>
        <w:ind w:firstLine="420" w:firstLineChars="200"/>
        <w:jc w:val="left"/>
        <w:textAlignment w:val="auto"/>
        <w:outlineLvl w:val="9"/>
        <w:rPr>
          <w:rFonts w:hint="eastAsia" w:ascii="宋体" w:hAnsi="宋体" w:eastAsia="宋体" w:cs="宋体"/>
          <w:b w:val="0"/>
          <w:bCs w:val="0"/>
          <w:color w:val="auto"/>
          <w:kern w:val="0"/>
          <w:sz w:val="21"/>
          <w:szCs w:val="21"/>
          <w:highlight w:val="none"/>
        </w:rPr>
      </w:pPr>
      <w:r>
        <w:rPr>
          <w:rFonts w:hint="eastAsia" w:ascii="宋体" w:hAnsi="宋体" w:eastAsia="宋体" w:cs="宋体"/>
          <w:b w:val="0"/>
          <w:bCs w:val="0"/>
          <w:color w:val="auto"/>
          <w:kern w:val="0"/>
          <w:sz w:val="21"/>
          <w:szCs w:val="21"/>
          <w:highlight w:val="none"/>
          <w:lang w:eastAsia="zh-CN"/>
        </w:rPr>
        <w:t>（一）</w:t>
      </w:r>
      <w:r>
        <w:rPr>
          <w:rFonts w:hint="eastAsia" w:ascii="宋体" w:hAnsi="宋体" w:eastAsia="宋体" w:cs="宋体"/>
          <w:b w:val="0"/>
          <w:bCs w:val="0"/>
          <w:color w:val="auto"/>
          <w:kern w:val="0"/>
          <w:sz w:val="21"/>
          <w:szCs w:val="21"/>
          <w:highlight w:val="none"/>
        </w:rPr>
        <w:t>事前控制</w:t>
      </w:r>
    </w:p>
    <w:p w14:paraId="1F8F1F74">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rPr>
        <w:t>规范依据及遵循原则。</w:t>
      </w:r>
    </w:p>
    <w:p w14:paraId="600A2278">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rPr>
        <w:t>防水设防等级及要求。</w:t>
      </w:r>
    </w:p>
    <w:p w14:paraId="0A6FFEA3">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rPr>
        <w:t>防水材料选用规定。</w:t>
      </w:r>
    </w:p>
    <w:p w14:paraId="15832A08">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4.</w:t>
      </w:r>
      <w:r>
        <w:rPr>
          <w:rFonts w:hint="eastAsia" w:ascii="宋体" w:hAnsi="宋体" w:eastAsia="宋体" w:cs="宋体"/>
          <w:b w:val="0"/>
          <w:bCs w:val="0"/>
          <w:color w:val="auto"/>
          <w:sz w:val="21"/>
          <w:szCs w:val="21"/>
          <w:highlight w:val="none"/>
        </w:rPr>
        <w:t>防水层标准做法选用表。</w:t>
      </w:r>
    </w:p>
    <w:p w14:paraId="1C19028D">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5.</w:t>
      </w:r>
      <w:r>
        <w:rPr>
          <w:rFonts w:hint="eastAsia" w:ascii="宋体" w:hAnsi="宋体" w:eastAsia="宋体" w:cs="宋体"/>
          <w:b w:val="0"/>
          <w:bCs w:val="0"/>
          <w:color w:val="auto"/>
          <w:sz w:val="21"/>
          <w:szCs w:val="21"/>
          <w:highlight w:val="none"/>
        </w:rPr>
        <w:t xml:space="preserve">防水构造层及细部节点大样。 </w:t>
      </w:r>
    </w:p>
    <w:p w14:paraId="64C71706">
      <w:pPr>
        <w:keepNext w:val="0"/>
        <w:keepLines w:val="0"/>
        <w:pageBreakBefore w:val="0"/>
        <w:widowControl w:val="0"/>
        <w:kinsoku/>
        <w:wordWrap/>
        <w:overflowPunct/>
        <w:topLinePunct w:val="0"/>
        <w:autoSpaceDE/>
        <w:autoSpaceDN/>
        <w:bidi w:val="0"/>
        <w:adjustRightInd/>
        <w:snapToGrid/>
        <w:spacing w:line="560" w:lineRule="exact"/>
        <w:ind w:firstLine="420" w:firstLineChars="200"/>
        <w:jc w:val="left"/>
        <w:textAlignment w:val="auto"/>
        <w:outlineLvl w:val="9"/>
        <w:rPr>
          <w:rFonts w:hint="eastAsia" w:ascii="宋体" w:hAnsi="宋体" w:eastAsia="宋体" w:cs="宋体"/>
          <w:b w:val="0"/>
          <w:bCs w:val="0"/>
          <w:color w:val="auto"/>
          <w:kern w:val="0"/>
          <w:sz w:val="21"/>
          <w:szCs w:val="21"/>
          <w:highlight w:val="none"/>
        </w:rPr>
      </w:pPr>
      <w:r>
        <w:rPr>
          <w:rFonts w:hint="eastAsia" w:ascii="宋体" w:hAnsi="宋体" w:eastAsia="宋体" w:cs="宋体"/>
          <w:b w:val="0"/>
          <w:bCs w:val="0"/>
          <w:color w:val="auto"/>
          <w:kern w:val="0"/>
          <w:sz w:val="21"/>
          <w:szCs w:val="21"/>
          <w:highlight w:val="none"/>
          <w:lang w:eastAsia="zh-CN"/>
        </w:rPr>
        <w:t>（二）</w:t>
      </w:r>
      <w:r>
        <w:rPr>
          <w:rFonts w:hint="eastAsia" w:ascii="宋体" w:hAnsi="宋体" w:eastAsia="宋体" w:cs="宋体"/>
          <w:b w:val="0"/>
          <w:bCs w:val="0"/>
          <w:color w:val="auto"/>
          <w:kern w:val="0"/>
          <w:sz w:val="21"/>
          <w:szCs w:val="21"/>
          <w:highlight w:val="none"/>
        </w:rPr>
        <w:t>事中控制和事后控制</w:t>
      </w:r>
    </w:p>
    <w:p w14:paraId="59379E11">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rPr>
        <w:t>施工工艺流程及工作面移交程序。</w:t>
      </w:r>
    </w:p>
    <w:p w14:paraId="5979DEEB">
      <w:pPr>
        <w:keepNext w:val="0"/>
        <w:keepLines w:val="0"/>
        <w:pageBreakBefore w:val="0"/>
        <w:widowControl w:val="0"/>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rPr>
        <w:t>淋蓄水试验及渗漏报事整改。</w:t>
      </w:r>
    </w:p>
    <w:p w14:paraId="647305D4">
      <w:pPr>
        <w:keepNext w:val="0"/>
        <w:keepLines w:val="0"/>
        <w:pageBreakBefore w:val="0"/>
        <w:widowControl w:val="0"/>
        <w:kinsoku/>
        <w:wordWrap/>
        <w:overflowPunct/>
        <w:topLinePunct w:val="0"/>
        <w:autoSpaceDE/>
        <w:autoSpaceDN/>
        <w:bidi w:val="0"/>
        <w:adjustRightInd/>
        <w:snapToGrid/>
        <w:spacing w:line="560" w:lineRule="exact"/>
        <w:ind w:firstLine="420" w:firstLineChars="200"/>
        <w:jc w:val="left"/>
        <w:textAlignment w:val="auto"/>
        <w:outlineLvl w:val="9"/>
        <w:rPr>
          <w:rFonts w:hint="eastAsia" w:ascii="宋体" w:hAnsi="宋体" w:eastAsia="宋体" w:cs="宋体"/>
          <w:b w:val="0"/>
          <w:bCs w:val="0"/>
          <w:color w:val="auto"/>
          <w:kern w:val="0"/>
          <w:sz w:val="21"/>
          <w:szCs w:val="21"/>
          <w:highlight w:val="none"/>
          <w:lang w:eastAsia="zh-CN"/>
        </w:rPr>
      </w:pPr>
      <w:r>
        <w:rPr>
          <w:rFonts w:hint="eastAsia" w:ascii="宋体" w:hAnsi="宋体" w:eastAsia="宋体" w:cs="宋体"/>
          <w:b w:val="0"/>
          <w:bCs w:val="0"/>
          <w:color w:val="auto"/>
          <w:kern w:val="0"/>
          <w:sz w:val="21"/>
          <w:szCs w:val="21"/>
          <w:highlight w:val="none"/>
          <w:lang w:eastAsia="zh-CN"/>
        </w:rPr>
        <w:t>（三）各分部工程防渗漏控制重点“结构树”，详见下图。</w:t>
      </w:r>
    </w:p>
    <w:p w14:paraId="7A05A7E2">
      <w:pPr>
        <w:spacing w:line="360" w:lineRule="auto"/>
        <w:outlineLvl w:val="9"/>
        <w:rPr>
          <w:b/>
          <w:color w:val="auto"/>
          <w:sz w:val="28"/>
          <w:szCs w:val="28"/>
          <w:highlight w:val="none"/>
        </w:rPr>
      </w:pPr>
      <w:r>
        <w:rPr>
          <w:color w:val="auto"/>
          <w:sz w:val="28"/>
          <w:szCs w:val="28"/>
          <w:highlight w:val="none"/>
        </w:rPr>
        <mc:AlternateContent>
          <mc:Choice Requires="wpg">
            <w:drawing>
              <wp:anchor distT="0" distB="0" distL="114300" distR="114300" simplePos="0" relativeHeight="251955200" behindDoc="0" locked="0" layoutInCell="1" allowOverlap="1">
                <wp:simplePos x="0" y="0"/>
                <wp:positionH relativeFrom="column">
                  <wp:posOffset>-245745</wp:posOffset>
                </wp:positionH>
                <wp:positionV relativeFrom="paragraph">
                  <wp:posOffset>36195</wp:posOffset>
                </wp:positionV>
                <wp:extent cx="6153785" cy="3072765"/>
                <wp:effectExtent l="13335" t="15875" r="24130" b="35560"/>
                <wp:wrapNone/>
                <wp:docPr id="262" name="组合 905"/>
                <wp:cNvGraphicFramePr/>
                <a:graphic xmlns:a="http://schemas.openxmlformats.org/drawingml/2006/main">
                  <a:graphicData uri="http://schemas.microsoft.com/office/word/2010/wordprocessingGroup">
                    <wpg:wgp>
                      <wpg:cNvGrpSpPr/>
                      <wpg:grpSpPr>
                        <a:xfrm>
                          <a:off x="0" y="0"/>
                          <a:ext cx="6153785" cy="3072765"/>
                          <a:chOff x="3533" y="101167"/>
                          <a:chExt cx="9691" cy="4839"/>
                        </a:xfrm>
                      </wpg:grpSpPr>
                      <wps:wsp>
                        <wps:cNvPr id="242" name="Rectangle 140"/>
                        <wps:cNvSpPr/>
                        <wps:spPr>
                          <a:xfrm>
                            <a:off x="4268" y="102262"/>
                            <a:ext cx="5670" cy="3744"/>
                          </a:xfrm>
                          <a:prstGeom prst="rect">
                            <a:avLst/>
                          </a:prstGeom>
                          <a:solidFill>
                            <a:srgbClr val="8EB4E3">
                              <a:alpha val="50195"/>
                            </a:srgbClr>
                          </a:solidFill>
                          <a:ln w="6350" cap="flat" cmpd="sng">
                            <a:solidFill>
                              <a:srgbClr val="000000"/>
                            </a:solidFill>
                            <a:prstDash val="dash"/>
                            <a:miter/>
                            <a:headEnd type="none" w="med" len="med"/>
                            <a:tailEnd type="none" w="med" len="med"/>
                          </a:ln>
                        </wps:spPr>
                        <wps:bodyPr lIns="91440" tIns="10800" rIns="91440" bIns="10800" anchor="ctr" anchorCtr="0" upright="1"/>
                      </wps:wsp>
                      <wps:wsp>
                        <wps:cNvPr id="243" name="Rectangle 141"/>
                        <wps:cNvSpPr/>
                        <wps:spPr>
                          <a:xfrm>
                            <a:off x="10043" y="102262"/>
                            <a:ext cx="2520" cy="3744"/>
                          </a:xfrm>
                          <a:prstGeom prst="rect">
                            <a:avLst/>
                          </a:prstGeom>
                          <a:solidFill>
                            <a:srgbClr val="C4BD97">
                              <a:alpha val="50195"/>
                            </a:srgbClr>
                          </a:solidFill>
                          <a:ln w="6350" cap="flat" cmpd="sng">
                            <a:solidFill>
                              <a:srgbClr val="000000"/>
                            </a:solidFill>
                            <a:prstDash val="dash"/>
                            <a:miter/>
                            <a:headEnd type="none" w="med" len="med"/>
                            <a:tailEnd type="none" w="med" len="med"/>
                          </a:ln>
                        </wps:spPr>
                        <wps:bodyPr lIns="91440" tIns="10800" rIns="91440" bIns="10800" anchor="ctr" anchorCtr="0" upright="1"/>
                      </wps:wsp>
                      <wps:wsp>
                        <wps:cNvPr id="244" name="Rectangle 142"/>
                        <wps:cNvSpPr/>
                        <wps:spPr>
                          <a:xfrm rot="5400000">
                            <a:off x="7898" y="99538"/>
                            <a:ext cx="627" cy="3859"/>
                          </a:xfrm>
                          <a:prstGeom prst="rect">
                            <a:avLst/>
                          </a:prstGeom>
                          <a:solidFill>
                            <a:srgbClr val="7F7F7F"/>
                          </a:solidFill>
                          <a:ln w="1587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65F2BF71">
                              <w:pPr>
                                <w:jc w:val="center"/>
                                <w:rPr>
                                  <w:b/>
                                  <w:color w:val="FFFFFF"/>
                                  <w:sz w:val="24"/>
                                </w:rPr>
                              </w:pPr>
                              <w:r>
                                <w:rPr>
                                  <w:rFonts w:hint="eastAsia"/>
                                  <w:b/>
                                  <w:color w:val="FFFFFF"/>
                                  <w:sz w:val="24"/>
                                </w:rPr>
                                <w:t>防渗漏重点控制内容</w:t>
                              </w:r>
                            </w:p>
                            <w:p w14:paraId="5FF7D86C">
                              <w:pPr>
                                <w:rPr>
                                  <w:b/>
                                  <w:color w:val="FFFFFF"/>
                                  <w:sz w:val="28"/>
                                  <w:szCs w:val="28"/>
                                </w:rPr>
                              </w:pPr>
                            </w:p>
                            <w:p w14:paraId="2782CA69">
                              <w:pPr>
                                <w:rPr>
                                  <w:b/>
                                  <w:color w:val="FFFFFF"/>
                                  <w:sz w:val="28"/>
                                  <w:szCs w:val="28"/>
                                </w:rPr>
                              </w:pPr>
                            </w:p>
                            <w:p w14:paraId="4418817A"/>
                          </w:txbxContent>
                        </wps:txbx>
                        <wps:bodyPr lIns="91440" tIns="0" rIns="91440" bIns="0" anchor="ctr" anchorCtr="0" upright="1"/>
                      </wps:wsp>
                      <wps:wsp>
                        <wps:cNvPr id="245" name="Rectangle 143"/>
                        <wps:cNvSpPr/>
                        <wps:spPr>
                          <a:xfrm rot="5400000">
                            <a:off x="3146" y="103889"/>
                            <a:ext cx="3340" cy="557"/>
                          </a:xfrm>
                          <a:prstGeom prst="rec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593B2839">
                              <w:pPr>
                                <w:spacing w:line="360" w:lineRule="auto"/>
                                <w:rPr>
                                  <w:b/>
                                  <w:color w:val="FFFFFF"/>
                                  <w:sz w:val="24"/>
                                </w:rPr>
                              </w:pPr>
                              <w:r>
                                <w:rPr>
                                  <w:rFonts w:hint="eastAsia"/>
                                  <w:b/>
                                  <w:color w:val="FFFFFF"/>
                                  <w:sz w:val="24"/>
                                </w:rPr>
                                <w:t>规范依据及遵循原则</w:t>
                              </w:r>
                            </w:p>
                          </w:txbxContent>
                        </wps:txbx>
                        <wps:bodyPr vert="eaVert" anchor="ctr" anchorCtr="0" upright="1"/>
                      </wps:wsp>
                      <wps:wsp>
                        <wps:cNvPr id="246" name="Rectangle 144"/>
                        <wps:cNvSpPr/>
                        <wps:spPr>
                          <a:xfrm rot="5400000">
                            <a:off x="4333" y="103889"/>
                            <a:ext cx="3340" cy="557"/>
                          </a:xfrm>
                          <a:prstGeom prst="rec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493BBB82">
                              <w:pPr>
                                <w:jc w:val="left"/>
                                <w:rPr>
                                  <w:b/>
                                  <w:color w:val="FFFFFF"/>
                                  <w:sz w:val="24"/>
                                </w:rPr>
                              </w:pPr>
                              <w:r>
                                <w:rPr>
                                  <w:rFonts w:hint="eastAsia"/>
                                  <w:b/>
                                  <w:color w:val="FFFFFF"/>
                                  <w:sz w:val="24"/>
                                </w:rPr>
                                <w:t>防水设防等级及要求</w:t>
                              </w:r>
                            </w:p>
                          </w:txbxContent>
                        </wps:txbx>
                        <wps:bodyPr vert="eaVert" anchor="ctr" anchorCtr="0" upright="1"/>
                      </wps:wsp>
                      <wps:wsp>
                        <wps:cNvPr id="247" name="Rectangle 145"/>
                        <wps:cNvSpPr/>
                        <wps:spPr>
                          <a:xfrm rot="5400000">
                            <a:off x="5456" y="103921"/>
                            <a:ext cx="3276" cy="557"/>
                          </a:xfrm>
                          <a:prstGeom prst="rec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229CD93E">
                              <w:pPr>
                                <w:jc w:val="left"/>
                                <w:rPr>
                                  <w:b/>
                                  <w:color w:val="FFFFFF"/>
                                  <w:sz w:val="24"/>
                                </w:rPr>
                              </w:pPr>
                              <w:r>
                                <w:rPr>
                                  <w:rFonts w:hint="eastAsia"/>
                                  <w:b/>
                                  <w:color w:val="FFFFFF"/>
                                  <w:sz w:val="24"/>
                                </w:rPr>
                                <w:t>防水材料选用规定</w:t>
                              </w:r>
                            </w:p>
                          </w:txbxContent>
                        </wps:txbx>
                        <wps:bodyPr vert="eaVert" anchor="ctr" anchorCtr="0" upright="1"/>
                      </wps:wsp>
                      <wps:wsp>
                        <wps:cNvPr id="248" name="Rectangle 146"/>
                        <wps:cNvSpPr/>
                        <wps:spPr>
                          <a:xfrm rot="5400000">
                            <a:off x="6675" y="103921"/>
                            <a:ext cx="3276" cy="557"/>
                          </a:xfrm>
                          <a:prstGeom prst="rec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51FC4171">
                              <w:pPr>
                                <w:jc w:val="left"/>
                                <w:rPr>
                                  <w:b/>
                                  <w:color w:val="FFFFFF"/>
                                  <w:sz w:val="24"/>
                                </w:rPr>
                              </w:pPr>
                              <w:r>
                                <w:rPr>
                                  <w:rFonts w:hint="eastAsia"/>
                                  <w:b/>
                                  <w:color w:val="FFFFFF"/>
                                  <w:sz w:val="24"/>
                                </w:rPr>
                                <w:t>防水层标准做法选用表</w:t>
                              </w:r>
                            </w:p>
                          </w:txbxContent>
                        </wps:txbx>
                        <wps:bodyPr vert="eaVert" anchor="ctr" anchorCtr="0" upright="1"/>
                      </wps:wsp>
                      <wps:wsp>
                        <wps:cNvPr id="249" name="Rectangle 147"/>
                        <wps:cNvSpPr/>
                        <wps:spPr>
                          <a:xfrm rot="5400000">
                            <a:off x="7864" y="103921"/>
                            <a:ext cx="3276" cy="557"/>
                          </a:xfrm>
                          <a:prstGeom prst="rec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71CDD509">
                              <w:pPr>
                                <w:jc w:val="left"/>
                                <w:rPr>
                                  <w:b/>
                                  <w:color w:val="FFFFFF"/>
                                  <w:sz w:val="24"/>
                                </w:rPr>
                              </w:pPr>
                              <w:r>
                                <w:rPr>
                                  <w:rFonts w:hint="eastAsia"/>
                                  <w:b/>
                                  <w:color w:val="FFFFFF"/>
                                  <w:sz w:val="24"/>
                                </w:rPr>
                                <w:t>防水构造层及细部节点大样</w:t>
                              </w:r>
                            </w:p>
                          </w:txbxContent>
                        </wps:txbx>
                        <wps:bodyPr vert="eaVert" anchor="ctr" anchorCtr="0" upright="1"/>
                      </wps:wsp>
                      <wps:wsp>
                        <wps:cNvPr id="250" name="Rectangle 148"/>
                        <wps:cNvSpPr/>
                        <wps:spPr>
                          <a:xfrm rot="5400000">
                            <a:off x="9090" y="103921"/>
                            <a:ext cx="3276" cy="557"/>
                          </a:xfrm>
                          <a:prstGeom prst="rec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1E30A10C">
                              <w:pPr>
                                <w:jc w:val="left"/>
                                <w:rPr>
                                  <w:b/>
                                  <w:color w:val="FFFFFF"/>
                                </w:rPr>
                              </w:pPr>
                              <w:r>
                                <w:rPr>
                                  <w:rFonts w:hint="eastAsia"/>
                                  <w:b/>
                                  <w:color w:val="FFFFFF"/>
                                </w:rPr>
                                <w:t>施工工艺流程及工作面移交程序</w:t>
                              </w:r>
                            </w:p>
                          </w:txbxContent>
                        </wps:txbx>
                        <wps:bodyPr vert="eaVert" anchor="ctr" anchorCtr="0" upright="1"/>
                      </wps:wsp>
                      <wps:wsp>
                        <wps:cNvPr id="251" name="Rectangle 149"/>
                        <wps:cNvSpPr/>
                        <wps:spPr>
                          <a:xfrm rot="5400000">
                            <a:off x="10245" y="103921"/>
                            <a:ext cx="3276" cy="557"/>
                          </a:xfrm>
                          <a:prstGeom prst="rect">
                            <a:avLst/>
                          </a:prstGeom>
                          <a:solidFill>
                            <a:srgbClr val="808080"/>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32E9BB6C">
                              <w:pPr>
                                <w:jc w:val="left"/>
                                <w:rPr>
                                  <w:b/>
                                  <w:color w:val="FFFFFF"/>
                                  <w:kern w:val="18"/>
                                  <w:sz w:val="24"/>
                                </w:rPr>
                              </w:pPr>
                              <w:r>
                                <w:rPr>
                                  <w:rFonts w:hint="eastAsia"/>
                                  <w:b/>
                                  <w:color w:val="FFFFFF"/>
                                  <w:kern w:val="18"/>
                                  <w:sz w:val="24"/>
                                </w:rPr>
                                <w:t>淋蓄水试验及渗漏报事整改</w:t>
                              </w:r>
                            </w:p>
                          </w:txbxContent>
                        </wps:txbx>
                        <wps:bodyPr vert="eaVert" anchor="ctr" anchorCtr="0" upright="1"/>
                      </wps:wsp>
                      <wps:wsp>
                        <wps:cNvPr id="252" name="Rectangle 150"/>
                        <wps:cNvSpPr/>
                        <wps:spPr>
                          <a:xfrm rot="5400000">
                            <a:off x="1926" y="103843"/>
                            <a:ext cx="3744" cy="557"/>
                          </a:xfrm>
                          <a:prstGeom prst="rect">
                            <a:avLst/>
                          </a:prstGeom>
                          <a:solidFill>
                            <a:srgbClr val="215968"/>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0352B582">
                              <w:pPr>
                                <w:spacing w:line="360" w:lineRule="auto"/>
                                <w:jc w:val="center"/>
                                <w:rPr>
                                  <w:b/>
                                  <w:color w:val="FFFFFF"/>
                                  <w:sz w:val="24"/>
                                </w:rPr>
                              </w:pPr>
                              <w:r>
                                <w:rPr>
                                  <w:rFonts w:hint="eastAsia"/>
                                  <w:b/>
                                  <w:color w:val="FFFFFF"/>
                                  <w:sz w:val="24"/>
                                </w:rPr>
                                <w:t>事前控制</w:t>
                              </w:r>
                              <w:r>
                                <w:rPr>
                                  <w:rFonts w:hint="eastAsia"/>
                                  <w:b/>
                                  <w:color w:val="FFFFFF"/>
                                  <w:sz w:val="18"/>
                                  <w:szCs w:val="18"/>
                                </w:rPr>
                                <w:t>（6）</w:t>
                              </w:r>
                            </w:p>
                          </w:txbxContent>
                        </wps:txbx>
                        <wps:bodyPr anchor="ctr" anchorCtr="0" upright="1"/>
                      </wps:wsp>
                      <wps:wsp>
                        <wps:cNvPr id="253" name="Rectangle 151"/>
                        <wps:cNvSpPr/>
                        <wps:spPr>
                          <a:xfrm rot="5400000">
                            <a:off x="11061" y="103843"/>
                            <a:ext cx="3744" cy="557"/>
                          </a:xfrm>
                          <a:prstGeom prst="rect">
                            <a:avLst/>
                          </a:prstGeom>
                          <a:solidFill>
                            <a:srgbClr val="948A54"/>
                          </a:solidFill>
                          <a:ln w="9525" cap="flat" cmpd="sng">
                            <a:solidFill>
                              <a:srgbClr val="F2F2F2"/>
                            </a:solidFill>
                            <a:prstDash val="solid"/>
                            <a:miter/>
                            <a:headEnd type="none" w="med" len="med"/>
                            <a:tailEnd type="none" w="med" len="med"/>
                          </a:ln>
                          <a:effectLst>
                            <a:outerShdw dist="28398" dir="3806096" algn="ctr" rotWithShape="0">
                              <a:srgbClr val="243F60">
                                <a:alpha val="50000"/>
                              </a:srgbClr>
                            </a:outerShdw>
                          </a:effectLst>
                        </wps:spPr>
                        <wps:txbx>
                          <w:txbxContent>
                            <w:p w14:paraId="09A8CB7D">
                              <w:pPr>
                                <w:jc w:val="center"/>
                                <w:rPr>
                                  <w:b/>
                                  <w:color w:val="FFFFFF"/>
                                  <w:sz w:val="24"/>
                                </w:rPr>
                              </w:pPr>
                              <w:r>
                                <w:rPr>
                                  <w:rFonts w:hint="eastAsia"/>
                                  <w:b/>
                                  <w:color w:val="FFFFFF"/>
                                  <w:sz w:val="24"/>
                                </w:rPr>
                                <w:t>事中</w:t>
                              </w:r>
                              <w:r>
                                <w:rPr>
                                  <w:rFonts w:hint="eastAsia"/>
                                  <w:b/>
                                  <w:color w:val="FFFFFF"/>
                                  <w:sz w:val="18"/>
                                  <w:szCs w:val="18"/>
                                </w:rPr>
                                <w:t>（3）</w:t>
                              </w:r>
                              <w:r>
                                <w:rPr>
                                  <w:rFonts w:hint="eastAsia"/>
                                  <w:b/>
                                  <w:color w:val="FFFFFF"/>
                                  <w:sz w:val="24"/>
                                </w:rPr>
                                <w:t>和事后控制</w:t>
                              </w:r>
                              <w:r>
                                <w:rPr>
                                  <w:rFonts w:hint="eastAsia"/>
                                  <w:b/>
                                  <w:color w:val="FFFFFF"/>
                                  <w:sz w:val="18"/>
                                  <w:szCs w:val="18"/>
                                </w:rPr>
                                <w:t>（1）</w:t>
                              </w:r>
                            </w:p>
                          </w:txbxContent>
                        </wps:txbx>
                        <wps:bodyPr anchor="ctr" anchorCtr="0" upright="1"/>
                      </wps:wsp>
                      <wps:wsp>
                        <wps:cNvPr id="254" name="AutoShape 152"/>
                        <wps:cNvCnPr/>
                        <wps:spPr>
                          <a:xfrm>
                            <a:off x="8326" y="101794"/>
                            <a:ext cx="1" cy="780"/>
                          </a:xfrm>
                          <a:prstGeom prst="straightConnector1">
                            <a:avLst/>
                          </a:prstGeom>
                          <a:ln w="38100" cap="flat" cmpd="sng">
                            <a:solidFill>
                              <a:srgbClr val="17375E"/>
                            </a:solidFill>
                            <a:prstDash val="solid"/>
                            <a:headEnd type="none" w="med" len="med"/>
                            <a:tailEnd type="triangle" w="med" len="med"/>
                          </a:ln>
                        </wps:spPr>
                        <wps:bodyPr/>
                      </wps:wsp>
                      <wps:wsp>
                        <wps:cNvPr id="255" name="AutoShape 153"/>
                        <wps:cNvCnPr/>
                        <wps:spPr>
                          <a:xfrm flipH="1">
                            <a:off x="4791" y="102036"/>
                            <a:ext cx="7141" cy="0"/>
                          </a:xfrm>
                          <a:prstGeom prst="straightConnector1">
                            <a:avLst/>
                          </a:prstGeom>
                          <a:ln w="38100" cap="flat" cmpd="sng">
                            <a:solidFill>
                              <a:srgbClr val="17375E"/>
                            </a:solidFill>
                            <a:prstDash val="solid"/>
                            <a:headEnd type="none" w="med" len="med"/>
                            <a:tailEnd type="none" w="med" len="med"/>
                          </a:ln>
                        </wps:spPr>
                        <wps:bodyPr/>
                      </wps:wsp>
                      <wps:wsp>
                        <wps:cNvPr id="256" name="AutoShape 154"/>
                        <wps:cNvCnPr/>
                        <wps:spPr>
                          <a:xfrm>
                            <a:off x="4791" y="102035"/>
                            <a:ext cx="0" cy="475"/>
                          </a:xfrm>
                          <a:prstGeom prst="straightConnector1">
                            <a:avLst/>
                          </a:prstGeom>
                          <a:ln w="38100" cap="flat" cmpd="sng">
                            <a:solidFill>
                              <a:srgbClr val="17375E"/>
                            </a:solidFill>
                            <a:prstDash val="solid"/>
                            <a:headEnd type="none" w="med" len="med"/>
                            <a:tailEnd type="triangle" w="med" len="med"/>
                          </a:ln>
                        </wps:spPr>
                        <wps:bodyPr/>
                      </wps:wsp>
                      <wps:wsp>
                        <wps:cNvPr id="257" name="AutoShape 155"/>
                        <wps:cNvCnPr/>
                        <wps:spPr>
                          <a:xfrm>
                            <a:off x="6025" y="102035"/>
                            <a:ext cx="0" cy="475"/>
                          </a:xfrm>
                          <a:prstGeom prst="straightConnector1">
                            <a:avLst/>
                          </a:prstGeom>
                          <a:ln w="38100" cap="flat" cmpd="sng">
                            <a:solidFill>
                              <a:srgbClr val="17375E"/>
                            </a:solidFill>
                            <a:prstDash val="solid"/>
                            <a:headEnd type="none" w="med" len="med"/>
                            <a:tailEnd type="triangle" w="med" len="med"/>
                          </a:ln>
                        </wps:spPr>
                        <wps:bodyPr/>
                      </wps:wsp>
                      <wps:wsp>
                        <wps:cNvPr id="258" name="AutoShape 156"/>
                        <wps:cNvCnPr/>
                        <wps:spPr>
                          <a:xfrm>
                            <a:off x="7204" y="102036"/>
                            <a:ext cx="1" cy="538"/>
                          </a:xfrm>
                          <a:prstGeom prst="straightConnector1">
                            <a:avLst/>
                          </a:prstGeom>
                          <a:ln w="38100" cap="flat" cmpd="sng">
                            <a:solidFill>
                              <a:srgbClr val="17375E"/>
                            </a:solidFill>
                            <a:prstDash val="solid"/>
                            <a:headEnd type="none" w="med" len="med"/>
                            <a:tailEnd type="triangle" w="med" len="med"/>
                          </a:ln>
                        </wps:spPr>
                        <wps:bodyPr/>
                      </wps:wsp>
                      <wps:wsp>
                        <wps:cNvPr id="259" name="AutoShape 157"/>
                        <wps:cNvCnPr/>
                        <wps:spPr>
                          <a:xfrm>
                            <a:off x="9516" y="102036"/>
                            <a:ext cx="1" cy="538"/>
                          </a:xfrm>
                          <a:prstGeom prst="straightConnector1">
                            <a:avLst/>
                          </a:prstGeom>
                          <a:ln w="38100" cap="flat" cmpd="sng">
                            <a:solidFill>
                              <a:srgbClr val="17375E"/>
                            </a:solidFill>
                            <a:prstDash val="solid"/>
                            <a:headEnd type="none" w="med" len="med"/>
                            <a:tailEnd type="triangle" w="med" len="med"/>
                          </a:ln>
                        </wps:spPr>
                        <wps:bodyPr/>
                      </wps:wsp>
                      <wps:wsp>
                        <wps:cNvPr id="260" name="AutoShape 158"/>
                        <wps:cNvCnPr/>
                        <wps:spPr>
                          <a:xfrm>
                            <a:off x="10776" y="102036"/>
                            <a:ext cx="1" cy="538"/>
                          </a:xfrm>
                          <a:prstGeom prst="straightConnector1">
                            <a:avLst/>
                          </a:prstGeom>
                          <a:ln w="38100" cap="flat" cmpd="sng">
                            <a:solidFill>
                              <a:srgbClr val="17375E"/>
                            </a:solidFill>
                            <a:prstDash val="solid"/>
                            <a:headEnd type="none" w="med" len="med"/>
                            <a:tailEnd type="triangle" w="med" len="med"/>
                          </a:ln>
                        </wps:spPr>
                        <wps:bodyPr/>
                      </wps:wsp>
                      <wps:wsp>
                        <wps:cNvPr id="261" name="AutoShape 159"/>
                        <wps:cNvCnPr/>
                        <wps:spPr>
                          <a:xfrm>
                            <a:off x="11932" y="102036"/>
                            <a:ext cx="1" cy="609"/>
                          </a:xfrm>
                          <a:prstGeom prst="straightConnector1">
                            <a:avLst/>
                          </a:prstGeom>
                          <a:ln w="38100" cap="flat" cmpd="sng">
                            <a:solidFill>
                              <a:srgbClr val="17375E"/>
                            </a:solidFill>
                            <a:prstDash val="solid"/>
                            <a:headEnd type="none" w="med" len="med"/>
                            <a:tailEnd type="triangle" w="med" len="med"/>
                          </a:ln>
                        </wps:spPr>
                        <wps:bodyPr/>
                      </wps:wsp>
                    </wpg:wgp>
                  </a:graphicData>
                </a:graphic>
              </wp:anchor>
            </w:drawing>
          </mc:Choice>
          <mc:Fallback>
            <w:pict>
              <v:group id="组合 905" o:spid="_x0000_s1026" o:spt="203" style="position:absolute;left:0pt;margin-left:-19.35pt;margin-top:2.85pt;height:241.95pt;width:484.55pt;z-index:251955200;mso-width-relative:page;mso-height-relative:page;" coordorigin="3533,101167" coordsize="9691,4839" o:gfxdata="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">
                <o:lock v:ext="edit" aspectratio="f"/>
                <v:rect id="Rectangle 140" o:spid="_x0000_s1026" o:spt="1" style="position:absolute;left:4268;top:102262;height:3744;width:5670;v-text-anchor:middle;" fillcolor="#8EB4E3" filled="t" stroked="t" coordsize="21600,21600" o:gfxdata="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2xDgvQAA&#10;ANwAAAAPAAAAAAAAAAEAIAAAACIAAABkcnMvZG93bnJldi54bWxQSwECFAAUAAAACACHTuJAMy8F&#10;njsAAAA5AAAAEAAAAAAAAAABACAAAAAMAQAAZHJzL3NoYXBleG1sLnhtbFBLBQYAAAAABgAGAFsB&#10;AAC2AwAAAAA=&#10;">
                  <v:fill on="t" opacity="32895f" focussize="0,0"/>
                  <v:stroke weight="0.5pt" color="#000000" joinstyle="miter" dashstyle="dash"/>
                  <v:imagedata o:title=""/>
                  <o:lock v:ext="edit" aspectratio="f"/>
                  <v:textbox inset="2.54mm,0.3mm,2.54mm,0.3mm"/>
                </v:rect>
                <v:rect id="Rectangle 141" o:spid="_x0000_s1026" o:spt="1" style="position:absolute;left:10043;top:102262;height:3744;width:2520;v-text-anchor:middle;" fillcolor="#C4BD97" filled="t" stroked="t" coordsize="21600,21600" o:gfxdata="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ZqZA2/&#10;AAAA3AAAAA8AAAAAAAAAAQAgAAAAIgAAAGRycy9kb3ducmV2LnhtbFBLAQIUABQAAAAIAIdO4kAz&#10;LwWeOwAAADkAAAAQAAAAAAAAAAEAIAAAAA4BAABkcnMvc2hhcGV4bWwueG1sUEsFBgAAAAAGAAYA&#10;WwEAALgDAAAAAA==&#10;">
                  <v:fill on="t" opacity="32895f" focussize="0,0"/>
                  <v:stroke weight="0.5pt" color="#000000" joinstyle="miter" dashstyle="dash"/>
                  <v:imagedata o:title=""/>
                  <o:lock v:ext="edit" aspectratio="f"/>
                  <v:textbox inset="2.54mm,0.3mm,2.54mm,0.3mm"/>
                </v:rect>
                <v:rect id="Rectangle 142" o:spid="_x0000_s1026" o:spt="1" style="position:absolute;left:7898;top:99538;height:3859;width:627;rotation:5898240f;v-text-anchor:middle;" fillcolor="#7F7F7F" filled="t" stroked="t" coordsize="21600,21600" o:gfxdata="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ZxmgvQAA&#10;ANwAAAAPAAAAAAAAAAEAIAAAACIAAABkcnMvZG93bnJldi54bWxQSwECFAAUAAAACACHTuJAMy8F&#10;njsAAAA5AAAAEAAAAAAAAAABACAAAAAMAQAAZHJzL3NoYXBleG1sLnhtbFBLBQYAAAAABgAGAFsB&#10;AAC2AwAAAAA=&#10;">
                  <v:fill on="t" focussize="0,0"/>
                  <v:stroke weight="1.25pt" color="#F2F2F2" joinstyle="miter"/>
                  <v:imagedata o:title=""/>
                  <o:lock v:ext="edit" aspectratio="f"/>
                  <v:shadow on="t" color="#243F60" opacity="32768f" offset="1pt,2pt" origin="0f,0f" matrix="65536f,0f,0f,65536f"/>
                  <v:textbox inset="2.54mm,0mm,2.54mm,0mm">
                    <w:txbxContent>
                      <w:p w14:paraId="65F2BF71">
                        <w:pPr>
                          <w:jc w:val="center"/>
                          <w:rPr>
                            <w:b/>
                            <w:color w:val="FFFFFF"/>
                            <w:sz w:val="24"/>
                          </w:rPr>
                        </w:pPr>
                        <w:r>
                          <w:rPr>
                            <w:rFonts w:hint="eastAsia"/>
                            <w:b/>
                            <w:color w:val="FFFFFF"/>
                            <w:sz w:val="24"/>
                          </w:rPr>
                          <w:t>防渗漏重点控制内容</w:t>
                        </w:r>
                      </w:p>
                      <w:p w14:paraId="5FF7D86C">
                        <w:pPr>
                          <w:rPr>
                            <w:b/>
                            <w:color w:val="FFFFFF"/>
                            <w:sz w:val="28"/>
                            <w:szCs w:val="28"/>
                          </w:rPr>
                        </w:pPr>
                      </w:p>
                      <w:p w14:paraId="2782CA69">
                        <w:pPr>
                          <w:rPr>
                            <w:b/>
                            <w:color w:val="FFFFFF"/>
                            <w:sz w:val="28"/>
                            <w:szCs w:val="28"/>
                          </w:rPr>
                        </w:pPr>
                      </w:p>
                      <w:p w14:paraId="4418817A"/>
                    </w:txbxContent>
                  </v:textbox>
                </v:rect>
                <v:rect id="Rectangle 143" o:spid="_x0000_s1026" o:spt="1" style="position:absolute;left:3146;top:103889;height:557;width:3340;rotation:5898240f;v-text-anchor:middle;" fillcolor="#808080" filled="t" stroked="t" coordsize="21600,21600" o:gfxdata="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TJE0K/&#10;AAAA3AAAAA8AAAAAAAAAAQAgAAAAIgAAAGRycy9kb3ducmV2LnhtbFBLAQIUABQAAAAIAIdO4kAz&#10;LwWeOwAAADkAAAAQAAAAAAAAAAEAIAAAAA4BAABkcnMvc2hhcGV4bWwueG1sUEsFBgAAAAAGAAYA&#10;WwEAALgDAAAAAA==&#10;">
                  <v:fill on="t" focussize="0,0"/>
                  <v:stroke color="#F2F2F2" joinstyle="miter"/>
                  <v:imagedata o:title=""/>
                  <o:lock v:ext="edit" aspectratio="f"/>
                  <v:shadow on="t" color="#243F60" opacity="32768f" offset="1pt,2pt" origin="0f,0f" matrix="65536f,0f,0f,65536f"/>
                  <v:textbox style="layout-flow:vertical-ideographic;">
                    <w:txbxContent>
                      <w:p w14:paraId="593B2839">
                        <w:pPr>
                          <w:spacing w:line="360" w:lineRule="auto"/>
                          <w:rPr>
                            <w:b/>
                            <w:color w:val="FFFFFF"/>
                            <w:sz w:val="24"/>
                          </w:rPr>
                        </w:pPr>
                        <w:r>
                          <w:rPr>
                            <w:rFonts w:hint="eastAsia"/>
                            <w:b/>
                            <w:color w:val="FFFFFF"/>
                            <w:sz w:val="24"/>
                          </w:rPr>
                          <w:t>规范依据及遵循原则</w:t>
                        </w:r>
                      </w:p>
                    </w:txbxContent>
                  </v:textbox>
                </v:rect>
                <v:rect id="Rectangle 144" o:spid="_x0000_s1026" o:spt="1" style="position:absolute;left:4333;top:103889;height:557;width:3340;rotation:5898240f;v-text-anchor:middle;" fillcolor="#808080" filled="t" stroked="t" coordsize="21600,21600" o:gfxdata="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QbjTW/&#10;AAAA3AAAAA8AAAAAAAAAAQAgAAAAIgAAAGRycy9kb3ducmV2LnhtbFBLAQIUABQAAAAIAIdO4kAz&#10;LwWeOwAAADkAAAAQAAAAAAAAAAEAIAAAAA4BAABkcnMvc2hhcGV4bWwueG1sUEsFBgAAAAAGAAYA&#10;WwEAALgDAAAAAA==&#10;">
                  <v:fill on="t" focussize="0,0"/>
                  <v:stroke color="#F2F2F2" joinstyle="miter"/>
                  <v:imagedata o:title=""/>
                  <o:lock v:ext="edit" aspectratio="f"/>
                  <v:shadow on="t" color="#243F60" opacity="32768f" offset="1pt,2pt" origin="0f,0f" matrix="65536f,0f,0f,65536f"/>
                  <v:textbox style="layout-flow:vertical-ideographic;">
                    <w:txbxContent>
                      <w:p w14:paraId="493BBB82">
                        <w:pPr>
                          <w:jc w:val="left"/>
                          <w:rPr>
                            <w:b/>
                            <w:color w:val="FFFFFF"/>
                            <w:sz w:val="24"/>
                          </w:rPr>
                        </w:pPr>
                        <w:r>
                          <w:rPr>
                            <w:rFonts w:hint="eastAsia"/>
                            <w:b/>
                            <w:color w:val="FFFFFF"/>
                            <w:sz w:val="24"/>
                          </w:rPr>
                          <w:t>防水设防等级及要求</w:t>
                        </w:r>
                      </w:p>
                    </w:txbxContent>
                  </v:textbox>
                </v:rect>
                <v:rect id="Rectangle 145" o:spid="_x0000_s1026" o:spt="1" style="position:absolute;left:5456;top:103921;height:557;width:3276;rotation:5898240f;v-text-anchor:middle;" fillcolor="#808080" filled="t" stroked="t" coordsize="21600,21600" o:gfxdata="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tXKK6/&#10;AAAA3AAAAA8AAAAAAAAAAQAgAAAAIgAAAGRycy9kb3ducmV2LnhtbFBLAQIUABQAAAAIAIdO4kAz&#10;LwWeOwAAADkAAAAQAAAAAAAAAAEAIAAAAA4BAABkcnMvc2hhcGV4bWwueG1sUEsFBgAAAAAGAAYA&#10;WwEAALgDAAAAAA==&#10;">
                  <v:fill on="t" focussize="0,0"/>
                  <v:stroke color="#F2F2F2" joinstyle="miter"/>
                  <v:imagedata o:title=""/>
                  <o:lock v:ext="edit" aspectratio="f"/>
                  <v:shadow on="t" color="#243F60" opacity="32768f" offset="1pt,2pt" origin="0f,0f" matrix="65536f,0f,0f,65536f"/>
                  <v:textbox style="layout-flow:vertical-ideographic;">
                    <w:txbxContent>
                      <w:p w14:paraId="229CD93E">
                        <w:pPr>
                          <w:jc w:val="left"/>
                          <w:rPr>
                            <w:b/>
                            <w:color w:val="FFFFFF"/>
                            <w:sz w:val="24"/>
                          </w:rPr>
                        </w:pPr>
                        <w:r>
                          <w:rPr>
                            <w:rFonts w:hint="eastAsia"/>
                            <w:b/>
                            <w:color w:val="FFFFFF"/>
                            <w:sz w:val="24"/>
                          </w:rPr>
                          <w:t>防水材料选用规定</w:t>
                        </w:r>
                      </w:p>
                    </w:txbxContent>
                  </v:textbox>
                </v:rect>
                <v:rect id="Rectangle 146" o:spid="_x0000_s1026" o:spt="1" style="position:absolute;left:6675;top:103921;height:557;width:3276;rotation:5898240f;v-text-anchor:middle;" fillcolor="#808080" filled="t" stroked="t" coordsize="21600,21600" o:gfxdata="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IvNy8AAAA&#10;3AAAAA8AAAAAAAAAAQAgAAAAIgAAAGRycy9kb3ducmV2LnhtbFBLAQIUABQAAAAIAIdO4kAzLwWe&#10;OwAAADkAAAAQAAAAAAAAAAEAIAAAAAsBAABkcnMvc2hhcGV4bWwueG1sUEsFBgAAAAAGAAYAWwEA&#10;ALUDAAAAAA==&#10;">
                  <v:fill on="t" focussize="0,0"/>
                  <v:stroke color="#F2F2F2" joinstyle="miter"/>
                  <v:imagedata o:title=""/>
                  <o:lock v:ext="edit" aspectratio="f"/>
                  <v:shadow on="t" color="#243F60" opacity="32768f" offset="1pt,2pt" origin="0f,0f" matrix="65536f,0f,0f,65536f"/>
                  <v:textbox style="layout-flow:vertical-ideographic;">
                    <w:txbxContent>
                      <w:p w14:paraId="51FC4171">
                        <w:pPr>
                          <w:jc w:val="left"/>
                          <w:rPr>
                            <w:b/>
                            <w:color w:val="FFFFFF"/>
                            <w:sz w:val="24"/>
                          </w:rPr>
                        </w:pPr>
                        <w:r>
                          <w:rPr>
                            <w:rFonts w:hint="eastAsia"/>
                            <w:b/>
                            <w:color w:val="FFFFFF"/>
                            <w:sz w:val="24"/>
                          </w:rPr>
                          <w:t>防水层标准做法选用表</w:t>
                        </w:r>
                      </w:p>
                    </w:txbxContent>
                  </v:textbox>
                </v:rect>
                <v:rect id="Rectangle 147" o:spid="_x0000_s1026" o:spt="1" style="position:absolute;left:7864;top:103921;height:557;width:3276;rotation:5898240f;v-text-anchor:middle;" fillcolor="#808080" filled="t" stroked="t" coordsize="21600,21600" o:gfxdata="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WEGUe/&#10;AAAA3AAAAA8AAAAAAAAAAQAgAAAAIgAAAGRycy9kb3ducmV2LnhtbFBLAQIUABQAAAAIAIdO4kAz&#10;LwWeOwAAADkAAAAQAAAAAAAAAAEAIAAAAA4BAABkcnMvc2hhcGV4bWwueG1sUEsFBgAAAAAGAAYA&#10;WwEAALgDAAAAAA==&#10;">
                  <v:fill on="t" focussize="0,0"/>
                  <v:stroke color="#F2F2F2" joinstyle="miter"/>
                  <v:imagedata o:title=""/>
                  <o:lock v:ext="edit" aspectratio="f"/>
                  <v:shadow on="t" color="#243F60" opacity="32768f" offset="1pt,2pt" origin="0f,0f" matrix="65536f,0f,0f,65536f"/>
                  <v:textbox style="layout-flow:vertical-ideographic;">
                    <w:txbxContent>
                      <w:p w14:paraId="71CDD509">
                        <w:pPr>
                          <w:jc w:val="left"/>
                          <w:rPr>
                            <w:b/>
                            <w:color w:val="FFFFFF"/>
                            <w:sz w:val="24"/>
                          </w:rPr>
                        </w:pPr>
                        <w:r>
                          <w:rPr>
                            <w:rFonts w:hint="eastAsia"/>
                            <w:b/>
                            <w:color w:val="FFFFFF"/>
                            <w:sz w:val="24"/>
                          </w:rPr>
                          <w:t>防水构造层及细部节点大样</w:t>
                        </w:r>
                      </w:p>
                    </w:txbxContent>
                  </v:textbox>
                </v:rect>
                <v:rect id="Rectangle 148" o:spid="_x0000_s1026" o:spt="1" style="position:absolute;left:9090;top:103921;height:557;width:3276;rotation:5898240f;v-text-anchor:middle;" fillcolor="#808080" filled="t" stroked="t" coordsize="21600,21600" o:gfxdata="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FnJge8AAAA&#10;3AAAAA8AAAAAAAAAAQAgAAAAIgAAAGRycy9kb3ducmV2LnhtbFBLAQIUABQAAAAIAIdO4kAzLwWe&#10;OwAAADkAAAAQAAAAAAAAAAEAIAAAAAsBAABkcnMvc2hhcGV4bWwueG1sUEsFBgAAAAAGAAYAWwEA&#10;ALUDAAAAAA==&#10;">
                  <v:fill on="t" focussize="0,0"/>
                  <v:stroke color="#F2F2F2" joinstyle="miter"/>
                  <v:imagedata o:title=""/>
                  <o:lock v:ext="edit" aspectratio="f"/>
                  <v:shadow on="t" color="#243F60" opacity="32768f" offset="1pt,2pt" origin="0f,0f" matrix="65536f,0f,0f,65536f"/>
                  <v:textbox style="layout-flow:vertical-ideographic;">
                    <w:txbxContent>
                      <w:p w14:paraId="1E30A10C">
                        <w:pPr>
                          <w:jc w:val="left"/>
                          <w:rPr>
                            <w:b/>
                            <w:color w:val="FFFFFF"/>
                          </w:rPr>
                        </w:pPr>
                        <w:r>
                          <w:rPr>
                            <w:rFonts w:hint="eastAsia"/>
                            <w:b/>
                            <w:color w:val="FFFFFF"/>
                          </w:rPr>
                          <w:t>施工工艺流程及工作面移交程序</w:t>
                        </w:r>
                      </w:p>
                    </w:txbxContent>
                  </v:textbox>
                </v:rect>
                <v:rect id="Rectangle 149" o:spid="_x0000_s1026" o:spt="1" style="position:absolute;left:10245;top:103921;height:557;width:3276;rotation:5898240f;v-text-anchor:middle;" fillcolor="#808080" filled="t" stroked="t" coordsize="21600,21600" o:gfxdata="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4rg5y/&#10;AAAA3AAAAA8AAAAAAAAAAQAgAAAAIgAAAGRycy9kb3ducmV2LnhtbFBLAQIUABQAAAAIAIdO4kAz&#10;LwWeOwAAADkAAAAQAAAAAAAAAAEAIAAAAA4BAABkcnMvc2hhcGV4bWwueG1sUEsFBgAAAAAGAAYA&#10;WwEAALgDAAAAAA==&#10;">
                  <v:fill on="t" focussize="0,0"/>
                  <v:stroke color="#F2F2F2" joinstyle="miter"/>
                  <v:imagedata o:title=""/>
                  <o:lock v:ext="edit" aspectratio="f"/>
                  <v:shadow on="t" color="#243F60" opacity="32768f" offset="1pt,2pt" origin="0f,0f" matrix="65536f,0f,0f,65536f"/>
                  <v:textbox style="layout-flow:vertical-ideographic;">
                    <w:txbxContent>
                      <w:p w14:paraId="32E9BB6C">
                        <w:pPr>
                          <w:jc w:val="left"/>
                          <w:rPr>
                            <w:b/>
                            <w:color w:val="FFFFFF"/>
                            <w:kern w:val="18"/>
                            <w:sz w:val="24"/>
                          </w:rPr>
                        </w:pPr>
                        <w:r>
                          <w:rPr>
                            <w:rFonts w:hint="eastAsia"/>
                            <w:b/>
                            <w:color w:val="FFFFFF"/>
                            <w:kern w:val="18"/>
                            <w:sz w:val="24"/>
                          </w:rPr>
                          <w:t>淋蓄水试验及渗漏报事整改</w:t>
                        </w:r>
                      </w:p>
                    </w:txbxContent>
                  </v:textbox>
                </v:rect>
                <v:rect id="Rectangle 150" o:spid="_x0000_s1026" o:spt="1" style="position:absolute;left:1926;top:103843;height:557;width:3744;rotation:5898240f;v-text-anchor:middle;" fillcolor="#215968" filled="t" stroked="t" coordsize="21600,21600" o:gfxdata="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t6c9b4A&#10;AADcAAAADwAAAAAAAAABACAAAAAiAAAAZHJzL2Rvd25yZXYueG1sUEsBAhQAFAAAAAgAh07iQDMv&#10;BZ47AAAAOQAAABAAAAAAAAAAAQAgAAAADQEAAGRycy9zaGFwZXhtbC54bWxQSwUGAAAAAAYABgBb&#10;AQAAtwMAAAAA&#10;">
                  <v:fill on="t" focussize="0,0"/>
                  <v:stroke color="#F2F2F2" joinstyle="miter"/>
                  <v:imagedata o:title=""/>
                  <o:lock v:ext="edit" aspectratio="f"/>
                  <v:shadow on="t" color="#243F60" opacity="32768f" offset="1pt,2pt" origin="0f,0f" matrix="65536f,0f,0f,65536f"/>
                  <v:textbox>
                    <w:txbxContent>
                      <w:p w14:paraId="0352B582">
                        <w:pPr>
                          <w:spacing w:line="360" w:lineRule="auto"/>
                          <w:jc w:val="center"/>
                          <w:rPr>
                            <w:b/>
                            <w:color w:val="FFFFFF"/>
                            <w:sz w:val="24"/>
                          </w:rPr>
                        </w:pPr>
                        <w:r>
                          <w:rPr>
                            <w:rFonts w:hint="eastAsia"/>
                            <w:b/>
                            <w:color w:val="FFFFFF"/>
                            <w:sz w:val="24"/>
                          </w:rPr>
                          <w:t>事前控制</w:t>
                        </w:r>
                        <w:r>
                          <w:rPr>
                            <w:rFonts w:hint="eastAsia"/>
                            <w:b/>
                            <w:color w:val="FFFFFF"/>
                            <w:sz w:val="18"/>
                            <w:szCs w:val="18"/>
                          </w:rPr>
                          <w:t>（6）</w:t>
                        </w:r>
                      </w:p>
                    </w:txbxContent>
                  </v:textbox>
                </v:rect>
                <v:rect id="Rectangle 151" o:spid="_x0000_s1026" o:spt="1" style="position:absolute;left:11061;top:103843;height:557;width:3744;rotation:5898240f;v-text-anchor:middle;" fillcolor="#948A54" filled="t" stroked="t" coordsize="21600,21600" o:gfxdata="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aC+bvQAA&#10;ANwAAAAPAAAAAAAAAAEAIAAAACIAAABkcnMvZG93bnJldi54bWxQSwECFAAUAAAACACHTuJAMy8F&#10;njsAAAA5AAAAEAAAAAAAAAABACAAAAAMAQAAZHJzL3NoYXBleG1sLnhtbFBLBQYAAAAABgAGAFsB&#10;AAC2AwAAAAA=&#10;">
                  <v:fill on="t" focussize="0,0"/>
                  <v:stroke color="#F2F2F2" joinstyle="miter"/>
                  <v:imagedata o:title=""/>
                  <o:lock v:ext="edit" aspectratio="f"/>
                  <v:shadow on="t" color="#243F60" opacity="32768f" offset="1pt,2pt" origin="0f,0f" matrix="65536f,0f,0f,65536f"/>
                  <v:textbox>
                    <w:txbxContent>
                      <w:p w14:paraId="09A8CB7D">
                        <w:pPr>
                          <w:jc w:val="center"/>
                          <w:rPr>
                            <w:b/>
                            <w:color w:val="FFFFFF"/>
                            <w:sz w:val="24"/>
                          </w:rPr>
                        </w:pPr>
                        <w:r>
                          <w:rPr>
                            <w:rFonts w:hint="eastAsia"/>
                            <w:b/>
                            <w:color w:val="FFFFFF"/>
                            <w:sz w:val="24"/>
                          </w:rPr>
                          <w:t>事中</w:t>
                        </w:r>
                        <w:r>
                          <w:rPr>
                            <w:rFonts w:hint="eastAsia"/>
                            <w:b/>
                            <w:color w:val="FFFFFF"/>
                            <w:sz w:val="18"/>
                            <w:szCs w:val="18"/>
                          </w:rPr>
                          <w:t>（3）</w:t>
                        </w:r>
                        <w:r>
                          <w:rPr>
                            <w:rFonts w:hint="eastAsia"/>
                            <w:b/>
                            <w:color w:val="FFFFFF"/>
                            <w:sz w:val="24"/>
                          </w:rPr>
                          <w:t>和事后控制</w:t>
                        </w:r>
                        <w:r>
                          <w:rPr>
                            <w:rFonts w:hint="eastAsia"/>
                            <w:b/>
                            <w:color w:val="FFFFFF"/>
                            <w:sz w:val="18"/>
                            <w:szCs w:val="18"/>
                          </w:rPr>
                          <w:t>（1）</w:t>
                        </w:r>
                      </w:p>
                    </w:txbxContent>
                  </v:textbox>
                </v:rect>
                <v:shape id="AutoShape 152" o:spid="_x0000_s1026" o:spt="32" type="#_x0000_t32" style="position:absolute;left:8326;top:101794;height:780;width:1;" filled="f" stroked="t" coordsize="21600,21600" o:gfxdata="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K8VOL4A&#10;AADcAAAADwAAAAAAAAABACAAAAAiAAAAZHJzL2Rvd25yZXYueG1sUEsBAhQAFAAAAAgAh07iQDMv&#10;BZ47AAAAOQAAABAAAAAAAAAAAQAgAAAADQEAAGRycy9zaGFwZXhtbC54bWxQSwUGAAAAAAYABgBb&#10;AQAAtwMAAAAA&#10;">
                  <v:fill on="f" focussize="0,0"/>
                  <v:stroke weight="3pt" color="#17375E" joinstyle="round" endarrow="block"/>
                  <v:imagedata o:title=""/>
                  <o:lock v:ext="edit" aspectratio="f"/>
                </v:shape>
                <v:shape id="AutoShape 153" o:spid="_x0000_s1026" o:spt="32" type="#_x0000_t32" style="position:absolute;left:4791;top:102036;flip:x;height:0;width:7141;" filled="f" stroked="t" coordsize="21600,21600" o:gfxdata="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pTrEvQAA&#10;ANwAAAAPAAAAAAAAAAEAIAAAACIAAABkcnMvZG93bnJldi54bWxQSwECFAAUAAAACACHTuJAMy8F&#10;njsAAAA5AAAAEAAAAAAAAAABACAAAAAMAQAAZHJzL3NoYXBleG1sLnhtbFBLBQYAAAAABgAGAFsB&#10;AAC2AwAAAAA=&#10;">
                  <v:fill on="f" focussize="0,0"/>
                  <v:stroke weight="3pt" color="#17375E" joinstyle="round"/>
                  <v:imagedata o:title=""/>
                  <o:lock v:ext="edit" aspectratio="f"/>
                </v:shape>
                <v:shape id="AutoShape 154" o:spid="_x0000_s1026" o:spt="32" type="#_x0000_t32" style="position:absolute;left:4791;top:102035;height:475;width:0;" filled="f" stroked="t" coordsize="21600,21600" o:gfxdata="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zEu1L4A&#10;AADcAAAADwAAAAAAAAABACAAAAAiAAAAZHJzL2Rvd25yZXYueG1sUEsBAhQAFAAAAAgAh07iQDMv&#10;BZ47AAAAOQAAABAAAAAAAAAAAQAgAAAADQEAAGRycy9zaGFwZXhtbC54bWxQSwUGAAAAAAYABgBb&#10;AQAAtwMAAAAA&#10;">
                  <v:fill on="f" focussize="0,0"/>
                  <v:stroke weight="3pt" color="#17375E" joinstyle="round" endarrow="block"/>
                  <v:imagedata o:title=""/>
                  <o:lock v:ext="edit" aspectratio="f"/>
                </v:shape>
                <v:shape id="AutoShape 155" o:spid="_x0000_s1026" o:spt="32" type="#_x0000_t32" style="position:absolute;left:6025;top:102035;height:475;width:0;" filled="f" stroked="t" coordsize="21600,21600" o:gfxdata="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h9i0+/&#10;AAAA3AAAAA8AAAAAAAAAAQAgAAAAIgAAAGRycy9kb3ducmV2LnhtbFBLAQIUABQAAAAIAIdO4kAz&#10;LwWeOwAAADkAAAAQAAAAAAAAAAEAIAAAAA4BAABkcnMvc2hhcGV4bWwueG1sUEsFBgAAAAAGAAYA&#10;WwEAALgDAAAAAA==&#10;">
                  <v:fill on="f" focussize="0,0"/>
                  <v:stroke weight="3pt" color="#17375E" joinstyle="round" endarrow="block"/>
                  <v:imagedata o:title=""/>
                  <o:lock v:ext="edit" aspectratio="f"/>
                </v:shape>
                <v:shape id="AutoShape 156" o:spid="_x0000_s1026" o:spt="32" type="#_x0000_t32" style="position:absolute;left:7204;top:102036;height:538;width:1;" filled="f" stroked="t" coordsize="21600,21600" o:gfxdata="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4h89vQAA&#10;ANwAAAAPAAAAAAAAAAEAIAAAACIAAABkcnMvZG93bnJldi54bWxQSwECFAAUAAAACACHTuJAMy8F&#10;njsAAAA5AAAAEAAAAAAAAAABACAAAAAMAQAAZHJzL3NoYXBleG1sLnhtbFBLBQYAAAAABgAGAFsB&#10;AAC2AwAAAAA=&#10;">
                  <v:fill on="f" focussize="0,0"/>
                  <v:stroke weight="3pt" color="#17375E" joinstyle="round" endarrow="block"/>
                  <v:imagedata o:title=""/>
                  <o:lock v:ext="edit" aspectratio="f"/>
                </v:shape>
                <v:shape id="AutoShape 157" o:spid="_x0000_s1026" o:spt="32" type="#_x0000_t32" style="position:absolute;left:9516;top:102036;height:538;width:1;" filled="f" stroked="t" coordsize="21600,21600" o:gfxdata="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q66pr4A&#10;AADcAAAADwAAAAAAAAABACAAAAAiAAAAZHJzL2Rvd25yZXYueG1sUEsBAhQAFAAAAAgAh07iQDMv&#10;BZ47AAAAOQAAABAAAAAAAAAAAQAgAAAADQEAAGRycy9zaGFwZXhtbC54bWxQSwUGAAAAAAYABgBb&#10;AQAAtwMAAAAA&#10;">
                  <v:fill on="f" focussize="0,0"/>
                  <v:stroke weight="3pt" color="#17375E" joinstyle="round" endarrow="block"/>
                  <v:imagedata o:title=""/>
                  <o:lock v:ext="edit" aspectratio="f"/>
                </v:shape>
                <v:shape id="AutoShape 158" o:spid="_x0000_s1026" o:spt="32" type="#_x0000_t32" style="position:absolute;left:10776;top:102036;height:538;width:1;" filled="f" stroked="t" coordsize="21600,21600" o:gfxdata="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NmGugAAANwA&#10;AAAPAAAAAAAAAAEAIAAAACIAAABkcnMvZG93bnJldi54bWxQSwECFAAUAAAACACHTuJAMy8FnjsA&#10;AAA5AAAAEAAAAAAAAAABACAAAAAJAQAAZHJzL3NoYXBleG1sLnhtbFBLBQYAAAAABgAGAFsBAACz&#10;AwAAAAA=&#10;">
                  <v:fill on="f" focussize="0,0"/>
                  <v:stroke weight="3pt" color="#17375E" joinstyle="round" endarrow="block"/>
                  <v:imagedata o:title=""/>
                  <o:lock v:ext="edit" aspectratio="f"/>
                </v:shape>
                <v:shape id="AutoShape 159" o:spid="_x0000_s1026" o:spt="32" type="#_x0000_t32" style="position:absolute;left:11932;top:102036;height:609;width:1;" filled="f" stroked="t" coordsize="21600,21600" o:gfxdata="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a0fB2/&#10;AAAA3AAAAA8AAAAAAAAAAQAgAAAAIgAAAGRycy9kb3ducmV2LnhtbFBLAQIUABQAAAAIAIdO4kAz&#10;LwWeOwAAADkAAAAQAAAAAAAAAAEAIAAAAA4BAABkcnMvc2hhcGV4bWwueG1sUEsFBgAAAAAGAAYA&#10;WwEAALgDAAAAAA==&#10;">
                  <v:fill on="f" focussize="0,0"/>
                  <v:stroke weight="3pt" color="#17375E" joinstyle="round" endarrow="block"/>
                  <v:imagedata o:title=""/>
                  <o:lock v:ext="edit" aspectratio="f"/>
                </v:shape>
              </v:group>
            </w:pict>
          </mc:Fallback>
        </mc:AlternateContent>
      </w:r>
    </w:p>
    <w:p w14:paraId="5549AA0D">
      <w:pPr>
        <w:spacing w:line="360" w:lineRule="auto"/>
        <w:outlineLvl w:val="9"/>
        <w:rPr>
          <w:b/>
          <w:color w:val="auto"/>
          <w:sz w:val="28"/>
          <w:szCs w:val="28"/>
          <w:highlight w:val="none"/>
        </w:rPr>
      </w:pPr>
    </w:p>
    <w:p w14:paraId="53E78AD8">
      <w:pPr>
        <w:spacing w:line="360" w:lineRule="auto"/>
        <w:outlineLvl w:val="9"/>
        <w:rPr>
          <w:b/>
          <w:color w:val="auto"/>
          <w:sz w:val="24"/>
          <w:highlight w:val="none"/>
        </w:rPr>
      </w:pPr>
    </w:p>
    <w:p w14:paraId="1E113EC6">
      <w:pPr>
        <w:spacing w:line="360" w:lineRule="auto"/>
        <w:outlineLvl w:val="9"/>
        <w:rPr>
          <w:b/>
          <w:color w:val="auto"/>
          <w:sz w:val="24"/>
          <w:highlight w:val="none"/>
        </w:rPr>
      </w:pPr>
    </w:p>
    <w:p w14:paraId="6A291FA0">
      <w:pPr>
        <w:spacing w:line="360" w:lineRule="auto"/>
        <w:outlineLvl w:val="9"/>
        <w:rPr>
          <w:b/>
          <w:color w:val="auto"/>
          <w:sz w:val="24"/>
          <w:highlight w:val="none"/>
        </w:rPr>
      </w:pPr>
    </w:p>
    <w:p w14:paraId="1F943397">
      <w:pPr>
        <w:spacing w:line="360" w:lineRule="auto"/>
        <w:jc w:val="left"/>
        <w:outlineLvl w:val="9"/>
        <w:rPr>
          <w:rFonts w:ascii="楷体_GB2312" w:hAnsi="宋体" w:eastAsia="楷体_GB2312" w:cs="宋体"/>
          <w:b/>
          <w:bCs/>
          <w:color w:val="auto"/>
          <w:kern w:val="0"/>
          <w:sz w:val="28"/>
          <w:szCs w:val="28"/>
          <w:highlight w:val="none"/>
        </w:rPr>
      </w:pPr>
    </w:p>
    <w:p w14:paraId="1E22FF49">
      <w:pPr>
        <w:tabs>
          <w:tab w:val="left" w:pos="540"/>
          <w:tab w:val="left" w:pos="1481"/>
          <w:tab w:val="center" w:pos="4589"/>
        </w:tabs>
        <w:spacing w:line="360" w:lineRule="auto"/>
        <w:outlineLvl w:val="9"/>
        <w:rPr>
          <w:rFonts w:hint="eastAsia" w:ascii="楷体_GB2312" w:hAnsi="宋体" w:eastAsia="楷体_GB2312" w:cs="宋体"/>
          <w:b/>
          <w:bCs/>
          <w:color w:val="auto"/>
          <w:kern w:val="0"/>
          <w:sz w:val="28"/>
          <w:szCs w:val="28"/>
          <w:highlight w:val="none"/>
        </w:rPr>
      </w:pPr>
    </w:p>
    <w:p w14:paraId="2C3564BC">
      <w:pPr>
        <w:tabs>
          <w:tab w:val="left" w:pos="540"/>
          <w:tab w:val="left" w:pos="1481"/>
          <w:tab w:val="center" w:pos="4589"/>
        </w:tabs>
        <w:spacing w:line="360" w:lineRule="auto"/>
        <w:outlineLvl w:val="9"/>
        <w:rPr>
          <w:rFonts w:ascii="楷体_GB2312" w:hAnsi="宋体" w:eastAsia="楷体_GB2312" w:cs="宋体"/>
          <w:b/>
          <w:color w:val="auto"/>
          <w:kern w:val="0"/>
          <w:sz w:val="24"/>
          <w:highlight w:val="none"/>
        </w:rPr>
      </w:pPr>
    </w:p>
    <w:p w14:paraId="5BA71B7B">
      <w:pPr>
        <w:keepNext w:val="0"/>
        <w:keepLines w:val="0"/>
        <w:pageBreakBefore w:val="0"/>
        <w:widowControl w:val="0"/>
        <w:kinsoku/>
        <w:wordWrap/>
        <w:overflowPunct/>
        <w:topLinePunct w:val="0"/>
        <w:autoSpaceDE/>
        <w:autoSpaceDN/>
        <w:bidi w:val="0"/>
        <w:adjustRightInd/>
        <w:snapToGrid/>
        <w:spacing w:line="560" w:lineRule="exact"/>
        <w:textAlignment w:val="auto"/>
        <w:outlineLvl w:val="9"/>
        <w:rPr>
          <w:color w:val="auto"/>
          <w:highlight w:val="none"/>
        </w:rPr>
      </w:pPr>
    </w:p>
    <w:p w14:paraId="73BB49F2">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640" w:firstLineChars="200"/>
        <w:textAlignment w:val="auto"/>
        <w:outlineLvl w:val="9"/>
        <w:rPr>
          <w:rFonts w:hint="eastAsia" w:ascii="黑体" w:hAnsi="黑体" w:eastAsia="黑体" w:cs="黑体"/>
          <w:b w:val="0"/>
          <w:bCs/>
          <w:color w:val="auto"/>
          <w:kern w:val="0"/>
          <w:sz w:val="32"/>
          <w:szCs w:val="32"/>
          <w:highlight w:val="none"/>
        </w:rPr>
      </w:pPr>
      <w:r>
        <w:rPr>
          <w:rFonts w:hint="eastAsia" w:ascii="黑体" w:hAnsi="黑体" w:eastAsia="黑体" w:cs="黑体"/>
          <w:b w:val="0"/>
          <w:bCs/>
          <w:color w:val="auto"/>
          <w:kern w:val="0"/>
          <w:sz w:val="32"/>
          <w:szCs w:val="32"/>
          <w:highlight w:val="none"/>
          <w:lang w:val="en-US" w:eastAsia="zh-CN"/>
        </w:rPr>
        <w:t>八</w:t>
      </w:r>
      <w:r>
        <w:rPr>
          <w:rFonts w:hint="eastAsia" w:ascii="黑体" w:hAnsi="黑体" w:eastAsia="黑体" w:cs="黑体"/>
          <w:b w:val="0"/>
          <w:bCs/>
          <w:color w:val="auto"/>
          <w:kern w:val="0"/>
          <w:sz w:val="32"/>
          <w:szCs w:val="32"/>
          <w:highlight w:val="none"/>
          <w:lang w:eastAsia="zh-CN"/>
        </w:rPr>
        <w:t>、</w:t>
      </w:r>
      <w:r>
        <w:rPr>
          <w:rFonts w:hint="eastAsia" w:ascii="黑体" w:hAnsi="黑体" w:eastAsia="黑体" w:cs="黑体"/>
          <w:b w:val="0"/>
          <w:bCs/>
          <w:color w:val="auto"/>
          <w:kern w:val="0"/>
          <w:sz w:val="32"/>
          <w:szCs w:val="32"/>
          <w:highlight w:val="none"/>
        </w:rPr>
        <w:t>防水工程实施管理规定</w:t>
      </w:r>
    </w:p>
    <w:p w14:paraId="0148ABE6">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kern w:val="0"/>
          <w:sz w:val="21"/>
          <w:szCs w:val="21"/>
          <w:highlight w:val="none"/>
        </w:rPr>
      </w:pPr>
      <w:r>
        <w:rPr>
          <w:rFonts w:hint="eastAsia" w:ascii="宋体" w:hAnsi="宋体" w:eastAsia="宋体" w:cs="宋体"/>
          <w:b w:val="0"/>
          <w:bCs w:val="0"/>
          <w:color w:val="auto"/>
          <w:kern w:val="0"/>
          <w:sz w:val="21"/>
          <w:szCs w:val="21"/>
          <w:highlight w:val="none"/>
          <w:lang w:val="en-US" w:eastAsia="zh-CN"/>
        </w:rPr>
        <w:t>1.</w:t>
      </w:r>
      <w:r>
        <w:rPr>
          <w:rFonts w:hint="eastAsia" w:ascii="宋体" w:hAnsi="宋体" w:eastAsia="宋体" w:cs="宋体"/>
          <w:b w:val="0"/>
          <w:bCs w:val="0"/>
          <w:color w:val="auto"/>
          <w:kern w:val="0"/>
          <w:sz w:val="21"/>
          <w:szCs w:val="21"/>
          <w:highlight w:val="none"/>
        </w:rPr>
        <w:t>防水材料须采用</w:t>
      </w:r>
      <w:r>
        <w:rPr>
          <w:rFonts w:hint="eastAsia" w:ascii="宋体" w:hAnsi="宋体" w:eastAsia="宋体" w:cs="宋体"/>
          <w:b w:val="0"/>
          <w:bCs w:val="0"/>
          <w:color w:val="auto"/>
          <w:kern w:val="0"/>
          <w:sz w:val="21"/>
          <w:szCs w:val="21"/>
          <w:highlight w:val="none"/>
          <w:lang w:eastAsia="zh-CN"/>
        </w:rPr>
        <w:t>合同约定</w:t>
      </w:r>
      <w:r>
        <w:rPr>
          <w:rFonts w:hint="eastAsia" w:ascii="宋体" w:hAnsi="宋体" w:eastAsia="宋体" w:cs="宋体"/>
          <w:b w:val="0"/>
          <w:bCs w:val="0"/>
          <w:color w:val="auto"/>
          <w:kern w:val="0"/>
          <w:sz w:val="21"/>
          <w:szCs w:val="21"/>
          <w:highlight w:val="none"/>
        </w:rPr>
        <w:t>品牌材料。</w:t>
      </w:r>
    </w:p>
    <w:p w14:paraId="1B487DC9">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kern w:val="0"/>
          <w:sz w:val="21"/>
          <w:szCs w:val="21"/>
          <w:highlight w:val="none"/>
        </w:rPr>
      </w:pPr>
      <w:r>
        <w:rPr>
          <w:rFonts w:hint="eastAsia" w:ascii="宋体" w:hAnsi="宋体" w:eastAsia="宋体" w:cs="宋体"/>
          <w:b w:val="0"/>
          <w:bCs w:val="0"/>
          <w:color w:val="auto"/>
          <w:kern w:val="0"/>
          <w:sz w:val="21"/>
          <w:szCs w:val="21"/>
          <w:highlight w:val="none"/>
          <w:lang w:val="en-US" w:eastAsia="zh-CN"/>
        </w:rPr>
        <w:t>2.</w:t>
      </w:r>
      <w:r>
        <w:rPr>
          <w:rFonts w:hint="eastAsia" w:ascii="宋体" w:hAnsi="宋体" w:eastAsia="宋体" w:cs="宋体"/>
          <w:b w:val="0"/>
          <w:bCs w:val="0"/>
          <w:color w:val="auto"/>
          <w:kern w:val="0"/>
          <w:sz w:val="21"/>
          <w:szCs w:val="21"/>
          <w:highlight w:val="none"/>
        </w:rPr>
        <w:t>在防水材料工程施工前，必须对地下室顶板、卫生间、露台、平屋面等混凝土现浇结构板进行蓄水试验，对斜屋面混凝土现浇结构板进行大雨后的渗漏检查，对完工后的外门窗框周边进行淋水检验</w:t>
      </w:r>
      <w:r>
        <w:rPr>
          <w:rFonts w:hint="eastAsia" w:ascii="宋体" w:hAnsi="宋体" w:eastAsia="宋体" w:cs="宋体"/>
          <w:b w:val="0"/>
          <w:bCs w:val="0"/>
          <w:color w:val="auto"/>
          <w:kern w:val="0"/>
          <w:sz w:val="21"/>
          <w:szCs w:val="21"/>
          <w:highlight w:val="none"/>
          <w:lang w:eastAsia="zh-CN"/>
        </w:rPr>
        <w:t>。</w:t>
      </w:r>
      <w:r>
        <w:rPr>
          <w:rFonts w:hint="eastAsia" w:ascii="宋体" w:hAnsi="宋体" w:eastAsia="宋体" w:cs="宋体"/>
          <w:b w:val="0"/>
          <w:bCs w:val="0"/>
          <w:color w:val="auto"/>
          <w:kern w:val="0"/>
          <w:sz w:val="21"/>
          <w:szCs w:val="21"/>
          <w:highlight w:val="none"/>
        </w:rPr>
        <w:t>具体操作详见各分部工程防渗漏管理规定。</w:t>
      </w:r>
    </w:p>
    <w:p w14:paraId="21A99E71">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color w:val="auto"/>
          <w:kern w:val="0"/>
          <w:sz w:val="21"/>
          <w:szCs w:val="21"/>
          <w:highlight w:val="none"/>
        </w:rPr>
      </w:pPr>
      <w:r>
        <w:rPr>
          <w:rFonts w:hint="eastAsia" w:ascii="宋体" w:hAnsi="宋体" w:eastAsia="宋体" w:cs="宋体"/>
          <w:b w:val="0"/>
          <w:bCs/>
          <w:color w:val="auto"/>
          <w:kern w:val="0"/>
          <w:sz w:val="21"/>
          <w:szCs w:val="21"/>
          <w:highlight w:val="none"/>
          <w:lang w:val="en-US" w:eastAsia="zh-CN"/>
        </w:rPr>
        <w:t>九</w:t>
      </w:r>
      <w:r>
        <w:rPr>
          <w:rFonts w:hint="eastAsia" w:ascii="宋体" w:hAnsi="宋体" w:eastAsia="宋体" w:cs="宋体"/>
          <w:b w:val="0"/>
          <w:bCs/>
          <w:color w:val="auto"/>
          <w:kern w:val="0"/>
          <w:sz w:val="21"/>
          <w:szCs w:val="21"/>
          <w:highlight w:val="none"/>
          <w:lang w:eastAsia="zh-CN"/>
        </w:rPr>
        <w:t>、</w:t>
      </w:r>
      <w:r>
        <w:rPr>
          <w:rFonts w:hint="eastAsia" w:ascii="宋体" w:hAnsi="宋体" w:eastAsia="宋体" w:cs="宋体"/>
          <w:b w:val="0"/>
          <w:bCs/>
          <w:color w:val="auto"/>
          <w:kern w:val="0"/>
          <w:sz w:val="21"/>
          <w:szCs w:val="21"/>
          <w:highlight w:val="none"/>
        </w:rPr>
        <w:t>解释权</w:t>
      </w:r>
    </w:p>
    <w:p w14:paraId="0048E7BF">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kern w:val="0"/>
          <w:sz w:val="21"/>
          <w:szCs w:val="21"/>
          <w:highlight w:val="none"/>
        </w:rPr>
      </w:pPr>
      <w:r>
        <w:rPr>
          <w:rFonts w:hint="eastAsia" w:ascii="宋体" w:hAnsi="宋体" w:eastAsia="宋体" w:cs="宋体"/>
          <w:b w:val="0"/>
          <w:bCs w:val="0"/>
          <w:color w:val="auto"/>
          <w:kern w:val="0"/>
          <w:sz w:val="21"/>
          <w:szCs w:val="21"/>
          <w:highlight w:val="none"/>
        </w:rPr>
        <w:t>《防渗漏体系操作指引》的修订和解释权归工程</w:t>
      </w:r>
      <w:r>
        <w:rPr>
          <w:rFonts w:hint="eastAsia" w:ascii="宋体" w:hAnsi="宋体" w:eastAsia="宋体" w:cs="宋体"/>
          <w:b w:val="0"/>
          <w:bCs w:val="0"/>
          <w:color w:val="auto"/>
          <w:kern w:val="0"/>
          <w:sz w:val="21"/>
          <w:szCs w:val="21"/>
          <w:highlight w:val="none"/>
          <w:lang w:eastAsia="zh-CN"/>
        </w:rPr>
        <w:t>管理</w:t>
      </w:r>
      <w:r>
        <w:rPr>
          <w:rFonts w:hint="eastAsia" w:ascii="宋体" w:hAnsi="宋体" w:eastAsia="宋体" w:cs="宋体"/>
          <w:b w:val="0"/>
          <w:bCs w:val="0"/>
          <w:color w:val="auto"/>
          <w:kern w:val="0"/>
          <w:sz w:val="21"/>
          <w:szCs w:val="21"/>
          <w:highlight w:val="none"/>
        </w:rPr>
        <w:t>部，各部门和项目在使用执行过程中如有改善意见和建议，请与工程</w:t>
      </w:r>
      <w:r>
        <w:rPr>
          <w:rFonts w:hint="eastAsia" w:ascii="宋体" w:hAnsi="宋体" w:eastAsia="宋体" w:cs="宋体"/>
          <w:b w:val="0"/>
          <w:bCs w:val="0"/>
          <w:color w:val="auto"/>
          <w:kern w:val="0"/>
          <w:sz w:val="21"/>
          <w:szCs w:val="21"/>
          <w:highlight w:val="none"/>
          <w:lang w:eastAsia="zh-CN"/>
        </w:rPr>
        <w:t>管理</w:t>
      </w:r>
      <w:r>
        <w:rPr>
          <w:rFonts w:hint="eastAsia" w:ascii="宋体" w:hAnsi="宋体" w:eastAsia="宋体" w:cs="宋体"/>
          <w:b w:val="0"/>
          <w:bCs w:val="0"/>
          <w:color w:val="auto"/>
          <w:kern w:val="0"/>
          <w:sz w:val="21"/>
          <w:szCs w:val="21"/>
          <w:highlight w:val="none"/>
        </w:rPr>
        <w:t>部联系。</w:t>
      </w:r>
    </w:p>
    <w:p w14:paraId="7B0D9812">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color w:val="auto"/>
          <w:kern w:val="0"/>
          <w:sz w:val="21"/>
          <w:szCs w:val="21"/>
          <w:highlight w:val="none"/>
        </w:rPr>
      </w:pPr>
      <w:r>
        <w:rPr>
          <w:rFonts w:hint="eastAsia" w:ascii="宋体" w:hAnsi="宋体" w:eastAsia="宋体" w:cs="宋体"/>
          <w:b w:val="0"/>
          <w:bCs/>
          <w:color w:val="auto"/>
          <w:kern w:val="0"/>
          <w:sz w:val="21"/>
          <w:szCs w:val="21"/>
          <w:highlight w:val="none"/>
          <w:lang w:val="en-US" w:eastAsia="zh-CN"/>
        </w:rPr>
        <w:t>十</w:t>
      </w:r>
      <w:r>
        <w:rPr>
          <w:rFonts w:hint="eastAsia" w:ascii="宋体" w:hAnsi="宋体" w:eastAsia="宋体" w:cs="宋体"/>
          <w:b w:val="0"/>
          <w:bCs/>
          <w:color w:val="auto"/>
          <w:kern w:val="0"/>
          <w:sz w:val="21"/>
          <w:szCs w:val="21"/>
          <w:highlight w:val="none"/>
          <w:lang w:eastAsia="zh-CN"/>
        </w:rPr>
        <w:t>、</w:t>
      </w:r>
      <w:r>
        <w:rPr>
          <w:rFonts w:hint="eastAsia" w:ascii="宋体" w:hAnsi="宋体" w:eastAsia="宋体" w:cs="宋体"/>
          <w:b w:val="0"/>
          <w:bCs/>
          <w:color w:val="auto"/>
          <w:kern w:val="0"/>
          <w:sz w:val="21"/>
          <w:szCs w:val="21"/>
          <w:highlight w:val="none"/>
        </w:rPr>
        <w:t>附件</w:t>
      </w:r>
    </w:p>
    <w:p w14:paraId="28B6BF2C">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2" w:firstLineChars="200"/>
        <w:textAlignment w:val="auto"/>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eastAsia="zh-CN"/>
        </w:rPr>
        <w:t>（一）</w:t>
      </w:r>
      <w:r>
        <w:rPr>
          <w:rFonts w:hint="eastAsia" w:ascii="宋体" w:hAnsi="宋体" w:eastAsia="宋体" w:cs="宋体"/>
          <w:b/>
          <w:color w:val="auto"/>
          <w:sz w:val="21"/>
          <w:szCs w:val="21"/>
          <w:highlight w:val="none"/>
        </w:rPr>
        <w:t>住宅工程：</w:t>
      </w:r>
    </w:p>
    <w:p w14:paraId="2C08CA14">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kern w:val="0"/>
          <w:sz w:val="21"/>
          <w:szCs w:val="21"/>
          <w:highlight w:val="none"/>
        </w:rPr>
      </w:pPr>
      <w:r>
        <w:rPr>
          <w:rFonts w:hint="eastAsia" w:ascii="宋体" w:hAnsi="宋体" w:eastAsia="宋体" w:cs="宋体"/>
          <w:b w:val="0"/>
          <w:bCs w:val="0"/>
          <w:color w:val="auto"/>
          <w:kern w:val="0"/>
          <w:sz w:val="21"/>
          <w:szCs w:val="21"/>
          <w:highlight w:val="none"/>
        </w:rPr>
        <w:t xml:space="preserve">附件一：《地下工程防渗漏篇》 </w:t>
      </w:r>
    </w:p>
    <w:p w14:paraId="06A73370">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kern w:val="0"/>
          <w:sz w:val="21"/>
          <w:szCs w:val="21"/>
          <w:highlight w:val="none"/>
        </w:rPr>
      </w:pPr>
      <w:r>
        <w:rPr>
          <w:rFonts w:hint="eastAsia" w:ascii="宋体" w:hAnsi="宋体" w:eastAsia="宋体" w:cs="宋体"/>
          <w:b w:val="0"/>
          <w:bCs w:val="0"/>
          <w:color w:val="auto"/>
          <w:kern w:val="0"/>
          <w:sz w:val="21"/>
          <w:szCs w:val="21"/>
          <w:highlight w:val="none"/>
        </w:rPr>
        <w:t>附件二：《屋面工程防渗漏篇》</w:t>
      </w:r>
    </w:p>
    <w:p w14:paraId="1AF692FF">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kern w:val="0"/>
          <w:sz w:val="21"/>
          <w:szCs w:val="21"/>
          <w:highlight w:val="none"/>
        </w:rPr>
      </w:pPr>
      <w:r>
        <w:rPr>
          <w:rFonts w:hint="eastAsia" w:ascii="宋体" w:hAnsi="宋体" w:eastAsia="宋体" w:cs="宋体"/>
          <w:b w:val="0"/>
          <w:bCs w:val="0"/>
          <w:color w:val="auto"/>
          <w:kern w:val="0"/>
          <w:sz w:val="21"/>
          <w:szCs w:val="21"/>
          <w:highlight w:val="none"/>
        </w:rPr>
        <w:t>附件三：《厨卫部分防渗漏篇》</w:t>
      </w:r>
    </w:p>
    <w:p w14:paraId="56DFB707">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kern w:val="0"/>
          <w:sz w:val="21"/>
          <w:szCs w:val="21"/>
          <w:highlight w:val="none"/>
        </w:rPr>
      </w:pPr>
      <w:r>
        <w:rPr>
          <w:rFonts w:hint="eastAsia" w:ascii="宋体" w:hAnsi="宋体" w:eastAsia="宋体" w:cs="宋体"/>
          <w:b w:val="0"/>
          <w:bCs w:val="0"/>
          <w:color w:val="auto"/>
          <w:kern w:val="0"/>
          <w:sz w:val="21"/>
          <w:szCs w:val="21"/>
          <w:highlight w:val="none"/>
        </w:rPr>
        <w:t>附件四：《阳露台部分防渗漏篇》</w:t>
      </w:r>
    </w:p>
    <w:p w14:paraId="38DA11E2">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kern w:val="0"/>
          <w:sz w:val="21"/>
          <w:szCs w:val="21"/>
          <w:highlight w:val="none"/>
        </w:rPr>
      </w:pPr>
      <w:r>
        <w:rPr>
          <w:rFonts w:hint="eastAsia" w:ascii="宋体" w:hAnsi="宋体" w:eastAsia="宋体" w:cs="宋体"/>
          <w:b w:val="0"/>
          <w:bCs w:val="0"/>
          <w:color w:val="auto"/>
          <w:kern w:val="0"/>
          <w:sz w:val="21"/>
          <w:szCs w:val="21"/>
          <w:highlight w:val="none"/>
        </w:rPr>
        <w:t>附件五：《外墙部分防渗漏篇》</w:t>
      </w:r>
    </w:p>
    <w:p w14:paraId="1627E131">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kern w:val="0"/>
          <w:sz w:val="21"/>
          <w:szCs w:val="21"/>
          <w:highlight w:val="none"/>
        </w:rPr>
      </w:pPr>
      <w:r>
        <w:rPr>
          <w:rFonts w:hint="eastAsia" w:ascii="宋体" w:hAnsi="宋体" w:eastAsia="宋体" w:cs="宋体"/>
          <w:b w:val="0"/>
          <w:bCs w:val="0"/>
          <w:color w:val="auto"/>
          <w:kern w:val="0"/>
          <w:sz w:val="21"/>
          <w:szCs w:val="21"/>
          <w:highlight w:val="none"/>
        </w:rPr>
        <w:t>附件</w:t>
      </w:r>
      <w:r>
        <w:rPr>
          <w:rFonts w:hint="eastAsia" w:ascii="宋体" w:hAnsi="宋体" w:eastAsia="宋体" w:cs="宋体"/>
          <w:b w:val="0"/>
          <w:bCs w:val="0"/>
          <w:color w:val="auto"/>
          <w:kern w:val="0"/>
          <w:sz w:val="21"/>
          <w:szCs w:val="21"/>
          <w:highlight w:val="none"/>
          <w:lang w:eastAsia="zh-CN"/>
        </w:rPr>
        <w:t>六</w:t>
      </w:r>
      <w:r>
        <w:rPr>
          <w:rFonts w:hint="eastAsia" w:ascii="宋体" w:hAnsi="宋体" w:eastAsia="宋体" w:cs="宋体"/>
          <w:b w:val="0"/>
          <w:bCs w:val="0"/>
          <w:color w:val="auto"/>
          <w:kern w:val="0"/>
          <w:sz w:val="21"/>
          <w:szCs w:val="21"/>
          <w:highlight w:val="none"/>
        </w:rPr>
        <w:t>：《其它部分防渗漏篇》</w:t>
      </w:r>
    </w:p>
    <w:p w14:paraId="53139F04">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kern w:val="0"/>
          <w:sz w:val="21"/>
          <w:szCs w:val="21"/>
          <w:highlight w:val="none"/>
          <w:lang w:val="en-US" w:eastAsia="zh-CN"/>
        </w:rPr>
      </w:pPr>
      <w:r>
        <w:rPr>
          <w:rFonts w:hint="eastAsia" w:ascii="宋体" w:hAnsi="宋体" w:eastAsia="宋体" w:cs="宋体"/>
          <w:b w:val="0"/>
          <w:bCs w:val="0"/>
          <w:color w:val="auto"/>
          <w:kern w:val="0"/>
          <w:sz w:val="21"/>
          <w:szCs w:val="21"/>
          <w:highlight w:val="none"/>
          <w:lang w:val="en-US" w:eastAsia="zh-CN"/>
        </w:rPr>
        <w:t>附件由招标人提供电子版</w:t>
      </w:r>
    </w:p>
    <w:p w14:paraId="18C1623E">
      <w:pPr>
        <w:widowControl/>
        <w:jc w:val="left"/>
        <w:outlineLvl w:val="9"/>
        <w:rPr>
          <w:rFonts w:hint="eastAsia" w:asciiTheme="minorEastAsia" w:hAnsiTheme="minorEastAsia" w:eastAsiaTheme="minorEastAsia" w:cstheme="minorEastAsia"/>
          <w:color w:val="auto"/>
          <w:sz w:val="24"/>
          <w:highlight w:val="none"/>
        </w:rPr>
        <w:sectPr>
          <w:headerReference r:id="rId9" w:type="default"/>
          <w:pgSz w:w="11900" w:h="16838"/>
          <w:pgMar w:top="1134" w:right="1361" w:bottom="1134" w:left="1361" w:header="567" w:footer="567" w:gutter="0"/>
          <w:pgBorders>
            <w:top w:val="none" w:sz="0" w:space="0"/>
            <w:left w:val="none" w:sz="0" w:space="0"/>
            <w:bottom w:val="none" w:sz="0" w:space="0"/>
            <w:right w:val="none" w:sz="0" w:space="0"/>
          </w:pgBorders>
          <w:cols w:space="720" w:num="1"/>
          <w:docGrid w:linePitch="286" w:charSpace="0"/>
        </w:sectPr>
      </w:pPr>
    </w:p>
    <w:p w14:paraId="73653F9B">
      <w:pPr>
        <w:widowControl/>
        <w:jc w:val="left"/>
        <w:outlineLvl w:val="9"/>
        <w:rPr>
          <w:rFonts w:hint="eastAsia" w:cs="宋体" w:asciiTheme="minorEastAsia" w:hAnsiTheme="minorEastAsia" w:eastAsia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附件</w:t>
      </w:r>
      <w:r>
        <w:rPr>
          <w:rFonts w:hint="eastAsia" w:asciiTheme="minorEastAsia" w:hAnsiTheme="minorEastAsia" w:eastAsiaTheme="minorEastAsia" w:cstheme="minorEastAsia"/>
          <w:color w:val="auto"/>
          <w:sz w:val="21"/>
          <w:szCs w:val="21"/>
          <w:highlight w:val="none"/>
          <w:lang w:val="en-US" w:eastAsia="zh-CN"/>
        </w:rPr>
        <w:t>十九</w:t>
      </w:r>
      <w:r>
        <w:rPr>
          <w:rFonts w:hint="eastAsia" w:asciiTheme="minorEastAsia" w:hAnsiTheme="minorEastAsia" w:eastAsiaTheme="minorEastAsia" w:cstheme="minorEastAsia"/>
          <w:color w:val="auto"/>
          <w:sz w:val="21"/>
          <w:szCs w:val="21"/>
          <w:highlight w:val="none"/>
        </w:rPr>
        <w:t>：</w:t>
      </w:r>
    </w:p>
    <w:p w14:paraId="2A7AADEE">
      <w:pPr>
        <w:adjustRightInd w:val="0"/>
        <w:snapToGrid w:val="0"/>
        <w:spacing w:line="360" w:lineRule="auto"/>
        <w:jc w:val="center"/>
        <w:outlineLvl w:val="9"/>
        <w:rPr>
          <w:rFonts w:cs="宋体" w:asciiTheme="minorEastAsia" w:hAnsiTheme="minorEastAsia" w:eastAsiaTheme="minorEastAsia"/>
          <w:b/>
          <w:color w:val="auto"/>
          <w:sz w:val="32"/>
          <w:szCs w:val="32"/>
          <w:highlight w:val="none"/>
        </w:rPr>
      </w:pPr>
      <w:r>
        <w:rPr>
          <w:rFonts w:hint="eastAsia" w:cs="宋体" w:asciiTheme="minorEastAsia" w:hAnsiTheme="minorEastAsia" w:eastAsiaTheme="minorEastAsia"/>
          <w:b/>
          <w:color w:val="auto"/>
          <w:sz w:val="32"/>
          <w:szCs w:val="32"/>
          <w:highlight w:val="none"/>
        </w:rPr>
        <w:t>廉政承诺书</w:t>
      </w:r>
    </w:p>
    <w:p w14:paraId="5B0DAB82">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w:t>
      </w:r>
      <w:r>
        <w:rPr>
          <w:rFonts w:hint="eastAsia" w:cs="宋体" w:asciiTheme="minorEastAsia" w:hAnsiTheme="minorEastAsia" w:eastAsiaTheme="minorEastAsia"/>
          <w:color w:val="auto"/>
          <w:szCs w:val="21"/>
          <w:highlight w:val="none"/>
          <w:lang w:eastAsia="zh-CN"/>
        </w:rPr>
        <w:t>西安经发景弘项目开发有限公司</w:t>
      </w:r>
    </w:p>
    <w:p w14:paraId="317E2343">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承包人（乙方，联合体</w:t>
      </w:r>
      <w:r>
        <w:rPr>
          <w:rFonts w:hint="eastAsia" w:cs="宋体" w:asciiTheme="minorEastAsia" w:hAnsiTheme="minorEastAsia" w:eastAsiaTheme="minorEastAsia"/>
          <w:color w:val="auto"/>
          <w:szCs w:val="21"/>
          <w:highlight w:val="none"/>
          <w:lang w:eastAsia="zh-CN"/>
        </w:rPr>
        <w:t>牵头人</w:t>
      </w:r>
      <w:r>
        <w:rPr>
          <w:rFonts w:hint="eastAsia" w:cs="宋体" w:asciiTheme="minorEastAsia" w:hAnsiTheme="minorEastAsia" w:eastAsiaTheme="minorEastAsia"/>
          <w:color w:val="auto"/>
          <w:szCs w:val="21"/>
          <w:highlight w:val="none"/>
        </w:rPr>
        <w:t>）：中建八局第二建设有限公司</w:t>
      </w:r>
    </w:p>
    <w:p w14:paraId="507EA2B6">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承包人（乙方，联合体成员）：中建八局(陕西)建设科技有限公司</w:t>
      </w:r>
    </w:p>
    <w:p w14:paraId="332445BA">
      <w:pPr>
        <w:adjustRightInd w:val="0"/>
        <w:snapToGrid w:val="0"/>
        <w:spacing w:line="360" w:lineRule="auto"/>
        <w:ind w:firstLine="480"/>
        <w:outlineLvl w:val="9"/>
        <w:rPr>
          <w:rFonts w:cs="宋体" w:asciiTheme="minorEastAsia" w:hAnsiTheme="minorEastAsia" w:eastAsiaTheme="minorEastAsia"/>
          <w:color w:val="auto"/>
          <w:szCs w:val="21"/>
          <w:highlight w:val="none"/>
          <w:u w:val="single"/>
        </w:rPr>
      </w:pPr>
      <w:r>
        <w:rPr>
          <w:rFonts w:hint="eastAsia" w:cs="宋体" w:asciiTheme="minorEastAsia" w:hAnsiTheme="minorEastAsia" w:eastAsiaTheme="minorEastAsia"/>
          <w:color w:val="auto"/>
          <w:szCs w:val="21"/>
          <w:highlight w:val="none"/>
        </w:rPr>
        <w:t>承包人（乙方，联合体成员）：中国建筑西北设计研究院有限公司</w:t>
      </w:r>
    </w:p>
    <w:p w14:paraId="6AE9B427">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为了加强</w:t>
      </w:r>
      <w:r>
        <w:rPr>
          <w:rFonts w:hint="eastAsia" w:cs="宋体" w:asciiTheme="minorEastAsia" w:hAnsiTheme="minorEastAsia" w:eastAsiaTheme="minorEastAsia"/>
          <w:color w:val="auto"/>
          <w:szCs w:val="21"/>
          <w:highlight w:val="none"/>
          <w:lang w:eastAsia="zh-CN"/>
        </w:rPr>
        <w:t>西安经发景弘项目开发有限公司</w:t>
      </w:r>
      <w:r>
        <w:rPr>
          <w:rFonts w:hint="eastAsia" w:cs="宋体" w:asciiTheme="minorEastAsia" w:hAnsiTheme="minorEastAsia" w:eastAsiaTheme="minorEastAsia"/>
          <w:color w:val="auto"/>
          <w:szCs w:val="21"/>
          <w:highlight w:val="none"/>
        </w:rPr>
        <w:t>在重大经济活动中的廉政建设，规范签订合同双方的活动，防止发生谋取不正当利益的违法违纪行为，确保合法、有序、优质、高效地开展业务，现就签订本廉政承诺书：</w:t>
      </w:r>
    </w:p>
    <w:p w14:paraId="18FDA82F">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一、甲乙双方的权利和义务</w:t>
      </w:r>
    </w:p>
    <w:p w14:paraId="5FF83E3B">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双方同意并声明，在业务活动中：</w:t>
      </w:r>
    </w:p>
    <w:p w14:paraId="2D6E2D68">
      <w:pPr>
        <w:adjustRightInd w:val="0"/>
        <w:snapToGrid w:val="0"/>
        <w:spacing w:line="360" w:lineRule="auto"/>
        <w:ind w:firstLine="325" w:firstLineChars="155"/>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（一）严格、自觉地遵守和执行有关政策、法律、法规、以及党和国家、经开区、经发集团关于党风廉政建设的各项规定，严格履行合同。</w:t>
      </w:r>
    </w:p>
    <w:p w14:paraId="4E79FC42">
      <w:pPr>
        <w:adjustRightInd w:val="0"/>
        <w:snapToGrid w:val="0"/>
        <w:spacing w:line="360" w:lineRule="auto"/>
        <w:ind w:firstLine="325" w:firstLineChars="155"/>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（二）双方的业务活动坚持公开、公正、诚信的原则（法律认定的商业秘密和合同文件另有规定的除外），严格、自觉按照合同办事，不得损害国家和甲乙双方的利益。</w:t>
      </w:r>
    </w:p>
    <w:p w14:paraId="23895A9B">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三）认真落实党风廉政建设责任制，按照谁主办谁负责的原则，建立和健全廉政制度，经常开展廉政教育，加强对合同主办部门、主办单位工作人员职务行为的监督和管理，增强其廉政意识、守法意识和守约意识。</w:t>
      </w:r>
    </w:p>
    <w:p w14:paraId="2C2149D6">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lang w:eastAsia="zh-TW"/>
        </w:rPr>
      </w:pPr>
      <w:r>
        <w:rPr>
          <w:rFonts w:hint="eastAsia" w:cs="宋体" w:asciiTheme="minorEastAsia" w:hAnsiTheme="minorEastAsia" w:eastAsiaTheme="minorEastAsia"/>
          <w:color w:val="auto"/>
          <w:szCs w:val="21"/>
          <w:highlight w:val="none"/>
        </w:rPr>
        <w:t>（四）双方相互监督，发现对方在业务活动中有违反廉政规定行为的，有及时提醒对方纠正的权利和义务。发现对方违反承诺条款的，有向其上级有关部门举报并要求告知处理结果的权利。</w:t>
      </w:r>
    </w:p>
    <w:p w14:paraId="79DFC56F">
      <w:pPr>
        <w:adjustRightInd w:val="0"/>
        <w:snapToGrid w:val="0"/>
        <w:spacing w:line="360" w:lineRule="auto"/>
        <w:outlineLvl w:val="9"/>
        <w:rPr>
          <w:rFonts w:cs="宋体" w:asciiTheme="minorEastAsia" w:hAnsiTheme="minorEastAsia" w:eastAsiaTheme="minorEastAsia"/>
          <w:color w:val="auto"/>
          <w:szCs w:val="21"/>
          <w:highlight w:val="none"/>
          <w:lang w:eastAsia="zh-TW"/>
        </w:rPr>
      </w:pPr>
      <w:r>
        <w:rPr>
          <w:rFonts w:hint="eastAsia" w:cs="宋体" w:asciiTheme="minorEastAsia" w:hAnsiTheme="minorEastAsia" w:eastAsiaTheme="minorEastAsia"/>
          <w:color w:val="auto"/>
          <w:szCs w:val="21"/>
          <w:highlight w:val="none"/>
        </w:rPr>
        <w:t>（五）不以损害国家、集体利益为代价获取不正当的利益。</w:t>
      </w:r>
    </w:p>
    <w:p w14:paraId="39EC5282">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二、甲方承诺</w:t>
      </w:r>
    </w:p>
    <w:p w14:paraId="25006ACB">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甲方工作人员在工程建设中应遵守如下规定：</w:t>
      </w:r>
    </w:p>
    <w:p w14:paraId="1999977A">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（一）不得以任何形式向乙方索要或收受其礼券、礼品、信用卡、现金、物品等；</w:t>
      </w:r>
    </w:p>
    <w:p w14:paraId="6E5A8293">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（二）不得参加乙方或相关单位安排的享受性消费活动或接受乙方为其及家庭成员在房屋装修、婚丧嫁娶、配偶子女的工作安排及出国（境）、旅游等方面提供方便。</w:t>
      </w:r>
    </w:p>
    <w:p w14:paraId="37F42050">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（三）不得在乙方报销应由甲方或个人支付的各种费用。</w:t>
      </w:r>
    </w:p>
    <w:p w14:paraId="0D2C1ADC">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（四）不得接受乙方提供的通讯工具、交通工具及高档办公用品等。</w:t>
      </w:r>
    </w:p>
    <w:p w14:paraId="00EBC667">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（五）不得向乙方推荐或强迫其接受第三方合作单位及产品，不得要求乙方承担合同约定之外的义务。</w:t>
      </w:r>
    </w:p>
    <w:p w14:paraId="7E30C739">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（六）不得明示或暗示对合同所涉及业务具有管理、监督职能的部门违反原则，降低要求使乙方获得不正当利益以收取回扣，谋取非法利益。</w:t>
      </w:r>
    </w:p>
    <w:p w14:paraId="61244D41">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（七）不得因乙方拒绝本人不合理要求，而故意刁难乙方。</w:t>
      </w:r>
    </w:p>
    <w:p w14:paraId="268653C7">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（八）如发现乙方有违规违法行为的要坚决予以抵制，必要时向上级有关部门、分管领导和纪检等部门反映。</w:t>
      </w:r>
    </w:p>
    <w:p w14:paraId="5D04F925">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（九）其他违反廉政规定的行为。</w:t>
      </w:r>
    </w:p>
    <w:p w14:paraId="2E6FCD37">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三、乙方承诺</w:t>
      </w:r>
    </w:p>
    <w:p w14:paraId="4FA9D299">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乙方应与甲方及其相关单位保持正常的业务来往，按照有关法律、法规和工作程序开展业务工作并遵守以下规定：</w:t>
      </w:r>
    </w:p>
    <w:p w14:paraId="1C3A7830">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（一）不得以任何借口向甲方人员馈赠礼券、礼品、信用卡、现金、物品等行为或其他违法乱纪行为，不谋取不当利益。</w:t>
      </w:r>
    </w:p>
    <w:p w14:paraId="32FDA6FC">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（二）不得以任何理由邀请甲方人员参加宴请、娱乐及出国（境）、旅游观光等享受性消费活动。</w:t>
      </w:r>
    </w:p>
    <w:p w14:paraId="4642C42A">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（三）不得为甲方提供通讯工具、交通工具及高档办公用品等。</w:t>
      </w:r>
    </w:p>
    <w:p w14:paraId="49DA8301">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（四）不得以任何名义为甲方人员报销应由其个人承担的各种费用。</w:t>
      </w:r>
    </w:p>
    <w:p w14:paraId="5E67E0D6">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（五）不得为甲方及其他相关单位工作人员装修房屋、婚丧嫁娶、配偶子女的工作安排及出国（境）、旅游观光等方面提供方便。</w:t>
      </w:r>
    </w:p>
    <w:p w14:paraId="417E220D">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（六）不得为谋取私利与甲方工作人员就合同履行中所出现的问题进行私下商谈、擅自处理，或者达成默契。</w:t>
      </w:r>
    </w:p>
    <w:p w14:paraId="521B4636">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（七）如发现甲方有违规违法行为，要坚决予以抵制，必要时向甲方业务主管部门或纪检监察等相关部门反映。</w:t>
      </w:r>
    </w:p>
    <w:p w14:paraId="0958E98E">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（八）不准利用黄、赌博、贿等各种手段拉拢腐蚀甲方工作人员。</w:t>
      </w:r>
    </w:p>
    <w:p w14:paraId="6221B16B">
      <w:pPr>
        <w:adjustRightInd w:val="0"/>
        <w:snapToGrid w:val="0"/>
        <w:spacing w:line="360" w:lineRule="auto"/>
        <w:ind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（九）其他违反廉政规定的行为。</w:t>
      </w:r>
    </w:p>
    <w:p w14:paraId="7A69BAAE">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四、责任追究</w:t>
      </w:r>
    </w:p>
    <w:p w14:paraId="7C374C2B">
      <w:pPr>
        <w:adjustRightInd w:val="0"/>
        <w:snapToGrid w:val="0"/>
        <w:spacing w:line="360" w:lineRule="auto"/>
        <w:ind w:firstLine="105" w:firstLineChars="50"/>
        <w:outlineLvl w:val="9"/>
        <w:rPr>
          <w:rFonts w:cs="宋体" w:asciiTheme="minorEastAsia" w:hAnsiTheme="minorEastAsia" w:eastAsiaTheme="minorEastAsia"/>
          <w:color w:val="auto"/>
          <w:szCs w:val="21"/>
          <w:highlight w:val="none"/>
          <w:lang w:eastAsia="zh-TW"/>
        </w:rPr>
      </w:pPr>
      <w:r>
        <w:rPr>
          <w:rFonts w:hint="eastAsia" w:cs="宋体" w:asciiTheme="minorEastAsia" w:hAnsiTheme="minorEastAsia" w:eastAsiaTheme="minorEastAsia"/>
          <w:color w:val="auto"/>
          <w:szCs w:val="21"/>
          <w:highlight w:val="none"/>
        </w:rPr>
        <w:t>（一）甲方人员违反上述规定的，责令改正，并追究直接责任人的责任，性质严重的给予党纪政纪处分。构成犯罪的，移交司法机关处理。</w:t>
      </w:r>
    </w:p>
    <w:p w14:paraId="0864880B">
      <w:pPr>
        <w:adjustRightInd w:val="0"/>
        <w:snapToGrid w:val="0"/>
        <w:spacing w:line="360" w:lineRule="auto"/>
        <w:ind w:firstLine="105" w:firstLineChars="50"/>
        <w:outlineLvl w:val="9"/>
        <w:rPr>
          <w:rFonts w:cs="宋体" w:asciiTheme="minorEastAsia" w:hAnsiTheme="minorEastAsia" w:eastAsiaTheme="minorEastAsia"/>
          <w:color w:val="auto"/>
          <w:szCs w:val="21"/>
          <w:highlight w:val="none"/>
          <w:lang w:eastAsia="zh-TW"/>
        </w:rPr>
      </w:pPr>
      <w:r>
        <w:rPr>
          <w:rFonts w:hint="eastAsia" w:cs="宋体" w:asciiTheme="minorEastAsia" w:hAnsiTheme="minorEastAsia" w:eastAsiaTheme="minorEastAsia"/>
          <w:color w:val="auto"/>
          <w:szCs w:val="21"/>
          <w:highlight w:val="none"/>
        </w:rPr>
        <w:t>（二）乙方人员违反上述规定的，责令改正，情节严重的，甲方有权终止合同，并向乙方追偿因此给甲方造成的经济损失。</w:t>
      </w:r>
    </w:p>
    <w:p w14:paraId="74F37270">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五、此承诺书与合同同时签订，一式四份，甲乙双方各执一份，报集团内控部备案一份。</w:t>
      </w:r>
    </w:p>
    <w:p w14:paraId="4DAA69B4">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 xml:space="preserve">甲方（公章）：                   </w:t>
      </w:r>
      <w:r>
        <w:rPr>
          <w:rFonts w:hint="eastAsia" w:cs="宋体" w:asciiTheme="minorEastAsia" w:hAnsiTheme="minorEastAsia" w:eastAsiaTheme="minorEastAsia"/>
          <w:color w:val="auto"/>
          <w:szCs w:val="21"/>
          <w:highlight w:val="none"/>
          <w:lang w:val="en-US" w:eastAsia="zh-CN"/>
        </w:rPr>
        <w:t xml:space="preserve">     </w:t>
      </w:r>
      <w:r>
        <w:rPr>
          <w:rFonts w:hint="eastAsia" w:cs="宋体" w:asciiTheme="minorEastAsia" w:hAnsiTheme="minorEastAsia" w:eastAsiaTheme="minorEastAsia"/>
          <w:color w:val="auto"/>
          <w:szCs w:val="21"/>
          <w:highlight w:val="none"/>
        </w:rPr>
        <w:t>乙方</w:t>
      </w:r>
      <w:r>
        <w:rPr>
          <w:rFonts w:hint="eastAsia" w:cs="宋体" w:asciiTheme="minorEastAsia" w:hAnsiTheme="minorEastAsia" w:eastAsiaTheme="minorEastAsia"/>
          <w:color w:val="auto"/>
          <w:szCs w:val="21"/>
          <w:highlight w:val="none"/>
          <w:lang w:eastAsia="zh-CN"/>
        </w:rPr>
        <w:t>（联合体牵头人）</w:t>
      </w:r>
      <w:r>
        <w:rPr>
          <w:rFonts w:hint="eastAsia" w:cs="宋体" w:asciiTheme="minorEastAsia" w:hAnsiTheme="minorEastAsia" w:eastAsiaTheme="minorEastAsia"/>
          <w:color w:val="auto"/>
          <w:szCs w:val="21"/>
          <w:highlight w:val="none"/>
        </w:rPr>
        <w:t>（公章）：</w:t>
      </w:r>
    </w:p>
    <w:p w14:paraId="4B80C494">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 xml:space="preserve">法定代表人：                     </w:t>
      </w:r>
      <w:r>
        <w:rPr>
          <w:rFonts w:hint="eastAsia" w:cs="宋体" w:asciiTheme="minorEastAsia" w:hAnsiTheme="minorEastAsia" w:eastAsiaTheme="minorEastAsia"/>
          <w:color w:val="auto"/>
          <w:szCs w:val="21"/>
          <w:highlight w:val="none"/>
          <w:lang w:val="en-US" w:eastAsia="zh-CN"/>
        </w:rPr>
        <w:t xml:space="preserve">    </w:t>
      </w:r>
      <w:r>
        <w:rPr>
          <w:rFonts w:hint="eastAsia" w:cs="宋体" w:asciiTheme="minorEastAsia" w:hAnsiTheme="minorEastAsia" w:eastAsiaTheme="minorEastAsia"/>
          <w:color w:val="auto"/>
          <w:szCs w:val="21"/>
          <w:highlight w:val="none"/>
        </w:rPr>
        <w:t>法定代表人：</w:t>
      </w:r>
    </w:p>
    <w:p w14:paraId="39DB7C7C">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签订日期：   年  月  日</w:t>
      </w:r>
    </w:p>
    <w:p w14:paraId="78017268">
      <w:pPr>
        <w:adjustRightInd w:val="0"/>
        <w:snapToGrid w:val="0"/>
        <w:spacing w:line="360" w:lineRule="auto"/>
        <w:outlineLvl w:val="9"/>
        <w:rPr>
          <w:rFonts w:hint="eastAsia" w:cs="宋体" w:asciiTheme="minorEastAsia" w:hAnsiTheme="minorEastAsia" w:eastAsiaTheme="minorEastAsia"/>
          <w:color w:val="auto"/>
          <w:szCs w:val="21"/>
          <w:highlight w:val="none"/>
          <w:lang w:eastAsia="zh-CN"/>
        </w:rPr>
      </w:pPr>
    </w:p>
    <w:p w14:paraId="4907A952">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lang w:eastAsia="zh-CN"/>
        </w:rPr>
        <w:t>乙</w:t>
      </w:r>
      <w:r>
        <w:rPr>
          <w:rFonts w:hint="eastAsia" w:cs="宋体" w:asciiTheme="minorEastAsia" w:hAnsiTheme="minorEastAsia" w:eastAsiaTheme="minorEastAsia"/>
          <w:color w:val="auto"/>
          <w:szCs w:val="21"/>
          <w:highlight w:val="none"/>
        </w:rPr>
        <w:t>方</w:t>
      </w:r>
      <w:r>
        <w:rPr>
          <w:rFonts w:hint="eastAsia" w:cs="宋体" w:asciiTheme="minorEastAsia" w:hAnsiTheme="minorEastAsia" w:eastAsiaTheme="minorEastAsia"/>
          <w:color w:val="auto"/>
          <w:szCs w:val="21"/>
          <w:highlight w:val="none"/>
          <w:lang w:eastAsia="zh-CN"/>
        </w:rPr>
        <w:t>（联合体成员）</w:t>
      </w:r>
      <w:r>
        <w:rPr>
          <w:rFonts w:hint="eastAsia" w:cs="宋体" w:asciiTheme="minorEastAsia" w:hAnsiTheme="minorEastAsia" w:eastAsiaTheme="minorEastAsia"/>
          <w:color w:val="auto"/>
          <w:szCs w:val="21"/>
          <w:highlight w:val="none"/>
        </w:rPr>
        <w:t>（公章）：            乙方</w:t>
      </w:r>
      <w:r>
        <w:rPr>
          <w:rFonts w:hint="eastAsia" w:cs="宋体" w:asciiTheme="minorEastAsia" w:hAnsiTheme="minorEastAsia" w:eastAsiaTheme="minorEastAsia"/>
          <w:color w:val="auto"/>
          <w:szCs w:val="21"/>
          <w:highlight w:val="none"/>
          <w:lang w:eastAsia="zh-CN"/>
        </w:rPr>
        <w:t>（联合体成员）</w:t>
      </w:r>
      <w:r>
        <w:rPr>
          <w:rFonts w:hint="eastAsia" w:cs="宋体" w:asciiTheme="minorEastAsia" w:hAnsiTheme="minorEastAsia" w:eastAsiaTheme="minorEastAsia"/>
          <w:color w:val="auto"/>
          <w:szCs w:val="21"/>
          <w:highlight w:val="none"/>
        </w:rPr>
        <w:t>（公章）：</w:t>
      </w:r>
    </w:p>
    <w:p w14:paraId="77949177">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 xml:space="preserve">法定代表人：                     </w:t>
      </w:r>
      <w:r>
        <w:rPr>
          <w:rFonts w:hint="eastAsia" w:cs="宋体" w:asciiTheme="minorEastAsia" w:hAnsiTheme="minorEastAsia" w:eastAsiaTheme="minorEastAsia"/>
          <w:color w:val="auto"/>
          <w:szCs w:val="21"/>
          <w:highlight w:val="none"/>
          <w:lang w:val="en-US" w:eastAsia="zh-CN"/>
        </w:rPr>
        <w:t xml:space="preserve">    </w:t>
      </w:r>
      <w:r>
        <w:rPr>
          <w:rFonts w:hint="eastAsia" w:cs="宋体" w:asciiTheme="minorEastAsia" w:hAnsiTheme="minorEastAsia" w:eastAsiaTheme="minorEastAsia"/>
          <w:color w:val="auto"/>
          <w:szCs w:val="21"/>
          <w:highlight w:val="none"/>
        </w:rPr>
        <w:t>法定代表人：</w:t>
      </w:r>
    </w:p>
    <w:p w14:paraId="597D6803">
      <w:pPr>
        <w:widowControl/>
        <w:spacing w:line="360" w:lineRule="auto"/>
        <w:jc w:val="left"/>
        <w:outlineLvl w:val="9"/>
        <w:rPr>
          <w:rFonts w:hint="eastAsia" w:asciiTheme="minorEastAsia" w:hAnsiTheme="minorEastAsia" w:eastAsiaTheme="minorEastAsia" w:cstheme="minorEastAsia"/>
          <w:color w:val="auto"/>
          <w:sz w:val="21"/>
          <w:szCs w:val="21"/>
          <w:highlight w:val="none"/>
        </w:rPr>
      </w:pPr>
    </w:p>
    <w:p w14:paraId="4D3EDCAE">
      <w:pPr>
        <w:widowControl/>
        <w:spacing w:line="360" w:lineRule="auto"/>
        <w:jc w:val="left"/>
        <w:outlineLvl w:val="9"/>
        <w:rPr>
          <w:rFonts w:hint="eastAsia" w:asciiTheme="minorEastAsia" w:hAnsiTheme="minorEastAsia" w:eastAsiaTheme="minorEastAsia" w:cstheme="minorEastAsia"/>
          <w:color w:val="auto"/>
          <w:sz w:val="21"/>
          <w:szCs w:val="21"/>
          <w:highlight w:val="none"/>
        </w:rPr>
      </w:pPr>
    </w:p>
    <w:p w14:paraId="2D3A48EF">
      <w:pPr>
        <w:widowControl/>
        <w:spacing w:line="360" w:lineRule="auto"/>
        <w:jc w:val="left"/>
        <w:outlineLvl w:val="9"/>
        <w:rPr>
          <w:rFonts w:hint="eastAsia" w:asciiTheme="minorEastAsia" w:hAnsiTheme="minorEastAsia" w:eastAsiaTheme="minorEastAsia" w:cstheme="minorEastAsia"/>
          <w:color w:val="auto"/>
          <w:sz w:val="21"/>
          <w:szCs w:val="21"/>
          <w:highlight w:val="none"/>
        </w:rPr>
      </w:pPr>
    </w:p>
    <w:p w14:paraId="3ABC9005">
      <w:pPr>
        <w:widowControl/>
        <w:spacing w:line="360" w:lineRule="auto"/>
        <w:jc w:val="left"/>
        <w:outlineLvl w:val="9"/>
        <w:rPr>
          <w:rFonts w:hint="eastAsia" w:asciiTheme="minorEastAsia" w:hAnsiTheme="minorEastAsia" w:eastAsiaTheme="minorEastAsia" w:cstheme="minorEastAsia"/>
          <w:color w:val="auto"/>
          <w:sz w:val="21"/>
          <w:szCs w:val="21"/>
          <w:highlight w:val="none"/>
        </w:rPr>
      </w:pPr>
    </w:p>
    <w:p w14:paraId="24E2BDE9">
      <w:pPr>
        <w:widowControl/>
        <w:spacing w:line="360" w:lineRule="auto"/>
        <w:jc w:val="left"/>
        <w:outlineLvl w:val="9"/>
        <w:rPr>
          <w:rFonts w:hint="eastAsia" w:asciiTheme="minorEastAsia" w:hAnsiTheme="minorEastAsia" w:eastAsiaTheme="minorEastAsia" w:cstheme="minorEastAsia"/>
          <w:color w:val="auto"/>
          <w:sz w:val="21"/>
          <w:szCs w:val="21"/>
          <w:highlight w:val="none"/>
        </w:rPr>
      </w:pPr>
    </w:p>
    <w:p w14:paraId="77D5704A">
      <w:pPr>
        <w:widowControl/>
        <w:spacing w:line="360" w:lineRule="auto"/>
        <w:jc w:val="left"/>
        <w:outlineLvl w:val="9"/>
        <w:rPr>
          <w:rFonts w:hint="eastAsia" w:asciiTheme="minorEastAsia" w:hAnsiTheme="minorEastAsia" w:eastAsiaTheme="minorEastAsia" w:cstheme="minorEastAsia"/>
          <w:color w:val="auto"/>
          <w:sz w:val="21"/>
          <w:szCs w:val="21"/>
          <w:highlight w:val="none"/>
        </w:rPr>
      </w:pPr>
    </w:p>
    <w:p w14:paraId="7BEB560F">
      <w:pPr>
        <w:widowControl/>
        <w:spacing w:line="360" w:lineRule="auto"/>
        <w:jc w:val="left"/>
        <w:outlineLvl w:val="9"/>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附件</w:t>
      </w:r>
      <w:r>
        <w:rPr>
          <w:rFonts w:hint="eastAsia" w:asciiTheme="minorEastAsia" w:hAnsiTheme="minorEastAsia" w:eastAsiaTheme="minorEastAsia" w:cstheme="minorEastAsia"/>
          <w:color w:val="auto"/>
          <w:sz w:val="21"/>
          <w:szCs w:val="21"/>
          <w:highlight w:val="none"/>
          <w:lang w:val="en-US" w:eastAsia="zh-CN"/>
        </w:rPr>
        <w:t>二十</w:t>
      </w:r>
      <w:r>
        <w:rPr>
          <w:rFonts w:hint="eastAsia" w:asciiTheme="minorEastAsia" w:hAnsiTheme="minorEastAsia" w:eastAsiaTheme="minorEastAsia" w:cstheme="minorEastAsia"/>
          <w:color w:val="auto"/>
          <w:sz w:val="21"/>
          <w:szCs w:val="21"/>
          <w:highlight w:val="none"/>
        </w:rPr>
        <w:t>：</w:t>
      </w:r>
    </w:p>
    <w:p w14:paraId="5F2327EF">
      <w:pPr>
        <w:widowControl/>
        <w:spacing w:line="360" w:lineRule="auto"/>
        <w:jc w:val="center"/>
        <w:outlineLvl w:val="9"/>
        <w:rPr>
          <w:rFonts w:asciiTheme="minorEastAsia" w:hAnsiTheme="minorEastAsia" w:eastAsiaTheme="minorEastAsia" w:cstheme="minorEastAsia"/>
          <w:b/>
          <w:color w:val="auto"/>
          <w:sz w:val="32"/>
          <w:szCs w:val="32"/>
          <w:highlight w:val="none"/>
        </w:rPr>
      </w:pPr>
      <w:r>
        <w:rPr>
          <w:rFonts w:hint="eastAsia" w:asciiTheme="minorEastAsia" w:hAnsiTheme="minorEastAsia" w:eastAsiaTheme="minorEastAsia" w:cstheme="minorEastAsia"/>
          <w:b/>
          <w:color w:val="auto"/>
          <w:sz w:val="32"/>
          <w:szCs w:val="32"/>
          <w:highlight w:val="none"/>
        </w:rPr>
        <w:t>退场协定</w:t>
      </w:r>
    </w:p>
    <w:p w14:paraId="0AB6D9D4">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无论因何种原因导致本合同提前解除、终止的，合同终止或解除后，承包人应妥善做好已完工程和已购材料、设备的保护和移交工作，按发包人要求将自有机械设备和人员撤出施工场地。发包人应为承包人撤出提供必要条件，在承包人完成退场并经发包人确认后30个工作日内，发包人向承包人支付扣除质保金后的退场结算价款。已经订货的材料、设备由订货方负责退货或解除订货合同，不能退还的货款和因退货、解除订货合同发生的费用，由甲、乙双方协商解决，因未及时退货造成的损失由承包人承担。当发包人向承包人发出退场通知后具体要求如下：</w:t>
      </w:r>
    </w:p>
    <w:p w14:paraId="5DBBF81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（1）停止一切工作，但应负责发包人为保护已实施的那部分工程的安全而指示的可能必要的工作及任何保持现场整洁、安全所要求的工作；</w:t>
      </w:r>
    </w:p>
    <w:p w14:paraId="64595CB6">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（2）在发包人发出退场通知起10日内向发包人移交承包人已得到相应付款的所有施工文件、工程设备与材料；</w:t>
      </w:r>
    </w:p>
    <w:p w14:paraId="280215C3">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（3）在发包人发出退场通知起10日内向发包人移交至退场通知发出日期为止已实施的全部工程；</w:t>
      </w:r>
    </w:p>
    <w:p w14:paraId="5C9ED03E">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（4）在发包人发出退场通知起10日内撤离现场承包人所有的职员和劳务人员。</w:t>
      </w:r>
    </w:p>
    <w:p w14:paraId="25C42A28">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（5）不得在发包人的所有办公场所和工程现场聚众闹事或干扰工程正常进行。</w:t>
      </w:r>
    </w:p>
    <w:p w14:paraId="28D8CA91">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6）双方明确：承包人接到发包人退场通知，并不免除承包人对已完工程的质量保修责任。对于已施工完但经发包人验收不合格的工程，承包人应负责整改至发包人满意为止。因此而给发包人造成的损失，由承包人全额赔偿，发包人有权在结算价款中直接扣除。</w:t>
      </w:r>
    </w:p>
    <w:p w14:paraId="127E2E6A">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承包人违反上述（1）-（6）中任何一条，发包人有权拒绝支付承包人本工程施工费用，同时承包人应按三拾万元/天向发包人支付违约金,违约金不足以弥补发包人损失的，承包人应继续承担赔偿责任。</w:t>
      </w:r>
    </w:p>
    <w:p w14:paraId="77C60FFB">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（7）退场结算价款的支付约定：</w:t>
      </w:r>
    </w:p>
    <w:p w14:paraId="0762B7CD">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1）在承包人完成退场约定的全部工作前，发包人将不向承包人支付任何款项。承包人完成退场约定的全部工作且结算完成并经发包人确认后30个工作日内，发包人向承包人支付扣除质保金后的退场结算价款。</w:t>
      </w:r>
    </w:p>
    <w:p w14:paraId="4A0A9342">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2）承包人在发包人向其支付退场结算价款时，承包人应先向发包人开具全额合法的税务发票，否则发包人有权拒绝付款并不承担任何责任。若承包人提供的发票被税务机关确认为假票，则承包人除应重新开具足额合法的税务发票外，还应向发包人支付相当于假票票面金额二倍的违约金并承担一切责任，违约金不足以弥补发包人损失的，承包人继续承担赔偿责任。</w:t>
      </w:r>
    </w:p>
    <w:p w14:paraId="7DEA3DE3">
      <w:pPr>
        <w:widowControl/>
        <w:adjustRightInd w:val="0"/>
        <w:snapToGrid w:val="0"/>
        <w:spacing w:line="360" w:lineRule="auto"/>
        <w:jc w:val="lef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3）承包人在本工程施工期间所发生的债务债权均由承包人承担，与发包人无任何关系。</w:t>
      </w:r>
    </w:p>
    <w:p w14:paraId="1ED9EB0A">
      <w:pPr>
        <w:widowControl/>
        <w:jc w:val="left"/>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br w:type="page"/>
      </w:r>
    </w:p>
    <w:p w14:paraId="4F5612BB">
      <w:pPr>
        <w:widowControl/>
        <w:spacing w:line="360" w:lineRule="auto"/>
        <w:jc w:val="left"/>
        <w:outlineLvl w:val="9"/>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附件二十</w:t>
      </w:r>
      <w:r>
        <w:rPr>
          <w:rFonts w:hint="eastAsia" w:asciiTheme="minorEastAsia" w:hAnsiTheme="minorEastAsia" w:eastAsiaTheme="minorEastAsia" w:cstheme="minorEastAsia"/>
          <w:color w:val="auto"/>
          <w:sz w:val="21"/>
          <w:szCs w:val="21"/>
          <w:highlight w:val="none"/>
          <w:lang w:val="en-US" w:eastAsia="zh-CN"/>
        </w:rPr>
        <w:t>一</w:t>
      </w:r>
      <w:r>
        <w:rPr>
          <w:rFonts w:hint="eastAsia" w:asciiTheme="minorEastAsia" w:hAnsiTheme="minorEastAsia" w:eastAsiaTheme="minorEastAsia" w:cstheme="minorEastAsia"/>
          <w:color w:val="auto"/>
          <w:sz w:val="21"/>
          <w:szCs w:val="21"/>
          <w:highlight w:val="none"/>
        </w:rPr>
        <w:t>：</w:t>
      </w:r>
    </w:p>
    <w:p w14:paraId="01AF7ED7">
      <w:pPr>
        <w:widowControl/>
        <w:adjustRightInd w:val="0"/>
        <w:snapToGrid w:val="0"/>
        <w:spacing w:line="360" w:lineRule="auto"/>
        <w:jc w:val="center"/>
        <w:outlineLvl w:val="9"/>
        <w:rPr>
          <w:rFonts w:cs="宋体" w:asciiTheme="minorEastAsia" w:hAnsiTheme="minorEastAsia" w:eastAsiaTheme="minorEastAsia"/>
          <w:b/>
          <w:bCs/>
          <w:color w:val="auto"/>
          <w:sz w:val="32"/>
          <w:szCs w:val="32"/>
          <w:highlight w:val="none"/>
        </w:rPr>
      </w:pPr>
      <w:r>
        <w:rPr>
          <w:rFonts w:hint="eastAsia" w:cs="宋体" w:asciiTheme="minorEastAsia" w:hAnsiTheme="minorEastAsia" w:eastAsiaTheme="minorEastAsia"/>
          <w:b/>
          <w:bCs/>
          <w:color w:val="auto"/>
          <w:sz w:val="32"/>
          <w:szCs w:val="32"/>
          <w:highlight w:val="none"/>
        </w:rPr>
        <w:t>暂估价工程及暂定价材料</w:t>
      </w:r>
      <w:r>
        <w:rPr>
          <w:rFonts w:hint="eastAsia" w:cs="宋体" w:asciiTheme="minorEastAsia" w:hAnsiTheme="minorEastAsia" w:eastAsiaTheme="minorEastAsia"/>
          <w:b/>
          <w:bCs/>
          <w:color w:val="auto"/>
          <w:sz w:val="32"/>
          <w:szCs w:val="32"/>
          <w:highlight w:val="none"/>
          <w:lang w:eastAsia="zh-CN"/>
        </w:rPr>
        <w:t>招</w:t>
      </w:r>
      <w:r>
        <w:rPr>
          <w:rFonts w:hint="eastAsia" w:cs="宋体" w:asciiTheme="minorEastAsia" w:hAnsiTheme="minorEastAsia" w:eastAsiaTheme="minorEastAsia"/>
          <w:b/>
          <w:bCs/>
          <w:color w:val="auto"/>
          <w:sz w:val="32"/>
          <w:szCs w:val="32"/>
          <w:highlight w:val="none"/>
        </w:rPr>
        <w:t>标采购管理作业文件</w:t>
      </w:r>
    </w:p>
    <w:p w14:paraId="79C75AA8">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一、总则</w:t>
      </w:r>
    </w:p>
    <w:p w14:paraId="0CB4784D">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1.目的</w:t>
      </w:r>
    </w:p>
    <w:p w14:paraId="6E6EF3DE">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为了规范总承包合同中暂估价工程及暂定价材料招标采购活动，强化监督约束机制，根据《招标投标法》、《招标投标法实施条例》以及陕西省、西安市、经开区、经发集团、公司有关规定，特制定本作业文件。</w:t>
      </w:r>
    </w:p>
    <w:p w14:paraId="2BAC0388">
      <w:pPr>
        <w:autoSpaceDE w:val="0"/>
        <w:autoSpaceDN w:val="0"/>
        <w:adjustRightInd w:val="0"/>
        <w:snapToGrid w:val="0"/>
        <w:spacing w:line="360" w:lineRule="auto"/>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b/>
          <w:color w:val="auto"/>
          <w:sz w:val="21"/>
          <w:szCs w:val="21"/>
          <w:highlight w:val="none"/>
        </w:rPr>
        <w:t>2.</w:t>
      </w:r>
      <w:r>
        <w:rPr>
          <w:rFonts w:hint="eastAsia" w:cs="宋体" w:asciiTheme="minorEastAsia" w:hAnsiTheme="minorEastAsia" w:eastAsiaTheme="minorEastAsia"/>
          <w:b/>
          <w:color w:val="auto"/>
          <w:kern w:val="0"/>
          <w:sz w:val="21"/>
          <w:szCs w:val="21"/>
          <w:highlight w:val="none"/>
        </w:rPr>
        <w:t>内容：</w:t>
      </w:r>
      <w:r>
        <w:rPr>
          <w:rFonts w:hint="eastAsia" w:cs="宋体" w:asciiTheme="minorEastAsia" w:hAnsiTheme="minorEastAsia" w:eastAsiaTheme="minorEastAsia"/>
          <w:color w:val="auto"/>
          <w:kern w:val="0"/>
          <w:sz w:val="21"/>
          <w:szCs w:val="21"/>
          <w:highlight w:val="none"/>
        </w:rPr>
        <w:t>本作业文件明确了暂估价及暂定价材料的分类采购控制标准及对应的招标采购方式，各类招标形式招标流程。</w:t>
      </w:r>
    </w:p>
    <w:p w14:paraId="04E53C01">
      <w:pPr>
        <w:pStyle w:val="50"/>
        <w:adjustRightInd w:val="0"/>
        <w:snapToGrid w:val="0"/>
        <w:spacing w:before="0" w:beforeAutospacing="0" w:after="0" w:afterAutospacing="0" w:line="360" w:lineRule="auto"/>
        <w:outlineLvl w:val="9"/>
        <w:rPr>
          <w:rStyle w:val="59"/>
          <w:rFonts w:cs="宋体" w:asciiTheme="minorEastAsia" w:hAnsiTheme="minorEastAsia" w:eastAsiaTheme="minorEastAsia"/>
          <w:color w:val="auto"/>
          <w:sz w:val="21"/>
          <w:szCs w:val="21"/>
          <w:highlight w:val="none"/>
        </w:rPr>
      </w:pPr>
      <w:r>
        <w:rPr>
          <w:rStyle w:val="59"/>
          <w:rFonts w:hint="eastAsia" w:cs="宋体" w:asciiTheme="minorEastAsia" w:hAnsiTheme="minorEastAsia" w:eastAsiaTheme="minorEastAsia"/>
          <w:color w:val="auto"/>
          <w:sz w:val="21"/>
          <w:szCs w:val="21"/>
          <w:highlight w:val="none"/>
        </w:rPr>
        <w:t>3.职责</w:t>
      </w:r>
    </w:p>
    <w:p w14:paraId="59E4A83C">
      <w:pPr>
        <w:pStyle w:val="50"/>
        <w:adjustRightInd w:val="0"/>
        <w:snapToGrid w:val="0"/>
        <w:spacing w:before="0" w:beforeAutospacing="0" w:after="0" w:afterAutospacing="0"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3.1发包人招标采供部负责对暂估价工程及暂定价材料设备招标活动中相关文件的审核、会签。负责提供材料类招标控制价的编制、审核、确定。</w:t>
      </w:r>
    </w:p>
    <w:p w14:paraId="5655C6BF">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3.2成本管理部负责提供</w:t>
      </w:r>
      <w:r>
        <w:rPr>
          <w:rFonts w:hint="eastAsia" w:cs="宋体" w:asciiTheme="minorEastAsia" w:hAnsiTheme="minorEastAsia" w:eastAsiaTheme="minorEastAsia"/>
          <w:color w:val="auto"/>
          <w:kern w:val="0"/>
          <w:sz w:val="21"/>
          <w:szCs w:val="21"/>
          <w:highlight w:val="none"/>
        </w:rPr>
        <w:t>工程招标建安投资金额，</w:t>
      </w:r>
      <w:r>
        <w:rPr>
          <w:rFonts w:hint="eastAsia" w:cs="宋体" w:asciiTheme="minorEastAsia" w:hAnsiTheme="minorEastAsia" w:eastAsiaTheme="minorEastAsia"/>
          <w:color w:val="auto"/>
          <w:sz w:val="21"/>
          <w:szCs w:val="21"/>
          <w:highlight w:val="none"/>
        </w:rPr>
        <w:t>负责施工类招标的工程量清单、招标控制价的编制、审核、确定。</w:t>
      </w:r>
    </w:p>
    <w:p w14:paraId="2285CFD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3.3公司工程管理委员会负责对采购活动相关文件审批。</w:t>
      </w:r>
    </w:p>
    <w:p w14:paraId="4F90B0F0">
      <w:pPr>
        <w:pStyle w:val="50"/>
        <w:adjustRightInd w:val="0"/>
        <w:snapToGrid w:val="0"/>
        <w:spacing w:before="0" w:beforeAutospacing="0" w:after="0" w:afterAutospacing="0"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color w:val="auto"/>
          <w:sz w:val="21"/>
          <w:szCs w:val="21"/>
          <w:highlight w:val="none"/>
        </w:rPr>
        <w:t>3.5企管部对招标采供过程监督。</w:t>
      </w:r>
    </w:p>
    <w:p w14:paraId="060532C9">
      <w:pPr>
        <w:pStyle w:val="50"/>
        <w:adjustRightInd w:val="0"/>
        <w:snapToGrid w:val="0"/>
        <w:spacing w:before="0" w:beforeAutospacing="0" w:after="0" w:afterAutospacing="0" w:line="360" w:lineRule="auto"/>
        <w:ind w:firstLine="48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附：</w:t>
      </w:r>
    </w:p>
    <w:p w14:paraId="665EC9A8">
      <w:pPr>
        <w:pStyle w:val="50"/>
        <w:adjustRightInd w:val="0"/>
        <w:snapToGrid w:val="0"/>
        <w:spacing w:before="0" w:beforeAutospacing="0" w:after="0" w:afterAutospacing="0" w:line="360" w:lineRule="auto"/>
        <w:ind w:firstLine="560"/>
        <w:outlineLvl w:val="9"/>
        <w:rPr>
          <w:rFonts w:cs="宋体" w:asciiTheme="minorEastAsia" w:hAnsiTheme="minorEastAsia" w:eastAsiaTheme="minorEastAsia"/>
          <w:bCs/>
          <w:color w:val="auto"/>
          <w:sz w:val="21"/>
          <w:szCs w:val="21"/>
          <w:highlight w:val="none"/>
        </w:rPr>
      </w:pPr>
      <w:r>
        <w:rPr>
          <w:rFonts w:hint="eastAsia" w:cs="宋体" w:asciiTheme="minorEastAsia" w:hAnsiTheme="minorEastAsia" w:eastAsiaTheme="minorEastAsia"/>
          <w:bCs/>
          <w:color w:val="auto"/>
          <w:sz w:val="21"/>
          <w:szCs w:val="21"/>
          <w:highlight w:val="none"/>
        </w:rPr>
        <w:t>经发地产招标采购分类控制标准</w:t>
      </w:r>
    </w:p>
    <w:p w14:paraId="777D3858">
      <w:pPr>
        <w:pStyle w:val="50"/>
        <w:adjustRightInd w:val="0"/>
        <w:snapToGrid w:val="0"/>
        <w:spacing w:before="0" w:beforeAutospacing="0" w:after="0" w:afterAutospacing="0" w:line="360" w:lineRule="auto"/>
        <w:ind w:firstLine="560"/>
        <w:outlineLvl w:val="9"/>
        <w:rPr>
          <w:rFonts w:cs="宋体" w:asciiTheme="minorEastAsia" w:hAnsiTheme="minorEastAsia" w:eastAsiaTheme="minorEastAsia"/>
          <w:color w:val="auto"/>
          <w:sz w:val="21"/>
          <w:szCs w:val="21"/>
          <w:highlight w:val="none"/>
        </w:rPr>
      </w:pPr>
    </w:p>
    <w:p w14:paraId="6F184EDC">
      <w:pPr>
        <w:pStyle w:val="50"/>
        <w:adjustRightInd w:val="0"/>
        <w:snapToGrid w:val="0"/>
        <w:spacing w:before="0" w:beforeAutospacing="0" w:after="0" w:afterAutospacing="0" w:line="360" w:lineRule="auto"/>
        <w:ind w:firstLine="560"/>
        <w:outlineLvl w:val="9"/>
        <w:rPr>
          <w:rFonts w:cs="宋体" w:asciiTheme="minorEastAsia" w:hAnsiTheme="minorEastAsia" w:eastAsiaTheme="minorEastAsia"/>
          <w:color w:val="auto"/>
          <w:sz w:val="21"/>
          <w:szCs w:val="21"/>
          <w:highlight w:val="none"/>
        </w:rPr>
        <w:sectPr>
          <w:pgSz w:w="11900" w:h="16838"/>
          <w:pgMar w:top="1134" w:right="1361" w:bottom="1134" w:left="1361" w:header="567" w:footer="567" w:gutter="0"/>
          <w:pgBorders>
            <w:top w:val="none" w:sz="0" w:space="0"/>
            <w:left w:val="none" w:sz="0" w:space="0"/>
            <w:bottom w:val="none" w:sz="0" w:space="0"/>
            <w:right w:val="none" w:sz="0" w:space="0"/>
          </w:pgBorders>
          <w:cols w:space="720" w:num="1"/>
          <w:docGrid w:linePitch="286" w:charSpace="0"/>
        </w:sectPr>
      </w:pPr>
    </w:p>
    <w:tbl>
      <w:tblPr>
        <w:tblStyle w:val="56"/>
        <w:tblW w:w="53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753"/>
        <w:gridCol w:w="1912"/>
        <w:gridCol w:w="2498"/>
        <w:gridCol w:w="2352"/>
        <w:gridCol w:w="1902"/>
      </w:tblGrid>
      <w:tr w14:paraId="06344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blHeader/>
          <w:jc w:val="center"/>
        </w:trPr>
        <w:tc>
          <w:tcPr>
            <w:tcW w:w="5000" w:type="pct"/>
            <w:gridSpan w:val="6"/>
            <w:tcBorders>
              <w:top w:val="single" w:color="auto" w:sz="4" w:space="0"/>
              <w:left w:val="single" w:color="auto" w:sz="4" w:space="0"/>
              <w:bottom w:val="single" w:color="auto" w:sz="4" w:space="0"/>
              <w:right w:val="single" w:color="auto" w:sz="4" w:space="0"/>
            </w:tcBorders>
            <w:noWrap/>
            <w:vAlign w:val="center"/>
          </w:tcPr>
          <w:p w14:paraId="3B2F563A">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Cs/>
                <w:color w:val="auto"/>
                <w:kern w:val="0"/>
                <w:sz w:val="22"/>
                <w:szCs w:val="22"/>
                <w:highlight w:val="none"/>
              </w:rPr>
            </w:pPr>
            <w:r>
              <w:rPr>
                <w:rFonts w:hint="eastAsia" w:asciiTheme="minorEastAsia" w:hAnsiTheme="minorEastAsia" w:eastAsiaTheme="minorEastAsia"/>
                <w:bCs/>
                <w:color w:val="auto"/>
                <w:kern w:val="0"/>
                <w:szCs w:val="28"/>
                <w:highlight w:val="none"/>
              </w:rPr>
              <w:t>经发地产招标采购分类控制标准</w:t>
            </w:r>
          </w:p>
        </w:tc>
      </w:tr>
      <w:tr w14:paraId="31B3E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blHeader/>
          <w:jc w:val="center"/>
        </w:trPr>
        <w:tc>
          <w:tcPr>
            <w:tcW w:w="727" w:type="pct"/>
            <w:gridSpan w:val="2"/>
            <w:tcBorders>
              <w:top w:val="single" w:color="auto" w:sz="4" w:space="0"/>
              <w:left w:val="single" w:color="auto" w:sz="4" w:space="0"/>
              <w:bottom w:val="single" w:color="auto" w:sz="4" w:space="0"/>
              <w:right w:val="single" w:color="auto" w:sz="4" w:space="0"/>
            </w:tcBorders>
            <w:noWrap/>
            <w:vAlign w:val="center"/>
          </w:tcPr>
          <w:p w14:paraId="0D3FD604">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b/>
                <w:bCs/>
                <w:color w:val="auto"/>
                <w:kern w:val="0"/>
                <w:sz w:val="22"/>
                <w:szCs w:val="22"/>
                <w:highlight w:val="none"/>
              </w:rPr>
              <w:t>采购类别</w:t>
            </w:r>
          </w:p>
        </w:tc>
        <w:tc>
          <w:tcPr>
            <w:tcW w:w="943" w:type="pct"/>
            <w:tcBorders>
              <w:top w:val="single" w:color="auto" w:sz="4" w:space="0"/>
              <w:left w:val="single" w:color="auto" w:sz="4" w:space="0"/>
              <w:bottom w:val="single" w:color="auto" w:sz="4" w:space="0"/>
              <w:right w:val="single" w:color="auto" w:sz="4" w:space="0"/>
            </w:tcBorders>
          </w:tcPr>
          <w:p w14:paraId="2DB2AC13">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
                <w:bCs/>
                <w:color w:val="auto"/>
                <w:kern w:val="0"/>
                <w:sz w:val="22"/>
                <w:szCs w:val="22"/>
                <w:highlight w:val="none"/>
              </w:rPr>
            </w:pPr>
            <w:r>
              <w:rPr>
                <w:rFonts w:hint="eastAsia" w:asciiTheme="minorEastAsia" w:hAnsiTheme="minorEastAsia" w:eastAsiaTheme="minorEastAsia"/>
                <w:b/>
                <w:bCs/>
                <w:color w:val="auto"/>
                <w:kern w:val="0"/>
                <w:sz w:val="22"/>
                <w:szCs w:val="22"/>
                <w:highlight w:val="none"/>
              </w:rPr>
              <w:t>明细</w:t>
            </w:r>
          </w:p>
        </w:tc>
        <w:tc>
          <w:tcPr>
            <w:tcW w:w="1232" w:type="pct"/>
            <w:tcBorders>
              <w:top w:val="single" w:color="auto" w:sz="4" w:space="0"/>
              <w:left w:val="single" w:color="auto" w:sz="4" w:space="0"/>
              <w:bottom w:val="single" w:color="auto" w:sz="4" w:space="0"/>
              <w:right w:val="single" w:color="auto" w:sz="4" w:space="0"/>
            </w:tcBorders>
          </w:tcPr>
          <w:p w14:paraId="6A82CE09">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
                <w:bCs/>
                <w:color w:val="auto"/>
                <w:kern w:val="0"/>
                <w:sz w:val="22"/>
                <w:szCs w:val="22"/>
                <w:highlight w:val="none"/>
              </w:rPr>
            </w:pPr>
            <w:r>
              <w:rPr>
                <w:rFonts w:hint="eastAsia" w:asciiTheme="minorEastAsia" w:hAnsiTheme="minorEastAsia" w:eastAsiaTheme="minorEastAsia"/>
                <w:b/>
                <w:bCs/>
                <w:color w:val="auto"/>
                <w:kern w:val="0"/>
                <w:sz w:val="22"/>
                <w:szCs w:val="22"/>
                <w:highlight w:val="none"/>
              </w:rPr>
              <w:t>估算价</w:t>
            </w:r>
          </w:p>
        </w:tc>
        <w:tc>
          <w:tcPr>
            <w:tcW w:w="1160" w:type="pct"/>
            <w:tcBorders>
              <w:top w:val="single" w:color="auto" w:sz="4" w:space="0"/>
              <w:left w:val="single" w:color="auto" w:sz="4" w:space="0"/>
              <w:bottom w:val="single" w:color="auto" w:sz="4" w:space="0"/>
              <w:right w:val="single" w:color="auto" w:sz="4" w:space="0"/>
            </w:tcBorders>
          </w:tcPr>
          <w:p w14:paraId="06EFC128">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
                <w:bCs/>
                <w:color w:val="auto"/>
                <w:kern w:val="0"/>
                <w:sz w:val="22"/>
                <w:szCs w:val="22"/>
                <w:highlight w:val="none"/>
              </w:rPr>
            </w:pPr>
            <w:r>
              <w:rPr>
                <w:rFonts w:hint="eastAsia" w:asciiTheme="minorEastAsia" w:hAnsiTheme="minorEastAsia" w:eastAsiaTheme="minorEastAsia"/>
                <w:b/>
                <w:bCs/>
                <w:color w:val="auto"/>
                <w:kern w:val="0"/>
                <w:sz w:val="22"/>
                <w:szCs w:val="22"/>
                <w:highlight w:val="none"/>
              </w:rPr>
              <w:t>采购方式</w:t>
            </w:r>
          </w:p>
        </w:tc>
        <w:tc>
          <w:tcPr>
            <w:tcW w:w="939" w:type="pct"/>
            <w:tcBorders>
              <w:top w:val="single" w:color="auto" w:sz="4" w:space="0"/>
              <w:left w:val="single" w:color="auto" w:sz="4" w:space="0"/>
              <w:bottom w:val="single" w:color="auto" w:sz="4" w:space="0"/>
              <w:right w:val="single" w:color="auto" w:sz="4" w:space="0"/>
            </w:tcBorders>
          </w:tcPr>
          <w:p w14:paraId="46CF6824">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
                <w:bCs/>
                <w:color w:val="auto"/>
                <w:kern w:val="0"/>
                <w:sz w:val="22"/>
                <w:szCs w:val="22"/>
                <w:highlight w:val="none"/>
              </w:rPr>
            </w:pPr>
            <w:r>
              <w:rPr>
                <w:rFonts w:hint="eastAsia" w:asciiTheme="minorEastAsia" w:hAnsiTheme="minorEastAsia" w:eastAsiaTheme="minorEastAsia"/>
                <w:b/>
                <w:bCs/>
                <w:color w:val="auto"/>
                <w:kern w:val="0"/>
                <w:sz w:val="22"/>
                <w:szCs w:val="22"/>
                <w:highlight w:val="none"/>
              </w:rPr>
              <w:t>审批层级</w:t>
            </w:r>
          </w:p>
        </w:tc>
      </w:tr>
      <w:tr w14:paraId="1FB86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356" w:type="pct"/>
            <w:vMerge w:val="restart"/>
            <w:tcBorders>
              <w:top w:val="nil"/>
              <w:left w:val="single" w:color="auto" w:sz="4" w:space="0"/>
              <w:bottom w:val="single" w:color="auto" w:sz="4" w:space="0"/>
              <w:right w:val="single" w:color="auto" w:sz="4" w:space="0"/>
            </w:tcBorders>
            <w:vAlign w:val="center"/>
          </w:tcPr>
          <w:p w14:paraId="46C95E41">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
                <w:color w:val="auto"/>
                <w:kern w:val="0"/>
                <w:sz w:val="22"/>
                <w:szCs w:val="22"/>
                <w:highlight w:val="none"/>
              </w:rPr>
            </w:pPr>
            <w:r>
              <w:rPr>
                <w:rFonts w:hint="eastAsia" w:asciiTheme="minorEastAsia" w:hAnsiTheme="minorEastAsia" w:eastAsiaTheme="minorEastAsia"/>
                <w:b/>
                <w:color w:val="auto"/>
                <w:kern w:val="0"/>
                <w:sz w:val="22"/>
                <w:szCs w:val="22"/>
                <w:highlight w:val="none"/>
              </w:rPr>
              <w:t>工程建设类</w:t>
            </w:r>
          </w:p>
        </w:tc>
        <w:tc>
          <w:tcPr>
            <w:tcW w:w="371" w:type="pct"/>
            <w:vMerge w:val="restart"/>
            <w:tcBorders>
              <w:top w:val="nil"/>
              <w:left w:val="single" w:color="auto" w:sz="4" w:space="0"/>
              <w:bottom w:val="single" w:color="auto" w:sz="4" w:space="0"/>
              <w:right w:val="single" w:color="auto" w:sz="4" w:space="0"/>
            </w:tcBorders>
            <w:vAlign w:val="center"/>
          </w:tcPr>
          <w:p w14:paraId="48976539">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
                <w:bCs/>
                <w:color w:val="auto"/>
                <w:kern w:val="0"/>
                <w:sz w:val="22"/>
                <w:szCs w:val="22"/>
                <w:highlight w:val="none"/>
              </w:rPr>
            </w:pPr>
            <w:r>
              <w:rPr>
                <w:rFonts w:hint="eastAsia" w:asciiTheme="minorEastAsia" w:hAnsiTheme="minorEastAsia" w:eastAsiaTheme="minorEastAsia"/>
                <w:b/>
                <w:bCs/>
                <w:color w:val="auto"/>
                <w:kern w:val="0"/>
                <w:sz w:val="22"/>
                <w:szCs w:val="22"/>
                <w:highlight w:val="none"/>
              </w:rPr>
              <w:t>施工工程</w:t>
            </w:r>
          </w:p>
        </w:tc>
        <w:tc>
          <w:tcPr>
            <w:tcW w:w="943" w:type="pct"/>
            <w:tcBorders>
              <w:top w:val="single" w:color="auto" w:sz="4" w:space="0"/>
              <w:left w:val="single" w:color="auto" w:sz="4" w:space="0"/>
              <w:bottom w:val="single" w:color="auto" w:sz="4" w:space="0"/>
              <w:right w:val="single" w:color="auto" w:sz="4" w:space="0"/>
            </w:tcBorders>
            <w:vAlign w:val="center"/>
          </w:tcPr>
          <w:p w14:paraId="37E36D7E">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工程施工</w:t>
            </w:r>
          </w:p>
        </w:tc>
        <w:tc>
          <w:tcPr>
            <w:tcW w:w="1232" w:type="pct"/>
            <w:tcBorders>
              <w:top w:val="single" w:color="auto" w:sz="4" w:space="0"/>
              <w:left w:val="single" w:color="auto" w:sz="4" w:space="0"/>
              <w:bottom w:val="single" w:color="auto" w:sz="4" w:space="0"/>
              <w:right w:val="single" w:color="auto" w:sz="4" w:space="0"/>
            </w:tcBorders>
            <w:vAlign w:val="center"/>
          </w:tcPr>
          <w:p w14:paraId="60FB1869">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估算价≥400万</w:t>
            </w:r>
          </w:p>
        </w:tc>
        <w:tc>
          <w:tcPr>
            <w:tcW w:w="1160" w:type="pct"/>
            <w:tcBorders>
              <w:top w:val="single" w:color="auto" w:sz="4" w:space="0"/>
              <w:left w:val="single" w:color="auto" w:sz="4" w:space="0"/>
              <w:bottom w:val="single" w:color="auto" w:sz="4" w:space="0"/>
              <w:right w:val="single" w:color="auto" w:sz="4" w:space="0"/>
            </w:tcBorders>
            <w:vAlign w:val="center"/>
          </w:tcPr>
          <w:p w14:paraId="0886D57C">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公开招标</w:t>
            </w:r>
          </w:p>
          <w:p w14:paraId="4B97053C">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kern w:val="0"/>
                <w:sz w:val="22"/>
                <w:szCs w:val="22"/>
                <w:highlight w:val="none"/>
              </w:rPr>
              <w:t>(公共资源交易中心/西安国企招标集采交易平台进行交易)</w:t>
            </w:r>
          </w:p>
        </w:tc>
        <w:tc>
          <w:tcPr>
            <w:tcW w:w="939" w:type="pct"/>
            <w:vMerge w:val="restart"/>
            <w:tcBorders>
              <w:top w:val="single" w:color="auto" w:sz="4" w:space="0"/>
              <w:left w:val="single" w:color="auto" w:sz="4" w:space="0"/>
              <w:bottom w:val="single" w:color="auto" w:sz="4" w:space="0"/>
              <w:right w:val="single" w:color="auto" w:sz="4" w:space="0"/>
            </w:tcBorders>
            <w:vAlign w:val="center"/>
          </w:tcPr>
          <w:p w14:paraId="33148038">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工程管理委员会、</w:t>
            </w:r>
            <w:r>
              <w:rPr>
                <w:rFonts w:hint="eastAsia" w:cs="宋体" w:asciiTheme="minorEastAsia" w:hAnsiTheme="minorEastAsia" w:eastAsiaTheme="minorEastAsia"/>
                <w:color w:val="auto"/>
                <w:kern w:val="0"/>
                <w:sz w:val="22"/>
                <w:szCs w:val="22"/>
                <w:highlight w:val="none"/>
              </w:rPr>
              <w:t>总经理</w:t>
            </w:r>
          </w:p>
          <w:p w14:paraId="142356AA">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p>
          <w:p w14:paraId="18995444">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认价：分管领导、</w:t>
            </w:r>
            <w:r>
              <w:rPr>
                <w:rFonts w:hint="eastAsia" w:cs="宋体" w:asciiTheme="minorEastAsia" w:hAnsiTheme="minorEastAsia" w:eastAsiaTheme="minorEastAsia"/>
                <w:color w:val="auto"/>
                <w:kern w:val="0"/>
                <w:sz w:val="22"/>
                <w:szCs w:val="22"/>
                <w:highlight w:val="none"/>
              </w:rPr>
              <w:t>总经理</w:t>
            </w:r>
          </w:p>
        </w:tc>
      </w:tr>
      <w:tr w14:paraId="39C00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1FBC0D44">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309720FB">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vMerge w:val="restart"/>
            <w:tcBorders>
              <w:top w:val="nil"/>
              <w:left w:val="single" w:color="auto" w:sz="4" w:space="0"/>
              <w:bottom w:val="single" w:color="auto" w:sz="4" w:space="0"/>
              <w:right w:val="single" w:color="auto" w:sz="4" w:space="0"/>
            </w:tcBorders>
            <w:vAlign w:val="center"/>
          </w:tcPr>
          <w:p w14:paraId="73138F83">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分包工程及暂估价工程</w:t>
            </w:r>
          </w:p>
        </w:tc>
        <w:tc>
          <w:tcPr>
            <w:tcW w:w="1232" w:type="pct"/>
            <w:tcBorders>
              <w:top w:val="single" w:color="auto" w:sz="4" w:space="0"/>
              <w:left w:val="single" w:color="auto" w:sz="4" w:space="0"/>
              <w:bottom w:val="single" w:color="auto" w:sz="4" w:space="0"/>
              <w:right w:val="single" w:color="auto" w:sz="4" w:space="0"/>
            </w:tcBorders>
            <w:vAlign w:val="center"/>
          </w:tcPr>
          <w:p w14:paraId="4F2A999E">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50万元≤估算价&lt;400万</w:t>
            </w:r>
          </w:p>
        </w:tc>
        <w:tc>
          <w:tcPr>
            <w:tcW w:w="1160" w:type="pct"/>
            <w:tcBorders>
              <w:top w:val="single" w:color="auto" w:sz="4" w:space="0"/>
              <w:left w:val="single" w:color="auto" w:sz="4" w:space="0"/>
              <w:bottom w:val="single" w:color="auto" w:sz="4" w:space="0"/>
              <w:right w:val="single" w:color="auto" w:sz="4" w:space="0"/>
            </w:tcBorders>
            <w:vAlign w:val="center"/>
          </w:tcPr>
          <w:p w14:paraId="359AD6A0">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公开招标、竞争性谈判/磋商、询价、询比</w:t>
            </w:r>
          </w:p>
          <w:p w14:paraId="083D4BC0">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(西安国企招标集采交易平台进行交易)</w:t>
            </w:r>
          </w:p>
        </w:tc>
        <w:tc>
          <w:tcPr>
            <w:tcW w:w="939" w:type="pct"/>
            <w:vMerge w:val="continue"/>
            <w:tcBorders>
              <w:top w:val="single" w:color="auto" w:sz="4" w:space="0"/>
              <w:left w:val="single" w:color="auto" w:sz="4" w:space="0"/>
              <w:bottom w:val="single" w:color="auto" w:sz="4" w:space="0"/>
              <w:right w:val="single" w:color="auto" w:sz="4" w:space="0"/>
            </w:tcBorders>
            <w:vAlign w:val="center"/>
          </w:tcPr>
          <w:p w14:paraId="675ADA39">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r w14:paraId="5FBE6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3705A43C">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04C0D6AD">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vMerge w:val="continue"/>
            <w:tcBorders>
              <w:top w:val="nil"/>
              <w:left w:val="single" w:color="auto" w:sz="4" w:space="0"/>
              <w:bottom w:val="single" w:color="auto" w:sz="4" w:space="0"/>
              <w:right w:val="single" w:color="auto" w:sz="4" w:space="0"/>
            </w:tcBorders>
            <w:vAlign w:val="center"/>
          </w:tcPr>
          <w:p w14:paraId="2FE4A33A">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c>
          <w:tcPr>
            <w:tcW w:w="1232" w:type="pct"/>
            <w:tcBorders>
              <w:top w:val="single" w:color="auto" w:sz="4" w:space="0"/>
              <w:left w:val="single" w:color="auto" w:sz="4" w:space="0"/>
              <w:bottom w:val="single" w:color="auto" w:sz="4" w:space="0"/>
              <w:right w:val="single" w:color="auto" w:sz="4" w:space="0"/>
            </w:tcBorders>
            <w:vAlign w:val="center"/>
          </w:tcPr>
          <w:p w14:paraId="297CC29F">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30万元≤估算价&lt;50万</w:t>
            </w:r>
          </w:p>
        </w:tc>
        <w:tc>
          <w:tcPr>
            <w:tcW w:w="1160" w:type="pct"/>
            <w:tcBorders>
              <w:top w:val="single" w:color="auto" w:sz="4" w:space="0"/>
              <w:left w:val="single" w:color="auto" w:sz="4" w:space="0"/>
              <w:bottom w:val="single" w:color="auto" w:sz="4" w:space="0"/>
              <w:right w:val="single" w:color="auto" w:sz="4" w:space="0"/>
            </w:tcBorders>
            <w:vAlign w:val="center"/>
          </w:tcPr>
          <w:p w14:paraId="1060AC99">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询比</w:t>
            </w:r>
          </w:p>
          <w:p w14:paraId="4E080DC1">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（委托招标代理发公告实施/自行组织）</w:t>
            </w:r>
          </w:p>
        </w:tc>
        <w:tc>
          <w:tcPr>
            <w:tcW w:w="939" w:type="pct"/>
            <w:vMerge w:val="continue"/>
            <w:tcBorders>
              <w:top w:val="single" w:color="auto" w:sz="4" w:space="0"/>
              <w:left w:val="single" w:color="auto" w:sz="4" w:space="0"/>
              <w:bottom w:val="single" w:color="auto" w:sz="4" w:space="0"/>
              <w:right w:val="single" w:color="auto" w:sz="4" w:space="0"/>
            </w:tcBorders>
            <w:vAlign w:val="center"/>
          </w:tcPr>
          <w:p w14:paraId="17F862FC">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r w14:paraId="2605A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0F8CE840">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2FC762C8">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vMerge w:val="continue"/>
            <w:tcBorders>
              <w:top w:val="nil"/>
              <w:left w:val="single" w:color="auto" w:sz="4" w:space="0"/>
              <w:bottom w:val="single" w:color="auto" w:sz="4" w:space="0"/>
              <w:right w:val="single" w:color="auto" w:sz="4" w:space="0"/>
            </w:tcBorders>
            <w:vAlign w:val="center"/>
          </w:tcPr>
          <w:p w14:paraId="6A39093D">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c>
          <w:tcPr>
            <w:tcW w:w="1232" w:type="pct"/>
            <w:tcBorders>
              <w:top w:val="single" w:color="auto" w:sz="4" w:space="0"/>
              <w:left w:val="single" w:color="auto" w:sz="4" w:space="0"/>
              <w:bottom w:val="single" w:color="auto" w:sz="4" w:space="0"/>
              <w:right w:val="single" w:color="auto" w:sz="4" w:space="0"/>
            </w:tcBorders>
            <w:vAlign w:val="center"/>
          </w:tcPr>
          <w:p w14:paraId="3C147577">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估算价&lt;30万</w:t>
            </w:r>
          </w:p>
        </w:tc>
        <w:tc>
          <w:tcPr>
            <w:tcW w:w="1160" w:type="pct"/>
            <w:tcBorders>
              <w:top w:val="single" w:color="auto" w:sz="4" w:space="0"/>
              <w:left w:val="single" w:color="auto" w:sz="4" w:space="0"/>
              <w:bottom w:val="nil"/>
              <w:right w:val="single" w:color="auto" w:sz="4" w:space="0"/>
            </w:tcBorders>
            <w:vAlign w:val="center"/>
          </w:tcPr>
          <w:p w14:paraId="19E5D64C">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合同谈判或认价</w:t>
            </w:r>
          </w:p>
        </w:tc>
        <w:tc>
          <w:tcPr>
            <w:tcW w:w="939" w:type="pct"/>
            <w:vMerge w:val="continue"/>
            <w:tcBorders>
              <w:top w:val="single" w:color="auto" w:sz="4" w:space="0"/>
              <w:left w:val="single" w:color="auto" w:sz="4" w:space="0"/>
              <w:bottom w:val="single" w:color="auto" w:sz="4" w:space="0"/>
              <w:right w:val="single" w:color="auto" w:sz="4" w:space="0"/>
            </w:tcBorders>
            <w:vAlign w:val="center"/>
          </w:tcPr>
          <w:p w14:paraId="684F806C">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r w14:paraId="53E73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4B60CB6C">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7A1A9DEF">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tcBorders>
              <w:top w:val="single" w:color="auto" w:sz="4" w:space="0"/>
              <w:left w:val="single" w:color="auto" w:sz="4" w:space="0"/>
              <w:bottom w:val="single" w:color="auto" w:sz="4" w:space="0"/>
              <w:right w:val="single" w:color="auto" w:sz="4" w:space="0"/>
            </w:tcBorders>
            <w:vAlign w:val="center"/>
          </w:tcPr>
          <w:p w14:paraId="3885CB84">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行业垄断工程</w:t>
            </w:r>
          </w:p>
        </w:tc>
        <w:tc>
          <w:tcPr>
            <w:tcW w:w="2392" w:type="pct"/>
            <w:gridSpan w:val="2"/>
            <w:tcBorders>
              <w:top w:val="single" w:color="auto" w:sz="4" w:space="0"/>
              <w:left w:val="single" w:color="auto" w:sz="4" w:space="0"/>
              <w:bottom w:val="single" w:color="auto" w:sz="4" w:space="0"/>
              <w:right w:val="single" w:color="auto" w:sz="4" w:space="0"/>
            </w:tcBorders>
            <w:vAlign w:val="center"/>
          </w:tcPr>
          <w:p w14:paraId="3726EF8E">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天然气、热力、给水、供电采用直接委托形式，合同谈判</w:t>
            </w:r>
          </w:p>
        </w:tc>
        <w:tc>
          <w:tcPr>
            <w:tcW w:w="939" w:type="pct"/>
            <w:vMerge w:val="continue"/>
            <w:tcBorders>
              <w:top w:val="single" w:color="auto" w:sz="4" w:space="0"/>
              <w:left w:val="single" w:color="auto" w:sz="4" w:space="0"/>
              <w:bottom w:val="single" w:color="auto" w:sz="4" w:space="0"/>
              <w:right w:val="single" w:color="auto" w:sz="4" w:space="0"/>
            </w:tcBorders>
            <w:vAlign w:val="center"/>
          </w:tcPr>
          <w:p w14:paraId="7431D3B6">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r w14:paraId="5945F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7DEEFB16">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restart"/>
            <w:tcBorders>
              <w:top w:val="nil"/>
              <w:left w:val="single" w:color="auto" w:sz="4" w:space="0"/>
              <w:bottom w:val="single" w:color="auto" w:sz="4" w:space="0"/>
              <w:right w:val="single" w:color="auto" w:sz="4" w:space="0"/>
            </w:tcBorders>
            <w:vAlign w:val="center"/>
          </w:tcPr>
          <w:p w14:paraId="24E464A2">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
                <w:bCs/>
                <w:color w:val="auto"/>
                <w:kern w:val="0"/>
                <w:sz w:val="22"/>
                <w:szCs w:val="22"/>
                <w:highlight w:val="none"/>
              </w:rPr>
            </w:pPr>
            <w:r>
              <w:rPr>
                <w:rFonts w:hint="eastAsia" w:asciiTheme="minorEastAsia" w:hAnsiTheme="minorEastAsia" w:eastAsiaTheme="minorEastAsia"/>
                <w:b/>
                <w:bCs/>
                <w:color w:val="auto"/>
                <w:kern w:val="0"/>
                <w:sz w:val="22"/>
                <w:szCs w:val="22"/>
                <w:highlight w:val="none"/>
              </w:rPr>
              <w:t>货物</w:t>
            </w:r>
          </w:p>
        </w:tc>
        <w:tc>
          <w:tcPr>
            <w:tcW w:w="943" w:type="pct"/>
            <w:vMerge w:val="restart"/>
            <w:tcBorders>
              <w:top w:val="nil"/>
              <w:left w:val="single" w:color="auto" w:sz="4" w:space="0"/>
              <w:bottom w:val="single" w:color="auto" w:sz="4" w:space="0"/>
              <w:right w:val="single" w:color="auto" w:sz="4" w:space="0"/>
            </w:tcBorders>
            <w:vAlign w:val="center"/>
          </w:tcPr>
          <w:p w14:paraId="6DFDDE93">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总承包暂定价材料设备（含甲供材料设备）</w:t>
            </w:r>
          </w:p>
        </w:tc>
        <w:tc>
          <w:tcPr>
            <w:tcW w:w="1232" w:type="pct"/>
            <w:tcBorders>
              <w:top w:val="single" w:color="auto" w:sz="4" w:space="0"/>
              <w:left w:val="nil"/>
              <w:bottom w:val="single" w:color="auto" w:sz="4" w:space="0"/>
              <w:right w:val="single" w:color="auto" w:sz="4" w:space="0"/>
            </w:tcBorders>
            <w:vAlign w:val="center"/>
          </w:tcPr>
          <w:p w14:paraId="39C3E7C1">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估算价≥200万</w:t>
            </w:r>
          </w:p>
        </w:tc>
        <w:tc>
          <w:tcPr>
            <w:tcW w:w="1160" w:type="pct"/>
            <w:tcBorders>
              <w:top w:val="single" w:color="auto" w:sz="4" w:space="0"/>
              <w:left w:val="nil"/>
              <w:bottom w:val="single" w:color="auto" w:sz="4" w:space="0"/>
              <w:right w:val="single" w:color="auto" w:sz="4" w:space="0"/>
            </w:tcBorders>
            <w:vAlign w:val="center"/>
          </w:tcPr>
          <w:p w14:paraId="1287F7FB">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公开招标</w:t>
            </w:r>
          </w:p>
          <w:p w14:paraId="7D1EDF42">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(公共资源交易中心/西安国企招标集采交易平台进行交易)</w:t>
            </w:r>
          </w:p>
        </w:tc>
        <w:tc>
          <w:tcPr>
            <w:tcW w:w="939" w:type="pct"/>
            <w:vMerge w:val="restart"/>
            <w:tcBorders>
              <w:top w:val="single" w:color="auto" w:sz="4" w:space="0"/>
              <w:left w:val="nil"/>
              <w:bottom w:val="single" w:color="auto" w:sz="4" w:space="0"/>
              <w:right w:val="single" w:color="auto" w:sz="4" w:space="0"/>
            </w:tcBorders>
            <w:vAlign w:val="center"/>
          </w:tcPr>
          <w:p w14:paraId="5DA59ED5">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工程管理</w:t>
            </w:r>
          </w:p>
          <w:p w14:paraId="4CDBB340">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委员会、</w:t>
            </w:r>
            <w:r>
              <w:rPr>
                <w:rFonts w:hint="eastAsia" w:cs="宋体" w:asciiTheme="minorEastAsia" w:hAnsiTheme="minorEastAsia" w:eastAsiaTheme="minorEastAsia"/>
                <w:color w:val="auto"/>
                <w:kern w:val="0"/>
                <w:sz w:val="22"/>
                <w:szCs w:val="22"/>
                <w:highlight w:val="none"/>
              </w:rPr>
              <w:t>总经理</w:t>
            </w:r>
            <w:r>
              <w:rPr>
                <w:rFonts w:hint="eastAsia" w:asciiTheme="minorEastAsia" w:hAnsiTheme="minorEastAsia" w:eastAsiaTheme="minorEastAsia"/>
                <w:color w:val="auto"/>
                <w:kern w:val="0"/>
                <w:sz w:val="22"/>
                <w:szCs w:val="22"/>
                <w:highlight w:val="none"/>
              </w:rPr>
              <w:t>　</w:t>
            </w:r>
          </w:p>
        </w:tc>
      </w:tr>
      <w:tr w14:paraId="5B66D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6C24384E">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352048C7">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vMerge w:val="continue"/>
            <w:tcBorders>
              <w:top w:val="nil"/>
              <w:left w:val="single" w:color="auto" w:sz="4" w:space="0"/>
              <w:bottom w:val="single" w:color="auto" w:sz="4" w:space="0"/>
              <w:right w:val="single" w:color="auto" w:sz="4" w:space="0"/>
            </w:tcBorders>
            <w:vAlign w:val="center"/>
          </w:tcPr>
          <w:p w14:paraId="1F8D60D3">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c>
          <w:tcPr>
            <w:tcW w:w="1232" w:type="pct"/>
            <w:tcBorders>
              <w:top w:val="single" w:color="auto" w:sz="4" w:space="0"/>
              <w:left w:val="nil"/>
              <w:bottom w:val="single" w:color="auto" w:sz="4" w:space="0"/>
              <w:right w:val="single" w:color="auto" w:sz="4" w:space="0"/>
            </w:tcBorders>
            <w:vAlign w:val="center"/>
          </w:tcPr>
          <w:p w14:paraId="0AE6A7A7">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50万元≤估算价&lt;200万</w:t>
            </w:r>
          </w:p>
        </w:tc>
        <w:tc>
          <w:tcPr>
            <w:tcW w:w="1160" w:type="pct"/>
            <w:tcBorders>
              <w:top w:val="single" w:color="auto" w:sz="4" w:space="0"/>
              <w:left w:val="nil"/>
              <w:bottom w:val="single" w:color="auto" w:sz="4" w:space="0"/>
              <w:right w:val="single" w:color="auto" w:sz="4" w:space="0"/>
            </w:tcBorders>
            <w:vAlign w:val="center"/>
          </w:tcPr>
          <w:p w14:paraId="04B6026F">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公开招标、竞争性谈判/磋商、询价、询比</w:t>
            </w:r>
          </w:p>
          <w:p w14:paraId="3FEDE914">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(西安国企招标集采交易平台进行交易)</w:t>
            </w:r>
          </w:p>
        </w:tc>
        <w:tc>
          <w:tcPr>
            <w:tcW w:w="939" w:type="pct"/>
            <w:vMerge w:val="continue"/>
            <w:tcBorders>
              <w:top w:val="single" w:color="auto" w:sz="4" w:space="0"/>
              <w:left w:val="nil"/>
              <w:bottom w:val="single" w:color="auto" w:sz="4" w:space="0"/>
              <w:right w:val="single" w:color="auto" w:sz="4" w:space="0"/>
            </w:tcBorders>
            <w:vAlign w:val="center"/>
          </w:tcPr>
          <w:p w14:paraId="1C41C087">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r w14:paraId="1FF3E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015362F6">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4A4A8B00">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vMerge w:val="continue"/>
            <w:tcBorders>
              <w:top w:val="nil"/>
              <w:left w:val="single" w:color="auto" w:sz="4" w:space="0"/>
              <w:bottom w:val="single" w:color="auto" w:sz="4" w:space="0"/>
              <w:right w:val="single" w:color="auto" w:sz="4" w:space="0"/>
            </w:tcBorders>
            <w:vAlign w:val="center"/>
          </w:tcPr>
          <w:p w14:paraId="69EFBFF1">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c>
          <w:tcPr>
            <w:tcW w:w="1232" w:type="pct"/>
            <w:tcBorders>
              <w:top w:val="single" w:color="auto" w:sz="4" w:space="0"/>
              <w:left w:val="nil"/>
              <w:bottom w:val="single" w:color="auto" w:sz="4" w:space="0"/>
              <w:right w:val="single" w:color="auto" w:sz="4" w:space="0"/>
            </w:tcBorders>
            <w:vAlign w:val="center"/>
          </w:tcPr>
          <w:p w14:paraId="24E3CA9A">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30万元≤估算价&lt;50万</w:t>
            </w:r>
          </w:p>
        </w:tc>
        <w:tc>
          <w:tcPr>
            <w:tcW w:w="1160" w:type="pct"/>
            <w:tcBorders>
              <w:top w:val="single" w:color="auto" w:sz="4" w:space="0"/>
              <w:left w:val="nil"/>
              <w:bottom w:val="single" w:color="auto" w:sz="4" w:space="0"/>
              <w:right w:val="single" w:color="auto" w:sz="4" w:space="0"/>
            </w:tcBorders>
            <w:vAlign w:val="center"/>
          </w:tcPr>
          <w:p w14:paraId="2B06CF46">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询比</w:t>
            </w:r>
          </w:p>
          <w:p w14:paraId="58C58223">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（委托招标代理发公告/自行组织）</w:t>
            </w:r>
          </w:p>
        </w:tc>
        <w:tc>
          <w:tcPr>
            <w:tcW w:w="939" w:type="pct"/>
            <w:vMerge w:val="continue"/>
            <w:tcBorders>
              <w:top w:val="single" w:color="auto" w:sz="4" w:space="0"/>
              <w:left w:val="nil"/>
              <w:bottom w:val="single" w:color="auto" w:sz="4" w:space="0"/>
              <w:right w:val="single" w:color="auto" w:sz="4" w:space="0"/>
            </w:tcBorders>
            <w:vAlign w:val="center"/>
          </w:tcPr>
          <w:p w14:paraId="26F028A4">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r w14:paraId="3EFD5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10BA66EF">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1BFDF5FC">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vMerge w:val="continue"/>
            <w:tcBorders>
              <w:top w:val="nil"/>
              <w:left w:val="single" w:color="auto" w:sz="4" w:space="0"/>
              <w:bottom w:val="single" w:color="auto" w:sz="4" w:space="0"/>
              <w:right w:val="single" w:color="auto" w:sz="4" w:space="0"/>
            </w:tcBorders>
            <w:vAlign w:val="center"/>
          </w:tcPr>
          <w:p w14:paraId="164B1870">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c>
          <w:tcPr>
            <w:tcW w:w="1232" w:type="pct"/>
            <w:tcBorders>
              <w:top w:val="single" w:color="auto" w:sz="4" w:space="0"/>
              <w:left w:val="single" w:color="auto" w:sz="4" w:space="0"/>
              <w:bottom w:val="single" w:color="auto" w:sz="4" w:space="0"/>
              <w:right w:val="single" w:color="auto" w:sz="4" w:space="0"/>
            </w:tcBorders>
            <w:vAlign w:val="center"/>
          </w:tcPr>
          <w:p w14:paraId="1153F7BD">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估算价&lt;30万</w:t>
            </w:r>
          </w:p>
        </w:tc>
        <w:tc>
          <w:tcPr>
            <w:tcW w:w="1160" w:type="pct"/>
            <w:tcBorders>
              <w:top w:val="single" w:color="auto" w:sz="4" w:space="0"/>
              <w:left w:val="nil"/>
              <w:bottom w:val="single" w:color="auto" w:sz="4" w:space="0"/>
              <w:right w:val="single" w:color="auto" w:sz="4" w:space="0"/>
            </w:tcBorders>
            <w:vAlign w:val="center"/>
          </w:tcPr>
          <w:p w14:paraId="74546504">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合同谈判或认价</w:t>
            </w:r>
          </w:p>
        </w:tc>
        <w:tc>
          <w:tcPr>
            <w:tcW w:w="939" w:type="pct"/>
            <w:tcBorders>
              <w:top w:val="single" w:color="auto" w:sz="4" w:space="0"/>
              <w:left w:val="nil"/>
              <w:bottom w:val="single" w:color="auto" w:sz="4" w:space="0"/>
              <w:right w:val="single" w:color="auto" w:sz="4" w:space="0"/>
            </w:tcBorders>
            <w:vAlign w:val="center"/>
          </w:tcPr>
          <w:p w14:paraId="1D733B20">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分管领导　</w:t>
            </w:r>
          </w:p>
        </w:tc>
      </w:tr>
      <w:tr w14:paraId="76000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39323CD9">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restart"/>
            <w:tcBorders>
              <w:top w:val="nil"/>
              <w:left w:val="single" w:color="auto" w:sz="4" w:space="0"/>
              <w:bottom w:val="single" w:color="auto" w:sz="4" w:space="0"/>
              <w:right w:val="single" w:color="auto" w:sz="4" w:space="0"/>
            </w:tcBorders>
            <w:vAlign w:val="center"/>
          </w:tcPr>
          <w:p w14:paraId="07DE4A38">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
                <w:bCs/>
                <w:color w:val="auto"/>
                <w:kern w:val="0"/>
                <w:sz w:val="22"/>
                <w:szCs w:val="22"/>
                <w:highlight w:val="none"/>
              </w:rPr>
            </w:pPr>
            <w:r>
              <w:rPr>
                <w:rFonts w:hint="eastAsia" w:asciiTheme="minorEastAsia" w:hAnsiTheme="minorEastAsia" w:eastAsiaTheme="minorEastAsia"/>
                <w:b/>
                <w:bCs/>
                <w:color w:val="auto"/>
                <w:kern w:val="0"/>
                <w:sz w:val="22"/>
                <w:szCs w:val="22"/>
                <w:highlight w:val="none"/>
              </w:rPr>
              <w:t>家具</w:t>
            </w:r>
          </w:p>
        </w:tc>
        <w:tc>
          <w:tcPr>
            <w:tcW w:w="943" w:type="pct"/>
            <w:vMerge w:val="restart"/>
            <w:tcBorders>
              <w:top w:val="nil"/>
              <w:left w:val="single" w:color="auto" w:sz="4" w:space="0"/>
              <w:right w:val="single" w:color="auto" w:sz="4" w:space="0"/>
            </w:tcBorders>
            <w:vAlign w:val="center"/>
          </w:tcPr>
          <w:p w14:paraId="17F9E417">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样板间及销售中心</w:t>
            </w:r>
          </w:p>
        </w:tc>
        <w:tc>
          <w:tcPr>
            <w:tcW w:w="1232" w:type="pct"/>
            <w:tcBorders>
              <w:top w:val="single" w:color="auto" w:sz="4" w:space="0"/>
              <w:left w:val="single" w:color="auto" w:sz="4" w:space="0"/>
              <w:bottom w:val="single" w:color="auto" w:sz="4" w:space="0"/>
              <w:right w:val="single" w:color="auto" w:sz="4" w:space="0"/>
            </w:tcBorders>
            <w:vAlign w:val="center"/>
          </w:tcPr>
          <w:p w14:paraId="070E6F6E">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估算价≥100万</w:t>
            </w:r>
          </w:p>
        </w:tc>
        <w:tc>
          <w:tcPr>
            <w:tcW w:w="1160" w:type="pct"/>
            <w:tcBorders>
              <w:top w:val="single" w:color="auto" w:sz="4" w:space="0"/>
              <w:left w:val="nil"/>
              <w:bottom w:val="single" w:color="auto" w:sz="4" w:space="0"/>
              <w:right w:val="single" w:color="auto" w:sz="4" w:space="0"/>
            </w:tcBorders>
            <w:vAlign w:val="center"/>
          </w:tcPr>
          <w:p w14:paraId="6EE6E6DA">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公开招标</w:t>
            </w:r>
          </w:p>
          <w:p w14:paraId="71212F8C">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(公共资源交易中心/西安国企招标集采交易平台进行交易)</w:t>
            </w:r>
          </w:p>
        </w:tc>
        <w:tc>
          <w:tcPr>
            <w:tcW w:w="939" w:type="pct"/>
            <w:vMerge w:val="restart"/>
            <w:tcBorders>
              <w:top w:val="nil"/>
              <w:left w:val="nil"/>
              <w:bottom w:val="single" w:color="auto" w:sz="4" w:space="0"/>
              <w:right w:val="single" w:color="auto" w:sz="4" w:space="0"/>
            </w:tcBorders>
            <w:vAlign w:val="center"/>
          </w:tcPr>
          <w:p w14:paraId="65C4DE6E">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工程管理</w:t>
            </w:r>
          </w:p>
          <w:p w14:paraId="4CFACE52">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委员会、</w:t>
            </w:r>
            <w:r>
              <w:rPr>
                <w:rFonts w:hint="eastAsia" w:cs="宋体" w:asciiTheme="minorEastAsia" w:hAnsiTheme="minorEastAsia" w:eastAsiaTheme="minorEastAsia"/>
                <w:color w:val="auto"/>
                <w:kern w:val="0"/>
                <w:sz w:val="22"/>
                <w:szCs w:val="22"/>
                <w:highlight w:val="none"/>
              </w:rPr>
              <w:t>总经理</w:t>
            </w:r>
          </w:p>
        </w:tc>
      </w:tr>
      <w:tr w14:paraId="0D1E9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4A1B705E">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327412DE">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vMerge w:val="continue"/>
            <w:tcBorders>
              <w:left w:val="single" w:color="auto" w:sz="4" w:space="0"/>
              <w:right w:val="single" w:color="auto" w:sz="4" w:space="0"/>
            </w:tcBorders>
            <w:vAlign w:val="center"/>
          </w:tcPr>
          <w:p w14:paraId="748BFE28">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c>
          <w:tcPr>
            <w:tcW w:w="1232" w:type="pct"/>
            <w:tcBorders>
              <w:top w:val="single" w:color="auto" w:sz="4" w:space="0"/>
              <w:left w:val="single" w:color="auto" w:sz="4" w:space="0"/>
              <w:bottom w:val="single" w:color="auto" w:sz="4" w:space="0"/>
              <w:right w:val="single" w:color="auto" w:sz="4" w:space="0"/>
            </w:tcBorders>
            <w:vAlign w:val="center"/>
          </w:tcPr>
          <w:p w14:paraId="00CF9C11">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50万元≤估算价&lt;100万</w:t>
            </w:r>
          </w:p>
        </w:tc>
        <w:tc>
          <w:tcPr>
            <w:tcW w:w="1160" w:type="pct"/>
            <w:tcBorders>
              <w:top w:val="single" w:color="auto" w:sz="4" w:space="0"/>
              <w:left w:val="single" w:color="auto" w:sz="4" w:space="0"/>
              <w:bottom w:val="single" w:color="auto" w:sz="4" w:space="0"/>
              <w:right w:val="single" w:color="auto" w:sz="4" w:space="0"/>
            </w:tcBorders>
            <w:vAlign w:val="center"/>
          </w:tcPr>
          <w:p w14:paraId="4628F525">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公开招标、竞争性谈判/磋商、询价、询比</w:t>
            </w:r>
          </w:p>
          <w:p w14:paraId="153413B6">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(西安国企招标集采交易平台进行交易)</w:t>
            </w:r>
          </w:p>
        </w:tc>
        <w:tc>
          <w:tcPr>
            <w:tcW w:w="939" w:type="pct"/>
            <w:vMerge w:val="continue"/>
            <w:tcBorders>
              <w:top w:val="nil"/>
              <w:left w:val="nil"/>
              <w:bottom w:val="single" w:color="auto" w:sz="4" w:space="0"/>
              <w:right w:val="single" w:color="auto" w:sz="4" w:space="0"/>
            </w:tcBorders>
            <w:vAlign w:val="center"/>
          </w:tcPr>
          <w:p w14:paraId="1C1F06CF">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r w14:paraId="445C8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276F4BD4">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341C2F92">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vMerge w:val="continue"/>
            <w:tcBorders>
              <w:left w:val="single" w:color="auto" w:sz="4" w:space="0"/>
              <w:bottom w:val="single" w:color="auto" w:sz="4" w:space="0"/>
              <w:right w:val="single" w:color="auto" w:sz="4" w:space="0"/>
            </w:tcBorders>
            <w:vAlign w:val="center"/>
          </w:tcPr>
          <w:p w14:paraId="7B564381">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c>
          <w:tcPr>
            <w:tcW w:w="1232" w:type="pct"/>
            <w:tcBorders>
              <w:top w:val="single" w:color="auto" w:sz="4" w:space="0"/>
              <w:left w:val="single" w:color="auto" w:sz="4" w:space="0"/>
              <w:bottom w:val="single" w:color="auto" w:sz="4" w:space="0"/>
              <w:right w:val="single" w:color="auto" w:sz="4" w:space="0"/>
            </w:tcBorders>
            <w:vAlign w:val="center"/>
          </w:tcPr>
          <w:p w14:paraId="09880D73">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估算价&lt;50万</w:t>
            </w:r>
          </w:p>
        </w:tc>
        <w:tc>
          <w:tcPr>
            <w:tcW w:w="1160" w:type="pct"/>
            <w:tcBorders>
              <w:top w:val="single" w:color="auto" w:sz="4" w:space="0"/>
              <w:left w:val="single" w:color="auto" w:sz="4" w:space="0"/>
              <w:bottom w:val="single" w:color="auto" w:sz="4" w:space="0"/>
              <w:right w:val="single" w:color="auto" w:sz="4" w:space="0"/>
            </w:tcBorders>
            <w:vAlign w:val="center"/>
          </w:tcPr>
          <w:p w14:paraId="5C4EF530">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合同谈判</w:t>
            </w:r>
          </w:p>
        </w:tc>
        <w:tc>
          <w:tcPr>
            <w:tcW w:w="939" w:type="pct"/>
            <w:vMerge w:val="continue"/>
            <w:tcBorders>
              <w:top w:val="nil"/>
              <w:left w:val="nil"/>
              <w:bottom w:val="single" w:color="auto" w:sz="4" w:space="0"/>
              <w:right w:val="single" w:color="auto" w:sz="4" w:space="0"/>
            </w:tcBorders>
            <w:vAlign w:val="center"/>
          </w:tcPr>
          <w:p w14:paraId="29BD9B59">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r w14:paraId="250B0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6A6EBE68">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72EAAE95">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tcBorders>
              <w:top w:val="single" w:color="auto" w:sz="4" w:space="0"/>
              <w:left w:val="single" w:color="auto" w:sz="4" w:space="0"/>
              <w:bottom w:val="single" w:color="auto" w:sz="4" w:space="0"/>
              <w:right w:val="single" w:color="auto" w:sz="4" w:space="0"/>
            </w:tcBorders>
            <w:vAlign w:val="center"/>
          </w:tcPr>
          <w:p w14:paraId="22840AF2">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零星、卖场家具</w:t>
            </w:r>
          </w:p>
        </w:tc>
        <w:tc>
          <w:tcPr>
            <w:tcW w:w="1232" w:type="pct"/>
            <w:tcBorders>
              <w:top w:val="single" w:color="auto" w:sz="4" w:space="0"/>
              <w:left w:val="single" w:color="auto" w:sz="4" w:space="0"/>
              <w:bottom w:val="single" w:color="auto" w:sz="4" w:space="0"/>
              <w:right w:val="single" w:color="auto" w:sz="4" w:space="0"/>
            </w:tcBorders>
            <w:vAlign w:val="center"/>
          </w:tcPr>
          <w:p w14:paraId="1ECAE971">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不论金额</w:t>
            </w:r>
          </w:p>
        </w:tc>
        <w:tc>
          <w:tcPr>
            <w:tcW w:w="1160" w:type="pct"/>
            <w:tcBorders>
              <w:top w:val="single" w:color="auto" w:sz="4" w:space="0"/>
              <w:left w:val="single" w:color="auto" w:sz="4" w:space="0"/>
              <w:bottom w:val="single" w:color="auto" w:sz="4" w:space="0"/>
              <w:right w:val="single" w:color="auto" w:sz="4" w:space="0"/>
            </w:tcBorders>
            <w:vAlign w:val="center"/>
          </w:tcPr>
          <w:p w14:paraId="0BEA6A3C">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卖场采购、合同谈判</w:t>
            </w:r>
          </w:p>
        </w:tc>
        <w:tc>
          <w:tcPr>
            <w:tcW w:w="939" w:type="pct"/>
            <w:vMerge w:val="continue"/>
            <w:tcBorders>
              <w:top w:val="nil"/>
              <w:left w:val="nil"/>
              <w:bottom w:val="single" w:color="auto" w:sz="4" w:space="0"/>
              <w:right w:val="single" w:color="auto" w:sz="4" w:space="0"/>
            </w:tcBorders>
            <w:vAlign w:val="center"/>
          </w:tcPr>
          <w:p w14:paraId="25DF44C5">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r w14:paraId="68CC4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2B29CE7B">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restart"/>
            <w:tcBorders>
              <w:top w:val="nil"/>
              <w:left w:val="single" w:color="auto" w:sz="4" w:space="0"/>
              <w:bottom w:val="single" w:color="auto" w:sz="4" w:space="0"/>
              <w:right w:val="single" w:color="auto" w:sz="4" w:space="0"/>
            </w:tcBorders>
            <w:vAlign w:val="center"/>
          </w:tcPr>
          <w:p w14:paraId="15E81507">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
                <w:bCs/>
                <w:color w:val="auto"/>
                <w:kern w:val="0"/>
                <w:sz w:val="22"/>
                <w:szCs w:val="22"/>
                <w:highlight w:val="none"/>
              </w:rPr>
            </w:pPr>
            <w:r>
              <w:rPr>
                <w:rFonts w:hint="eastAsia" w:asciiTheme="minorEastAsia" w:hAnsiTheme="minorEastAsia" w:eastAsiaTheme="minorEastAsia"/>
                <w:b/>
                <w:bCs/>
                <w:color w:val="auto"/>
                <w:kern w:val="0"/>
                <w:sz w:val="22"/>
                <w:szCs w:val="22"/>
                <w:highlight w:val="none"/>
              </w:rPr>
              <w:t>服务</w:t>
            </w:r>
          </w:p>
        </w:tc>
        <w:tc>
          <w:tcPr>
            <w:tcW w:w="943" w:type="pct"/>
            <w:vMerge w:val="restart"/>
            <w:tcBorders>
              <w:top w:val="nil"/>
              <w:left w:val="single" w:color="auto" w:sz="4" w:space="0"/>
              <w:bottom w:val="single" w:color="auto" w:sz="4" w:space="0"/>
              <w:right w:val="single" w:color="auto" w:sz="4" w:space="0"/>
            </w:tcBorders>
            <w:vAlign w:val="center"/>
          </w:tcPr>
          <w:p w14:paraId="3551F39C">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招标代理、造价咨询、监理、设计、前期土地勘察类、土壤污染检测、定验线、规划验收、环保验收、面积测量类、权籍调查类、可研、交评、文勘、勘察、环评、能评、图纸审查、桩基检测、地基检测、沉降观测、防雷检测、测量、测绘、工程质量安全相关技术服务类等</w:t>
            </w:r>
          </w:p>
        </w:tc>
        <w:tc>
          <w:tcPr>
            <w:tcW w:w="1232" w:type="pct"/>
            <w:tcBorders>
              <w:top w:val="single" w:color="auto" w:sz="4" w:space="0"/>
              <w:left w:val="single" w:color="auto" w:sz="4" w:space="0"/>
              <w:bottom w:val="single" w:color="auto" w:sz="4" w:space="0"/>
              <w:right w:val="single" w:color="auto" w:sz="4" w:space="0"/>
            </w:tcBorders>
            <w:vAlign w:val="center"/>
          </w:tcPr>
          <w:p w14:paraId="035E97E0">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估算价≥100万</w:t>
            </w:r>
          </w:p>
        </w:tc>
        <w:tc>
          <w:tcPr>
            <w:tcW w:w="1160" w:type="pct"/>
            <w:tcBorders>
              <w:top w:val="single" w:color="auto" w:sz="4" w:space="0"/>
              <w:left w:val="single" w:color="auto" w:sz="4" w:space="0"/>
              <w:bottom w:val="single" w:color="auto" w:sz="4" w:space="0"/>
              <w:right w:val="single" w:color="auto" w:sz="4" w:space="0"/>
            </w:tcBorders>
            <w:vAlign w:val="center"/>
          </w:tcPr>
          <w:p w14:paraId="0B2A61E9">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公开招标</w:t>
            </w:r>
          </w:p>
          <w:p w14:paraId="08014AC9">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(公共资源交易中心/西安国企招标集采交易平台进行交易)</w:t>
            </w:r>
          </w:p>
        </w:tc>
        <w:tc>
          <w:tcPr>
            <w:tcW w:w="939" w:type="pct"/>
            <w:vMerge w:val="continue"/>
            <w:tcBorders>
              <w:top w:val="nil"/>
              <w:left w:val="nil"/>
              <w:bottom w:val="single" w:color="auto" w:sz="4" w:space="0"/>
              <w:right w:val="single" w:color="auto" w:sz="4" w:space="0"/>
            </w:tcBorders>
            <w:vAlign w:val="center"/>
          </w:tcPr>
          <w:p w14:paraId="6E32E49E">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r w14:paraId="4E026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38CC8E13">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1D8B369C">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vMerge w:val="continue"/>
            <w:tcBorders>
              <w:top w:val="nil"/>
              <w:left w:val="single" w:color="auto" w:sz="4" w:space="0"/>
              <w:bottom w:val="single" w:color="auto" w:sz="4" w:space="0"/>
              <w:right w:val="single" w:color="auto" w:sz="4" w:space="0"/>
            </w:tcBorders>
            <w:vAlign w:val="center"/>
          </w:tcPr>
          <w:p w14:paraId="14887E99">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c>
          <w:tcPr>
            <w:tcW w:w="1232" w:type="pct"/>
            <w:tcBorders>
              <w:top w:val="single" w:color="auto" w:sz="4" w:space="0"/>
              <w:left w:val="single" w:color="auto" w:sz="4" w:space="0"/>
              <w:bottom w:val="single" w:color="auto" w:sz="4" w:space="0"/>
              <w:right w:val="single" w:color="auto" w:sz="4" w:space="0"/>
            </w:tcBorders>
            <w:vAlign w:val="center"/>
          </w:tcPr>
          <w:p w14:paraId="44AD75CC">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50万元≤估算价&lt;100万</w:t>
            </w:r>
          </w:p>
        </w:tc>
        <w:tc>
          <w:tcPr>
            <w:tcW w:w="1160" w:type="pct"/>
            <w:tcBorders>
              <w:top w:val="single" w:color="auto" w:sz="4" w:space="0"/>
              <w:left w:val="single" w:color="auto" w:sz="4" w:space="0"/>
              <w:bottom w:val="single" w:color="auto" w:sz="4" w:space="0"/>
              <w:right w:val="single" w:color="auto" w:sz="4" w:space="0"/>
            </w:tcBorders>
            <w:vAlign w:val="center"/>
          </w:tcPr>
          <w:p w14:paraId="17D2A2E0">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公开招标、竞争性谈判/磋商、询价、询比</w:t>
            </w:r>
          </w:p>
          <w:p w14:paraId="26F43CCF">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(西安国企招标集采交易平台进行交易)</w:t>
            </w:r>
          </w:p>
        </w:tc>
        <w:tc>
          <w:tcPr>
            <w:tcW w:w="939" w:type="pct"/>
            <w:vMerge w:val="continue"/>
            <w:tcBorders>
              <w:top w:val="nil"/>
              <w:left w:val="nil"/>
              <w:bottom w:val="single" w:color="auto" w:sz="4" w:space="0"/>
              <w:right w:val="single" w:color="auto" w:sz="4" w:space="0"/>
            </w:tcBorders>
            <w:vAlign w:val="center"/>
          </w:tcPr>
          <w:p w14:paraId="2A9DACF0">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r w14:paraId="7C0D7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01B3F388">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58F6C482">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vMerge w:val="continue"/>
            <w:tcBorders>
              <w:top w:val="nil"/>
              <w:left w:val="single" w:color="auto" w:sz="4" w:space="0"/>
              <w:bottom w:val="single" w:color="auto" w:sz="4" w:space="0"/>
              <w:right w:val="single" w:color="auto" w:sz="4" w:space="0"/>
            </w:tcBorders>
            <w:vAlign w:val="center"/>
          </w:tcPr>
          <w:p w14:paraId="1C9EFE11">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c>
          <w:tcPr>
            <w:tcW w:w="1232" w:type="pct"/>
            <w:tcBorders>
              <w:top w:val="single" w:color="auto" w:sz="4" w:space="0"/>
              <w:left w:val="single" w:color="auto" w:sz="4" w:space="0"/>
              <w:bottom w:val="single" w:color="auto" w:sz="4" w:space="0"/>
              <w:right w:val="single" w:color="auto" w:sz="4" w:space="0"/>
            </w:tcBorders>
            <w:vAlign w:val="center"/>
          </w:tcPr>
          <w:p w14:paraId="47D0E150">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30万元≤估算价&lt;50万</w:t>
            </w:r>
          </w:p>
        </w:tc>
        <w:tc>
          <w:tcPr>
            <w:tcW w:w="1160" w:type="pct"/>
            <w:tcBorders>
              <w:top w:val="single" w:color="auto" w:sz="4" w:space="0"/>
              <w:left w:val="single" w:color="auto" w:sz="4" w:space="0"/>
              <w:bottom w:val="single" w:color="auto" w:sz="4" w:space="0"/>
              <w:right w:val="single" w:color="auto" w:sz="4" w:space="0"/>
            </w:tcBorders>
            <w:vAlign w:val="center"/>
          </w:tcPr>
          <w:p w14:paraId="03F1D1F8">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询比</w:t>
            </w:r>
          </w:p>
          <w:p w14:paraId="16DEED98">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（委托招标代理发公告/自行组织）</w:t>
            </w:r>
          </w:p>
        </w:tc>
        <w:tc>
          <w:tcPr>
            <w:tcW w:w="939" w:type="pct"/>
            <w:vMerge w:val="continue"/>
            <w:tcBorders>
              <w:top w:val="nil"/>
              <w:left w:val="nil"/>
              <w:bottom w:val="single" w:color="auto" w:sz="4" w:space="0"/>
              <w:right w:val="single" w:color="auto" w:sz="4" w:space="0"/>
            </w:tcBorders>
            <w:vAlign w:val="center"/>
          </w:tcPr>
          <w:p w14:paraId="65243BB8">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r w14:paraId="1D579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5"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3A4CCEA2">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2CD63003">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vMerge w:val="continue"/>
            <w:tcBorders>
              <w:top w:val="nil"/>
              <w:left w:val="single" w:color="auto" w:sz="4" w:space="0"/>
              <w:bottom w:val="single" w:color="auto" w:sz="4" w:space="0"/>
              <w:right w:val="single" w:color="auto" w:sz="4" w:space="0"/>
            </w:tcBorders>
            <w:vAlign w:val="center"/>
          </w:tcPr>
          <w:p w14:paraId="7E24EB44">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c>
          <w:tcPr>
            <w:tcW w:w="1232" w:type="pct"/>
            <w:tcBorders>
              <w:top w:val="single" w:color="auto" w:sz="4" w:space="0"/>
              <w:left w:val="single" w:color="auto" w:sz="4" w:space="0"/>
              <w:bottom w:val="single" w:color="auto" w:sz="4" w:space="0"/>
              <w:right w:val="single" w:color="auto" w:sz="4" w:space="0"/>
            </w:tcBorders>
            <w:vAlign w:val="center"/>
          </w:tcPr>
          <w:p w14:paraId="4C1C7993">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估算价&lt;30万</w:t>
            </w:r>
          </w:p>
        </w:tc>
        <w:tc>
          <w:tcPr>
            <w:tcW w:w="1160" w:type="pct"/>
            <w:tcBorders>
              <w:top w:val="single" w:color="auto" w:sz="4" w:space="0"/>
              <w:left w:val="single" w:color="auto" w:sz="4" w:space="0"/>
              <w:bottom w:val="single" w:color="auto" w:sz="4" w:space="0"/>
              <w:right w:val="single" w:color="auto" w:sz="4" w:space="0"/>
            </w:tcBorders>
            <w:vAlign w:val="center"/>
          </w:tcPr>
          <w:p w14:paraId="619D92F6">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合同谈判</w:t>
            </w:r>
          </w:p>
        </w:tc>
        <w:tc>
          <w:tcPr>
            <w:tcW w:w="939" w:type="pct"/>
            <w:vMerge w:val="continue"/>
            <w:tcBorders>
              <w:top w:val="nil"/>
              <w:left w:val="nil"/>
              <w:bottom w:val="single" w:color="auto" w:sz="4" w:space="0"/>
              <w:right w:val="single" w:color="auto" w:sz="4" w:space="0"/>
            </w:tcBorders>
            <w:vAlign w:val="center"/>
          </w:tcPr>
          <w:p w14:paraId="601DE572">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r w14:paraId="374B5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56" w:type="pct"/>
            <w:vMerge w:val="continue"/>
            <w:tcBorders>
              <w:top w:val="nil"/>
              <w:left w:val="single" w:color="auto" w:sz="4" w:space="0"/>
              <w:bottom w:val="single" w:color="auto" w:sz="4" w:space="0"/>
              <w:right w:val="single" w:color="auto" w:sz="4" w:space="0"/>
            </w:tcBorders>
            <w:vAlign w:val="center"/>
          </w:tcPr>
          <w:p w14:paraId="406E6938">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color w:val="auto"/>
                <w:kern w:val="0"/>
                <w:sz w:val="22"/>
                <w:szCs w:val="22"/>
                <w:highlight w:val="none"/>
              </w:rPr>
            </w:pPr>
          </w:p>
        </w:tc>
        <w:tc>
          <w:tcPr>
            <w:tcW w:w="371" w:type="pct"/>
            <w:vMerge w:val="continue"/>
            <w:tcBorders>
              <w:top w:val="nil"/>
              <w:left w:val="single" w:color="auto" w:sz="4" w:space="0"/>
              <w:bottom w:val="single" w:color="auto" w:sz="4" w:space="0"/>
              <w:right w:val="single" w:color="auto" w:sz="4" w:space="0"/>
            </w:tcBorders>
            <w:vAlign w:val="center"/>
          </w:tcPr>
          <w:p w14:paraId="2C981DBF">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b/>
                <w:bCs/>
                <w:color w:val="auto"/>
                <w:kern w:val="0"/>
                <w:sz w:val="22"/>
                <w:szCs w:val="22"/>
                <w:highlight w:val="none"/>
              </w:rPr>
            </w:pPr>
          </w:p>
        </w:tc>
        <w:tc>
          <w:tcPr>
            <w:tcW w:w="943" w:type="pct"/>
            <w:tcBorders>
              <w:top w:val="single" w:color="auto" w:sz="4" w:space="0"/>
              <w:left w:val="single" w:color="auto" w:sz="4" w:space="0"/>
              <w:bottom w:val="single" w:color="auto" w:sz="4" w:space="0"/>
              <w:right w:val="single" w:color="auto" w:sz="4" w:space="0"/>
            </w:tcBorders>
            <w:vAlign w:val="center"/>
          </w:tcPr>
          <w:p w14:paraId="65C035C4">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物业（住宅部分）</w:t>
            </w:r>
          </w:p>
        </w:tc>
        <w:tc>
          <w:tcPr>
            <w:tcW w:w="1232" w:type="pct"/>
            <w:tcBorders>
              <w:top w:val="single" w:color="auto" w:sz="4" w:space="0"/>
              <w:left w:val="single" w:color="auto" w:sz="4" w:space="0"/>
              <w:bottom w:val="single" w:color="auto" w:sz="4" w:space="0"/>
              <w:right w:val="single" w:color="auto" w:sz="4" w:space="0"/>
            </w:tcBorders>
            <w:vAlign w:val="center"/>
          </w:tcPr>
          <w:p w14:paraId="53D2F094">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无论金额</w:t>
            </w:r>
          </w:p>
        </w:tc>
        <w:tc>
          <w:tcPr>
            <w:tcW w:w="1160" w:type="pct"/>
            <w:tcBorders>
              <w:top w:val="single" w:color="auto" w:sz="4" w:space="0"/>
              <w:left w:val="single" w:color="auto" w:sz="4" w:space="0"/>
              <w:bottom w:val="single" w:color="auto" w:sz="4" w:space="0"/>
              <w:right w:val="single" w:color="auto" w:sz="4" w:space="0"/>
            </w:tcBorders>
            <w:vAlign w:val="center"/>
          </w:tcPr>
          <w:p w14:paraId="31B07ED6">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公开招标</w:t>
            </w:r>
          </w:p>
          <w:p w14:paraId="493FDEC8">
            <w:pPr>
              <w:keepNext w:val="0"/>
              <w:keepLines w:val="0"/>
              <w:widowControl/>
              <w:suppressLineNumbers w:val="0"/>
              <w:spacing w:before="0" w:beforeAutospacing="0" w:after="0" w:afterAutospacing="0"/>
              <w:ind w:left="0" w:right="0"/>
              <w:jc w:val="center"/>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(公共资源交易中心/西安国企招标集采交易平台进行交易)</w:t>
            </w:r>
          </w:p>
        </w:tc>
        <w:tc>
          <w:tcPr>
            <w:tcW w:w="939" w:type="pct"/>
            <w:vMerge w:val="continue"/>
            <w:tcBorders>
              <w:top w:val="nil"/>
              <w:left w:val="nil"/>
              <w:bottom w:val="single" w:color="auto" w:sz="4" w:space="0"/>
              <w:right w:val="single" w:color="auto" w:sz="4" w:space="0"/>
            </w:tcBorders>
            <w:vAlign w:val="center"/>
          </w:tcPr>
          <w:p w14:paraId="02E87FAD">
            <w:pPr>
              <w:keepNext w:val="0"/>
              <w:keepLines w:val="0"/>
              <w:widowControl/>
              <w:suppressLineNumbers w:val="0"/>
              <w:spacing w:before="0" w:beforeAutospacing="0" w:after="0" w:afterAutospacing="0"/>
              <w:ind w:left="0" w:right="0"/>
              <w:jc w:val="left"/>
              <w:outlineLvl w:val="9"/>
              <w:rPr>
                <w:rFonts w:cs="宋体" w:asciiTheme="minorEastAsia" w:hAnsiTheme="minorEastAsia" w:eastAsiaTheme="minorEastAsia"/>
                <w:color w:val="auto"/>
                <w:kern w:val="0"/>
                <w:sz w:val="22"/>
                <w:szCs w:val="22"/>
                <w:highlight w:val="none"/>
              </w:rPr>
            </w:pPr>
          </w:p>
        </w:tc>
      </w:tr>
    </w:tbl>
    <w:p w14:paraId="3EDCC006">
      <w:pPr>
        <w:widowControl/>
        <w:spacing w:line="360" w:lineRule="exact"/>
        <w:jc w:val="left"/>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备注：1.若采供为单一来源，工程建设类经工程管理委员会同意后，非工程建设类经部门分管领导、总经理审批同意后可采用合同谈判方式；</w:t>
      </w:r>
    </w:p>
    <w:p w14:paraId="267D7E6B">
      <w:pPr>
        <w:widowControl/>
        <w:spacing w:line="360" w:lineRule="exact"/>
        <w:jc w:val="left"/>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 xml:space="preserve">      2.除合同谈判方式自行组织外、其余采购方式优先委托代理公司组织；</w:t>
      </w:r>
      <w:r>
        <w:rPr>
          <w:rFonts w:hint="eastAsia" w:asciiTheme="minorEastAsia" w:hAnsiTheme="minorEastAsia" w:eastAsiaTheme="minorEastAsia"/>
          <w:color w:val="auto"/>
          <w:kern w:val="0"/>
          <w:sz w:val="22"/>
          <w:szCs w:val="22"/>
          <w:highlight w:val="none"/>
        </w:rPr>
        <w:br w:type="textWrapping"/>
      </w:r>
      <w:r>
        <w:rPr>
          <w:rFonts w:hint="eastAsia" w:asciiTheme="minorEastAsia" w:hAnsiTheme="minorEastAsia" w:eastAsiaTheme="minorEastAsia"/>
          <w:color w:val="auto"/>
          <w:kern w:val="0"/>
          <w:sz w:val="22"/>
          <w:szCs w:val="22"/>
          <w:highlight w:val="none"/>
        </w:rPr>
        <w:t xml:space="preserve">      3.符合进入有形市场交易的工程建设项目，应按照项目所在地行政监管要求进场交易；</w:t>
      </w:r>
      <w:r>
        <w:rPr>
          <w:rFonts w:hint="eastAsia" w:asciiTheme="minorEastAsia" w:hAnsiTheme="minorEastAsia" w:eastAsiaTheme="minorEastAsia"/>
          <w:color w:val="auto"/>
          <w:kern w:val="0"/>
          <w:sz w:val="22"/>
          <w:szCs w:val="22"/>
          <w:highlight w:val="none"/>
        </w:rPr>
        <w:br w:type="textWrapping"/>
      </w:r>
      <w:r>
        <w:rPr>
          <w:rFonts w:hint="eastAsia" w:asciiTheme="minorEastAsia" w:hAnsiTheme="minorEastAsia" w:eastAsiaTheme="minorEastAsia"/>
          <w:color w:val="auto"/>
          <w:kern w:val="0"/>
          <w:sz w:val="22"/>
          <w:szCs w:val="22"/>
          <w:highlight w:val="none"/>
        </w:rPr>
        <w:t xml:space="preserve">      4.对于委托代建项目，须按委托方要求及项目所在地行政管理部门有关规定执行。</w:t>
      </w:r>
    </w:p>
    <w:p w14:paraId="3901E613">
      <w:pPr>
        <w:spacing w:line="360" w:lineRule="exact"/>
        <w:ind w:firstLine="440" w:firstLineChars="200"/>
        <w:outlineLvl w:val="9"/>
        <w:rPr>
          <w:rFonts w:asciiTheme="minorEastAsia" w:hAnsiTheme="minorEastAsia" w:eastAsiaTheme="minorEastAsia"/>
          <w:color w:val="auto"/>
          <w:kern w:val="0"/>
          <w:sz w:val="22"/>
          <w:szCs w:val="22"/>
          <w:highlight w:val="none"/>
        </w:rPr>
      </w:pPr>
      <w:r>
        <w:rPr>
          <w:rFonts w:hint="eastAsia" w:asciiTheme="minorEastAsia" w:hAnsiTheme="minorEastAsia" w:eastAsiaTheme="minorEastAsia"/>
          <w:color w:val="auto"/>
          <w:kern w:val="0"/>
          <w:sz w:val="22"/>
          <w:szCs w:val="22"/>
          <w:highlight w:val="none"/>
        </w:rPr>
        <w:t xml:space="preserve">  5.特殊情况：</w:t>
      </w:r>
    </w:p>
    <w:p w14:paraId="54712F00">
      <w:pPr>
        <w:spacing w:line="360" w:lineRule="exact"/>
        <w:ind w:firstLine="440" w:firstLineChars="200"/>
        <w:outlineLvl w:val="9"/>
        <w:rPr>
          <w:rFonts w:asciiTheme="minorEastAsia" w:hAnsiTheme="minorEastAsia" w:eastAsiaTheme="minorEastAsia"/>
          <w:color w:val="auto"/>
          <w:sz w:val="22"/>
          <w:szCs w:val="22"/>
          <w:highlight w:val="none"/>
        </w:rPr>
      </w:pPr>
      <w:r>
        <w:rPr>
          <w:rFonts w:hint="eastAsia" w:asciiTheme="minorEastAsia" w:hAnsiTheme="minorEastAsia" w:eastAsiaTheme="minorEastAsia"/>
          <w:color w:val="auto"/>
          <w:kern w:val="0"/>
          <w:sz w:val="22"/>
          <w:szCs w:val="22"/>
          <w:highlight w:val="none"/>
        </w:rPr>
        <w:t xml:space="preserve"> (1)</w:t>
      </w:r>
      <w:r>
        <w:rPr>
          <w:rFonts w:hint="eastAsia" w:asciiTheme="minorEastAsia" w:hAnsiTheme="minorEastAsia" w:eastAsiaTheme="minorEastAsia"/>
          <w:color w:val="auto"/>
          <w:sz w:val="22"/>
          <w:szCs w:val="22"/>
          <w:highlight w:val="none"/>
        </w:rPr>
        <w:t>工程建设项目有下列情况的，由招标采购部门编写情况说明,经工程管理委员会审批同意后，可采用单一来源采购方式进行采购。</w:t>
      </w:r>
    </w:p>
    <w:p w14:paraId="0287BA50">
      <w:pPr>
        <w:spacing w:line="360" w:lineRule="exact"/>
        <w:ind w:firstLine="440" w:firstLineChars="200"/>
        <w:outlineLvl w:val="9"/>
        <w:rPr>
          <w:rFonts w:asciiTheme="minorEastAsia" w:hAnsiTheme="minorEastAsia" w:eastAsiaTheme="minorEastAsia"/>
          <w:color w:val="auto"/>
          <w:sz w:val="22"/>
          <w:szCs w:val="22"/>
          <w:highlight w:val="none"/>
        </w:rPr>
      </w:pPr>
      <w:r>
        <w:rPr>
          <w:rFonts w:hint="eastAsia" w:asciiTheme="minorEastAsia" w:hAnsiTheme="minorEastAsia" w:eastAsiaTheme="minorEastAsia"/>
          <w:color w:val="auto"/>
          <w:sz w:val="22"/>
          <w:szCs w:val="22"/>
          <w:highlight w:val="none"/>
        </w:rPr>
        <w:t xml:space="preserve">  a、只能从唯一供应商处采购的（垄断行业除外，包括采用特有专利只有一家供应商的情况）。</w:t>
      </w:r>
    </w:p>
    <w:p w14:paraId="48BDA3BC">
      <w:pPr>
        <w:spacing w:line="360" w:lineRule="exact"/>
        <w:ind w:firstLine="440" w:firstLineChars="200"/>
        <w:outlineLvl w:val="9"/>
        <w:rPr>
          <w:rFonts w:asciiTheme="minorEastAsia" w:hAnsiTheme="minorEastAsia" w:eastAsiaTheme="minorEastAsia"/>
          <w:color w:val="auto"/>
          <w:sz w:val="22"/>
          <w:szCs w:val="22"/>
          <w:highlight w:val="none"/>
        </w:rPr>
      </w:pPr>
      <w:r>
        <w:rPr>
          <w:rFonts w:hint="eastAsia" w:asciiTheme="minorEastAsia" w:hAnsiTheme="minorEastAsia" w:eastAsiaTheme="minorEastAsia"/>
          <w:color w:val="auto"/>
          <w:sz w:val="22"/>
          <w:szCs w:val="22"/>
          <w:highlight w:val="none"/>
        </w:rPr>
        <w:t xml:space="preserve">  b、发生了不可预见的紧急情况，不能从其他供应商处采购的。</w:t>
      </w:r>
    </w:p>
    <w:p w14:paraId="72E4C5CA">
      <w:pPr>
        <w:spacing w:line="360" w:lineRule="exact"/>
        <w:ind w:firstLine="440" w:firstLineChars="200"/>
        <w:outlineLvl w:val="9"/>
        <w:rPr>
          <w:rFonts w:asciiTheme="minorEastAsia" w:hAnsiTheme="minorEastAsia" w:eastAsiaTheme="minorEastAsia"/>
          <w:color w:val="auto"/>
          <w:sz w:val="22"/>
          <w:szCs w:val="22"/>
          <w:highlight w:val="none"/>
        </w:rPr>
      </w:pPr>
      <w:r>
        <w:rPr>
          <w:rFonts w:hint="eastAsia" w:asciiTheme="minorEastAsia" w:hAnsiTheme="minorEastAsia" w:eastAsiaTheme="minorEastAsia"/>
          <w:color w:val="auto"/>
          <w:sz w:val="22"/>
          <w:szCs w:val="22"/>
          <w:highlight w:val="none"/>
        </w:rPr>
        <w:t xml:space="preserve">  c、必须保证原有采购项目一致性或者服务配套要求，需要继续从原供应商处添购的。</w:t>
      </w:r>
    </w:p>
    <w:p w14:paraId="2ACA0041">
      <w:pPr>
        <w:widowControl/>
        <w:adjustRightInd w:val="0"/>
        <w:snapToGrid w:val="0"/>
        <w:spacing w:line="360" w:lineRule="auto"/>
        <w:jc w:val="left"/>
        <w:outlineLvl w:val="9"/>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olor w:val="auto"/>
          <w:sz w:val="22"/>
          <w:szCs w:val="22"/>
          <w:highlight w:val="none"/>
        </w:rPr>
        <w:t>(2) 经两次招标公告只有一家供应商报名，或经两次招标公告无供应商报名但可以邀请到一家供应商的，由招标采购部门编写情况说明,经工程管理委员会审批同意并报集团备案后，可采用定向谈判的方式进行采购。</w:t>
      </w:r>
    </w:p>
    <w:p w14:paraId="608C5A44">
      <w:pPr>
        <w:outlineLvl w:val="9"/>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br w:type="page"/>
      </w:r>
    </w:p>
    <w:p w14:paraId="6A023A36">
      <w:pPr>
        <w:widowControl/>
        <w:adjustRightInd w:val="0"/>
        <w:snapToGrid w:val="0"/>
        <w:spacing w:line="360" w:lineRule="auto"/>
        <w:jc w:val="left"/>
        <w:outlineLvl w:val="9"/>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1"/>
          <w:szCs w:val="21"/>
          <w:highlight w:val="none"/>
        </w:rPr>
        <w:t>附件二十</w:t>
      </w:r>
      <w:r>
        <w:rPr>
          <w:rFonts w:hint="eastAsia" w:asciiTheme="minorEastAsia" w:hAnsiTheme="minorEastAsia" w:eastAsiaTheme="minorEastAsia" w:cstheme="minorEastAsia"/>
          <w:color w:val="auto"/>
          <w:sz w:val="21"/>
          <w:szCs w:val="21"/>
          <w:highlight w:val="none"/>
          <w:lang w:val="en-US" w:eastAsia="zh-CN"/>
        </w:rPr>
        <w:t>二</w:t>
      </w:r>
      <w:r>
        <w:rPr>
          <w:rFonts w:hint="eastAsia" w:asciiTheme="minorEastAsia" w:hAnsiTheme="minorEastAsia" w:eastAsiaTheme="minorEastAsia" w:cstheme="minorEastAsia"/>
          <w:color w:val="auto"/>
          <w:sz w:val="21"/>
          <w:szCs w:val="21"/>
          <w:highlight w:val="none"/>
        </w:rPr>
        <w:t>：</w:t>
      </w:r>
    </w:p>
    <w:p w14:paraId="2922A2EC">
      <w:pPr>
        <w:spacing w:line="360" w:lineRule="auto"/>
        <w:jc w:val="center"/>
        <w:outlineLvl w:val="9"/>
        <w:rPr>
          <w:rFonts w:cs="宋体" w:asciiTheme="minorEastAsia" w:hAnsiTheme="minorEastAsia" w:eastAsiaTheme="minorEastAsia"/>
          <w:b/>
          <w:bCs/>
          <w:color w:val="auto"/>
          <w:sz w:val="32"/>
          <w:szCs w:val="40"/>
          <w:highlight w:val="none"/>
        </w:rPr>
      </w:pPr>
      <w:r>
        <w:rPr>
          <w:rFonts w:hint="eastAsia" w:cs="宋体" w:asciiTheme="minorEastAsia" w:hAnsiTheme="minorEastAsia" w:eastAsiaTheme="minorEastAsia"/>
          <w:b/>
          <w:bCs/>
          <w:color w:val="auto"/>
          <w:sz w:val="32"/>
          <w:szCs w:val="40"/>
          <w:highlight w:val="none"/>
        </w:rPr>
        <w:t>西安经发地产“明源移动质检”平台实施管理办法</w:t>
      </w:r>
    </w:p>
    <w:p w14:paraId="1B613BCB">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一、目的</w:t>
      </w:r>
    </w:p>
    <w:p w14:paraId="188D92C5">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bookmarkStart w:id="736" w:name="_Toc5805"/>
      <w:bookmarkStart w:id="737" w:name="_Toc524448254"/>
      <w:r>
        <w:rPr>
          <w:rFonts w:hint="eastAsia" w:cs="宋体" w:asciiTheme="minorEastAsia" w:hAnsiTheme="minorEastAsia" w:eastAsiaTheme="minorEastAsia"/>
          <w:color w:val="auto"/>
          <w:sz w:val="21"/>
          <w:szCs w:val="21"/>
          <w:highlight w:val="none"/>
        </w:rPr>
        <w:t>为充分发挥“智慧工地管理平台”系统方便、高效、客观的特点，实现建设工程质量、安全、环保等检查管理的标准化、移动化、透明化，提高工程管理效率，特编制本管理办法。</w:t>
      </w:r>
    </w:p>
    <w:p w14:paraId="580BD826">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二、应用职责</w:t>
      </w:r>
      <w:bookmarkEnd w:id="736"/>
      <w:bookmarkEnd w:id="737"/>
    </w:p>
    <w:p w14:paraId="035D2F55">
      <w:pPr>
        <w:adjustRightInd w:val="0"/>
        <w:snapToGrid w:val="0"/>
        <w:spacing w:line="360" w:lineRule="auto"/>
        <w:outlineLvl w:val="9"/>
        <w:rPr>
          <w:rFonts w:cs="宋体" w:asciiTheme="minorEastAsia" w:hAnsiTheme="minorEastAsia" w:eastAsiaTheme="minorEastAsia"/>
          <w:b/>
          <w:bCs/>
          <w:color w:val="auto"/>
          <w:sz w:val="21"/>
          <w:szCs w:val="21"/>
          <w:highlight w:val="none"/>
        </w:rPr>
      </w:pPr>
      <w:bookmarkStart w:id="738" w:name="_Toc524448255"/>
      <w:r>
        <w:rPr>
          <w:rFonts w:hint="eastAsia" w:cs="宋体" w:asciiTheme="minorEastAsia" w:hAnsiTheme="minorEastAsia" w:eastAsiaTheme="minorEastAsia"/>
          <w:b/>
          <w:bCs/>
          <w:color w:val="auto"/>
          <w:sz w:val="21"/>
          <w:szCs w:val="21"/>
          <w:highlight w:val="none"/>
        </w:rPr>
        <w:t>2.1工程管理部职责</w:t>
      </w:r>
      <w:bookmarkEnd w:id="738"/>
    </w:p>
    <w:p w14:paraId="7220E6CE">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（1）定期跟进各项目平台使用情况，查阅数据报表，根据需要每周、月导出统计数据报表，根据统计数据报表进行各项目的工程管理的评价、考核、奖罚。</w:t>
      </w:r>
    </w:p>
    <w:p w14:paraId="05252155">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（2）使用“智慧工地管理平台”系统进行公司级日常检查，并对整改结果进行复验，对各项目检查的结果随机复查。</w:t>
      </w:r>
    </w:p>
    <w:p w14:paraId="76279E29">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（3）维护APP软件系统正常运行，维护公司级系统参数。</w:t>
      </w:r>
    </w:p>
    <w:p w14:paraId="3E9BFAC9">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（4）联合平台供应商对各项目进行APP应用指导，定期组织“智慧工地管理平台”系统的培训、学习。</w:t>
      </w:r>
    </w:p>
    <w:p w14:paraId="354B3617">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（5）定期收集APP应用意见及建议反馈，根据现场使用情况及公司配套标准及时完善调整系统功能。</w:t>
      </w:r>
    </w:p>
    <w:p w14:paraId="2B5D39D7">
      <w:pPr>
        <w:adjustRightInd w:val="0"/>
        <w:snapToGrid w:val="0"/>
        <w:spacing w:line="360" w:lineRule="auto"/>
        <w:outlineLvl w:val="9"/>
        <w:rPr>
          <w:rFonts w:cs="宋体" w:asciiTheme="minorEastAsia" w:hAnsiTheme="minorEastAsia" w:eastAsiaTheme="minorEastAsia"/>
          <w:b/>
          <w:bCs/>
          <w:color w:val="auto"/>
          <w:sz w:val="21"/>
          <w:szCs w:val="21"/>
          <w:highlight w:val="none"/>
        </w:rPr>
      </w:pPr>
      <w:bookmarkStart w:id="739" w:name="_Toc524448257"/>
      <w:r>
        <w:rPr>
          <w:rFonts w:hint="eastAsia" w:cs="宋体" w:asciiTheme="minorEastAsia" w:hAnsiTheme="minorEastAsia" w:eastAsiaTheme="minorEastAsia"/>
          <w:b/>
          <w:bCs/>
          <w:color w:val="auto"/>
          <w:sz w:val="21"/>
          <w:szCs w:val="21"/>
          <w:highlight w:val="none"/>
        </w:rPr>
        <w:t>2.2项目部职责</w:t>
      </w:r>
      <w:bookmarkEnd w:id="739"/>
    </w:p>
    <w:p w14:paraId="269792AD">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（1）执行本标准要求，使用“智慧工地管理平台”系统进行现场检查，并对施工单位整改结果进行复验。</w:t>
      </w:r>
    </w:p>
    <w:p w14:paraId="088501CA">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（2）按照公司制度要求督促施工单位、监理单位开展实测实量，并对实测实量结果进行抽检。</w:t>
      </w:r>
    </w:p>
    <w:p w14:paraId="047EC510">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（3）督促施工单位使用“智慧工地管理平台”系统及时进行检验批验收及工作界面移交，并进行抽查检验。</w:t>
      </w:r>
    </w:p>
    <w:p w14:paraId="22220163">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（4）督促施工单位使用“智慧工地管理平台”系统及时进行材料验收，并进行抽查检验。</w:t>
      </w:r>
    </w:p>
    <w:p w14:paraId="38EB8090">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（5）执行本标准要求，使用“智慧工地管理平台”系统进行形象进度汇报。</w:t>
      </w:r>
    </w:p>
    <w:p w14:paraId="4CF18BEA">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（6）督促施工单位将系统录入的问题整改落实到位，并进行抽查检验。</w:t>
      </w:r>
    </w:p>
    <w:p w14:paraId="49E06F0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（7）负责监督施工单位及监理单位对“智慧工地管理平台”的应用，负责对日常的数据进行审核。</w:t>
      </w:r>
    </w:p>
    <w:p w14:paraId="0845E159">
      <w:pPr>
        <w:adjustRightInd w:val="0"/>
        <w:snapToGrid w:val="0"/>
        <w:spacing w:line="360" w:lineRule="auto"/>
        <w:outlineLvl w:val="9"/>
        <w:rPr>
          <w:rFonts w:cs="宋体" w:asciiTheme="minorEastAsia" w:hAnsiTheme="minorEastAsia" w:eastAsiaTheme="minorEastAsia"/>
          <w:b/>
          <w:bCs/>
          <w:color w:val="auto"/>
          <w:sz w:val="21"/>
          <w:szCs w:val="21"/>
          <w:highlight w:val="none"/>
        </w:rPr>
      </w:pPr>
      <w:bookmarkStart w:id="740" w:name="_Toc524448259"/>
      <w:bookmarkStart w:id="741" w:name="_Toc524448258"/>
      <w:r>
        <w:rPr>
          <w:rFonts w:hint="eastAsia" w:cs="宋体" w:asciiTheme="minorEastAsia" w:hAnsiTheme="minorEastAsia" w:eastAsiaTheme="minorEastAsia"/>
          <w:b/>
          <w:bCs/>
          <w:color w:val="auto"/>
          <w:sz w:val="21"/>
          <w:szCs w:val="21"/>
          <w:highlight w:val="none"/>
        </w:rPr>
        <w:t>2.3监理单位职责</w:t>
      </w:r>
      <w:bookmarkEnd w:id="740"/>
    </w:p>
    <w:p w14:paraId="3A88E51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（1）使用“智慧工地管理平台”系统进行日常巡检、验收、实测实量、整改复查及销项。</w:t>
      </w:r>
    </w:p>
    <w:p w14:paraId="04A5D3E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（2）履行“智慧工地管理平台”系统中复查及各类验收工作职责，并对线下问题销项负监督管理责任。</w:t>
      </w:r>
    </w:p>
    <w:p w14:paraId="78731C86">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（3）对上传复查及检查、验收结果、实测实量数据、进行管理。</w:t>
      </w:r>
    </w:p>
    <w:p w14:paraId="38ACF7C5">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（4）以“智慧工地管理平台”系统中的现场检查、实测实量、工序验收等日工作数量作为工作完成情况的量化依据。</w:t>
      </w:r>
    </w:p>
    <w:p w14:paraId="2D6E845D">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（5）履行“智慧工地管理平台”系统实施管理办法，接受建设单位考核。</w:t>
      </w:r>
    </w:p>
    <w:p w14:paraId="1BA0287E">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2.4施工单位职责</w:t>
      </w:r>
    </w:p>
    <w:p w14:paraId="2A7E596F">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（1）使用“智慧工地管理平台”系统进行现场检查问题整改、工序验收申报及回复、实测实量上墙上线等质量管控活动。</w:t>
      </w:r>
    </w:p>
    <w:p w14:paraId="09A0BB00">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（2）履行现场检查问题落实、整改及回复工作职责，并对线下整改结果及线上回复工作负全责。</w:t>
      </w:r>
    </w:p>
    <w:p w14:paraId="5705FEC0">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（3）对上传整改结果、实测实量数据、工序移交及工作面移交数据真实性负全责。</w:t>
      </w:r>
    </w:p>
    <w:p w14:paraId="62015F8B">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（4）总包单位还需对专业分包单位的安全开展检查。使用“智慧工地管理平台”系统进行日常巡检、验收、实测实量、整改复查及销项。</w:t>
      </w:r>
      <w:bookmarkEnd w:id="741"/>
    </w:p>
    <w:p w14:paraId="7D382CFD">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三、现场检查</w:t>
      </w:r>
    </w:p>
    <w:p w14:paraId="2B3ED8B4">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现场检查功能模块应用单位包括项目部、监理单位、施工单位，由项目部、监理单位人员对项目现场进行日常巡查，发现问题，通过本功能登记上传，施工单位进行问题整改，流程发起人进行问题整改质量复核，实现施工现场安全、质量、环保问题的整改、复核的闭环管理。</w:t>
      </w:r>
    </w:p>
    <w:p w14:paraId="6958C91F">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项目存在施工总包及专业分包的，施工总包应使用现场检查模块对专业分包开展质量、安全、环保等检查。</w:t>
      </w:r>
    </w:p>
    <w:p w14:paraId="41D8DBC0">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鼓励施工单位使用现场检查功能开展自身项目管理日常巡查并登记问题，项目部、监理单位不得以施工单位检查问题作为对其的处罚依据。</w:t>
      </w:r>
    </w:p>
    <w:p w14:paraId="2E51B481">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3.1、使用流程</w:t>
      </w:r>
    </w:p>
    <w:p w14:paraId="4689768F">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3.1.1 问题检查</w:t>
      </w:r>
    </w:p>
    <w:p w14:paraId="39CBB3C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责任人:</w:t>
      </w:r>
      <w:r>
        <w:rPr>
          <w:rFonts w:hint="eastAsia" w:cs="宋体" w:asciiTheme="minorEastAsia" w:hAnsiTheme="minorEastAsia" w:eastAsiaTheme="minorEastAsia"/>
          <w:color w:val="auto"/>
          <w:sz w:val="21"/>
          <w:szCs w:val="21"/>
          <w:highlight w:val="none"/>
        </w:rPr>
        <w:t>甲方项目经理及专业工程师，监理单位总监理工程师及专业监理工程师，施工单位项目管理人员选择使用</w:t>
      </w:r>
    </w:p>
    <w:p w14:paraId="2068B5A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开展工作：</w:t>
      </w:r>
      <w:r>
        <w:rPr>
          <w:rFonts w:hint="eastAsia" w:cs="宋体" w:asciiTheme="minorEastAsia" w:hAnsiTheme="minorEastAsia" w:eastAsiaTheme="minorEastAsia"/>
          <w:color w:val="auto"/>
          <w:sz w:val="21"/>
          <w:szCs w:val="21"/>
          <w:highlight w:val="none"/>
        </w:rPr>
        <w:t>责任人按要求开展日常项目管理巡查，对巡查中所发现问题，拍摄问题照片或视频，准确描述问题所处部位及问题内容。</w:t>
      </w:r>
    </w:p>
    <w:p w14:paraId="6FE669BE">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标准要求：</w:t>
      </w:r>
      <w:r>
        <w:rPr>
          <w:rFonts w:hint="eastAsia" w:cs="宋体" w:asciiTheme="minorEastAsia" w:hAnsiTheme="minorEastAsia" w:eastAsiaTheme="minorEastAsia"/>
          <w:color w:val="auto"/>
          <w:sz w:val="21"/>
          <w:szCs w:val="21"/>
          <w:highlight w:val="none"/>
        </w:rPr>
        <w:t>问题部位需精确至楼栋、单元、层、户，并在对应户型图中进行标注；问题照片或视频需明亮、清晰，不得模糊、灰暗，能准确反映现场具体部位的存在问题；问题描述需详细描述所存在问题，不得笼统描述；整改期限可根据问题紧急情况、严重程度，与施工单位协商后确定；选择问题整改责任人，整改责任人为该项工作的施工单位对接人，当无法确定时，可选择项目负责人作为整改责任人。</w:t>
      </w:r>
    </w:p>
    <w:p w14:paraId="151F2C69">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根据问题整改的难易程度，将问题整改期限划分如下等级：</w:t>
      </w:r>
    </w:p>
    <w:tbl>
      <w:tblPr>
        <w:tblStyle w:val="56"/>
        <w:tblW w:w="949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0"/>
        <w:gridCol w:w="6095"/>
        <w:gridCol w:w="1843"/>
      </w:tblGrid>
      <w:tr w14:paraId="3EBD9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560" w:type="dxa"/>
            <w:vAlign w:val="center"/>
          </w:tcPr>
          <w:p w14:paraId="50DEEAD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问题等级</w:t>
            </w:r>
          </w:p>
        </w:tc>
        <w:tc>
          <w:tcPr>
            <w:tcW w:w="6095" w:type="dxa"/>
            <w:vAlign w:val="center"/>
          </w:tcPr>
          <w:p w14:paraId="43201AD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问题分类依据</w:t>
            </w:r>
          </w:p>
        </w:tc>
        <w:tc>
          <w:tcPr>
            <w:tcW w:w="1843" w:type="dxa"/>
            <w:vAlign w:val="center"/>
          </w:tcPr>
          <w:p w14:paraId="378AEBD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整改期限</w:t>
            </w:r>
          </w:p>
        </w:tc>
      </w:tr>
      <w:tr w14:paraId="50CD5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560" w:type="dxa"/>
            <w:vAlign w:val="center"/>
          </w:tcPr>
          <w:p w14:paraId="6D3613C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A类</w:t>
            </w:r>
          </w:p>
        </w:tc>
        <w:tc>
          <w:tcPr>
            <w:tcW w:w="6095" w:type="dxa"/>
            <w:vAlign w:val="center"/>
          </w:tcPr>
          <w:p w14:paraId="0113931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根据工程进度，需及时整改的问题（如：作业面、即将隐蔽的工程、不合格材料、重大安全隐患等）</w:t>
            </w:r>
          </w:p>
        </w:tc>
        <w:tc>
          <w:tcPr>
            <w:tcW w:w="1843" w:type="dxa"/>
            <w:vAlign w:val="center"/>
          </w:tcPr>
          <w:p w14:paraId="2EE7066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1-3天</w:t>
            </w:r>
          </w:p>
        </w:tc>
      </w:tr>
      <w:tr w14:paraId="03E9D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560" w:type="dxa"/>
            <w:vAlign w:val="center"/>
          </w:tcPr>
          <w:p w14:paraId="50ADCE0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B类</w:t>
            </w:r>
          </w:p>
        </w:tc>
        <w:tc>
          <w:tcPr>
            <w:tcW w:w="6095" w:type="dxa"/>
            <w:vAlign w:val="center"/>
          </w:tcPr>
          <w:p w14:paraId="1813E9B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根据工程进度，不具备及时整改条件，但需在一定期限进行整改的工程</w:t>
            </w:r>
          </w:p>
        </w:tc>
        <w:tc>
          <w:tcPr>
            <w:tcW w:w="1843" w:type="dxa"/>
            <w:vAlign w:val="center"/>
          </w:tcPr>
          <w:p w14:paraId="2F64CA4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1-7天</w:t>
            </w:r>
          </w:p>
        </w:tc>
      </w:tr>
      <w:tr w14:paraId="76C02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560" w:type="dxa"/>
            <w:vAlign w:val="center"/>
          </w:tcPr>
          <w:p w14:paraId="5C57D72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C类</w:t>
            </w:r>
          </w:p>
        </w:tc>
        <w:tc>
          <w:tcPr>
            <w:tcW w:w="6095" w:type="dxa"/>
            <w:vAlign w:val="center"/>
          </w:tcPr>
          <w:p w14:paraId="5B5F49D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根据工程进度，需阶段性完成整改的问题</w:t>
            </w:r>
          </w:p>
        </w:tc>
        <w:tc>
          <w:tcPr>
            <w:tcW w:w="1843" w:type="dxa"/>
            <w:vAlign w:val="center"/>
          </w:tcPr>
          <w:p w14:paraId="2BD9CD5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7-15天</w:t>
            </w:r>
          </w:p>
        </w:tc>
      </w:tr>
    </w:tbl>
    <w:p w14:paraId="3B97CF0E">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3.1.2 问题整改</w:t>
      </w:r>
    </w:p>
    <w:p w14:paraId="51B46633">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责任人：</w:t>
      </w:r>
      <w:r>
        <w:rPr>
          <w:rFonts w:hint="eastAsia" w:cs="宋体" w:asciiTheme="minorEastAsia" w:hAnsiTheme="minorEastAsia" w:eastAsiaTheme="minorEastAsia"/>
          <w:color w:val="auto"/>
          <w:sz w:val="21"/>
          <w:szCs w:val="21"/>
          <w:highlight w:val="none"/>
        </w:rPr>
        <w:t>施工单位整改责任人。</w:t>
      </w:r>
    </w:p>
    <w:p w14:paraId="1F8AB67C">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开展工作：</w:t>
      </w:r>
      <w:r>
        <w:rPr>
          <w:rFonts w:hint="eastAsia" w:cs="宋体" w:asciiTheme="minorEastAsia" w:hAnsiTheme="minorEastAsia" w:eastAsiaTheme="minorEastAsia"/>
          <w:color w:val="auto"/>
          <w:sz w:val="21"/>
          <w:szCs w:val="21"/>
          <w:highlight w:val="none"/>
        </w:rPr>
        <w:t>现场检查流程中所选定施工单位整改责任人负责对检查问题的整改，回复整改结果，上传整改结果照片或视频。</w:t>
      </w:r>
    </w:p>
    <w:p w14:paraId="51977ECA">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标准要求：</w:t>
      </w:r>
      <w:r>
        <w:rPr>
          <w:rFonts w:hint="eastAsia" w:cs="宋体" w:asciiTheme="minorEastAsia" w:hAnsiTheme="minorEastAsia" w:eastAsiaTheme="minorEastAsia"/>
          <w:color w:val="auto"/>
          <w:sz w:val="21"/>
          <w:szCs w:val="21"/>
          <w:highlight w:val="none"/>
        </w:rPr>
        <w:t>施工单位整改责任人可自行组织问题整改，也可转办他人组织问题整改；问题整改需在约定期限内完成并回复，整改结果的文字描述需准确描述整改措施及整改成果；上传整改照片或视频需明亮、清晰，不得模糊、灰暗，必须与问题照片同角度同部位拍摄，能准确反映现场具体部位整改成果。</w:t>
      </w:r>
    </w:p>
    <w:p w14:paraId="44B48DEF">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3.1.3 整改复验</w:t>
      </w:r>
    </w:p>
    <w:p w14:paraId="5D23EB3E">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责任人：</w:t>
      </w:r>
      <w:r>
        <w:rPr>
          <w:rFonts w:hint="eastAsia" w:cs="宋体" w:asciiTheme="minorEastAsia" w:hAnsiTheme="minorEastAsia" w:eastAsiaTheme="minorEastAsia"/>
          <w:color w:val="auto"/>
          <w:sz w:val="21"/>
          <w:szCs w:val="21"/>
          <w:highlight w:val="none"/>
        </w:rPr>
        <w:t>问题流程发起人</w:t>
      </w:r>
    </w:p>
    <w:p w14:paraId="35B3D45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开展工作：</w:t>
      </w:r>
      <w:r>
        <w:rPr>
          <w:rFonts w:hint="eastAsia" w:cs="宋体" w:asciiTheme="minorEastAsia" w:hAnsiTheme="minorEastAsia" w:eastAsiaTheme="minorEastAsia"/>
          <w:color w:val="auto"/>
          <w:sz w:val="21"/>
          <w:szCs w:val="21"/>
          <w:highlight w:val="none"/>
        </w:rPr>
        <w:t>发起人对问题整改成果进行复验，上传复验照片，填写复验结果。</w:t>
      </w:r>
    </w:p>
    <w:p w14:paraId="4A318086">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标准要求：</w:t>
      </w:r>
      <w:r>
        <w:rPr>
          <w:rFonts w:hint="eastAsia" w:cs="宋体" w:asciiTheme="minorEastAsia" w:hAnsiTheme="minorEastAsia" w:eastAsiaTheme="minorEastAsia"/>
          <w:color w:val="auto"/>
          <w:sz w:val="21"/>
          <w:szCs w:val="21"/>
          <w:highlight w:val="none"/>
        </w:rPr>
        <w:t>发起人可自行开展问题复验，也可转办他人代为复验，其中甲方项目经理、专业工程师可转交项目部内部其他专业工程师或监理单位专业监理工程师代为复验，监理单位总监理工程师、专业监理工程师可转交其他专业监理工程师代为复验，发起人不得转交内勤、资料员代为复验；复验人进行现场复核，上传复验照片或视频，照片或视频需明亮、清晰，不得模糊、灰暗，必须与问题照片同角度同部位拍摄，能准确反映现场具体部位的整改成果；整改合格，复验人通过验收并关闭流程，经复验未整改合格，复验人退回施工单位重新组织整改。</w:t>
      </w:r>
    </w:p>
    <w:p w14:paraId="7DA44001">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3.1.4 结果抄送</w:t>
      </w:r>
    </w:p>
    <w:p w14:paraId="25ADDB4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责任人：</w:t>
      </w:r>
      <w:r>
        <w:rPr>
          <w:rFonts w:hint="eastAsia" w:cs="宋体" w:asciiTheme="minorEastAsia" w:hAnsiTheme="minorEastAsia" w:eastAsiaTheme="minorEastAsia"/>
          <w:color w:val="auto"/>
          <w:sz w:val="21"/>
          <w:szCs w:val="21"/>
          <w:highlight w:val="none"/>
        </w:rPr>
        <w:t>流程发起人</w:t>
      </w:r>
    </w:p>
    <w:p w14:paraId="3CF77FBA">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开展工作：</w:t>
      </w:r>
      <w:r>
        <w:rPr>
          <w:rFonts w:hint="eastAsia" w:cs="宋体" w:asciiTheme="minorEastAsia" w:hAnsiTheme="minorEastAsia" w:eastAsiaTheme="minorEastAsia"/>
          <w:color w:val="auto"/>
          <w:sz w:val="21"/>
          <w:szCs w:val="21"/>
          <w:highlight w:val="none"/>
        </w:rPr>
        <w:t>流程结束时，流程发起人将流程抄送甲方、监理单位及施工单位项目负责人。</w:t>
      </w:r>
    </w:p>
    <w:p w14:paraId="768609EB">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3.2现场检查指标要求</w:t>
      </w:r>
    </w:p>
    <w:tbl>
      <w:tblPr>
        <w:tblStyle w:val="56"/>
        <w:tblW w:w="949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0"/>
        <w:gridCol w:w="2603"/>
        <w:gridCol w:w="5165"/>
      </w:tblGrid>
      <w:tr w14:paraId="16EBC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730" w:type="dxa"/>
            <w:shd w:val="clear" w:color="auto" w:fill="D9D9D9"/>
            <w:vAlign w:val="center"/>
          </w:tcPr>
          <w:p w14:paraId="3C0A777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kern w:val="0"/>
                <w:sz w:val="21"/>
                <w:szCs w:val="21"/>
                <w:highlight w:val="none"/>
              </w:rPr>
            </w:pPr>
            <w:r>
              <w:rPr>
                <w:rFonts w:hint="eastAsia" w:cs="宋体" w:asciiTheme="minorEastAsia" w:hAnsiTheme="minorEastAsia" w:eastAsiaTheme="minorEastAsia"/>
                <w:b/>
                <w:bCs/>
                <w:color w:val="auto"/>
                <w:kern w:val="0"/>
                <w:sz w:val="21"/>
                <w:szCs w:val="21"/>
                <w:highlight w:val="none"/>
              </w:rPr>
              <w:t>工作事项</w:t>
            </w:r>
          </w:p>
        </w:tc>
        <w:tc>
          <w:tcPr>
            <w:tcW w:w="2603" w:type="dxa"/>
            <w:shd w:val="clear" w:color="auto" w:fill="D9D9D9"/>
            <w:vAlign w:val="center"/>
          </w:tcPr>
          <w:p w14:paraId="3571C8D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kern w:val="0"/>
                <w:sz w:val="21"/>
                <w:szCs w:val="21"/>
                <w:highlight w:val="none"/>
              </w:rPr>
            </w:pPr>
            <w:r>
              <w:rPr>
                <w:rFonts w:hint="eastAsia" w:cs="宋体" w:asciiTheme="minorEastAsia" w:hAnsiTheme="minorEastAsia" w:eastAsiaTheme="minorEastAsia"/>
                <w:b/>
                <w:bCs/>
                <w:color w:val="auto"/>
                <w:kern w:val="0"/>
                <w:sz w:val="21"/>
                <w:szCs w:val="21"/>
                <w:highlight w:val="none"/>
              </w:rPr>
              <w:t>主责单位</w:t>
            </w:r>
          </w:p>
        </w:tc>
        <w:tc>
          <w:tcPr>
            <w:tcW w:w="5165" w:type="dxa"/>
            <w:shd w:val="clear" w:color="auto" w:fill="D9D9D9"/>
          </w:tcPr>
          <w:p w14:paraId="5A0DD18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kern w:val="0"/>
                <w:sz w:val="21"/>
                <w:szCs w:val="21"/>
                <w:highlight w:val="none"/>
              </w:rPr>
            </w:pPr>
            <w:r>
              <w:rPr>
                <w:rFonts w:hint="eastAsia" w:cs="宋体" w:asciiTheme="minorEastAsia" w:hAnsiTheme="minorEastAsia" w:eastAsiaTheme="minorEastAsia"/>
                <w:b/>
                <w:bCs/>
                <w:color w:val="auto"/>
                <w:kern w:val="0"/>
                <w:sz w:val="21"/>
                <w:szCs w:val="21"/>
                <w:highlight w:val="none"/>
              </w:rPr>
              <w:t>使用要求</w:t>
            </w:r>
          </w:p>
        </w:tc>
      </w:tr>
      <w:tr w14:paraId="08355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1730" w:type="dxa"/>
            <w:vMerge w:val="restart"/>
            <w:vAlign w:val="center"/>
          </w:tcPr>
          <w:p w14:paraId="05B214D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登记问题</w:t>
            </w:r>
          </w:p>
        </w:tc>
        <w:tc>
          <w:tcPr>
            <w:tcW w:w="2603" w:type="dxa"/>
            <w:vAlign w:val="center"/>
          </w:tcPr>
          <w:p w14:paraId="0D5C0AD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项目部</w:t>
            </w:r>
          </w:p>
        </w:tc>
        <w:tc>
          <w:tcPr>
            <w:tcW w:w="5165" w:type="dxa"/>
            <w:vAlign w:val="center"/>
          </w:tcPr>
          <w:p w14:paraId="6BE73F2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每人/周≥5条</w:t>
            </w:r>
          </w:p>
          <w:p w14:paraId="3F42538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每人/月≥20条</w:t>
            </w:r>
          </w:p>
        </w:tc>
      </w:tr>
      <w:tr w14:paraId="27154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1730" w:type="dxa"/>
            <w:vMerge w:val="continue"/>
            <w:vAlign w:val="center"/>
          </w:tcPr>
          <w:p w14:paraId="4E031B6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p>
        </w:tc>
        <w:tc>
          <w:tcPr>
            <w:tcW w:w="2603" w:type="dxa"/>
            <w:vAlign w:val="center"/>
          </w:tcPr>
          <w:p w14:paraId="1DEDA32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工程管理部</w:t>
            </w:r>
          </w:p>
        </w:tc>
        <w:tc>
          <w:tcPr>
            <w:tcW w:w="5165" w:type="dxa"/>
            <w:vAlign w:val="center"/>
          </w:tcPr>
          <w:p w14:paraId="1D122F1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每人/月≥10条</w:t>
            </w:r>
          </w:p>
        </w:tc>
      </w:tr>
      <w:tr w14:paraId="3C8BB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1730" w:type="dxa"/>
            <w:vMerge w:val="continue"/>
            <w:vAlign w:val="center"/>
          </w:tcPr>
          <w:p w14:paraId="796E458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p>
        </w:tc>
        <w:tc>
          <w:tcPr>
            <w:tcW w:w="2603" w:type="dxa"/>
            <w:vAlign w:val="center"/>
          </w:tcPr>
          <w:p w14:paraId="1DAE48E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监理单位（资料员、总监不计入考核人数）</w:t>
            </w:r>
          </w:p>
        </w:tc>
        <w:tc>
          <w:tcPr>
            <w:tcW w:w="5165" w:type="dxa"/>
            <w:vAlign w:val="center"/>
          </w:tcPr>
          <w:p w14:paraId="2821798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每人/周≥10条（质量问题不低于6条）</w:t>
            </w:r>
          </w:p>
          <w:p w14:paraId="5AF7820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每人/月≥40条（质量问题不低于24条）</w:t>
            </w:r>
          </w:p>
        </w:tc>
      </w:tr>
      <w:tr w14:paraId="17E53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1730" w:type="dxa"/>
            <w:vAlign w:val="center"/>
          </w:tcPr>
          <w:p w14:paraId="0DDF203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问题整改</w:t>
            </w:r>
          </w:p>
        </w:tc>
        <w:tc>
          <w:tcPr>
            <w:tcW w:w="2603" w:type="dxa"/>
            <w:vAlign w:val="center"/>
          </w:tcPr>
          <w:p w14:paraId="45FCF7F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施工单位</w:t>
            </w:r>
          </w:p>
        </w:tc>
        <w:tc>
          <w:tcPr>
            <w:tcW w:w="5165" w:type="dxa"/>
            <w:vAlign w:val="center"/>
          </w:tcPr>
          <w:p w14:paraId="2E53A43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问题整改完成率≥100%</w:t>
            </w:r>
          </w:p>
          <w:p w14:paraId="0047433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问题整改及时率≥100%</w:t>
            </w:r>
          </w:p>
        </w:tc>
      </w:tr>
      <w:tr w14:paraId="04444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1730" w:type="dxa"/>
            <w:vAlign w:val="center"/>
          </w:tcPr>
          <w:p w14:paraId="7543976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问题复验</w:t>
            </w:r>
          </w:p>
        </w:tc>
        <w:tc>
          <w:tcPr>
            <w:tcW w:w="2603" w:type="dxa"/>
            <w:vAlign w:val="center"/>
          </w:tcPr>
          <w:p w14:paraId="07CA9B8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监理单位</w:t>
            </w:r>
          </w:p>
        </w:tc>
        <w:tc>
          <w:tcPr>
            <w:tcW w:w="5165" w:type="dxa"/>
            <w:vAlign w:val="center"/>
          </w:tcPr>
          <w:p w14:paraId="682F61B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问题100.0%复验</w:t>
            </w:r>
          </w:p>
        </w:tc>
      </w:tr>
      <w:tr w14:paraId="63C77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1730" w:type="dxa"/>
            <w:vAlign w:val="center"/>
          </w:tcPr>
          <w:p w14:paraId="4ED4080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抄送</w:t>
            </w:r>
          </w:p>
        </w:tc>
        <w:tc>
          <w:tcPr>
            <w:tcW w:w="2603" w:type="dxa"/>
            <w:vAlign w:val="center"/>
          </w:tcPr>
          <w:p w14:paraId="3F32372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三方单位项目负责人</w:t>
            </w:r>
          </w:p>
        </w:tc>
        <w:tc>
          <w:tcPr>
            <w:tcW w:w="5165" w:type="dxa"/>
            <w:vAlign w:val="center"/>
          </w:tcPr>
          <w:p w14:paraId="45D9033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督促问题整改销项闭环</w:t>
            </w:r>
          </w:p>
        </w:tc>
      </w:tr>
    </w:tbl>
    <w:p w14:paraId="0D21BD4F">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注：问题整改及时率=如期整改完成数量/应整改完成数量*100%（统计指标周期为自然月，不统计在途）；问题整改完成率=当月已整改完成数量/当月应整改完成*100%（统计指标周期为自然月，含在途）。</w:t>
      </w:r>
    </w:p>
    <w:p w14:paraId="63281EF4">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3.3现场检查问题要求：</w:t>
      </w:r>
    </w:p>
    <w:p w14:paraId="423AED20">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3.3.1日常现场检查类问题上传，要求上传的质量问题具有一定代表性、对主体结构安全有影响、造成损失较大、存在较大质量和安全隐患、未按照图纸规范施工、严重影响工程使用功能和使用安全、偷工减料等。严禁将现场施工过程中一般质量通病（发生规模小，产生的质量安全隐患较小、小范围质量外观瑕疵）上传明源系统。重点检查防水工程、回填土工程、地下室外墙止水套管安装、钢筋绑扎、大体积混凝土浇筑、门窗塞口、砌体反坎等过程。</w:t>
      </w:r>
    </w:p>
    <w:p w14:paraId="2FA9A279">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四、工序移交</w:t>
      </w:r>
    </w:p>
    <w:p w14:paraId="49724CBA">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工序移交功能模块应用单位包括监理单位、施工单位，施工单位将需验收工序发起验收申请，监理单位进行现场验收，上传验收图片及结果，验收结果抄送甲方项目部。</w:t>
      </w:r>
    </w:p>
    <w:p w14:paraId="1791B056">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工序移交包含两项，一个是施工工序的验收、移交，由施工单位、监理单位负责，一个是施工作业面的验收、移交，由交出单位、接收单位、监理单位负责。</w:t>
      </w:r>
    </w:p>
    <w:p w14:paraId="3F16CB97">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4.1使用要求：</w:t>
      </w:r>
    </w:p>
    <w:p w14:paraId="0E0D7E69">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验收记录及原始照片要求以下三套照片，且必须为现场拍摄：</w:t>
      </w:r>
    </w:p>
    <w:p w14:paraId="0FAC3D32">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（1）工序验收的发起人（施工单位），拍摄现场实体典型关键部位照片；</w:t>
      </w:r>
    </w:p>
    <w:p w14:paraId="6A862480">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（2）工序接收人（施工单位），拍摄现场实体典型关键部位照片，参加验收的人员的照片；</w:t>
      </w:r>
    </w:p>
    <w:p w14:paraId="49C8ED72">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（3）工序检验人（监理单位、建设单位）现场实体典型关键部位照片，参加验收人员照片。</w:t>
      </w:r>
    </w:p>
    <w:p w14:paraId="5613D4AA">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4.2指标要求</w:t>
      </w:r>
    </w:p>
    <w:tbl>
      <w:tblPr>
        <w:tblStyle w:val="56"/>
        <w:tblW w:w="949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5"/>
        <w:gridCol w:w="2017"/>
        <w:gridCol w:w="5216"/>
      </w:tblGrid>
      <w:tr w14:paraId="629F1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265" w:type="dxa"/>
            <w:shd w:val="clear" w:color="auto" w:fill="D9D9D9"/>
            <w:vAlign w:val="center"/>
          </w:tcPr>
          <w:p w14:paraId="7BA1A1D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kern w:val="0"/>
                <w:sz w:val="21"/>
                <w:szCs w:val="21"/>
                <w:highlight w:val="none"/>
              </w:rPr>
            </w:pPr>
            <w:r>
              <w:rPr>
                <w:rFonts w:hint="eastAsia" w:cs="宋体" w:asciiTheme="minorEastAsia" w:hAnsiTheme="minorEastAsia" w:eastAsiaTheme="minorEastAsia"/>
                <w:b/>
                <w:bCs/>
                <w:color w:val="auto"/>
                <w:kern w:val="0"/>
                <w:sz w:val="21"/>
                <w:szCs w:val="21"/>
                <w:highlight w:val="none"/>
              </w:rPr>
              <w:t>工作事项</w:t>
            </w:r>
          </w:p>
        </w:tc>
        <w:tc>
          <w:tcPr>
            <w:tcW w:w="2017" w:type="dxa"/>
            <w:shd w:val="clear" w:color="auto" w:fill="D9D9D9"/>
            <w:vAlign w:val="center"/>
          </w:tcPr>
          <w:p w14:paraId="03D546D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kern w:val="0"/>
                <w:sz w:val="21"/>
                <w:szCs w:val="21"/>
                <w:highlight w:val="none"/>
              </w:rPr>
            </w:pPr>
            <w:r>
              <w:rPr>
                <w:rFonts w:hint="eastAsia" w:cs="宋体" w:asciiTheme="minorEastAsia" w:hAnsiTheme="minorEastAsia" w:eastAsiaTheme="minorEastAsia"/>
                <w:b/>
                <w:bCs/>
                <w:color w:val="auto"/>
                <w:kern w:val="0"/>
                <w:sz w:val="21"/>
                <w:szCs w:val="21"/>
                <w:highlight w:val="none"/>
              </w:rPr>
              <w:t>主责单位</w:t>
            </w:r>
          </w:p>
        </w:tc>
        <w:tc>
          <w:tcPr>
            <w:tcW w:w="5216" w:type="dxa"/>
            <w:shd w:val="clear" w:color="auto" w:fill="D9D9D9"/>
          </w:tcPr>
          <w:p w14:paraId="08EE579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kern w:val="0"/>
                <w:sz w:val="21"/>
                <w:szCs w:val="21"/>
                <w:highlight w:val="none"/>
              </w:rPr>
            </w:pPr>
            <w:r>
              <w:rPr>
                <w:rFonts w:hint="eastAsia" w:cs="宋体" w:asciiTheme="minorEastAsia" w:hAnsiTheme="minorEastAsia" w:eastAsiaTheme="minorEastAsia"/>
                <w:b/>
                <w:bCs/>
                <w:color w:val="auto"/>
                <w:kern w:val="0"/>
                <w:sz w:val="21"/>
                <w:szCs w:val="21"/>
                <w:highlight w:val="none"/>
              </w:rPr>
              <w:t>使用要求</w:t>
            </w:r>
          </w:p>
        </w:tc>
      </w:tr>
      <w:tr w14:paraId="27798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2265" w:type="dxa"/>
            <w:vAlign w:val="center"/>
          </w:tcPr>
          <w:p w14:paraId="3B307C7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工序报验</w:t>
            </w:r>
          </w:p>
        </w:tc>
        <w:tc>
          <w:tcPr>
            <w:tcW w:w="2017" w:type="dxa"/>
            <w:vAlign w:val="center"/>
          </w:tcPr>
          <w:p w14:paraId="79ADFB7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施工单位</w:t>
            </w:r>
          </w:p>
        </w:tc>
        <w:tc>
          <w:tcPr>
            <w:tcW w:w="5216" w:type="dxa"/>
            <w:vAlign w:val="center"/>
          </w:tcPr>
          <w:p w14:paraId="5A25E0B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工序施工完成必须线上报验</w:t>
            </w:r>
          </w:p>
        </w:tc>
      </w:tr>
      <w:tr w14:paraId="05B9E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2265" w:type="dxa"/>
            <w:vMerge w:val="restart"/>
            <w:vAlign w:val="center"/>
          </w:tcPr>
          <w:p w14:paraId="322F396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工序验收</w:t>
            </w:r>
          </w:p>
        </w:tc>
        <w:tc>
          <w:tcPr>
            <w:tcW w:w="2017" w:type="dxa"/>
            <w:vAlign w:val="center"/>
          </w:tcPr>
          <w:p w14:paraId="7FF393C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监理单位</w:t>
            </w:r>
          </w:p>
        </w:tc>
        <w:tc>
          <w:tcPr>
            <w:tcW w:w="5216" w:type="dxa"/>
            <w:vAlign w:val="center"/>
          </w:tcPr>
          <w:p w14:paraId="7B7AE38D">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所有报验工序当天必须完成验收</w:t>
            </w:r>
          </w:p>
        </w:tc>
      </w:tr>
      <w:tr w14:paraId="7E643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2265" w:type="dxa"/>
            <w:vMerge w:val="continue"/>
            <w:vAlign w:val="center"/>
          </w:tcPr>
          <w:p w14:paraId="2D4C0B2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p>
        </w:tc>
        <w:tc>
          <w:tcPr>
            <w:tcW w:w="2017" w:type="dxa"/>
            <w:vAlign w:val="center"/>
          </w:tcPr>
          <w:p w14:paraId="6A96FAD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建设单位</w:t>
            </w:r>
          </w:p>
        </w:tc>
        <w:tc>
          <w:tcPr>
            <w:tcW w:w="5216" w:type="dxa"/>
            <w:vAlign w:val="center"/>
          </w:tcPr>
          <w:p w14:paraId="6760F13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sz w:val="21"/>
                <w:szCs w:val="21"/>
                <w:highlight w:val="none"/>
              </w:rPr>
              <w:t>对于重点工序项目工程师不得缺席且全数验收，一般工序参与10%验收</w:t>
            </w:r>
          </w:p>
        </w:tc>
      </w:tr>
      <w:tr w14:paraId="73B98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2265" w:type="dxa"/>
            <w:vAlign w:val="center"/>
          </w:tcPr>
          <w:p w14:paraId="1B210D9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抄送</w:t>
            </w:r>
          </w:p>
        </w:tc>
        <w:tc>
          <w:tcPr>
            <w:tcW w:w="2017" w:type="dxa"/>
          </w:tcPr>
          <w:p w14:paraId="68113F2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三方单位负责人</w:t>
            </w:r>
          </w:p>
        </w:tc>
        <w:tc>
          <w:tcPr>
            <w:tcW w:w="5216" w:type="dxa"/>
          </w:tcPr>
          <w:p w14:paraId="3EADAEF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监督工序报验、验收情况</w:t>
            </w:r>
          </w:p>
        </w:tc>
      </w:tr>
    </w:tbl>
    <w:p w14:paraId="7DD7258C">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4.2.1对于系统内所设置的所有工序施工单位、监理单位均需要按照施工进度在系统中进行报验，完成验收。</w:t>
      </w:r>
    </w:p>
    <w:p w14:paraId="3A01D20F">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4.2.2施工单位报验前必须经过自检合格，方能进行工序报验申请，保证退回率≤5%，退回率=退回次数/验收项数量*100%（统计指标周期为自然月），</w:t>
      </w:r>
    </w:p>
    <w:p w14:paraId="42C6E2FA">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4.2.3施工单位各工序根据规范按批次进行报验，批次中任何一项不合格即为不合格，后期施工单位继续整改，直至复验合格为止；在复验合格之前，施工单位不得私自进行下一道工序；最终保证验收通过率不得小于100%，验收通过率=验收合格项数量/验收项数量*100%，（统计指标周期为自然月，不含在途）。</w:t>
      </w:r>
    </w:p>
    <w:p w14:paraId="0C877238">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4.3工序分类</w:t>
      </w:r>
    </w:p>
    <w:tbl>
      <w:tblPr>
        <w:tblStyle w:val="56"/>
        <w:tblW w:w="949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6404"/>
        <w:gridCol w:w="1818"/>
      </w:tblGrid>
      <w:tr w14:paraId="50F81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6" w:type="dxa"/>
            <w:vAlign w:val="center"/>
          </w:tcPr>
          <w:p w14:paraId="6261712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工序分类</w:t>
            </w:r>
          </w:p>
        </w:tc>
        <w:tc>
          <w:tcPr>
            <w:tcW w:w="6404" w:type="dxa"/>
            <w:vAlign w:val="center"/>
          </w:tcPr>
          <w:p w14:paraId="1830C3D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工序内容</w:t>
            </w:r>
          </w:p>
        </w:tc>
        <w:tc>
          <w:tcPr>
            <w:tcW w:w="1818" w:type="dxa"/>
            <w:vAlign w:val="center"/>
          </w:tcPr>
          <w:p w14:paraId="6309AF8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项目部</w:t>
            </w:r>
          </w:p>
          <w:p w14:paraId="3B7FAA8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参与频次</w:t>
            </w:r>
          </w:p>
        </w:tc>
      </w:tr>
      <w:tr w14:paraId="15841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6" w:type="dxa"/>
            <w:vAlign w:val="center"/>
          </w:tcPr>
          <w:p w14:paraId="6E4D9BB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重点工序</w:t>
            </w:r>
          </w:p>
        </w:tc>
        <w:tc>
          <w:tcPr>
            <w:tcW w:w="6404" w:type="dxa"/>
            <w:vAlign w:val="center"/>
          </w:tcPr>
          <w:p w14:paraId="65DC3C4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地基工程：</w:t>
            </w:r>
            <w:r>
              <w:rPr>
                <w:rFonts w:hint="eastAsia" w:cs="宋体" w:asciiTheme="minorEastAsia" w:hAnsiTheme="minorEastAsia" w:eastAsiaTheme="minorEastAsia"/>
                <w:color w:val="auto"/>
                <w:sz w:val="21"/>
                <w:szCs w:val="21"/>
                <w:highlight w:val="none"/>
              </w:rPr>
              <w:t>试桩验收、工程桩验收、复合地基验收、承载力验收</w:t>
            </w:r>
          </w:p>
          <w:p w14:paraId="3299AE6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地库工程：</w:t>
            </w:r>
            <w:r>
              <w:rPr>
                <w:rFonts w:hint="eastAsia" w:cs="宋体" w:asciiTheme="minorEastAsia" w:hAnsiTheme="minorEastAsia" w:eastAsiaTheme="minorEastAsia"/>
                <w:color w:val="auto"/>
                <w:sz w:val="21"/>
                <w:szCs w:val="21"/>
                <w:highlight w:val="none"/>
              </w:rPr>
              <w:t>后浇带验收、地下室外墙止水套管验收、基层验收、地平验收</w:t>
            </w:r>
          </w:p>
          <w:p w14:paraId="1B22639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主体工程：</w:t>
            </w:r>
            <w:r>
              <w:rPr>
                <w:rFonts w:hint="eastAsia" w:cs="宋体" w:asciiTheme="minorEastAsia" w:hAnsiTheme="minorEastAsia" w:eastAsiaTheme="minorEastAsia"/>
                <w:color w:val="auto"/>
                <w:sz w:val="21"/>
                <w:szCs w:val="21"/>
                <w:highlight w:val="none"/>
              </w:rPr>
              <w:t>轴线验收（首层）、钢结构高强螺栓验收、钢结构焊缝验收、大体积混凝土浇筑</w:t>
            </w:r>
          </w:p>
          <w:p w14:paraId="7E3F9B0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回填土工程：</w:t>
            </w:r>
            <w:r>
              <w:rPr>
                <w:rFonts w:hint="eastAsia" w:cs="宋体" w:asciiTheme="minorEastAsia" w:hAnsiTheme="minorEastAsia" w:eastAsiaTheme="minorEastAsia"/>
                <w:color w:val="auto"/>
                <w:sz w:val="21"/>
                <w:szCs w:val="21"/>
                <w:highlight w:val="none"/>
              </w:rPr>
              <w:t>车库基坑周边回填土、车库地面回填土</w:t>
            </w:r>
          </w:p>
          <w:p w14:paraId="5A10461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砌筑工程：</w:t>
            </w:r>
            <w:r>
              <w:rPr>
                <w:rFonts w:hint="eastAsia" w:cs="宋体" w:asciiTheme="minorEastAsia" w:hAnsiTheme="minorEastAsia" w:eastAsiaTheme="minorEastAsia"/>
                <w:color w:val="auto"/>
                <w:sz w:val="21"/>
                <w:szCs w:val="21"/>
                <w:highlight w:val="none"/>
              </w:rPr>
              <w:t>反坎验收</w:t>
            </w:r>
          </w:p>
          <w:p w14:paraId="22729C9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抹灰工程：</w:t>
            </w:r>
            <w:r>
              <w:rPr>
                <w:rFonts w:hint="eastAsia" w:cs="宋体" w:asciiTheme="minorEastAsia" w:hAnsiTheme="minorEastAsia" w:eastAsiaTheme="minorEastAsia"/>
                <w:color w:val="auto"/>
                <w:sz w:val="21"/>
                <w:szCs w:val="21"/>
                <w:highlight w:val="none"/>
              </w:rPr>
              <w:t>挂网甩浆验收</w:t>
            </w:r>
          </w:p>
          <w:p w14:paraId="1B42111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地辐热工程：</w:t>
            </w:r>
            <w:r>
              <w:rPr>
                <w:rFonts w:hint="eastAsia" w:cs="宋体" w:asciiTheme="minorEastAsia" w:hAnsiTheme="minorEastAsia" w:eastAsiaTheme="minorEastAsia"/>
                <w:color w:val="auto"/>
                <w:sz w:val="21"/>
                <w:szCs w:val="21"/>
                <w:highlight w:val="none"/>
              </w:rPr>
              <w:t>管道敷设验收</w:t>
            </w:r>
          </w:p>
          <w:p w14:paraId="4A4DB81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门窗安装：</w:t>
            </w:r>
            <w:r>
              <w:rPr>
                <w:rFonts w:hint="eastAsia" w:cs="宋体" w:asciiTheme="minorEastAsia" w:hAnsiTheme="minorEastAsia" w:eastAsiaTheme="minorEastAsia"/>
                <w:color w:val="auto"/>
                <w:sz w:val="21"/>
                <w:szCs w:val="21"/>
                <w:highlight w:val="none"/>
              </w:rPr>
              <w:t>门窗框塞缝验收、渗漏检查</w:t>
            </w:r>
          </w:p>
          <w:p w14:paraId="4FAFC37D">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防水工程：</w:t>
            </w:r>
            <w:r>
              <w:rPr>
                <w:rFonts w:hint="eastAsia" w:cs="宋体" w:asciiTheme="minorEastAsia" w:hAnsiTheme="minorEastAsia" w:eastAsiaTheme="minorEastAsia"/>
                <w:color w:val="auto"/>
                <w:sz w:val="21"/>
                <w:szCs w:val="21"/>
                <w:highlight w:val="none"/>
              </w:rPr>
              <w:t>防水基层移交、细部构造验收、蓄水试验</w:t>
            </w:r>
          </w:p>
          <w:p w14:paraId="5FFBB1F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外墙工程：</w:t>
            </w:r>
            <w:r>
              <w:rPr>
                <w:rFonts w:hint="eastAsia" w:cs="宋体" w:asciiTheme="minorEastAsia" w:hAnsiTheme="minorEastAsia" w:eastAsiaTheme="minorEastAsia"/>
                <w:color w:val="auto"/>
                <w:sz w:val="21"/>
                <w:szCs w:val="21"/>
                <w:highlight w:val="none"/>
              </w:rPr>
              <w:t>外墙螺栓孔洞封堵、外墙保温</w:t>
            </w:r>
          </w:p>
          <w:p w14:paraId="68ABDD0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幕墙工程：</w:t>
            </w:r>
            <w:r>
              <w:rPr>
                <w:rFonts w:hint="eastAsia" w:cs="宋体" w:asciiTheme="minorEastAsia" w:hAnsiTheme="minorEastAsia" w:eastAsiaTheme="minorEastAsia"/>
                <w:color w:val="auto"/>
                <w:sz w:val="21"/>
                <w:szCs w:val="21"/>
                <w:highlight w:val="none"/>
              </w:rPr>
              <w:t>预埋件检查、主龙骨检查</w:t>
            </w:r>
          </w:p>
          <w:p w14:paraId="695AFC2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屋面工程：</w:t>
            </w:r>
            <w:r>
              <w:rPr>
                <w:rFonts w:hint="eastAsia" w:cs="宋体" w:asciiTheme="minorEastAsia" w:hAnsiTheme="minorEastAsia" w:eastAsiaTheme="minorEastAsia"/>
                <w:color w:val="auto"/>
                <w:sz w:val="21"/>
                <w:szCs w:val="21"/>
                <w:highlight w:val="none"/>
              </w:rPr>
              <w:t>屋面蓄水验收</w:t>
            </w:r>
          </w:p>
          <w:p w14:paraId="6945C07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批量装修：</w:t>
            </w:r>
            <w:r>
              <w:rPr>
                <w:rFonts w:hint="eastAsia" w:cs="宋体" w:asciiTheme="minorEastAsia" w:hAnsiTheme="minorEastAsia" w:eastAsiaTheme="minorEastAsia"/>
                <w:color w:val="auto"/>
                <w:sz w:val="21"/>
                <w:szCs w:val="21"/>
                <w:highlight w:val="none"/>
              </w:rPr>
              <w:t>土建移交</w:t>
            </w:r>
          </w:p>
          <w:p w14:paraId="7048C0A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给排水工程：</w:t>
            </w:r>
            <w:r>
              <w:rPr>
                <w:rFonts w:hint="eastAsia" w:cs="宋体" w:asciiTheme="minorEastAsia" w:hAnsiTheme="minorEastAsia" w:eastAsiaTheme="minorEastAsia"/>
                <w:color w:val="auto"/>
                <w:sz w:val="21"/>
                <w:szCs w:val="21"/>
                <w:highlight w:val="none"/>
              </w:rPr>
              <w:t>室外管网通水试验、管道试验、</w:t>
            </w:r>
          </w:p>
        </w:tc>
        <w:tc>
          <w:tcPr>
            <w:tcW w:w="1818" w:type="dxa"/>
            <w:vAlign w:val="center"/>
          </w:tcPr>
          <w:p w14:paraId="497DC27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全数参与</w:t>
            </w:r>
          </w:p>
        </w:tc>
      </w:tr>
      <w:tr w14:paraId="43913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6" w:type="dxa"/>
            <w:vAlign w:val="center"/>
          </w:tcPr>
          <w:p w14:paraId="6EE60F1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一般工序</w:t>
            </w:r>
          </w:p>
        </w:tc>
        <w:tc>
          <w:tcPr>
            <w:tcW w:w="6404" w:type="dxa"/>
            <w:vAlign w:val="center"/>
          </w:tcPr>
          <w:p w14:paraId="4E8061C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非重点工序即为一般工序</w:t>
            </w:r>
          </w:p>
        </w:tc>
        <w:tc>
          <w:tcPr>
            <w:tcW w:w="1818" w:type="dxa"/>
            <w:vAlign w:val="center"/>
          </w:tcPr>
          <w:p w14:paraId="0AA15BE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参与10%验收</w:t>
            </w:r>
          </w:p>
        </w:tc>
      </w:tr>
    </w:tbl>
    <w:p w14:paraId="0B214E96">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五、实测实量</w:t>
      </w:r>
    </w:p>
    <w:p w14:paraId="70F30E1C">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实测实量功能模块应用单位包括项目部、监理单位、施工单位，由各单位按照地产公司要求的实测量及实测频次开展。</w:t>
      </w:r>
    </w:p>
    <w:p w14:paraId="0609DFD8">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5.1使用流程</w:t>
      </w:r>
    </w:p>
    <w:p w14:paraId="1B28AF18">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5.1.1 部位及实测项选择：</w:t>
      </w:r>
    </w:p>
    <w:p w14:paraId="17189319">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进入实测实量模块，选择标段、楼栋、楼层、房间号，进入后，选择实测单位角色及实测项；</w:t>
      </w:r>
    </w:p>
    <w:p w14:paraId="03658A27">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5.1.2 测点数量确定：</w:t>
      </w:r>
    </w:p>
    <w:p w14:paraId="38BA2F2F">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每户做为一个测区，根据户型确定单项实测实量测点数量，要求一个测区单项实测实量不少于5个测点；</w:t>
      </w:r>
    </w:p>
    <w:p w14:paraId="66F88195">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5.1.3 数据录入：</w:t>
      </w:r>
    </w:p>
    <w:p w14:paraId="08EFB64A">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实测实量至少两人一组，一人实测，一人使用手机记录实测实量结果及实测过程照片，照片应包括不合格测点现场照片及至少一张现场实测照片。实测人员按照所选择实测项进行实测并录入结果，实测结果在允许偏差以内的，仅记录实测结果，无需在平面图标记；实测结果超出允许偏差时，需在户型图中进行标记，并对不合格点整改要求进行文字描述。</w:t>
      </w:r>
    </w:p>
    <w:p w14:paraId="2733BCC0">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5.1.4 不合格点整改：</w:t>
      </w:r>
    </w:p>
    <w:p w14:paraId="110C6AD7">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当实测实量出现不合格点时，需选择并抄送整改责任单位人员，要求其进行整改。建议出现此类型情况，可新建“现场检查”流程，提起问题整改流程，流程操作按照“现场检查”版块要求。</w:t>
      </w:r>
    </w:p>
    <w:p w14:paraId="1E86BFA9">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5.1.5 结果抄送</w:t>
      </w:r>
    </w:p>
    <w:p w14:paraId="4D5981C5">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实测数据记录完成后，实测记录人将实测流程抄送甲方、监理单位及施工单位项目负责人。</w:t>
      </w:r>
    </w:p>
    <w:p w14:paraId="378BFFC5">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5.2、实测实量频次及数量要求</w:t>
      </w:r>
    </w:p>
    <w:tbl>
      <w:tblPr>
        <w:tblStyle w:val="56"/>
        <w:tblW w:w="949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3"/>
        <w:gridCol w:w="2600"/>
        <w:gridCol w:w="5245"/>
      </w:tblGrid>
      <w:tr w14:paraId="02F4B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1653" w:type="dxa"/>
            <w:shd w:val="clear" w:color="auto" w:fill="D9D9D9"/>
            <w:vAlign w:val="center"/>
          </w:tcPr>
          <w:p w14:paraId="5623E05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kern w:val="0"/>
                <w:sz w:val="21"/>
                <w:szCs w:val="21"/>
                <w:highlight w:val="none"/>
              </w:rPr>
            </w:pPr>
            <w:r>
              <w:rPr>
                <w:rFonts w:hint="eastAsia" w:cs="宋体" w:asciiTheme="minorEastAsia" w:hAnsiTheme="minorEastAsia" w:eastAsiaTheme="minorEastAsia"/>
                <w:b/>
                <w:bCs/>
                <w:color w:val="auto"/>
                <w:kern w:val="0"/>
                <w:sz w:val="21"/>
                <w:szCs w:val="21"/>
                <w:highlight w:val="none"/>
              </w:rPr>
              <w:t>工作事项</w:t>
            </w:r>
          </w:p>
        </w:tc>
        <w:tc>
          <w:tcPr>
            <w:tcW w:w="2600" w:type="dxa"/>
            <w:shd w:val="clear" w:color="auto" w:fill="D9D9D9"/>
            <w:vAlign w:val="center"/>
          </w:tcPr>
          <w:p w14:paraId="0C3B1CC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kern w:val="0"/>
                <w:sz w:val="21"/>
                <w:szCs w:val="21"/>
                <w:highlight w:val="none"/>
              </w:rPr>
            </w:pPr>
            <w:r>
              <w:rPr>
                <w:rFonts w:hint="eastAsia" w:cs="宋体" w:asciiTheme="minorEastAsia" w:hAnsiTheme="minorEastAsia" w:eastAsiaTheme="minorEastAsia"/>
                <w:b/>
                <w:bCs/>
                <w:color w:val="auto"/>
                <w:kern w:val="0"/>
                <w:sz w:val="21"/>
                <w:szCs w:val="21"/>
                <w:highlight w:val="none"/>
              </w:rPr>
              <w:t>主责单位</w:t>
            </w:r>
          </w:p>
        </w:tc>
        <w:tc>
          <w:tcPr>
            <w:tcW w:w="5245" w:type="dxa"/>
            <w:shd w:val="clear" w:color="auto" w:fill="D9D9D9"/>
          </w:tcPr>
          <w:p w14:paraId="600BDDB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kern w:val="0"/>
                <w:sz w:val="21"/>
                <w:szCs w:val="21"/>
                <w:highlight w:val="none"/>
              </w:rPr>
            </w:pPr>
            <w:r>
              <w:rPr>
                <w:rFonts w:hint="eastAsia" w:cs="宋体" w:asciiTheme="minorEastAsia" w:hAnsiTheme="minorEastAsia" w:eastAsiaTheme="minorEastAsia"/>
                <w:b/>
                <w:bCs/>
                <w:color w:val="auto"/>
                <w:kern w:val="0"/>
                <w:sz w:val="21"/>
                <w:szCs w:val="21"/>
                <w:highlight w:val="none"/>
              </w:rPr>
              <w:t>使用要求</w:t>
            </w:r>
          </w:p>
        </w:tc>
      </w:tr>
      <w:tr w14:paraId="1848D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653" w:type="dxa"/>
            <w:vMerge w:val="restart"/>
            <w:vAlign w:val="center"/>
          </w:tcPr>
          <w:p w14:paraId="316F276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测量数据录入系统</w:t>
            </w:r>
          </w:p>
        </w:tc>
        <w:tc>
          <w:tcPr>
            <w:tcW w:w="2600" w:type="dxa"/>
          </w:tcPr>
          <w:p w14:paraId="291E33F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施工单位</w:t>
            </w:r>
          </w:p>
        </w:tc>
        <w:tc>
          <w:tcPr>
            <w:tcW w:w="5245" w:type="dxa"/>
          </w:tcPr>
          <w:p w14:paraId="7897BB5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100.0%全测</w:t>
            </w:r>
          </w:p>
        </w:tc>
      </w:tr>
      <w:tr w14:paraId="6C0DC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1653" w:type="dxa"/>
            <w:vMerge w:val="continue"/>
            <w:vAlign w:val="center"/>
          </w:tcPr>
          <w:p w14:paraId="2584B84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p>
        </w:tc>
        <w:tc>
          <w:tcPr>
            <w:tcW w:w="2600" w:type="dxa"/>
          </w:tcPr>
          <w:p w14:paraId="057E427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监理单位</w:t>
            </w:r>
          </w:p>
        </w:tc>
        <w:tc>
          <w:tcPr>
            <w:tcW w:w="5245" w:type="dxa"/>
          </w:tcPr>
          <w:p w14:paraId="04C387B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100.0%抽测</w:t>
            </w:r>
          </w:p>
        </w:tc>
      </w:tr>
      <w:tr w14:paraId="2E0AF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1653" w:type="dxa"/>
            <w:vMerge w:val="continue"/>
            <w:vAlign w:val="center"/>
          </w:tcPr>
          <w:p w14:paraId="665B3B5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p>
        </w:tc>
        <w:tc>
          <w:tcPr>
            <w:tcW w:w="2600" w:type="dxa"/>
          </w:tcPr>
          <w:p w14:paraId="4A21994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项目部</w:t>
            </w:r>
          </w:p>
        </w:tc>
        <w:tc>
          <w:tcPr>
            <w:tcW w:w="5245" w:type="dxa"/>
          </w:tcPr>
          <w:p w14:paraId="7198558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50.0%抽测</w:t>
            </w:r>
          </w:p>
        </w:tc>
      </w:tr>
      <w:tr w14:paraId="22318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1653" w:type="dxa"/>
            <w:vMerge w:val="continue"/>
            <w:vAlign w:val="center"/>
          </w:tcPr>
          <w:p w14:paraId="17B30DB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p>
        </w:tc>
        <w:tc>
          <w:tcPr>
            <w:tcW w:w="2600" w:type="dxa"/>
          </w:tcPr>
          <w:p w14:paraId="4D7CD4E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工程管理部</w:t>
            </w:r>
          </w:p>
        </w:tc>
        <w:tc>
          <w:tcPr>
            <w:tcW w:w="5245" w:type="dxa"/>
          </w:tcPr>
          <w:p w14:paraId="389C69C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20.0%抽测</w:t>
            </w:r>
          </w:p>
        </w:tc>
      </w:tr>
      <w:tr w14:paraId="795BA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1653" w:type="dxa"/>
            <w:vAlign w:val="center"/>
          </w:tcPr>
          <w:p w14:paraId="53F99D2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抄送</w:t>
            </w:r>
          </w:p>
        </w:tc>
        <w:tc>
          <w:tcPr>
            <w:tcW w:w="2600" w:type="dxa"/>
          </w:tcPr>
          <w:p w14:paraId="799814A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三方单位项目负责人</w:t>
            </w:r>
          </w:p>
        </w:tc>
        <w:tc>
          <w:tcPr>
            <w:tcW w:w="5245" w:type="dxa"/>
          </w:tcPr>
          <w:p w14:paraId="43BAD6A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监督实测实量是否按要求和规范开展</w:t>
            </w:r>
          </w:p>
        </w:tc>
      </w:tr>
    </w:tbl>
    <w:p w14:paraId="166455B0">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5.2.1对于系统内所设置的所有实测实量项目施工单位、监理单位均需要按照施工进度在系统中进行实测，完成测量。</w:t>
      </w:r>
    </w:p>
    <w:p w14:paraId="39DE5E45">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5.2.2施工单位随施工进度及时开展实测实量；监理单位每周最低开展一次实测实量，对施工单位的实测数据进行复核；项目部各专业工程师每月最低开展两次实测实量，对监理单位抽测数据进行复核；工程管理部按公司节点随机开展实测实量，对各单位实测结果随机抽测。</w:t>
      </w:r>
    </w:p>
    <w:p w14:paraId="5E4E49A2">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5.3实测实量检查项</w:t>
      </w:r>
    </w:p>
    <w:tbl>
      <w:tblPr>
        <w:tblStyle w:val="56"/>
        <w:tblW w:w="949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5"/>
        <w:gridCol w:w="1772"/>
        <w:gridCol w:w="3006"/>
        <w:gridCol w:w="3205"/>
      </w:tblGrid>
      <w:tr w14:paraId="639EE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Align w:val="center"/>
          </w:tcPr>
          <w:p w14:paraId="7047EF4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施工阶段</w:t>
            </w:r>
          </w:p>
        </w:tc>
        <w:tc>
          <w:tcPr>
            <w:tcW w:w="1772" w:type="dxa"/>
            <w:vAlign w:val="center"/>
          </w:tcPr>
          <w:p w14:paraId="1B9F2DC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检查项目</w:t>
            </w:r>
          </w:p>
        </w:tc>
        <w:tc>
          <w:tcPr>
            <w:tcW w:w="3006" w:type="dxa"/>
            <w:vAlign w:val="center"/>
          </w:tcPr>
          <w:p w14:paraId="79D18AD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检查内容</w:t>
            </w:r>
          </w:p>
        </w:tc>
        <w:tc>
          <w:tcPr>
            <w:tcW w:w="3205" w:type="dxa"/>
            <w:vAlign w:val="center"/>
          </w:tcPr>
          <w:p w14:paraId="27994CB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标准</w:t>
            </w:r>
          </w:p>
        </w:tc>
      </w:tr>
      <w:tr w14:paraId="15E17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restart"/>
            <w:vAlign w:val="center"/>
          </w:tcPr>
          <w:p w14:paraId="5760E7C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主体工程</w:t>
            </w:r>
          </w:p>
        </w:tc>
        <w:tc>
          <w:tcPr>
            <w:tcW w:w="1772" w:type="dxa"/>
            <w:vMerge w:val="restart"/>
            <w:vAlign w:val="center"/>
          </w:tcPr>
          <w:p w14:paraId="56BC023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混凝土结构工程</w:t>
            </w:r>
          </w:p>
        </w:tc>
        <w:tc>
          <w:tcPr>
            <w:tcW w:w="3006" w:type="dxa"/>
            <w:vAlign w:val="center"/>
          </w:tcPr>
          <w:p w14:paraId="2B6C02F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截面尺寸</w:t>
            </w:r>
          </w:p>
        </w:tc>
        <w:tc>
          <w:tcPr>
            <w:tcW w:w="3205" w:type="dxa"/>
            <w:vAlign w:val="center"/>
          </w:tcPr>
          <w:p w14:paraId="1BE1DCC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[－5，8]mm</w:t>
            </w:r>
          </w:p>
        </w:tc>
      </w:tr>
      <w:tr w14:paraId="60B60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3011170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27C1E4C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791EB85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住宅高层主体表面平整度</w:t>
            </w:r>
          </w:p>
        </w:tc>
        <w:tc>
          <w:tcPr>
            <w:tcW w:w="3205" w:type="dxa"/>
            <w:vAlign w:val="center"/>
          </w:tcPr>
          <w:p w14:paraId="2479E61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[0，4]mm</w:t>
            </w:r>
          </w:p>
        </w:tc>
      </w:tr>
      <w:tr w14:paraId="73E0A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3F09EDE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1FC698D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65EA827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住宅洋房主体表面平整度</w:t>
            </w:r>
          </w:p>
        </w:tc>
        <w:tc>
          <w:tcPr>
            <w:tcW w:w="3205" w:type="dxa"/>
            <w:vAlign w:val="center"/>
          </w:tcPr>
          <w:p w14:paraId="44C70D1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w:t>
            </w:r>
            <w:r>
              <w:rPr>
                <w:rFonts w:hint="eastAsia" w:cs="宋体" w:asciiTheme="minorEastAsia" w:hAnsiTheme="minorEastAsia" w:eastAsiaTheme="minorEastAsia"/>
                <w:color w:val="FF0000"/>
                <w:sz w:val="21"/>
                <w:szCs w:val="21"/>
                <w:highlight w:val="none"/>
                <w:lang w:val="en-US" w:eastAsia="zh-CN"/>
              </w:rPr>
              <w:t>4</w:t>
            </w:r>
            <w:r>
              <w:rPr>
                <w:rFonts w:hint="eastAsia" w:cs="宋体" w:asciiTheme="minorEastAsia" w:hAnsiTheme="minorEastAsia" w:eastAsiaTheme="minorEastAsia"/>
                <w:color w:val="FF0000"/>
                <w:sz w:val="21"/>
                <w:szCs w:val="21"/>
                <w:highlight w:val="none"/>
              </w:rPr>
              <w:t>]</w:t>
            </w:r>
            <w:r>
              <w:rPr>
                <w:rFonts w:hint="eastAsia" w:cs="宋体" w:asciiTheme="minorEastAsia" w:hAnsiTheme="minorEastAsia" w:eastAsiaTheme="minorEastAsia"/>
                <w:color w:val="auto"/>
                <w:sz w:val="21"/>
                <w:szCs w:val="21"/>
                <w:highlight w:val="none"/>
              </w:rPr>
              <w:t>mm</w:t>
            </w:r>
          </w:p>
        </w:tc>
      </w:tr>
      <w:tr w14:paraId="66CF9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79A16CB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00AEED6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3F9FFE3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商业主体表面平整度</w:t>
            </w:r>
          </w:p>
        </w:tc>
        <w:tc>
          <w:tcPr>
            <w:tcW w:w="3205" w:type="dxa"/>
            <w:vAlign w:val="center"/>
          </w:tcPr>
          <w:p w14:paraId="0D731D3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[0，8]mm</w:t>
            </w:r>
          </w:p>
        </w:tc>
      </w:tr>
      <w:tr w14:paraId="246F9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67C7455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12DA834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5D0D53D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住宅高层主体表面垂直度</w:t>
            </w:r>
          </w:p>
        </w:tc>
        <w:tc>
          <w:tcPr>
            <w:tcW w:w="3205" w:type="dxa"/>
            <w:vAlign w:val="center"/>
          </w:tcPr>
          <w:p w14:paraId="30ED4D3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[0，4]mm</w:t>
            </w:r>
          </w:p>
        </w:tc>
      </w:tr>
      <w:tr w14:paraId="26422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2CF744C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5E56CE6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40E3350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住宅洋房主体表面垂直度</w:t>
            </w:r>
          </w:p>
        </w:tc>
        <w:tc>
          <w:tcPr>
            <w:tcW w:w="3205" w:type="dxa"/>
            <w:vAlign w:val="center"/>
          </w:tcPr>
          <w:p w14:paraId="44E8972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w:t>
            </w:r>
            <w:r>
              <w:rPr>
                <w:rFonts w:hint="eastAsia" w:cs="宋体" w:asciiTheme="minorEastAsia" w:hAnsiTheme="minorEastAsia" w:eastAsiaTheme="minorEastAsia"/>
                <w:color w:val="FF0000"/>
                <w:sz w:val="21"/>
                <w:szCs w:val="21"/>
                <w:highlight w:val="none"/>
                <w:lang w:val="en-US" w:eastAsia="zh-CN"/>
              </w:rPr>
              <w:t>4</w:t>
            </w:r>
            <w:r>
              <w:rPr>
                <w:rFonts w:hint="eastAsia" w:cs="宋体" w:asciiTheme="minorEastAsia" w:hAnsiTheme="minorEastAsia" w:eastAsiaTheme="minorEastAsia"/>
                <w:color w:val="auto"/>
                <w:sz w:val="21"/>
                <w:szCs w:val="21"/>
                <w:highlight w:val="none"/>
              </w:rPr>
              <w:t>]mm</w:t>
            </w:r>
          </w:p>
        </w:tc>
      </w:tr>
      <w:tr w14:paraId="1EA28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2450198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3A45A9C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4C783F7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商业主体表面垂直度</w:t>
            </w:r>
          </w:p>
        </w:tc>
        <w:tc>
          <w:tcPr>
            <w:tcW w:w="3205" w:type="dxa"/>
            <w:vAlign w:val="center"/>
          </w:tcPr>
          <w:p w14:paraId="27747EF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[0，8]mm</w:t>
            </w:r>
          </w:p>
        </w:tc>
      </w:tr>
      <w:tr w14:paraId="6C172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5DFB4D9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72C4F37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111508A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砼顶板水平度</w:t>
            </w:r>
          </w:p>
        </w:tc>
        <w:tc>
          <w:tcPr>
            <w:tcW w:w="3205" w:type="dxa"/>
            <w:vAlign w:val="center"/>
          </w:tcPr>
          <w:p w14:paraId="5082F09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[0，15]mm</w:t>
            </w:r>
          </w:p>
        </w:tc>
      </w:tr>
      <w:tr w14:paraId="1D7CE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44B9E8B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481C843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173153D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楼板厚度</w:t>
            </w:r>
          </w:p>
        </w:tc>
        <w:tc>
          <w:tcPr>
            <w:tcW w:w="3205" w:type="dxa"/>
            <w:vAlign w:val="center"/>
          </w:tcPr>
          <w:p w14:paraId="11D210E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[－5，8]mm</w:t>
            </w:r>
          </w:p>
        </w:tc>
      </w:tr>
      <w:tr w14:paraId="3E090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1E90CEB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1772" w:type="dxa"/>
            <w:vMerge w:val="restart"/>
            <w:vAlign w:val="center"/>
          </w:tcPr>
          <w:p w14:paraId="6B3256D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砌筑工程</w:t>
            </w:r>
          </w:p>
        </w:tc>
        <w:tc>
          <w:tcPr>
            <w:tcW w:w="3006" w:type="dxa"/>
            <w:vAlign w:val="center"/>
          </w:tcPr>
          <w:p w14:paraId="4758EEC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砌体表面平整度</w:t>
            </w:r>
          </w:p>
        </w:tc>
        <w:tc>
          <w:tcPr>
            <w:tcW w:w="3205" w:type="dxa"/>
            <w:vAlign w:val="center"/>
          </w:tcPr>
          <w:p w14:paraId="06D8300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[0，8]mm</w:t>
            </w:r>
          </w:p>
        </w:tc>
      </w:tr>
      <w:tr w14:paraId="151F4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4D8B40F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19D8061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4B9B5D0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砌体垂直度</w:t>
            </w:r>
          </w:p>
        </w:tc>
        <w:tc>
          <w:tcPr>
            <w:tcW w:w="3205" w:type="dxa"/>
            <w:vAlign w:val="center"/>
          </w:tcPr>
          <w:p w14:paraId="4B82649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[0，4]mm</w:t>
            </w:r>
          </w:p>
        </w:tc>
      </w:tr>
      <w:tr w14:paraId="3A605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169400E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73962EC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439FA1B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外门窗洞口尺寸偏差</w:t>
            </w:r>
          </w:p>
        </w:tc>
        <w:tc>
          <w:tcPr>
            <w:tcW w:w="3205" w:type="dxa"/>
            <w:vAlign w:val="center"/>
          </w:tcPr>
          <w:p w14:paraId="4A6F3BE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[－5,20]mm</w:t>
            </w:r>
          </w:p>
        </w:tc>
      </w:tr>
      <w:tr w14:paraId="506FB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restart"/>
            <w:vAlign w:val="center"/>
          </w:tcPr>
          <w:p w14:paraId="338A96E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设备安装</w:t>
            </w:r>
          </w:p>
        </w:tc>
        <w:tc>
          <w:tcPr>
            <w:tcW w:w="1772" w:type="dxa"/>
            <w:vAlign w:val="center"/>
          </w:tcPr>
          <w:p w14:paraId="4FE4D00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洁具</w:t>
            </w:r>
          </w:p>
        </w:tc>
        <w:tc>
          <w:tcPr>
            <w:tcW w:w="3006" w:type="dxa"/>
            <w:vAlign w:val="center"/>
          </w:tcPr>
          <w:p w14:paraId="10450FC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座便坑距偏差</w:t>
            </w:r>
          </w:p>
        </w:tc>
        <w:tc>
          <w:tcPr>
            <w:tcW w:w="3205" w:type="dxa"/>
            <w:vAlign w:val="center"/>
          </w:tcPr>
          <w:p w14:paraId="7F41A95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[0，15]mm</w:t>
            </w:r>
          </w:p>
        </w:tc>
      </w:tr>
      <w:tr w14:paraId="4A27C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7CEA4B6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1772" w:type="dxa"/>
            <w:vAlign w:val="center"/>
          </w:tcPr>
          <w:p w14:paraId="51387D5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电气安装</w:t>
            </w:r>
          </w:p>
        </w:tc>
        <w:tc>
          <w:tcPr>
            <w:tcW w:w="3006" w:type="dxa"/>
            <w:vAlign w:val="center"/>
          </w:tcPr>
          <w:p w14:paraId="3ED9636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同一室内底盒标高差</w:t>
            </w:r>
          </w:p>
        </w:tc>
        <w:tc>
          <w:tcPr>
            <w:tcW w:w="3205" w:type="dxa"/>
            <w:vAlign w:val="center"/>
          </w:tcPr>
          <w:p w14:paraId="3D86965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[0，10]mm</w:t>
            </w:r>
          </w:p>
        </w:tc>
      </w:tr>
      <w:tr w14:paraId="76AEA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restart"/>
            <w:vAlign w:val="center"/>
          </w:tcPr>
          <w:p w14:paraId="2573179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p w14:paraId="7C72EF4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p w14:paraId="5924A8F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p w14:paraId="16120E6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p w14:paraId="756B379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装饰装修</w:t>
            </w:r>
          </w:p>
        </w:tc>
        <w:tc>
          <w:tcPr>
            <w:tcW w:w="1772" w:type="dxa"/>
            <w:vMerge w:val="restart"/>
            <w:vAlign w:val="center"/>
          </w:tcPr>
          <w:p w14:paraId="7713C18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抹灰工程</w:t>
            </w:r>
          </w:p>
        </w:tc>
        <w:tc>
          <w:tcPr>
            <w:tcW w:w="3006" w:type="dxa"/>
            <w:vAlign w:val="center"/>
          </w:tcPr>
          <w:p w14:paraId="3A0408D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墙体表面平整度</w:t>
            </w:r>
          </w:p>
        </w:tc>
        <w:tc>
          <w:tcPr>
            <w:tcW w:w="3205" w:type="dxa"/>
            <w:vAlign w:val="center"/>
          </w:tcPr>
          <w:p w14:paraId="2D6EB34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[0，4]mm</w:t>
            </w:r>
          </w:p>
        </w:tc>
      </w:tr>
      <w:tr w14:paraId="7944A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5B38A0AB">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3F20BDF2">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7329977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墙面垂直度</w:t>
            </w:r>
          </w:p>
        </w:tc>
        <w:tc>
          <w:tcPr>
            <w:tcW w:w="3205" w:type="dxa"/>
            <w:vAlign w:val="center"/>
          </w:tcPr>
          <w:p w14:paraId="7CDE637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[0，4]mm</w:t>
            </w:r>
          </w:p>
        </w:tc>
      </w:tr>
      <w:tr w14:paraId="14FE1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0FB1E806">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199BA58D">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315C166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净高偏差</w:t>
            </w:r>
          </w:p>
        </w:tc>
        <w:tc>
          <w:tcPr>
            <w:tcW w:w="3205" w:type="dxa"/>
            <w:vAlign w:val="center"/>
          </w:tcPr>
          <w:p w14:paraId="0A90D7C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[－20，20]mm</w:t>
            </w:r>
          </w:p>
        </w:tc>
      </w:tr>
      <w:tr w14:paraId="29458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2B9E4630">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30DC2832">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0C264F8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抹灰顶棚水平度</w:t>
            </w:r>
          </w:p>
        </w:tc>
        <w:tc>
          <w:tcPr>
            <w:tcW w:w="3205" w:type="dxa"/>
            <w:vAlign w:val="center"/>
          </w:tcPr>
          <w:p w14:paraId="7C11E45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[0，10]mm</w:t>
            </w:r>
          </w:p>
        </w:tc>
      </w:tr>
      <w:tr w14:paraId="7C92D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57DCEEF5">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4DBC79F2">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28D6A39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抹灰阴阳角方正</w:t>
            </w:r>
          </w:p>
        </w:tc>
        <w:tc>
          <w:tcPr>
            <w:tcW w:w="3205" w:type="dxa"/>
            <w:vAlign w:val="center"/>
          </w:tcPr>
          <w:p w14:paraId="07DB1B2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[0，4]mm</w:t>
            </w:r>
          </w:p>
        </w:tc>
      </w:tr>
      <w:tr w14:paraId="16270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6D7F1208">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4DB86681">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62BB57B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开间/进深</w:t>
            </w:r>
          </w:p>
        </w:tc>
        <w:tc>
          <w:tcPr>
            <w:tcW w:w="3205" w:type="dxa"/>
            <w:vAlign w:val="center"/>
          </w:tcPr>
          <w:p w14:paraId="02F898D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[－10，10]mm</w:t>
            </w:r>
          </w:p>
        </w:tc>
      </w:tr>
      <w:tr w14:paraId="71129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2E8FC874">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4296AFB2">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2DB9F7B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ascii="MS Mincho" w:hAnsi="MS Mincho" w:cs="MS Mincho" w:eastAsiaTheme="minorEastAsia"/>
                <w:color w:val="auto"/>
                <w:sz w:val="21"/>
                <w:szCs w:val="21"/>
                <w:highlight w:val="none"/>
              </w:rPr>
              <w:t>✮</w:t>
            </w:r>
            <w:r>
              <w:rPr>
                <w:rFonts w:hint="eastAsia" w:cs="宋体" w:asciiTheme="minorEastAsia" w:hAnsiTheme="minorEastAsia" w:eastAsiaTheme="minorEastAsia"/>
                <w:color w:val="auto"/>
                <w:sz w:val="21"/>
                <w:szCs w:val="21"/>
                <w:highlight w:val="none"/>
              </w:rPr>
              <w:t>方正性</w:t>
            </w:r>
          </w:p>
        </w:tc>
        <w:tc>
          <w:tcPr>
            <w:tcW w:w="3205" w:type="dxa"/>
            <w:vAlign w:val="center"/>
          </w:tcPr>
          <w:p w14:paraId="73EADA2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[0，10]mm</w:t>
            </w:r>
          </w:p>
        </w:tc>
      </w:tr>
      <w:tr w14:paraId="00586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1FC72DC0">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6E7096EA">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0761BA6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地面表面平整度</w:t>
            </w:r>
          </w:p>
        </w:tc>
        <w:tc>
          <w:tcPr>
            <w:tcW w:w="3205" w:type="dxa"/>
            <w:vAlign w:val="center"/>
          </w:tcPr>
          <w:p w14:paraId="4E2FB21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[0，4]mm</w:t>
            </w:r>
          </w:p>
        </w:tc>
      </w:tr>
      <w:tr w14:paraId="5F1C4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68A430AF">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2F1D6751">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0479E5A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地面水平度极差</w:t>
            </w:r>
          </w:p>
        </w:tc>
        <w:tc>
          <w:tcPr>
            <w:tcW w:w="3205" w:type="dxa"/>
            <w:vAlign w:val="center"/>
          </w:tcPr>
          <w:p w14:paraId="479223A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[0，10]mm</w:t>
            </w:r>
          </w:p>
        </w:tc>
      </w:tr>
      <w:tr w14:paraId="13490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6CD32855">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47A4BBBD">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47ED53F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户内门洞尺寸偏差</w:t>
            </w:r>
          </w:p>
        </w:tc>
        <w:tc>
          <w:tcPr>
            <w:tcW w:w="3205" w:type="dxa"/>
            <w:vAlign w:val="center"/>
          </w:tcPr>
          <w:p w14:paraId="53A29E9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[－10，10]mm</w:t>
            </w:r>
          </w:p>
        </w:tc>
      </w:tr>
      <w:tr w14:paraId="048A0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63C11080">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4819174F">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7697607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外墙窗内侧墙体厚度极差</w:t>
            </w:r>
          </w:p>
        </w:tc>
        <w:tc>
          <w:tcPr>
            <w:tcW w:w="3205" w:type="dxa"/>
            <w:vAlign w:val="center"/>
          </w:tcPr>
          <w:p w14:paraId="3A340D9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[0，4]mm</w:t>
            </w:r>
          </w:p>
        </w:tc>
      </w:tr>
      <w:tr w14:paraId="26785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11A373FE">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restart"/>
            <w:vAlign w:val="center"/>
          </w:tcPr>
          <w:p w14:paraId="6254DE7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涂饰工程</w:t>
            </w:r>
          </w:p>
        </w:tc>
        <w:tc>
          <w:tcPr>
            <w:tcW w:w="3006" w:type="dxa"/>
            <w:vAlign w:val="center"/>
          </w:tcPr>
          <w:p w14:paraId="3DB3742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涂饰墙体表面平整度</w:t>
            </w:r>
          </w:p>
        </w:tc>
        <w:tc>
          <w:tcPr>
            <w:tcW w:w="3205" w:type="dxa"/>
            <w:vAlign w:val="center"/>
          </w:tcPr>
          <w:p w14:paraId="66FA56D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已打磨[0，3]mm</w:t>
            </w:r>
          </w:p>
        </w:tc>
      </w:tr>
      <w:tr w14:paraId="06741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6EBDCB19">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6EDD674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37F52AF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涂饰墙面垂直度</w:t>
            </w:r>
          </w:p>
        </w:tc>
        <w:tc>
          <w:tcPr>
            <w:tcW w:w="3205" w:type="dxa"/>
            <w:vAlign w:val="center"/>
          </w:tcPr>
          <w:p w14:paraId="2437BF6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已打磨[0，3]mm</w:t>
            </w:r>
          </w:p>
        </w:tc>
      </w:tr>
      <w:tr w14:paraId="48E64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0FD76003">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0CCDFA8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2130FB7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涂饰阴阳角方正</w:t>
            </w:r>
          </w:p>
        </w:tc>
        <w:tc>
          <w:tcPr>
            <w:tcW w:w="3205" w:type="dxa"/>
            <w:vAlign w:val="center"/>
          </w:tcPr>
          <w:p w14:paraId="477CDC7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已打磨[0，3]mm</w:t>
            </w:r>
          </w:p>
        </w:tc>
      </w:tr>
      <w:tr w14:paraId="69907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40AB79E1">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53E69E3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0A2534D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涂饰顶棚水平度极差</w:t>
            </w:r>
          </w:p>
        </w:tc>
        <w:tc>
          <w:tcPr>
            <w:tcW w:w="3205" w:type="dxa"/>
            <w:vAlign w:val="center"/>
          </w:tcPr>
          <w:p w14:paraId="5C6BDB4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[0，10]mm</w:t>
            </w:r>
          </w:p>
        </w:tc>
      </w:tr>
      <w:tr w14:paraId="10C2D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37650C55">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16EA036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3987AED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涂饰裂缝/空鼓</w:t>
            </w:r>
          </w:p>
        </w:tc>
        <w:tc>
          <w:tcPr>
            <w:tcW w:w="3205" w:type="dxa"/>
            <w:vAlign w:val="center"/>
          </w:tcPr>
          <w:p w14:paraId="4745A3D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无裂缝、空鼓</w:t>
            </w:r>
          </w:p>
        </w:tc>
      </w:tr>
      <w:tr w14:paraId="76290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03BD86F1">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restart"/>
            <w:vAlign w:val="center"/>
          </w:tcPr>
          <w:p w14:paraId="12EBAE8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饰面砖粘贴</w:t>
            </w:r>
          </w:p>
          <w:p w14:paraId="2744ED3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（墙面）</w:t>
            </w:r>
          </w:p>
        </w:tc>
        <w:tc>
          <w:tcPr>
            <w:tcW w:w="3006" w:type="dxa"/>
            <w:vAlign w:val="center"/>
          </w:tcPr>
          <w:p w14:paraId="4CB8CC6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墙砖表面平整度</w:t>
            </w:r>
          </w:p>
        </w:tc>
        <w:tc>
          <w:tcPr>
            <w:tcW w:w="3205" w:type="dxa"/>
            <w:vAlign w:val="center"/>
          </w:tcPr>
          <w:p w14:paraId="3F0D0EF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[0，3]mm</w:t>
            </w:r>
          </w:p>
        </w:tc>
      </w:tr>
      <w:tr w14:paraId="3895A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64D2951A">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41F48F1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Merge w:val="restart"/>
            <w:vAlign w:val="center"/>
          </w:tcPr>
          <w:p w14:paraId="6F75088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墙砖垂直度</w:t>
            </w:r>
          </w:p>
        </w:tc>
        <w:tc>
          <w:tcPr>
            <w:tcW w:w="3205" w:type="dxa"/>
            <w:vAlign w:val="center"/>
          </w:tcPr>
          <w:p w14:paraId="74D07F8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瓷砖：[0，2]mm</w:t>
            </w:r>
          </w:p>
        </w:tc>
      </w:tr>
      <w:tr w14:paraId="38F46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3D11770D">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6760B3F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Merge w:val="continue"/>
            <w:vAlign w:val="center"/>
          </w:tcPr>
          <w:p w14:paraId="4C0FBE2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p>
        </w:tc>
        <w:tc>
          <w:tcPr>
            <w:tcW w:w="3205" w:type="dxa"/>
            <w:vAlign w:val="center"/>
          </w:tcPr>
          <w:p w14:paraId="380BC2C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石材：[0，3]mm</w:t>
            </w:r>
          </w:p>
        </w:tc>
      </w:tr>
      <w:tr w14:paraId="1318A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4922B38F">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5F81FC4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197BFC7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墙砖阴阳角方正</w:t>
            </w:r>
          </w:p>
        </w:tc>
        <w:tc>
          <w:tcPr>
            <w:tcW w:w="3205" w:type="dxa"/>
            <w:vAlign w:val="center"/>
          </w:tcPr>
          <w:p w14:paraId="3E0F132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[0，3]mm</w:t>
            </w:r>
          </w:p>
        </w:tc>
      </w:tr>
      <w:tr w14:paraId="677B9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460AB712">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37AD7E0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651B537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墙砖接缝高低差</w:t>
            </w:r>
          </w:p>
        </w:tc>
        <w:tc>
          <w:tcPr>
            <w:tcW w:w="3205" w:type="dxa"/>
            <w:vAlign w:val="center"/>
          </w:tcPr>
          <w:p w14:paraId="3053258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[0，0.5]mm</w:t>
            </w:r>
          </w:p>
        </w:tc>
      </w:tr>
      <w:tr w14:paraId="5F8F9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3323FDED">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3D17400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44F49C2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空鼓</w:t>
            </w:r>
          </w:p>
        </w:tc>
        <w:tc>
          <w:tcPr>
            <w:tcW w:w="3205" w:type="dxa"/>
            <w:vAlign w:val="center"/>
          </w:tcPr>
          <w:p w14:paraId="1BC6E77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p>
        </w:tc>
      </w:tr>
      <w:tr w14:paraId="16AAA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2674FB7D">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restart"/>
            <w:vAlign w:val="center"/>
          </w:tcPr>
          <w:p w14:paraId="492F26B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饰面砖粘贴</w:t>
            </w:r>
          </w:p>
          <w:p w14:paraId="3ABA799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（地面）</w:t>
            </w:r>
          </w:p>
        </w:tc>
        <w:tc>
          <w:tcPr>
            <w:tcW w:w="3006" w:type="dxa"/>
            <w:vAlign w:val="center"/>
          </w:tcPr>
          <w:p w14:paraId="1764692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地砖表面平整度</w:t>
            </w:r>
          </w:p>
        </w:tc>
        <w:tc>
          <w:tcPr>
            <w:tcW w:w="3205" w:type="dxa"/>
            <w:vAlign w:val="center"/>
          </w:tcPr>
          <w:p w14:paraId="2DC838A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[0，2]mm</w:t>
            </w:r>
          </w:p>
        </w:tc>
      </w:tr>
      <w:tr w14:paraId="3BC3C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35C35069">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0E36F50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3A4953E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地砖接缝高低差</w:t>
            </w:r>
          </w:p>
        </w:tc>
        <w:tc>
          <w:tcPr>
            <w:tcW w:w="3205" w:type="dxa"/>
            <w:vAlign w:val="center"/>
          </w:tcPr>
          <w:p w14:paraId="1F0FDE7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[0，0.5]mm</w:t>
            </w:r>
          </w:p>
        </w:tc>
      </w:tr>
      <w:tr w14:paraId="6FEC7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358554C9">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6F5CD86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1CB5ABC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空鼓</w:t>
            </w:r>
          </w:p>
        </w:tc>
        <w:tc>
          <w:tcPr>
            <w:tcW w:w="3205" w:type="dxa"/>
            <w:vAlign w:val="center"/>
          </w:tcPr>
          <w:p w14:paraId="3BE7027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p>
        </w:tc>
      </w:tr>
      <w:tr w14:paraId="54117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5F4F4235">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Align w:val="center"/>
          </w:tcPr>
          <w:p w14:paraId="54921D4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室内门</w:t>
            </w:r>
          </w:p>
        </w:tc>
        <w:tc>
          <w:tcPr>
            <w:tcW w:w="3006" w:type="dxa"/>
            <w:vAlign w:val="center"/>
          </w:tcPr>
          <w:p w14:paraId="6280B8C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门框正、侧面垂直度</w:t>
            </w:r>
          </w:p>
        </w:tc>
        <w:tc>
          <w:tcPr>
            <w:tcW w:w="3205" w:type="dxa"/>
            <w:vAlign w:val="center"/>
          </w:tcPr>
          <w:p w14:paraId="0014420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[0，4]mm</w:t>
            </w:r>
          </w:p>
        </w:tc>
      </w:tr>
      <w:tr w14:paraId="173D5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47C8B110">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restart"/>
            <w:vAlign w:val="center"/>
          </w:tcPr>
          <w:p w14:paraId="0F1A5A8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铝合金门窗</w:t>
            </w:r>
          </w:p>
          <w:p w14:paraId="6DDEB69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（或塑钢窗）</w:t>
            </w:r>
          </w:p>
        </w:tc>
        <w:tc>
          <w:tcPr>
            <w:tcW w:w="3006" w:type="dxa"/>
            <w:vAlign w:val="center"/>
          </w:tcPr>
          <w:p w14:paraId="762D18A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型材拼缝宽度（不适用塑钢窗）</w:t>
            </w:r>
          </w:p>
        </w:tc>
        <w:tc>
          <w:tcPr>
            <w:tcW w:w="3205" w:type="dxa"/>
            <w:vAlign w:val="center"/>
          </w:tcPr>
          <w:p w14:paraId="3D50064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[0，0.3]mm</w:t>
            </w:r>
          </w:p>
        </w:tc>
      </w:tr>
      <w:tr w14:paraId="14E59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071265D0">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3CA4EC20">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2205336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型材拼缝高低差</w:t>
            </w:r>
          </w:p>
        </w:tc>
        <w:tc>
          <w:tcPr>
            <w:tcW w:w="3205" w:type="dxa"/>
            <w:vAlign w:val="center"/>
          </w:tcPr>
          <w:p w14:paraId="69C24AD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[0，0.3]mm</w:t>
            </w:r>
          </w:p>
        </w:tc>
      </w:tr>
      <w:tr w14:paraId="3E7EF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3AAF56D5">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continue"/>
            <w:vAlign w:val="center"/>
          </w:tcPr>
          <w:p w14:paraId="454B59F2">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3006" w:type="dxa"/>
            <w:vAlign w:val="center"/>
          </w:tcPr>
          <w:p w14:paraId="581F42B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窗框正面垂直度</w:t>
            </w:r>
          </w:p>
        </w:tc>
        <w:tc>
          <w:tcPr>
            <w:tcW w:w="3205" w:type="dxa"/>
            <w:vAlign w:val="center"/>
          </w:tcPr>
          <w:p w14:paraId="6E74BEC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[0，2.5]mm</w:t>
            </w:r>
          </w:p>
        </w:tc>
      </w:tr>
      <w:tr w14:paraId="091B6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vAlign w:val="center"/>
          </w:tcPr>
          <w:p w14:paraId="6837472F">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772" w:type="dxa"/>
            <w:vMerge w:val="restart"/>
            <w:vAlign w:val="center"/>
          </w:tcPr>
          <w:p w14:paraId="118C7122">
            <w:pPr>
              <w:keepNext w:val="0"/>
              <w:keepLines w:val="0"/>
              <w:suppressLineNumbers w:val="0"/>
              <w:adjustRightInd w:val="0"/>
              <w:snapToGrid w:val="0"/>
              <w:spacing w:before="0" w:beforeAutospacing="0" w:after="0" w:afterAutospacing="0" w:line="360" w:lineRule="auto"/>
              <w:ind w:left="0" w:right="0"/>
              <w:jc w:val="center"/>
              <w:textAlignment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bCs/>
                <w:color w:val="auto"/>
                <w:sz w:val="21"/>
                <w:szCs w:val="21"/>
                <w:highlight w:val="none"/>
              </w:rPr>
              <w:t>地板</w:t>
            </w:r>
          </w:p>
        </w:tc>
        <w:tc>
          <w:tcPr>
            <w:tcW w:w="3006" w:type="dxa"/>
            <w:vAlign w:val="center"/>
          </w:tcPr>
          <w:p w14:paraId="076433C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地板表面平整度</w:t>
            </w:r>
          </w:p>
        </w:tc>
        <w:tc>
          <w:tcPr>
            <w:tcW w:w="3205" w:type="dxa"/>
            <w:vAlign w:val="center"/>
          </w:tcPr>
          <w:p w14:paraId="183D607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[0，2]mm</w:t>
            </w:r>
          </w:p>
        </w:tc>
      </w:tr>
      <w:tr w14:paraId="2425B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tcPr>
          <w:p w14:paraId="6581E6E1">
            <w:pPr>
              <w:keepNext w:val="0"/>
              <w:keepLines w:val="0"/>
              <w:suppressLineNumbers w:val="0"/>
              <w:adjustRightInd w:val="0"/>
              <w:snapToGrid w:val="0"/>
              <w:spacing w:before="0" w:beforeAutospacing="0" w:after="0" w:afterAutospacing="0" w:line="360" w:lineRule="auto"/>
              <w:ind w:left="0" w:right="0" w:firstLine="422" w:firstLineChars="200"/>
              <w:outlineLvl w:val="9"/>
              <w:rPr>
                <w:rFonts w:cs="宋体" w:asciiTheme="minorEastAsia" w:hAnsiTheme="minorEastAsia" w:eastAsiaTheme="minorEastAsia"/>
                <w:b/>
                <w:bCs/>
                <w:color w:val="auto"/>
                <w:sz w:val="21"/>
                <w:szCs w:val="21"/>
                <w:highlight w:val="none"/>
              </w:rPr>
            </w:pPr>
          </w:p>
        </w:tc>
        <w:tc>
          <w:tcPr>
            <w:tcW w:w="1772" w:type="dxa"/>
            <w:vMerge w:val="continue"/>
          </w:tcPr>
          <w:p w14:paraId="0BF12B96">
            <w:pPr>
              <w:keepNext w:val="0"/>
              <w:keepLines w:val="0"/>
              <w:suppressLineNumbers w:val="0"/>
              <w:adjustRightInd w:val="0"/>
              <w:snapToGrid w:val="0"/>
              <w:spacing w:before="0" w:beforeAutospacing="0" w:after="0" w:afterAutospacing="0" w:line="360" w:lineRule="auto"/>
              <w:ind w:left="0" w:right="0" w:firstLine="422" w:firstLineChars="200"/>
              <w:outlineLvl w:val="9"/>
              <w:rPr>
                <w:rFonts w:cs="宋体" w:asciiTheme="minorEastAsia" w:hAnsiTheme="minorEastAsia" w:eastAsiaTheme="minorEastAsia"/>
                <w:b/>
                <w:bCs/>
                <w:color w:val="auto"/>
                <w:sz w:val="21"/>
                <w:szCs w:val="21"/>
                <w:highlight w:val="none"/>
              </w:rPr>
            </w:pPr>
          </w:p>
        </w:tc>
        <w:tc>
          <w:tcPr>
            <w:tcW w:w="3006" w:type="dxa"/>
            <w:vAlign w:val="center"/>
          </w:tcPr>
          <w:p w14:paraId="62F4FA3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地板缝隙宽度</w:t>
            </w:r>
          </w:p>
        </w:tc>
        <w:tc>
          <w:tcPr>
            <w:tcW w:w="3205" w:type="dxa"/>
            <w:vAlign w:val="center"/>
          </w:tcPr>
          <w:p w14:paraId="4C04341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[0，0.5]mm</w:t>
            </w:r>
          </w:p>
        </w:tc>
      </w:tr>
      <w:tr w14:paraId="354E8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tcPr>
          <w:p w14:paraId="48F6E39E">
            <w:pPr>
              <w:keepNext w:val="0"/>
              <w:keepLines w:val="0"/>
              <w:suppressLineNumbers w:val="0"/>
              <w:adjustRightInd w:val="0"/>
              <w:snapToGrid w:val="0"/>
              <w:spacing w:before="0" w:beforeAutospacing="0" w:after="0" w:afterAutospacing="0" w:line="360" w:lineRule="auto"/>
              <w:ind w:left="0" w:right="0" w:firstLine="422" w:firstLineChars="200"/>
              <w:outlineLvl w:val="9"/>
              <w:rPr>
                <w:rFonts w:cs="宋体" w:asciiTheme="minorEastAsia" w:hAnsiTheme="minorEastAsia" w:eastAsiaTheme="minorEastAsia"/>
                <w:b/>
                <w:bCs/>
                <w:color w:val="auto"/>
                <w:sz w:val="21"/>
                <w:szCs w:val="21"/>
                <w:highlight w:val="none"/>
              </w:rPr>
            </w:pPr>
          </w:p>
        </w:tc>
        <w:tc>
          <w:tcPr>
            <w:tcW w:w="1772" w:type="dxa"/>
            <w:vMerge w:val="continue"/>
          </w:tcPr>
          <w:p w14:paraId="0796B42D">
            <w:pPr>
              <w:keepNext w:val="0"/>
              <w:keepLines w:val="0"/>
              <w:suppressLineNumbers w:val="0"/>
              <w:adjustRightInd w:val="0"/>
              <w:snapToGrid w:val="0"/>
              <w:spacing w:before="0" w:beforeAutospacing="0" w:after="0" w:afterAutospacing="0" w:line="360" w:lineRule="auto"/>
              <w:ind w:left="0" w:right="0" w:firstLine="422" w:firstLineChars="200"/>
              <w:outlineLvl w:val="9"/>
              <w:rPr>
                <w:rFonts w:cs="宋体" w:asciiTheme="minorEastAsia" w:hAnsiTheme="minorEastAsia" w:eastAsiaTheme="minorEastAsia"/>
                <w:b/>
                <w:bCs/>
                <w:color w:val="auto"/>
                <w:sz w:val="21"/>
                <w:szCs w:val="21"/>
                <w:highlight w:val="none"/>
              </w:rPr>
            </w:pPr>
          </w:p>
        </w:tc>
        <w:tc>
          <w:tcPr>
            <w:tcW w:w="3006" w:type="dxa"/>
            <w:vAlign w:val="center"/>
          </w:tcPr>
          <w:p w14:paraId="24BF19A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地板接缝高低差</w:t>
            </w:r>
          </w:p>
        </w:tc>
        <w:tc>
          <w:tcPr>
            <w:tcW w:w="3205" w:type="dxa"/>
            <w:vAlign w:val="center"/>
          </w:tcPr>
          <w:p w14:paraId="3D6BA10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[0，0.5]mm</w:t>
            </w:r>
          </w:p>
        </w:tc>
      </w:tr>
      <w:tr w14:paraId="402E9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5" w:type="dxa"/>
            <w:vMerge w:val="continue"/>
          </w:tcPr>
          <w:p w14:paraId="49902E9E">
            <w:pPr>
              <w:keepNext w:val="0"/>
              <w:keepLines w:val="0"/>
              <w:suppressLineNumbers w:val="0"/>
              <w:adjustRightInd w:val="0"/>
              <w:snapToGrid w:val="0"/>
              <w:spacing w:before="0" w:beforeAutospacing="0" w:after="0" w:afterAutospacing="0" w:line="360" w:lineRule="auto"/>
              <w:ind w:left="0" w:right="0" w:firstLine="422" w:firstLineChars="200"/>
              <w:outlineLvl w:val="9"/>
              <w:rPr>
                <w:rFonts w:cs="宋体" w:asciiTheme="minorEastAsia" w:hAnsiTheme="minorEastAsia" w:eastAsiaTheme="minorEastAsia"/>
                <w:b/>
                <w:bCs/>
                <w:color w:val="auto"/>
                <w:sz w:val="21"/>
                <w:szCs w:val="21"/>
                <w:highlight w:val="none"/>
              </w:rPr>
            </w:pPr>
          </w:p>
        </w:tc>
        <w:tc>
          <w:tcPr>
            <w:tcW w:w="1772" w:type="dxa"/>
            <w:vMerge w:val="continue"/>
          </w:tcPr>
          <w:p w14:paraId="504D4350">
            <w:pPr>
              <w:keepNext w:val="0"/>
              <w:keepLines w:val="0"/>
              <w:suppressLineNumbers w:val="0"/>
              <w:adjustRightInd w:val="0"/>
              <w:snapToGrid w:val="0"/>
              <w:spacing w:before="0" w:beforeAutospacing="0" w:after="0" w:afterAutospacing="0" w:line="360" w:lineRule="auto"/>
              <w:ind w:left="0" w:right="0" w:firstLine="422" w:firstLineChars="200"/>
              <w:outlineLvl w:val="9"/>
              <w:rPr>
                <w:rFonts w:cs="宋体" w:asciiTheme="minorEastAsia" w:hAnsiTheme="minorEastAsia" w:eastAsiaTheme="minorEastAsia"/>
                <w:b/>
                <w:bCs/>
                <w:color w:val="auto"/>
                <w:sz w:val="21"/>
                <w:szCs w:val="21"/>
                <w:highlight w:val="none"/>
              </w:rPr>
            </w:pPr>
          </w:p>
        </w:tc>
        <w:tc>
          <w:tcPr>
            <w:tcW w:w="3006" w:type="dxa"/>
            <w:vAlign w:val="center"/>
          </w:tcPr>
          <w:p w14:paraId="7F96F9A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地板水平度极差</w:t>
            </w:r>
          </w:p>
        </w:tc>
        <w:tc>
          <w:tcPr>
            <w:tcW w:w="3205" w:type="dxa"/>
            <w:vAlign w:val="center"/>
          </w:tcPr>
          <w:p w14:paraId="2136144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[0，10]mm</w:t>
            </w:r>
          </w:p>
        </w:tc>
      </w:tr>
    </w:tbl>
    <w:p w14:paraId="45D5936C">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5.4实测数据与现场进度关系：</w:t>
      </w:r>
    </w:p>
    <w:p w14:paraId="756944F9">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主体阶段不滞后与主体进度的5层；抹灰阶段不滞后于抹灰进度的5层。</w:t>
      </w:r>
    </w:p>
    <w:p w14:paraId="61D862D8">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六、材料验收</w:t>
      </w:r>
    </w:p>
    <w:p w14:paraId="38C36C53">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6.1基本要求</w:t>
      </w:r>
    </w:p>
    <w:p w14:paraId="751E390C">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项目工程部运用质检平台进行材料进场验收，施工单位所有进场材料（包含乙供材、甲指乙供材）分批次由施工单位进行报验。监理单位参与验收及送检工作。</w:t>
      </w:r>
    </w:p>
    <w:p w14:paraId="50558657">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6.2验收流程</w:t>
      </w:r>
    </w:p>
    <w:p w14:paraId="65229C13">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材料进场后，由施工单位管理人员检查合格后，使用移动质检提交，并于24小时内通知监理工程师、甲方工程师组织验收，甲方及监理人员必须于接到通知的24小时内完成验收。要求在移动质检内将材料名称、规格、使用部位、供应商等信息全数完善，进场需上传合格证、检验报告、近距离材料实体照片、验收过程照片。对于验收不合格的材料，现场禁止使用，并要求立即清场。</w:t>
      </w:r>
    </w:p>
    <w:p w14:paraId="3CA41A15">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6.3使用要求</w:t>
      </w:r>
    </w:p>
    <w:tbl>
      <w:tblPr>
        <w:tblStyle w:val="56"/>
        <w:tblW w:w="949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7"/>
        <w:gridCol w:w="2693"/>
        <w:gridCol w:w="4508"/>
      </w:tblGrid>
      <w:tr w14:paraId="532E3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2297" w:type="dxa"/>
            <w:shd w:val="clear" w:color="auto" w:fill="D9D9D9"/>
            <w:vAlign w:val="center"/>
          </w:tcPr>
          <w:p w14:paraId="764C0C2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工作事项</w:t>
            </w:r>
          </w:p>
        </w:tc>
        <w:tc>
          <w:tcPr>
            <w:tcW w:w="2693" w:type="dxa"/>
            <w:shd w:val="clear" w:color="auto" w:fill="D9D9D9"/>
            <w:vAlign w:val="center"/>
          </w:tcPr>
          <w:p w14:paraId="55B4D2F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主责单位</w:t>
            </w:r>
          </w:p>
        </w:tc>
        <w:tc>
          <w:tcPr>
            <w:tcW w:w="4508" w:type="dxa"/>
            <w:shd w:val="clear" w:color="auto" w:fill="D9D9D9"/>
            <w:vAlign w:val="center"/>
          </w:tcPr>
          <w:p w14:paraId="0834D8A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使用要求</w:t>
            </w:r>
          </w:p>
        </w:tc>
      </w:tr>
      <w:tr w14:paraId="5BAF5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7" w:type="dxa"/>
            <w:vAlign w:val="center"/>
          </w:tcPr>
          <w:p w14:paraId="4C52807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材料报验、送检</w:t>
            </w:r>
          </w:p>
        </w:tc>
        <w:tc>
          <w:tcPr>
            <w:tcW w:w="2693" w:type="dxa"/>
            <w:vAlign w:val="center"/>
          </w:tcPr>
          <w:p w14:paraId="45650E4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施工单位</w:t>
            </w:r>
          </w:p>
        </w:tc>
        <w:tc>
          <w:tcPr>
            <w:tcW w:w="4508" w:type="dxa"/>
            <w:vAlign w:val="center"/>
          </w:tcPr>
          <w:p w14:paraId="7BDBC4F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所有进场材料100%系统报验</w:t>
            </w:r>
          </w:p>
        </w:tc>
      </w:tr>
      <w:tr w14:paraId="2B58B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7" w:type="dxa"/>
            <w:vMerge w:val="restart"/>
            <w:vAlign w:val="center"/>
          </w:tcPr>
          <w:p w14:paraId="5F418D0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材料验收</w:t>
            </w:r>
          </w:p>
        </w:tc>
        <w:tc>
          <w:tcPr>
            <w:tcW w:w="2693" w:type="dxa"/>
            <w:vAlign w:val="center"/>
          </w:tcPr>
          <w:p w14:paraId="4DD5E5B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监理单位</w:t>
            </w:r>
          </w:p>
        </w:tc>
        <w:tc>
          <w:tcPr>
            <w:tcW w:w="4508" w:type="dxa"/>
            <w:vAlign w:val="center"/>
          </w:tcPr>
          <w:p w14:paraId="7E17606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所有进场材料，必须当天完成验收</w:t>
            </w:r>
          </w:p>
        </w:tc>
      </w:tr>
      <w:tr w14:paraId="71017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2297" w:type="dxa"/>
            <w:vMerge w:val="continue"/>
            <w:vAlign w:val="center"/>
          </w:tcPr>
          <w:p w14:paraId="74208580">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宋体" w:asciiTheme="minorEastAsia" w:hAnsiTheme="minorEastAsia" w:eastAsiaTheme="minorEastAsia"/>
                <w:color w:val="auto"/>
                <w:sz w:val="21"/>
                <w:szCs w:val="21"/>
                <w:highlight w:val="none"/>
              </w:rPr>
            </w:pPr>
          </w:p>
        </w:tc>
        <w:tc>
          <w:tcPr>
            <w:tcW w:w="2693" w:type="dxa"/>
            <w:vAlign w:val="center"/>
          </w:tcPr>
          <w:p w14:paraId="1D33511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项目部</w:t>
            </w:r>
          </w:p>
        </w:tc>
        <w:tc>
          <w:tcPr>
            <w:tcW w:w="4508" w:type="dxa"/>
            <w:vAlign w:val="center"/>
          </w:tcPr>
          <w:p w14:paraId="3184025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参与首批进场材料验收，并随机对现场材料进行抽查</w:t>
            </w:r>
          </w:p>
        </w:tc>
      </w:tr>
      <w:tr w14:paraId="2F231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7" w:type="dxa"/>
            <w:vAlign w:val="center"/>
          </w:tcPr>
          <w:p w14:paraId="3283151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抄送</w:t>
            </w:r>
          </w:p>
        </w:tc>
        <w:tc>
          <w:tcPr>
            <w:tcW w:w="2693" w:type="dxa"/>
            <w:vAlign w:val="center"/>
          </w:tcPr>
          <w:p w14:paraId="15D3142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三方单位负责人</w:t>
            </w:r>
          </w:p>
        </w:tc>
        <w:tc>
          <w:tcPr>
            <w:tcW w:w="4508" w:type="dxa"/>
            <w:vAlign w:val="center"/>
          </w:tcPr>
          <w:p w14:paraId="59F3941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监督材料报验、验收、送检、复验全流程闭环</w:t>
            </w:r>
          </w:p>
        </w:tc>
      </w:tr>
    </w:tbl>
    <w:p w14:paraId="5CD90C01">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七、样板管理</w:t>
      </w:r>
    </w:p>
    <w:tbl>
      <w:tblPr>
        <w:tblStyle w:val="56"/>
        <w:tblW w:w="949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1402"/>
        <w:gridCol w:w="7245"/>
      </w:tblGrid>
      <w:tr w14:paraId="22D61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3" w:type="dxa"/>
            <w:gridSpan w:val="2"/>
            <w:vAlign w:val="center"/>
          </w:tcPr>
          <w:p w14:paraId="3484E782">
            <w:pPr>
              <w:keepNext w:val="0"/>
              <w:keepLines w:val="0"/>
              <w:suppressLineNumbers w:val="0"/>
              <w:adjustRightInd w:val="0"/>
              <w:snapToGrid w:val="0"/>
              <w:spacing w:before="0" w:beforeAutospacing="0" w:after="0" w:afterAutospacing="0" w:line="360" w:lineRule="auto"/>
              <w:ind w:left="0" w:right="0" w:firstLine="422"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sz w:val="21"/>
                <w:szCs w:val="21"/>
                <w:highlight w:val="none"/>
              </w:rPr>
              <w:t>功能说明</w:t>
            </w:r>
          </w:p>
        </w:tc>
        <w:tc>
          <w:tcPr>
            <w:tcW w:w="7245" w:type="dxa"/>
          </w:tcPr>
          <w:p w14:paraId="4A096A1C">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系统载入样板管理相样标准，用于样板引路，提前明确样板实施内容、实施标准与验收标准。主要样板应包括：</w:t>
            </w:r>
          </w:p>
        </w:tc>
      </w:tr>
      <w:tr w14:paraId="0F0E0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Merge w:val="restart"/>
            <w:vAlign w:val="center"/>
          </w:tcPr>
          <w:p w14:paraId="51D7DDF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具体规定</w:t>
            </w:r>
          </w:p>
        </w:tc>
        <w:tc>
          <w:tcPr>
            <w:tcW w:w="1402" w:type="dxa"/>
            <w:vAlign w:val="center"/>
          </w:tcPr>
          <w:p w14:paraId="336259F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总分包</w:t>
            </w:r>
          </w:p>
        </w:tc>
        <w:tc>
          <w:tcPr>
            <w:tcW w:w="7245" w:type="dxa"/>
          </w:tcPr>
          <w:p w14:paraId="393E0196">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严格按照建设单位《样板先行管理制度》实施各类样板，样板的实施应符合载入系统的样板标准，并利用此系统申请样板评审与样板问题整改。</w:t>
            </w:r>
          </w:p>
          <w:p w14:paraId="77FBC62C">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样板未评审通过，不得进行大面施工。</w:t>
            </w:r>
          </w:p>
        </w:tc>
      </w:tr>
      <w:tr w14:paraId="3BB85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Merge w:val="continue"/>
          </w:tcPr>
          <w:p w14:paraId="7E054FDF">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402" w:type="dxa"/>
            <w:vAlign w:val="center"/>
          </w:tcPr>
          <w:p w14:paraId="7C7CBA1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监理部</w:t>
            </w:r>
          </w:p>
        </w:tc>
        <w:tc>
          <w:tcPr>
            <w:tcW w:w="7245" w:type="dxa"/>
          </w:tcPr>
          <w:p w14:paraId="3FE4301F">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应依据样板指引与样板工作计划，要求总分包单位按时分阶段实施样板；</w:t>
            </w:r>
          </w:p>
          <w:p w14:paraId="14AB526A">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应参与各类样板的评审工作；</w:t>
            </w:r>
          </w:p>
          <w:p w14:paraId="0F1E8602">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应严格按照样板指引要求进行各项工序的检查与验收；针对存在的问题，利用此系统推送相关整改任务。</w:t>
            </w:r>
          </w:p>
        </w:tc>
      </w:tr>
      <w:tr w14:paraId="759B1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Merge w:val="continue"/>
          </w:tcPr>
          <w:p w14:paraId="104B37E7">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402" w:type="dxa"/>
            <w:vAlign w:val="center"/>
          </w:tcPr>
          <w:p w14:paraId="16F499B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项目部</w:t>
            </w:r>
          </w:p>
        </w:tc>
        <w:tc>
          <w:tcPr>
            <w:tcW w:w="7245" w:type="dxa"/>
          </w:tcPr>
          <w:p w14:paraId="109872BF">
            <w:pPr>
              <w:keepNext w:val="0"/>
              <w:keepLines w:val="0"/>
              <w:suppressLineNumbers w:val="0"/>
              <w:adjustRightInd w:val="0"/>
              <w:snapToGrid w:val="0"/>
              <w:spacing w:before="0" w:beforeAutospacing="0" w:after="0" w:afterAutospacing="0" w:line="360" w:lineRule="auto"/>
              <w:ind w:left="0" w:right="0" w:firstLine="422" w:firstLineChars="200"/>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应向系统供应服务商提供各项目、地块、标段的样板实施计划。计划应包括样板内容与实施时间、责任单位；</w:t>
            </w:r>
          </w:p>
          <w:p w14:paraId="6BD2333C">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项目部应利用组织相关职能部门人员参与样板评审工作，并整理相关评审文件上传至系统，作为后期大面实施的样板指引。</w:t>
            </w:r>
          </w:p>
        </w:tc>
      </w:tr>
      <w:tr w14:paraId="0C595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 w:type="dxa"/>
            <w:vMerge w:val="continue"/>
          </w:tcPr>
          <w:p w14:paraId="713D9E0B">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402" w:type="dxa"/>
            <w:vAlign w:val="center"/>
          </w:tcPr>
          <w:p w14:paraId="4EFA6B6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工程管理部部</w:t>
            </w:r>
          </w:p>
        </w:tc>
        <w:tc>
          <w:tcPr>
            <w:tcW w:w="7245" w:type="dxa"/>
          </w:tcPr>
          <w:p w14:paraId="53B8B3BA">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向系统供应服务商提供公司的《样板先行管理制度》，明确各类样板要求，载入系统。</w:t>
            </w:r>
          </w:p>
          <w:p w14:paraId="399054AA">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参与样板评审，提出评审意见；针对后续大面施工内容，利用样板指引文件进行检查，并利用此系统推送整改任务。</w:t>
            </w:r>
          </w:p>
        </w:tc>
      </w:tr>
    </w:tbl>
    <w:p w14:paraId="6F34070B">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八、工程进度管理模块使用要求</w:t>
      </w:r>
    </w:p>
    <w:p w14:paraId="5E6F1E10">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8.1、进度计划提供</w:t>
      </w:r>
    </w:p>
    <w:tbl>
      <w:tblPr>
        <w:tblStyle w:val="56"/>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1147"/>
        <w:gridCol w:w="7165"/>
      </w:tblGrid>
      <w:tr w14:paraId="22495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33" w:type="dxa"/>
            <w:gridSpan w:val="2"/>
            <w:vAlign w:val="center"/>
          </w:tcPr>
          <w:p w14:paraId="6EE354E6">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功能说明</w:t>
            </w:r>
          </w:p>
        </w:tc>
        <w:tc>
          <w:tcPr>
            <w:tcW w:w="7165" w:type="dxa"/>
            <w:vAlign w:val="center"/>
          </w:tcPr>
          <w:p w14:paraId="59FE65BA">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各单位、各管控层级将进度计划提供系统供应服务商，载入系统并以此作为进度管控依据，并通过系统提醒进度节点，或形成计划与实际进度对比图（表单）。</w:t>
            </w:r>
          </w:p>
        </w:tc>
      </w:tr>
      <w:tr w14:paraId="58359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6" w:type="dxa"/>
            <w:vAlign w:val="center"/>
          </w:tcPr>
          <w:p w14:paraId="06A036B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具体规定</w:t>
            </w:r>
          </w:p>
        </w:tc>
        <w:tc>
          <w:tcPr>
            <w:tcW w:w="1147" w:type="dxa"/>
            <w:vAlign w:val="center"/>
          </w:tcPr>
          <w:p w14:paraId="69CC91C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项目部</w:t>
            </w:r>
          </w:p>
        </w:tc>
        <w:tc>
          <w:tcPr>
            <w:tcW w:w="7165" w:type="dxa"/>
            <w:vAlign w:val="center"/>
          </w:tcPr>
          <w:p w14:paraId="7F8D415C">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项目部应提供各地块一、二、三、四级节点计划以及月度计划、周进度计划，发生调整时应给予系统更新。</w:t>
            </w:r>
          </w:p>
        </w:tc>
      </w:tr>
    </w:tbl>
    <w:p w14:paraId="3CAA9955">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8.2、进度管理</w:t>
      </w:r>
    </w:p>
    <w:tbl>
      <w:tblPr>
        <w:tblStyle w:val="56"/>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3"/>
        <w:gridCol w:w="1139"/>
        <w:gridCol w:w="6994"/>
      </w:tblGrid>
      <w:tr w14:paraId="4AE3D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32" w:type="dxa"/>
            <w:gridSpan w:val="2"/>
            <w:vAlign w:val="center"/>
          </w:tcPr>
          <w:p w14:paraId="7F676D9F">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功能说明</w:t>
            </w:r>
          </w:p>
        </w:tc>
        <w:tc>
          <w:tcPr>
            <w:tcW w:w="7166" w:type="dxa"/>
          </w:tcPr>
          <w:p w14:paraId="69144CB7">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系统自带进度管理模块，可适时查看各项工作内容整体形象进度，可查看计划进度与实际进度对比情况，有利于管理者及时分析进度情况，给予动态调整。</w:t>
            </w:r>
          </w:p>
        </w:tc>
      </w:tr>
      <w:tr w14:paraId="65CDC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3" w:type="dxa"/>
            <w:vMerge w:val="restart"/>
            <w:vAlign w:val="center"/>
          </w:tcPr>
          <w:p w14:paraId="5A728F4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具体规定</w:t>
            </w:r>
          </w:p>
        </w:tc>
        <w:tc>
          <w:tcPr>
            <w:tcW w:w="1159" w:type="dxa"/>
            <w:vAlign w:val="center"/>
          </w:tcPr>
          <w:p w14:paraId="355C0C8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总分包</w:t>
            </w:r>
          </w:p>
        </w:tc>
        <w:tc>
          <w:tcPr>
            <w:tcW w:w="7166" w:type="dxa"/>
          </w:tcPr>
          <w:p w14:paraId="57D1EC5E">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总分包单位应利用系统进行进度情况查看，各单位生产负责人不低于每天一次。</w:t>
            </w:r>
          </w:p>
        </w:tc>
      </w:tr>
      <w:tr w14:paraId="56B54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3" w:type="dxa"/>
            <w:vMerge w:val="continue"/>
            <w:vAlign w:val="center"/>
          </w:tcPr>
          <w:p w14:paraId="47ACBC6F">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159" w:type="dxa"/>
            <w:vAlign w:val="center"/>
          </w:tcPr>
          <w:p w14:paraId="56AEC91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监理</w:t>
            </w:r>
          </w:p>
          <w:p w14:paraId="41BDD44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单位</w:t>
            </w:r>
          </w:p>
        </w:tc>
        <w:tc>
          <w:tcPr>
            <w:tcW w:w="7166" w:type="dxa"/>
          </w:tcPr>
          <w:p w14:paraId="40751BD3">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监理单位应利用系统进行地度情况查看，要求每天不低于一次。针对延期情况发出监理指令。</w:t>
            </w:r>
          </w:p>
        </w:tc>
      </w:tr>
      <w:tr w14:paraId="7AAC7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3" w:type="dxa"/>
            <w:vMerge w:val="continue"/>
            <w:vAlign w:val="center"/>
          </w:tcPr>
          <w:p w14:paraId="70472980">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159" w:type="dxa"/>
            <w:vAlign w:val="center"/>
          </w:tcPr>
          <w:p w14:paraId="57DB008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项目部</w:t>
            </w:r>
          </w:p>
        </w:tc>
        <w:tc>
          <w:tcPr>
            <w:tcW w:w="7166" w:type="dxa"/>
          </w:tcPr>
          <w:p w14:paraId="339C071E">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项目部在抢工阶段应利用此系统进行进度查看，要求每天不低于一次。对于到期的节点需上传形象进度照片。针对延期情况，视影响大小，提出管理要求。对于进度计划的调整，应重新载入审批通过后的各项进度计划。</w:t>
            </w:r>
          </w:p>
        </w:tc>
      </w:tr>
      <w:tr w14:paraId="638E8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3" w:type="dxa"/>
            <w:vMerge w:val="continue"/>
            <w:vAlign w:val="center"/>
          </w:tcPr>
          <w:p w14:paraId="0775CD85">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cs="宋体" w:asciiTheme="minorEastAsia" w:hAnsiTheme="minorEastAsia" w:eastAsiaTheme="minorEastAsia"/>
                <w:b/>
                <w:bCs/>
                <w:color w:val="auto"/>
                <w:sz w:val="21"/>
                <w:szCs w:val="21"/>
                <w:highlight w:val="none"/>
              </w:rPr>
            </w:pPr>
          </w:p>
        </w:tc>
        <w:tc>
          <w:tcPr>
            <w:tcW w:w="1159" w:type="dxa"/>
            <w:vAlign w:val="center"/>
          </w:tcPr>
          <w:p w14:paraId="7A8944D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计划</w:t>
            </w:r>
          </w:p>
          <w:p w14:paraId="0AA416D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成本部</w:t>
            </w:r>
          </w:p>
        </w:tc>
        <w:tc>
          <w:tcPr>
            <w:tcW w:w="7166" w:type="dxa"/>
          </w:tcPr>
          <w:p w14:paraId="5DB91FFC">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要求对接人应利用系统进行进度查看，要求每三天不低于一次。针对存在的供应、交付等风险，应提出预警。项目一二级节点发生调整时，应督促项目给予系统调整。</w:t>
            </w:r>
          </w:p>
        </w:tc>
      </w:tr>
    </w:tbl>
    <w:p w14:paraId="4057462D">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p>
    <w:p w14:paraId="56E8D7EC">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九、考核办法</w:t>
      </w:r>
    </w:p>
    <w:p w14:paraId="40275004">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9.1项目部考核办法：</w:t>
      </w:r>
    </w:p>
    <w:p w14:paraId="6517E8F1">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项目部未按照上述各项指标完成的，工程管理部会在后台进行汇总，后期详见会在季度考核中做出相应评分及处罚。</w:t>
      </w:r>
    </w:p>
    <w:p w14:paraId="193442D7">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9.2监理单位考核办法：</w:t>
      </w:r>
    </w:p>
    <w:p w14:paraId="4EF227F2">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9.2.1现场巡查</w:t>
      </w:r>
    </w:p>
    <w:p w14:paraId="7A7484CC">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（1）监理人员现场巡查每周及每月检查条数不足的，每缺少一条处罚200元；</w:t>
      </w:r>
    </w:p>
    <w:p w14:paraId="7D6ED07D">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（2）质量问题占比不满足要求，每人次每月处罚500元（前期准备阶段及土方开挖阶段除外）；</w:t>
      </w:r>
    </w:p>
    <w:p w14:paraId="52CDDA98">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（3）以上问题连续出现3次的人员，甲方可要求监理单位更换监理员。</w:t>
      </w:r>
    </w:p>
    <w:p w14:paraId="72A8E47B">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9.2.2工序移交</w:t>
      </w:r>
    </w:p>
    <w:p w14:paraId="690B9920">
      <w:pPr>
        <w:numPr>
          <w:ilvl w:val="0"/>
          <w:numId w:val="10"/>
        </w:num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监理单位需及时提醒施工单位在系统平台上进行系统工序报验，若施工单位未按照要求进行工序报验，监理承担连带责任，每缺少一次，处罚1000元；</w:t>
      </w:r>
    </w:p>
    <w:p w14:paraId="469B30D3">
      <w:pPr>
        <w:numPr>
          <w:ilvl w:val="0"/>
          <w:numId w:val="10"/>
        </w:num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监理单位在验收过程中，职责履行不到位，未做到全数检查，经项目部抽查，发现报验不合格，每发现一次，对监理单位处罚2000元；</w:t>
      </w:r>
    </w:p>
    <w:p w14:paraId="7ACC8D0E">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9.2.3实测实量</w:t>
      </w:r>
    </w:p>
    <w:p w14:paraId="27C09518">
      <w:pPr>
        <w:numPr>
          <w:ilvl w:val="0"/>
          <w:numId w:val="11"/>
        </w:num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监理单位未按照系统要求对施工单位实测数据进行复核的，每分项每缺少一户数据，处罚100元。</w:t>
      </w:r>
    </w:p>
    <w:p w14:paraId="4DC81DC7">
      <w:pPr>
        <w:numPr>
          <w:ilvl w:val="0"/>
          <w:numId w:val="11"/>
        </w:num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经建设单位复核发现施工单位及监理单位实测数据弄虚作假明显（比建设单位实测合格率低5%及以上即视为弄虚作假），每发现一次，处罚监理单位2000元。</w:t>
      </w:r>
    </w:p>
    <w:p w14:paraId="15559773">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9.2.4材料验收</w:t>
      </w:r>
    </w:p>
    <w:p w14:paraId="7ED269CA">
      <w:pPr>
        <w:numPr>
          <w:ilvl w:val="0"/>
          <w:numId w:val="12"/>
        </w:num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对施工单位报验的材料品牌、规格、型号、合格证、出厂报告、复检报告审核不严，后期经建设单位发现为假次材料、非合同约定品牌、型号错误、不合格产品的，对工程质量造成影响，每发现一次，处罚5000元。</w:t>
      </w:r>
    </w:p>
    <w:p w14:paraId="1C83906C">
      <w:pPr>
        <w:numPr>
          <w:ilvl w:val="0"/>
          <w:numId w:val="12"/>
        </w:num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监理单位所参与的材料验收必须提醒施工单位走线上流程，后期若经建设单位发现线上施工单位材料报验明显缺漏的，监理单位需承担连带责任，每发现一次，处罚2000元。</w:t>
      </w:r>
    </w:p>
    <w:p w14:paraId="4C9FFBFA">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9.3施工单位考核办法：</w:t>
      </w:r>
    </w:p>
    <w:p w14:paraId="134A3F15">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9.3.1现场巡查</w:t>
      </w:r>
    </w:p>
    <w:p w14:paraId="6174249B">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（1）问题整改完成率低于100%，每低1%（不足1%的，按1%计算）处罚1000元；</w:t>
      </w:r>
    </w:p>
    <w:p w14:paraId="468B52F7">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（2）问题整改及时率低于100%，每低于1%（不足1%的，按1%计算）处罚1000元；</w:t>
      </w:r>
    </w:p>
    <w:p w14:paraId="5A96BC3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（3）若建设单位、监理单位所提问题，施工单位未整改即进行下道工序隐蔽的，每发现一条，处罚2000元。</w:t>
      </w:r>
    </w:p>
    <w:p w14:paraId="0AC8405B">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9.3.2工序移交</w:t>
      </w:r>
    </w:p>
    <w:p w14:paraId="010A91A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（1）施工单位需在系统平台上对所有工序进行线上报验，每缺少一次，处罚1000元；</w:t>
      </w:r>
    </w:p>
    <w:p w14:paraId="0EB2EAC9">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（2）严禁验收不合格就强行隐蔽，每发现一次对施工单位处以2000元罚款；</w:t>
      </w:r>
    </w:p>
    <w:p w14:paraId="527F0FCF">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（3）每月报验工序退回率大于5%（说明日常自检不到位），每低于1%（不足1%按照1%计算）处罚1000元；</w:t>
      </w:r>
    </w:p>
    <w:p w14:paraId="4248BB35">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（4）工序报验通过率小于100%（不包含在途），每低于1%（不足1%按照1%计算）处罚1000元。</w:t>
      </w:r>
    </w:p>
    <w:p w14:paraId="0F8C9A68">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9.3.3实测实量</w:t>
      </w:r>
    </w:p>
    <w:p w14:paraId="01B74A5D">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（1）实测实量以户为单位进行考核，每一分项每缺少一户数据处罚100元。</w:t>
      </w:r>
    </w:p>
    <w:p w14:paraId="0C2E698F">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（2）经建设单位复核发现施工单位实测数据弄虚作假明显（比建设单位实测合格率低5%及以上即视为弄虚作假），每发现一次，处罚施工单位5000元。</w:t>
      </w:r>
    </w:p>
    <w:p w14:paraId="5A4AF0B9">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（3）测量完成后7日内必须完成问题整改，整改后各分项实测实量合格率不低于100%，否则对施工单位处200元/户处罚。</w:t>
      </w:r>
    </w:p>
    <w:p w14:paraId="2FCA1DBE">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9.3.4材料验收</w:t>
      </w:r>
    </w:p>
    <w:p w14:paraId="4A07A4FE">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color w:val="auto"/>
          <w:sz w:val="21"/>
          <w:szCs w:val="21"/>
          <w:highlight w:val="none"/>
        </w:rPr>
        <w:t>（1）施工单位所有材料必须走线上报验流程，后期若经建设单位发现线上施工单位材料报验明显缺漏的，每发现一次，处罚2000元</w:t>
      </w:r>
    </w:p>
    <w:p w14:paraId="15A14544">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（2）后期经建设单位发现现场存在假次材料、非合同约定品牌、型号错误、不合格产品的，对工程质量造成影响，每发现一次，处罚10000元。</w:t>
      </w:r>
    </w:p>
    <w:p w14:paraId="5A726DFB">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1"/>
          <w:szCs w:val="21"/>
          <w:highlight w:val="none"/>
        </w:rPr>
        <w:t>9.4施工单位及监理单位处罚的落实：</w:t>
      </w:r>
    </w:p>
    <w:p w14:paraId="52B53C56">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9.4.1监理单位及施工单位的系统执行检查由建设单位项目部统计、汇总，工程管理部协作配合；</w:t>
      </w:r>
    </w:p>
    <w:p w14:paraId="5034E89F">
      <w:pPr>
        <w:widowControl/>
        <w:adjustRightInd w:val="0"/>
        <w:snapToGrid w:val="0"/>
        <w:spacing w:line="360" w:lineRule="auto"/>
        <w:jc w:val="left"/>
        <w:outlineLvl w:val="9"/>
        <w:rPr>
          <w:rFonts w:asciiTheme="minorEastAsia" w:hAnsiTheme="minorEastAsia" w:eastAsiaTheme="minorEastAsia" w:cstheme="minorEastAsia"/>
          <w:color w:val="auto"/>
          <w:sz w:val="21"/>
          <w:szCs w:val="21"/>
          <w:highlight w:val="none"/>
        </w:rPr>
      </w:pPr>
      <w:r>
        <w:rPr>
          <w:rFonts w:hint="eastAsia" w:cs="宋体" w:asciiTheme="minorEastAsia" w:hAnsiTheme="minorEastAsia" w:eastAsiaTheme="minorEastAsia"/>
          <w:color w:val="auto"/>
          <w:sz w:val="21"/>
          <w:szCs w:val="21"/>
          <w:highlight w:val="none"/>
        </w:rPr>
        <w:t>9.4.2对于施工单位、监理单位的处罚金额，由项目部各专业工程师在各单位每月进度款申报中扣除。</w:t>
      </w:r>
    </w:p>
    <w:p w14:paraId="5A6FB6C1">
      <w:pPr>
        <w:widowControl/>
        <w:jc w:val="left"/>
        <w:outlineLvl w:val="9"/>
        <w:rPr>
          <w:rFonts w:asciiTheme="minorEastAsia" w:hAnsiTheme="minorEastAsia" w:eastAsiaTheme="minorEastAsia" w:cstheme="minorEastAsia"/>
          <w:color w:val="auto"/>
          <w:sz w:val="24"/>
          <w:highlight w:val="none"/>
        </w:rPr>
      </w:pPr>
      <w:r>
        <w:rPr>
          <w:rFonts w:asciiTheme="minorEastAsia" w:hAnsiTheme="minorEastAsia" w:eastAsiaTheme="minorEastAsia" w:cstheme="minorEastAsia"/>
          <w:color w:val="auto"/>
          <w:sz w:val="24"/>
          <w:highlight w:val="none"/>
        </w:rPr>
        <w:br w:type="page"/>
      </w:r>
    </w:p>
    <w:p w14:paraId="0A50805F">
      <w:pPr>
        <w:widowControl/>
        <w:adjustRightInd w:val="0"/>
        <w:snapToGrid w:val="0"/>
        <w:spacing w:line="360" w:lineRule="auto"/>
        <w:jc w:val="left"/>
        <w:outlineLvl w:val="9"/>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附件二十</w:t>
      </w:r>
      <w:r>
        <w:rPr>
          <w:rFonts w:hint="eastAsia" w:asciiTheme="minorEastAsia" w:hAnsiTheme="minorEastAsia" w:eastAsiaTheme="minorEastAsia" w:cstheme="minorEastAsia"/>
          <w:color w:val="auto"/>
          <w:sz w:val="21"/>
          <w:szCs w:val="21"/>
          <w:highlight w:val="none"/>
          <w:lang w:val="en-US" w:eastAsia="zh-CN"/>
        </w:rPr>
        <w:t>三</w:t>
      </w:r>
      <w:r>
        <w:rPr>
          <w:rFonts w:hint="eastAsia" w:asciiTheme="minorEastAsia" w:hAnsiTheme="minorEastAsia" w:eastAsiaTheme="minorEastAsia" w:cstheme="minorEastAsia"/>
          <w:color w:val="auto"/>
          <w:sz w:val="21"/>
          <w:szCs w:val="21"/>
          <w:highlight w:val="none"/>
        </w:rPr>
        <w:t>：</w:t>
      </w:r>
    </w:p>
    <w:p w14:paraId="1E170C47">
      <w:pPr>
        <w:widowControl/>
        <w:adjustRightInd w:val="0"/>
        <w:snapToGrid w:val="0"/>
        <w:spacing w:line="360" w:lineRule="auto"/>
        <w:jc w:val="center"/>
        <w:outlineLvl w:val="9"/>
        <w:rPr>
          <w:rFonts w:asciiTheme="minorEastAsia" w:hAnsiTheme="minorEastAsia" w:eastAsiaTheme="minorEastAsia" w:cstheme="minorEastAsia"/>
          <w:color w:val="auto"/>
          <w:sz w:val="24"/>
          <w:highlight w:val="none"/>
        </w:rPr>
      </w:pPr>
      <w:r>
        <w:rPr>
          <w:rFonts w:hint="eastAsia" w:cs="宋体" w:asciiTheme="minorEastAsia" w:hAnsiTheme="minorEastAsia" w:eastAsiaTheme="minorEastAsia"/>
          <w:b/>
          <w:color w:val="auto"/>
          <w:sz w:val="32"/>
          <w:szCs w:val="32"/>
          <w:highlight w:val="none"/>
        </w:rPr>
        <w:t>经发地产施工现场环境工作标准</w:t>
      </w:r>
    </w:p>
    <w:p w14:paraId="2936EA3C">
      <w:pPr>
        <w:pStyle w:val="114"/>
        <w:adjustRightInd w:val="0"/>
        <w:snapToGrid w:val="0"/>
        <w:spacing w:line="360" w:lineRule="auto"/>
        <w:ind w:left="0"/>
        <w:outlineLvl w:val="9"/>
        <w:rPr>
          <w:rFonts w:asciiTheme="minorEastAsia" w:hAnsiTheme="minorEastAsia" w:eastAsiaTheme="minorEastAsia"/>
          <w:color w:val="auto"/>
          <w:sz w:val="21"/>
          <w:szCs w:val="21"/>
          <w:highlight w:val="none"/>
          <w:lang w:eastAsia="zh-CN"/>
        </w:rPr>
      </w:pPr>
      <w:r>
        <w:rPr>
          <w:rFonts w:hint="eastAsia" w:cs="宋体" w:asciiTheme="minorEastAsia" w:hAnsiTheme="minorEastAsia" w:eastAsiaTheme="minorEastAsia"/>
          <w:b w:val="0"/>
          <w:color w:val="auto"/>
          <w:sz w:val="21"/>
          <w:szCs w:val="21"/>
          <w:highlight w:val="none"/>
          <w:lang w:eastAsia="zh-CN"/>
        </w:rPr>
        <w:t>一、</w:t>
      </w:r>
      <w:r>
        <w:rPr>
          <w:rFonts w:asciiTheme="minorEastAsia" w:hAnsiTheme="minorEastAsia" w:eastAsiaTheme="minorEastAsia"/>
          <w:color w:val="auto"/>
          <w:sz w:val="21"/>
          <w:szCs w:val="21"/>
          <w:highlight w:val="none"/>
          <w:lang w:eastAsia="zh-CN"/>
        </w:rPr>
        <w:t>总则</w:t>
      </w:r>
    </w:p>
    <w:p w14:paraId="032D73F9">
      <w:pPr>
        <w:pStyle w:val="22"/>
        <w:adjustRightInd w:val="0"/>
        <w:snapToGrid w:val="0"/>
        <w:spacing w:line="360" w:lineRule="auto"/>
        <w:outlineLvl w:val="9"/>
        <w:rPr>
          <w:rFonts w:asciiTheme="minorEastAsia" w:hAnsiTheme="minorEastAsia" w:eastAsiaTheme="minorEastAsia"/>
          <w:color w:val="auto"/>
          <w:sz w:val="21"/>
          <w:szCs w:val="21"/>
          <w:highlight w:val="none"/>
        </w:rPr>
      </w:pPr>
      <w:r>
        <w:rPr>
          <w:rFonts w:asciiTheme="minorEastAsia" w:hAnsiTheme="minorEastAsia" w:eastAsiaTheme="minorEastAsia"/>
          <w:color w:val="auto"/>
          <w:sz w:val="21"/>
          <w:szCs w:val="21"/>
          <w:highlight w:val="none"/>
        </w:rPr>
        <w:t>1、为达到规范施工现场环境形象，促进现场管理水平提高，保障呈现“工程现场即卖场”的整体环境这一目</w:t>
      </w:r>
    </w:p>
    <w:p w14:paraId="0833846B">
      <w:pPr>
        <w:pStyle w:val="22"/>
        <w:adjustRightInd w:val="0"/>
        <w:snapToGrid w:val="0"/>
        <w:spacing w:line="360" w:lineRule="auto"/>
        <w:outlineLvl w:val="9"/>
        <w:rPr>
          <w:rFonts w:asciiTheme="minorEastAsia" w:hAnsiTheme="minorEastAsia" w:eastAsiaTheme="minorEastAsia"/>
          <w:color w:val="auto"/>
          <w:sz w:val="21"/>
          <w:szCs w:val="21"/>
          <w:highlight w:val="none"/>
        </w:rPr>
      </w:pPr>
      <w:r>
        <w:rPr>
          <w:rFonts w:asciiTheme="minorEastAsia" w:hAnsiTheme="minorEastAsia" w:eastAsiaTheme="minorEastAsia"/>
          <w:color w:val="auto"/>
          <w:sz w:val="21"/>
          <w:szCs w:val="21"/>
          <w:highlight w:val="none"/>
        </w:rPr>
        <w:t>的，特编制本《经发地产施工现场环境形象标准》。以下简称《标准》；</w:t>
      </w:r>
    </w:p>
    <w:p w14:paraId="051A08F9">
      <w:pPr>
        <w:pStyle w:val="22"/>
        <w:adjustRightInd w:val="0"/>
        <w:snapToGrid w:val="0"/>
        <w:spacing w:line="360" w:lineRule="auto"/>
        <w:outlineLvl w:val="9"/>
        <w:rPr>
          <w:rFonts w:asciiTheme="minorEastAsia" w:hAnsiTheme="minorEastAsia" w:eastAsiaTheme="minorEastAsia"/>
          <w:color w:val="auto"/>
          <w:sz w:val="21"/>
          <w:szCs w:val="21"/>
          <w:highlight w:val="none"/>
        </w:rPr>
      </w:pPr>
      <w:r>
        <w:rPr>
          <w:rFonts w:asciiTheme="minorEastAsia" w:hAnsiTheme="minorEastAsia" w:eastAsiaTheme="minorEastAsia"/>
          <w:color w:val="auto"/>
          <w:sz w:val="21"/>
          <w:szCs w:val="21"/>
          <w:highlight w:val="none"/>
        </w:rPr>
        <w:t>2、编制依据：本《标准》涉及广告宣传类依据来自经发集团、经发地产VI手册内容及各项目标识应用规范；</w:t>
      </w:r>
    </w:p>
    <w:p w14:paraId="6959B0DE">
      <w:pPr>
        <w:pStyle w:val="22"/>
        <w:adjustRightInd w:val="0"/>
        <w:snapToGrid w:val="0"/>
        <w:spacing w:line="360" w:lineRule="auto"/>
        <w:ind w:firstLine="580"/>
        <w:outlineLvl w:val="9"/>
        <w:rPr>
          <w:rFonts w:asciiTheme="minorEastAsia" w:hAnsiTheme="minorEastAsia" w:eastAsiaTheme="minorEastAsia"/>
          <w:color w:val="auto"/>
          <w:sz w:val="21"/>
          <w:szCs w:val="21"/>
          <w:highlight w:val="none"/>
        </w:rPr>
      </w:pPr>
      <w:r>
        <w:rPr>
          <w:rFonts w:asciiTheme="minorEastAsia" w:hAnsiTheme="minorEastAsia" w:eastAsiaTheme="minorEastAsia"/>
          <w:color w:val="auto"/>
          <w:sz w:val="21"/>
          <w:szCs w:val="21"/>
          <w:highlight w:val="none"/>
        </w:rPr>
        <w:t>3、本《标准》是经发地产及各下属各公司自下发之日起新开项目施工现场环境管理的最低标准，应在项目单标段总包正负零结构完成15日内使现场达到本《标准》要求，营销策划部将不定期组织检查落实现场实施情况；</w:t>
      </w:r>
    </w:p>
    <w:p w14:paraId="307FDE6F">
      <w:pPr>
        <w:pStyle w:val="22"/>
        <w:adjustRightInd w:val="0"/>
        <w:snapToGrid w:val="0"/>
        <w:spacing w:line="360" w:lineRule="auto"/>
        <w:ind w:firstLine="580"/>
        <w:outlineLvl w:val="9"/>
        <w:rPr>
          <w:rFonts w:asciiTheme="minorEastAsia" w:hAnsiTheme="minorEastAsia" w:eastAsiaTheme="minorEastAsia"/>
          <w:color w:val="auto"/>
          <w:sz w:val="21"/>
          <w:szCs w:val="21"/>
          <w:highlight w:val="none"/>
        </w:rPr>
      </w:pPr>
      <w:r>
        <w:rPr>
          <w:rFonts w:asciiTheme="minorEastAsia" w:hAnsiTheme="minorEastAsia" w:eastAsiaTheme="minorEastAsia"/>
          <w:color w:val="auto"/>
          <w:sz w:val="21"/>
          <w:szCs w:val="21"/>
          <w:highlight w:val="none"/>
        </w:rPr>
        <w:t>4、本《标准》是我公司对施工现场环境管理的基本要求，对本《标准》未涉及项目应按项目所在地政府市级文明工地标准实施；</w:t>
      </w:r>
    </w:p>
    <w:p w14:paraId="2A2941FD">
      <w:pPr>
        <w:pStyle w:val="22"/>
        <w:adjustRightInd w:val="0"/>
        <w:snapToGrid w:val="0"/>
        <w:spacing w:line="360" w:lineRule="auto"/>
        <w:outlineLvl w:val="9"/>
        <w:rPr>
          <w:rFonts w:asciiTheme="minorEastAsia" w:hAnsiTheme="minorEastAsia" w:eastAsiaTheme="minorEastAsia"/>
          <w:color w:val="auto"/>
          <w:sz w:val="21"/>
          <w:szCs w:val="21"/>
          <w:highlight w:val="none"/>
        </w:rPr>
      </w:pPr>
      <w:r>
        <w:rPr>
          <w:rFonts w:asciiTheme="minorEastAsia" w:hAnsiTheme="minorEastAsia" w:eastAsiaTheme="minorEastAsia"/>
          <w:color w:val="auto"/>
          <w:sz w:val="21"/>
          <w:szCs w:val="21"/>
          <w:highlight w:val="none"/>
        </w:rPr>
        <w:t>5、本《标准》自下发之日起执行，并作为招标采供部招标文件内容之一；</w:t>
      </w:r>
    </w:p>
    <w:p w14:paraId="78E12E24">
      <w:pPr>
        <w:pStyle w:val="22"/>
        <w:adjustRightInd w:val="0"/>
        <w:snapToGrid w:val="0"/>
        <w:spacing w:line="360" w:lineRule="auto"/>
        <w:outlineLvl w:val="9"/>
        <w:rPr>
          <w:rFonts w:asciiTheme="minorEastAsia" w:hAnsiTheme="minorEastAsia" w:eastAsiaTheme="minorEastAsia"/>
          <w:color w:val="auto"/>
          <w:sz w:val="21"/>
          <w:szCs w:val="21"/>
          <w:highlight w:val="none"/>
        </w:rPr>
      </w:pPr>
      <w:r>
        <w:rPr>
          <w:rFonts w:asciiTheme="minorEastAsia" w:hAnsiTheme="minorEastAsia" w:eastAsiaTheme="minorEastAsia"/>
          <w:color w:val="auto"/>
          <w:sz w:val="21"/>
          <w:szCs w:val="21"/>
          <w:highlight w:val="none"/>
        </w:rPr>
        <w:t>6、本《标准》由营销策划部组织进行修订。</w:t>
      </w:r>
    </w:p>
    <w:p w14:paraId="6910CD2B">
      <w:pPr>
        <w:pStyle w:val="22"/>
        <w:adjustRightInd w:val="0"/>
        <w:snapToGrid w:val="0"/>
        <w:spacing w:line="360" w:lineRule="auto"/>
        <w:outlineLvl w:val="9"/>
        <w:rPr>
          <w:rFonts w:asciiTheme="minorEastAsia" w:hAnsiTheme="minorEastAsia" w:eastAsiaTheme="minorEastAsia"/>
          <w:color w:val="auto"/>
          <w:sz w:val="21"/>
          <w:szCs w:val="21"/>
          <w:highlight w:val="none"/>
        </w:rPr>
      </w:pPr>
      <w:r>
        <w:rPr>
          <w:rFonts w:asciiTheme="minorEastAsia" w:hAnsiTheme="minorEastAsia" w:eastAsiaTheme="minorEastAsia"/>
          <w:color w:val="auto"/>
          <w:sz w:val="21"/>
          <w:szCs w:val="21"/>
          <w:highlight w:val="none"/>
        </w:rPr>
        <w:t>7、本《标准》适用于经发地产开发的商业项目。</w:t>
      </w:r>
    </w:p>
    <w:p w14:paraId="52B46FE2">
      <w:pPr>
        <w:adjustRightInd w:val="0"/>
        <w:snapToGrid w:val="0"/>
        <w:spacing w:line="360" w:lineRule="auto"/>
        <w:ind w:firstLine="422" w:firstLineChars="200"/>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二、工作内容和实施标准</w:t>
      </w:r>
    </w:p>
    <w:p w14:paraId="52B4C3FE">
      <w:pPr>
        <w:adjustRightInd w:val="0"/>
        <w:snapToGrid w:val="0"/>
        <w:spacing w:line="360" w:lineRule="auto"/>
        <w:ind w:firstLine="422" w:firstLineChars="200"/>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 xml:space="preserve">1、施工主入口： </w:t>
      </w:r>
    </w:p>
    <w:p w14:paraId="6D7BEE44">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●整体形象：要求采用门楼式大门</w:t>
      </w:r>
      <w:r>
        <w:rPr>
          <w:rFonts w:hint="eastAsia" w:cs="宋体" w:asciiTheme="minorEastAsia" w:hAnsiTheme="minorEastAsia" w:eastAsiaTheme="minorEastAsia"/>
          <w:b/>
          <w:color w:val="auto"/>
          <w:sz w:val="21"/>
          <w:szCs w:val="21"/>
          <w:highlight w:val="none"/>
        </w:rPr>
        <w:t>（示例）</w:t>
      </w:r>
    </w:p>
    <w:p w14:paraId="2793F776">
      <w:pPr>
        <w:adjustRightInd w:val="0"/>
        <w:snapToGrid w:val="0"/>
        <w:spacing w:line="360" w:lineRule="auto"/>
        <w:outlineLvl w:val="9"/>
        <w:rPr>
          <w:rFonts w:cs="宋体" w:asciiTheme="minorEastAsia" w:hAnsiTheme="minorEastAsia" w:eastAsiaTheme="minorEastAsia"/>
          <w:color w:val="auto"/>
          <w:sz w:val="24"/>
          <w:highlight w:val="none"/>
        </w:rPr>
      </w:pPr>
    </w:p>
    <w:p w14:paraId="12093CDB">
      <w:pPr>
        <w:spacing w:line="360" w:lineRule="auto"/>
        <w:ind w:firstLine="422" w:firstLineChars="200"/>
        <w:outlineLvl w:val="9"/>
        <w:rPr>
          <w:rFonts w:cs="宋体" w:asciiTheme="minorEastAsia" w:hAnsiTheme="minorEastAsia" w:eastAsiaTheme="minorEastAsia"/>
          <w:b/>
          <w:color w:val="auto"/>
          <w:highlight w:val="none"/>
        </w:rPr>
        <w:sectPr>
          <w:pgSz w:w="11900" w:h="16838"/>
          <w:pgMar w:top="1134" w:right="1361" w:bottom="1134" w:left="1361" w:header="0" w:footer="0" w:gutter="0"/>
          <w:pgBorders>
            <w:top w:val="none" w:sz="0" w:space="0"/>
            <w:left w:val="none" w:sz="0" w:space="0"/>
            <w:bottom w:val="none" w:sz="0" w:space="0"/>
            <w:right w:val="none" w:sz="0" w:space="0"/>
          </w:pgBorders>
          <w:cols w:space="720" w:num="1"/>
        </w:sectPr>
      </w:pPr>
    </w:p>
    <w:p w14:paraId="3620A78F">
      <w:pPr>
        <w:spacing w:line="360" w:lineRule="auto"/>
        <w:ind w:firstLine="422" w:firstLineChars="200"/>
        <w:outlineLvl w:val="9"/>
        <w:rPr>
          <w:rFonts w:cs="宋体" w:asciiTheme="minorEastAsia" w:hAnsiTheme="minorEastAsia" w:eastAsiaTheme="minorEastAsia"/>
          <w:b/>
          <w:color w:val="auto"/>
          <w:highlight w:val="none"/>
        </w:rPr>
      </w:pPr>
      <w:r>
        <w:rPr>
          <w:rFonts w:hint="eastAsia" w:cs="宋体" w:asciiTheme="minorEastAsia" w:hAnsiTheme="minorEastAsia" w:eastAsiaTheme="minorEastAsia"/>
          <w:b/>
          <w:color w:val="auto"/>
          <w:highlight w:val="none"/>
        </w:rPr>
        <w:drawing>
          <wp:inline distT="0" distB="0" distL="0" distR="0">
            <wp:extent cx="8870315" cy="6082665"/>
            <wp:effectExtent l="19050" t="0" r="6792" b="0"/>
            <wp:docPr id="1"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56"/>
                    <pic:cNvPicPr>
                      <a:picLocks noChangeAspect="1" noChangeArrowheads="1"/>
                    </pic:cNvPicPr>
                  </pic:nvPicPr>
                  <pic:blipFill>
                    <a:blip r:embed="rId36" cstate="print"/>
                    <a:srcRect/>
                    <a:stretch>
                      <a:fillRect/>
                    </a:stretch>
                  </pic:blipFill>
                  <pic:spPr>
                    <a:xfrm>
                      <a:off x="0" y="0"/>
                      <a:ext cx="8871278" cy="6083276"/>
                    </a:xfrm>
                    <a:prstGeom prst="rect">
                      <a:avLst/>
                    </a:prstGeom>
                    <a:noFill/>
                    <a:ln w="9525">
                      <a:noFill/>
                      <a:miter lim="800000"/>
                      <a:headEnd/>
                      <a:tailEnd/>
                    </a:ln>
                  </pic:spPr>
                </pic:pic>
              </a:graphicData>
            </a:graphic>
          </wp:inline>
        </w:drawing>
      </w:r>
    </w:p>
    <w:p w14:paraId="6BBE0781">
      <w:pPr>
        <w:spacing w:line="360" w:lineRule="auto"/>
        <w:ind w:firstLine="422" w:firstLineChars="200"/>
        <w:outlineLvl w:val="9"/>
        <w:rPr>
          <w:rFonts w:cs="宋体" w:asciiTheme="minorEastAsia" w:hAnsiTheme="minorEastAsia" w:eastAsiaTheme="minorEastAsia"/>
          <w:b/>
          <w:color w:val="auto"/>
          <w:highlight w:val="none"/>
        </w:rPr>
      </w:pPr>
      <w:r>
        <w:rPr>
          <w:rFonts w:hint="eastAsia" w:cs="宋体" w:asciiTheme="minorEastAsia" w:hAnsiTheme="minorEastAsia" w:eastAsiaTheme="minorEastAsia"/>
          <w:b/>
          <w:color w:val="auto"/>
          <w:highlight w:val="none"/>
        </w:rPr>
        <w:drawing>
          <wp:inline distT="0" distB="0" distL="0" distR="0">
            <wp:extent cx="9011920" cy="5730240"/>
            <wp:effectExtent l="19050" t="0" r="0" b="0"/>
            <wp:docPr id="2"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58"/>
                    <pic:cNvPicPr>
                      <a:picLocks noChangeAspect="1" noChangeArrowheads="1"/>
                    </pic:cNvPicPr>
                  </pic:nvPicPr>
                  <pic:blipFill>
                    <a:blip r:embed="rId37" cstate="print"/>
                    <a:srcRect/>
                    <a:stretch>
                      <a:fillRect/>
                    </a:stretch>
                  </pic:blipFill>
                  <pic:spPr>
                    <a:xfrm>
                      <a:off x="0" y="0"/>
                      <a:ext cx="9015259" cy="5732685"/>
                    </a:xfrm>
                    <a:prstGeom prst="rect">
                      <a:avLst/>
                    </a:prstGeom>
                    <a:noFill/>
                    <a:ln w="9525">
                      <a:noFill/>
                      <a:miter lim="800000"/>
                      <a:headEnd/>
                      <a:tailEnd/>
                    </a:ln>
                  </pic:spPr>
                </pic:pic>
              </a:graphicData>
            </a:graphic>
          </wp:inline>
        </w:drawing>
      </w:r>
    </w:p>
    <w:p w14:paraId="535303CA">
      <w:pPr>
        <w:spacing w:line="360" w:lineRule="auto"/>
        <w:ind w:firstLine="422" w:firstLineChars="200"/>
        <w:outlineLvl w:val="9"/>
        <w:rPr>
          <w:rFonts w:cs="宋体" w:asciiTheme="minorEastAsia" w:hAnsiTheme="minorEastAsia" w:eastAsiaTheme="minorEastAsia"/>
          <w:b/>
          <w:color w:val="auto"/>
          <w:highlight w:val="none"/>
        </w:rPr>
      </w:pPr>
      <w:r>
        <w:rPr>
          <w:rFonts w:hint="eastAsia" w:cs="宋体" w:asciiTheme="minorEastAsia" w:hAnsiTheme="minorEastAsia" w:eastAsiaTheme="minorEastAsia"/>
          <w:b/>
          <w:color w:val="auto"/>
          <w:highlight w:val="none"/>
        </w:rPr>
        <w:drawing>
          <wp:inline distT="0" distB="0" distL="0" distR="0">
            <wp:extent cx="8947785" cy="5843905"/>
            <wp:effectExtent l="19050" t="0" r="5262" b="0"/>
            <wp:docPr id="3"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60"/>
                    <pic:cNvPicPr>
                      <a:picLocks noChangeAspect="1" noChangeArrowheads="1"/>
                    </pic:cNvPicPr>
                  </pic:nvPicPr>
                  <pic:blipFill>
                    <a:blip r:embed="rId38" cstate="print"/>
                    <a:srcRect/>
                    <a:stretch>
                      <a:fillRect/>
                    </a:stretch>
                  </pic:blipFill>
                  <pic:spPr>
                    <a:xfrm>
                      <a:off x="0" y="0"/>
                      <a:ext cx="8948238" cy="5844209"/>
                    </a:xfrm>
                    <a:prstGeom prst="rect">
                      <a:avLst/>
                    </a:prstGeom>
                    <a:noFill/>
                    <a:ln w="9525">
                      <a:noFill/>
                      <a:miter lim="800000"/>
                      <a:headEnd/>
                      <a:tailEnd/>
                    </a:ln>
                  </pic:spPr>
                </pic:pic>
              </a:graphicData>
            </a:graphic>
          </wp:inline>
        </w:drawing>
      </w:r>
    </w:p>
    <w:p w14:paraId="3DE1457D">
      <w:pPr>
        <w:spacing w:line="360" w:lineRule="auto"/>
        <w:ind w:firstLine="422" w:firstLineChars="200"/>
        <w:outlineLvl w:val="9"/>
        <w:rPr>
          <w:rFonts w:cs="宋体" w:asciiTheme="minorEastAsia" w:hAnsiTheme="minorEastAsia" w:eastAsiaTheme="minorEastAsia"/>
          <w:b/>
          <w:color w:val="auto"/>
          <w:highlight w:val="none"/>
        </w:rPr>
      </w:pPr>
      <w:r>
        <w:rPr>
          <w:rFonts w:hint="eastAsia" w:cs="宋体" w:asciiTheme="minorEastAsia" w:hAnsiTheme="minorEastAsia" w:eastAsiaTheme="minorEastAsia"/>
          <w:b/>
          <w:color w:val="auto"/>
          <w:highlight w:val="none"/>
        </w:rPr>
        <w:drawing>
          <wp:inline distT="0" distB="0" distL="0" distR="0">
            <wp:extent cx="8814435" cy="5970905"/>
            <wp:effectExtent l="19050" t="0" r="5301" b="0"/>
            <wp:docPr id="4"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62"/>
                    <pic:cNvPicPr>
                      <a:picLocks noChangeAspect="1" noChangeArrowheads="1"/>
                    </pic:cNvPicPr>
                  </pic:nvPicPr>
                  <pic:blipFill>
                    <a:blip r:embed="rId39" cstate="print"/>
                    <a:srcRect/>
                    <a:stretch>
                      <a:fillRect/>
                    </a:stretch>
                  </pic:blipFill>
                  <pic:spPr>
                    <a:xfrm>
                      <a:off x="0" y="0"/>
                      <a:ext cx="8818561" cy="5973941"/>
                    </a:xfrm>
                    <a:prstGeom prst="rect">
                      <a:avLst/>
                    </a:prstGeom>
                    <a:noFill/>
                    <a:ln w="9525">
                      <a:noFill/>
                      <a:miter lim="800000"/>
                      <a:headEnd/>
                      <a:tailEnd/>
                    </a:ln>
                  </pic:spPr>
                </pic:pic>
              </a:graphicData>
            </a:graphic>
          </wp:inline>
        </w:drawing>
      </w:r>
    </w:p>
    <w:p w14:paraId="61C44DF1">
      <w:pPr>
        <w:spacing w:line="360" w:lineRule="auto"/>
        <w:ind w:firstLine="422" w:firstLineChars="200"/>
        <w:outlineLvl w:val="9"/>
        <w:rPr>
          <w:rFonts w:cs="宋体" w:asciiTheme="minorEastAsia" w:hAnsiTheme="minorEastAsia" w:eastAsiaTheme="minorEastAsia"/>
          <w:b/>
          <w:color w:val="auto"/>
          <w:highlight w:val="none"/>
        </w:rPr>
      </w:pPr>
      <w:r>
        <w:rPr>
          <w:rFonts w:hint="eastAsia" w:cs="宋体" w:asciiTheme="minorEastAsia" w:hAnsiTheme="minorEastAsia" w:eastAsiaTheme="minorEastAsia"/>
          <w:b/>
          <w:color w:val="auto"/>
          <w:highlight w:val="none"/>
        </w:rPr>
        <w:drawing>
          <wp:inline distT="0" distB="0" distL="0" distR="0">
            <wp:extent cx="8759190" cy="5824220"/>
            <wp:effectExtent l="19050" t="0" r="3810" b="0"/>
            <wp:docPr id="5"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64"/>
                    <pic:cNvPicPr>
                      <a:picLocks noChangeAspect="1" noChangeArrowheads="1"/>
                    </pic:cNvPicPr>
                  </pic:nvPicPr>
                  <pic:blipFill>
                    <a:blip r:embed="rId40" cstate="print"/>
                    <a:srcRect/>
                    <a:stretch>
                      <a:fillRect/>
                    </a:stretch>
                  </pic:blipFill>
                  <pic:spPr>
                    <a:xfrm>
                      <a:off x="0" y="0"/>
                      <a:ext cx="8761477" cy="5825982"/>
                    </a:xfrm>
                    <a:prstGeom prst="rect">
                      <a:avLst/>
                    </a:prstGeom>
                    <a:noFill/>
                    <a:ln w="9525">
                      <a:noFill/>
                      <a:miter lim="800000"/>
                      <a:headEnd/>
                      <a:tailEnd/>
                    </a:ln>
                  </pic:spPr>
                </pic:pic>
              </a:graphicData>
            </a:graphic>
          </wp:inline>
        </w:drawing>
      </w:r>
    </w:p>
    <w:p w14:paraId="5DAD2CB4">
      <w:pPr>
        <w:spacing w:line="360" w:lineRule="auto"/>
        <w:ind w:firstLine="422" w:firstLineChars="200"/>
        <w:outlineLvl w:val="9"/>
        <w:rPr>
          <w:rFonts w:cs="宋体" w:asciiTheme="minorEastAsia" w:hAnsiTheme="minorEastAsia" w:eastAsiaTheme="minorEastAsia"/>
          <w:b/>
          <w:color w:val="auto"/>
          <w:highlight w:val="none"/>
        </w:rPr>
      </w:pPr>
      <w:r>
        <w:rPr>
          <w:rFonts w:hint="eastAsia" w:cs="宋体" w:asciiTheme="minorEastAsia" w:hAnsiTheme="minorEastAsia" w:eastAsiaTheme="minorEastAsia"/>
          <w:b/>
          <w:color w:val="auto"/>
          <w:highlight w:val="none"/>
        </w:rPr>
        <w:drawing>
          <wp:inline distT="0" distB="0" distL="0" distR="0">
            <wp:extent cx="8969375" cy="6329045"/>
            <wp:effectExtent l="19050" t="0" r="3175" b="0"/>
            <wp:docPr id="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66"/>
                    <pic:cNvPicPr>
                      <a:picLocks noChangeAspect="1" noChangeArrowheads="1"/>
                    </pic:cNvPicPr>
                  </pic:nvPicPr>
                  <pic:blipFill>
                    <a:blip r:embed="rId41" cstate="print"/>
                    <a:srcRect/>
                    <a:stretch>
                      <a:fillRect/>
                    </a:stretch>
                  </pic:blipFill>
                  <pic:spPr>
                    <a:xfrm>
                      <a:off x="0" y="0"/>
                      <a:ext cx="8969375" cy="6329045"/>
                    </a:xfrm>
                    <a:prstGeom prst="rect">
                      <a:avLst/>
                    </a:prstGeom>
                    <a:noFill/>
                    <a:ln w="9525">
                      <a:noFill/>
                      <a:miter lim="800000"/>
                      <a:headEnd/>
                      <a:tailEnd/>
                    </a:ln>
                  </pic:spPr>
                </pic:pic>
              </a:graphicData>
            </a:graphic>
          </wp:inline>
        </w:drawing>
      </w:r>
    </w:p>
    <w:p w14:paraId="761D21AF">
      <w:pPr>
        <w:spacing w:line="360" w:lineRule="auto"/>
        <w:ind w:firstLine="422" w:firstLineChars="200"/>
        <w:outlineLvl w:val="9"/>
        <w:rPr>
          <w:rFonts w:cs="宋体" w:asciiTheme="minorEastAsia" w:hAnsiTheme="minorEastAsia" w:eastAsiaTheme="minorEastAsia"/>
          <w:b/>
          <w:color w:val="auto"/>
          <w:highlight w:val="none"/>
        </w:rPr>
      </w:pPr>
    </w:p>
    <w:p w14:paraId="19147C88">
      <w:pPr>
        <w:spacing w:line="360" w:lineRule="auto"/>
        <w:ind w:firstLine="422" w:firstLineChars="200"/>
        <w:outlineLvl w:val="9"/>
        <w:rPr>
          <w:rFonts w:cs="宋体" w:asciiTheme="minorEastAsia" w:hAnsiTheme="minorEastAsia" w:eastAsiaTheme="minorEastAsia"/>
          <w:b/>
          <w:color w:val="auto"/>
          <w:highlight w:val="none"/>
        </w:rPr>
      </w:pPr>
      <w:r>
        <w:rPr>
          <w:rFonts w:hint="eastAsia" w:cs="宋体" w:asciiTheme="minorEastAsia" w:hAnsiTheme="minorEastAsia" w:eastAsiaTheme="minorEastAsia"/>
          <w:b/>
          <w:color w:val="auto"/>
          <w:highlight w:val="none"/>
        </w:rPr>
        <w:drawing>
          <wp:inline distT="0" distB="0" distL="0" distR="0">
            <wp:extent cx="8933815" cy="5272405"/>
            <wp:effectExtent l="19050" t="0" r="332" b="0"/>
            <wp:docPr id="7"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68"/>
                    <pic:cNvPicPr>
                      <a:picLocks noChangeAspect="1" noChangeArrowheads="1"/>
                    </pic:cNvPicPr>
                  </pic:nvPicPr>
                  <pic:blipFill>
                    <a:blip r:embed="rId42" cstate="print"/>
                    <a:srcRect/>
                    <a:stretch>
                      <a:fillRect/>
                    </a:stretch>
                  </pic:blipFill>
                  <pic:spPr>
                    <a:xfrm>
                      <a:off x="0" y="0"/>
                      <a:ext cx="8937266" cy="5274316"/>
                    </a:xfrm>
                    <a:prstGeom prst="rect">
                      <a:avLst/>
                    </a:prstGeom>
                    <a:noFill/>
                    <a:ln w="9525">
                      <a:noFill/>
                      <a:miter lim="800000"/>
                      <a:headEnd/>
                      <a:tailEnd/>
                    </a:ln>
                  </pic:spPr>
                </pic:pic>
              </a:graphicData>
            </a:graphic>
          </wp:inline>
        </w:drawing>
      </w:r>
    </w:p>
    <w:p w14:paraId="674850CF">
      <w:pPr>
        <w:spacing w:line="360" w:lineRule="auto"/>
        <w:ind w:firstLine="422" w:firstLineChars="200"/>
        <w:outlineLvl w:val="9"/>
        <w:rPr>
          <w:rFonts w:cs="宋体" w:asciiTheme="minorEastAsia" w:hAnsiTheme="minorEastAsia" w:eastAsiaTheme="minorEastAsia"/>
          <w:b/>
          <w:color w:val="auto"/>
          <w:highlight w:val="none"/>
        </w:rPr>
      </w:pPr>
    </w:p>
    <w:p w14:paraId="3CABAFD7">
      <w:pPr>
        <w:spacing w:line="360" w:lineRule="auto"/>
        <w:ind w:firstLine="422" w:firstLineChars="200"/>
        <w:outlineLvl w:val="9"/>
        <w:rPr>
          <w:rFonts w:cs="宋体" w:asciiTheme="minorEastAsia" w:hAnsiTheme="minorEastAsia" w:eastAsiaTheme="minorEastAsia"/>
          <w:b/>
          <w:color w:val="auto"/>
          <w:highlight w:val="none"/>
        </w:rPr>
      </w:pPr>
      <w:r>
        <w:rPr>
          <w:rFonts w:hint="eastAsia" w:cs="宋体" w:asciiTheme="minorEastAsia" w:hAnsiTheme="minorEastAsia" w:eastAsiaTheme="minorEastAsia"/>
          <w:b/>
          <w:color w:val="auto"/>
          <w:highlight w:val="none"/>
        </w:rPr>
        <w:drawing>
          <wp:anchor distT="0" distB="0" distL="114300" distR="114300" simplePos="0" relativeHeight="251660288" behindDoc="0" locked="0" layoutInCell="1" allowOverlap="1">
            <wp:simplePos x="0" y="0"/>
            <wp:positionH relativeFrom="column">
              <wp:posOffset>284480</wp:posOffset>
            </wp:positionH>
            <wp:positionV relativeFrom="paragraph">
              <wp:posOffset>3175</wp:posOffset>
            </wp:positionV>
            <wp:extent cx="8660130" cy="5605780"/>
            <wp:effectExtent l="19050" t="0" r="7786" b="0"/>
            <wp:wrapNone/>
            <wp:docPr id="8"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70"/>
                    <pic:cNvPicPr>
                      <a:picLocks noChangeAspect="1" noChangeArrowheads="1"/>
                    </pic:cNvPicPr>
                  </pic:nvPicPr>
                  <pic:blipFill>
                    <a:blip r:embed="rId43" cstate="print"/>
                    <a:srcRect/>
                    <a:stretch>
                      <a:fillRect/>
                    </a:stretch>
                  </pic:blipFill>
                  <pic:spPr>
                    <a:xfrm>
                      <a:off x="0" y="0"/>
                      <a:ext cx="8659964" cy="5605670"/>
                    </a:xfrm>
                    <a:prstGeom prst="rect">
                      <a:avLst/>
                    </a:prstGeom>
                    <a:noFill/>
                    <a:ln w="9525">
                      <a:noFill/>
                      <a:miter lim="800000"/>
                      <a:headEnd/>
                      <a:tailEnd/>
                    </a:ln>
                  </pic:spPr>
                </pic:pic>
              </a:graphicData>
            </a:graphic>
          </wp:anchor>
        </w:drawing>
      </w:r>
    </w:p>
    <w:p w14:paraId="1EEE902E">
      <w:pPr>
        <w:spacing w:line="373" w:lineRule="exact"/>
        <w:ind w:left="120" w:right="-20"/>
        <w:outlineLvl w:val="9"/>
        <w:rPr>
          <w:rFonts w:cs="宋体" w:asciiTheme="minorEastAsia" w:hAnsiTheme="minorEastAsia" w:eastAsiaTheme="minorEastAsia"/>
          <w:color w:val="auto"/>
          <w:sz w:val="28"/>
          <w:szCs w:val="28"/>
          <w:highlight w:val="none"/>
        </w:rPr>
        <w:sectPr>
          <w:pgSz w:w="16838" w:h="11906" w:orient="landscape"/>
          <w:pgMar w:top="1021" w:right="1021" w:bottom="1361" w:left="1134" w:header="0" w:footer="94" w:gutter="0"/>
          <w:pgBorders>
            <w:top w:val="none" w:sz="0" w:space="0"/>
            <w:left w:val="none" w:sz="0" w:space="0"/>
            <w:bottom w:val="none" w:sz="0" w:space="0"/>
            <w:right w:val="none" w:sz="0" w:space="0"/>
          </w:pgBorders>
          <w:cols w:space="720" w:num="1"/>
        </w:sectPr>
      </w:pPr>
    </w:p>
    <w:p w14:paraId="765759D9">
      <w:pPr>
        <w:widowControl/>
        <w:adjustRightInd w:val="0"/>
        <w:snapToGrid w:val="0"/>
        <w:spacing w:line="360" w:lineRule="auto"/>
        <w:jc w:val="left"/>
        <w:outlineLvl w:val="9"/>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附件二十</w:t>
      </w:r>
      <w:r>
        <w:rPr>
          <w:rFonts w:hint="eastAsia" w:asciiTheme="minorEastAsia" w:hAnsiTheme="minorEastAsia" w:eastAsiaTheme="minorEastAsia" w:cstheme="minorEastAsia"/>
          <w:color w:val="auto"/>
          <w:sz w:val="21"/>
          <w:szCs w:val="21"/>
          <w:highlight w:val="none"/>
          <w:lang w:val="en-US" w:eastAsia="zh-CN"/>
        </w:rPr>
        <w:t>四</w:t>
      </w:r>
      <w:r>
        <w:rPr>
          <w:rFonts w:hint="eastAsia" w:asciiTheme="minorEastAsia" w:hAnsiTheme="minorEastAsia" w:eastAsiaTheme="minorEastAsia" w:cstheme="minorEastAsia"/>
          <w:color w:val="auto"/>
          <w:sz w:val="21"/>
          <w:szCs w:val="21"/>
          <w:highlight w:val="none"/>
        </w:rPr>
        <w:t>：</w:t>
      </w:r>
    </w:p>
    <w:p w14:paraId="7C565FC2">
      <w:pPr>
        <w:widowControl/>
        <w:jc w:val="center"/>
        <w:outlineLvl w:val="9"/>
        <w:rPr>
          <w:rFonts w:hint="eastAsia" w:cs="宋体" w:asciiTheme="minorEastAsia" w:hAnsiTheme="minorEastAsia" w:eastAsiaTheme="minorEastAsia"/>
          <w:b/>
          <w:color w:val="auto"/>
          <w:sz w:val="32"/>
          <w:szCs w:val="32"/>
          <w:highlight w:val="none"/>
        </w:rPr>
      </w:pPr>
      <w:r>
        <w:rPr>
          <w:rFonts w:hint="eastAsia" w:cs="宋体" w:asciiTheme="minorEastAsia" w:hAnsiTheme="minorEastAsia" w:eastAsiaTheme="minorEastAsia"/>
          <w:b/>
          <w:color w:val="auto"/>
          <w:sz w:val="32"/>
          <w:szCs w:val="32"/>
          <w:highlight w:val="none"/>
        </w:rPr>
        <w:t>承包人主要施工管理人员表</w:t>
      </w:r>
    </w:p>
    <w:tbl>
      <w:tblPr>
        <w:tblStyle w:val="924"/>
        <w:tblW w:w="968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00"/>
        <w:gridCol w:w="798"/>
        <w:gridCol w:w="868"/>
        <w:gridCol w:w="1489"/>
        <w:gridCol w:w="1297"/>
        <w:gridCol w:w="2134"/>
        <w:gridCol w:w="1997"/>
      </w:tblGrid>
      <w:tr w14:paraId="79F571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97" w:hRule="atLeast"/>
        </w:trPr>
        <w:tc>
          <w:tcPr>
            <w:tcW w:w="1100" w:type="dxa"/>
            <w:vAlign w:val="center"/>
          </w:tcPr>
          <w:p w14:paraId="3080E4B7">
            <w:pPr>
              <w:pStyle w:val="9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0"/>
                <w:sz w:val="24"/>
                <w:szCs w:val="24"/>
              </w:rPr>
              <w:t>姓名</w:t>
            </w:r>
          </w:p>
        </w:tc>
        <w:tc>
          <w:tcPr>
            <w:tcW w:w="798" w:type="dxa"/>
            <w:vAlign w:val="center"/>
          </w:tcPr>
          <w:p w14:paraId="52AD3A89">
            <w:pPr>
              <w:pStyle w:val="9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0"/>
                <w:sz w:val="24"/>
                <w:szCs w:val="24"/>
              </w:rPr>
              <w:t>性别</w:t>
            </w:r>
          </w:p>
        </w:tc>
        <w:tc>
          <w:tcPr>
            <w:tcW w:w="868" w:type="dxa"/>
            <w:vAlign w:val="center"/>
          </w:tcPr>
          <w:p w14:paraId="159D34BE">
            <w:pPr>
              <w:pStyle w:val="9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0"/>
                <w:sz w:val="24"/>
                <w:szCs w:val="24"/>
              </w:rPr>
              <w:t>年龄</w:t>
            </w:r>
          </w:p>
        </w:tc>
        <w:tc>
          <w:tcPr>
            <w:tcW w:w="1489" w:type="dxa"/>
            <w:vAlign w:val="center"/>
          </w:tcPr>
          <w:p w14:paraId="7595D191">
            <w:pPr>
              <w:pStyle w:val="9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0"/>
                <w:sz w:val="24"/>
                <w:szCs w:val="24"/>
              </w:rPr>
              <w:t>职称</w:t>
            </w:r>
          </w:p>
        </w:tc>
        <w:tc>
          <w:tcPr>
            <w:tcW w:w="1297" w:type="dxa"/>
            <w:vAlign w:val="center"/>
          </w:tcPr>
          <w:p w14:paraId="705F7012">
            <w:pPr>
              <w:pStyle w:val="9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0"/>
                <w:sz w:val="24"/>
                <w:szCs w:val="24"/>
              </w:rPr>
              <w:t>专业</w:t>
            </w:r>
          </w:p>
        </w:tc>
        <w:tc>
          <w:tcPr>
            <w:tcW w:w="2134" w:type="dxa"/>
            <w:vAlign w:val="center"/>
          </w:tcPr>
          <w:p w14:paraId="0F16317E">
            <w:pPr>
              <w:pStyle w:val="9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0"/>
                <w:sz w:val="24"/>
                <w:szCs w:val="24"/>
              </w:rPr>
              <w:t>资格证书编号</w:t>
            </w:r>
          </w:p>
        </w:tc>
        <w:tc>
          <w:tcPr>
            <w:tcW w:w="1997" w:type="dxa"/>
            <w:vAlign w:val="center"/>
          </w:tcPr>
          <w:p w14:paraId="1F05738B">
            <w:pPr>
              <w:pStyle w:val="931"/>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0"/>
                <w:sz w:val="24"/>
                <w:szCs w:val="24"/>
              </w:rPr>
              <w:t>拟在本项目中担任的工作或岗位</w:t>
            </w:r>
          </w:p>
        </w:tc>
      </w:tr>
      <w:tr w14:paraId="7928FB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317AE27C">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吕朝江</w:t>
            </w:r>
          </w:p>
        </w:tc>
        <w:tc>
          <w:tcPr>
            <w:tcW w:w="798" w:type="dxa"/>
            <w:vAlign w:val="center"/>
          </w:tcPr>
          <w:p w14:paraId="0B42E4EC">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5A17CB49">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45岁</w:t>
            </w:r>
          </w:p>
        </w:tc>
        <w:tc>
          <w:tcPr>
            <w:tcW w:w="1489" w:type="dxa"/>
            <w:vAlign w:val="center"/>
          </w:tcPr>
          <w:p w14:paraId="4CF5B995">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高级工程师</w:t>
            </w:r>
          </w:p>
        </w:tc>
        <w:tc>
          <w:tcPr>
            <w:tcW w:w="1297" w:type="dxa"/>
            <w:vAlign w:val="center"/>
          </w:tcPr>
          <w:p w14:paraId="6BE1E1B9">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土木工程</w:t>
            </w:r>
          </w:p>
        </w:tc>
        <w:tc>
          <w:tcPr>
            <w:tcW w:w="2134" w:type="dxa"/>
            <w:vAlign w:val="center"/>
          </w:tcPr>
          <w:p w14:paraId="2D6887FC">
            <w:pPr>
              <w:jc w:val="center"/>
              <w:rPr>
                <w:rFonts w:hint="default" w:ascii="宋体" w:hAnsi="宋体" w:eastAsia="宋体" w:cs="宋体"/>
                <w:snapToGrid w:val="0"/>
                <w:color w:val="000000"/>
                <w:spacing w:val="0"/>
                <w:sz w:val="24"/>
                <w:szCs w:val="24"/>
                <w:lang w:val="en-US" w:eastAsia="zh-CN"/>
              </w:rPr>
            </w:pPr>
            <w:r>
              <w:rPr>
                <w:rFonts w:hint="eastAsia" w:ascii="宋体" w:hAnsi="宋体"/>
                <w:snapToGrid w:val="0"/>
                <w:color w:val="000000"/>
                <w:sz w:val="24"/>
                <w:szCs w:val="24"/>
              </w:rPr>
              <w:t>鲁13720</w:t>
            </w:r>
            <w:r>
              <w:rPr>
                <w:rFonts w:hint="eastAsia" w:ascii="宋体" w:hAnsi="宋体" w:eastAsia="宋体"/>
                <w:snapToGrid w:val="0"/>
                <w:color w:val="000000"/>
                <w:sz w:val="24"/>
                <w:szCs w:val="24"/>
                <w:lang w:val="en-US" w:eastAsia="zh-CN"/>
              </w:rPr>
              <w:t>16201611519</w:t>
            </w:r>
          </w:p>
        </w:tc>
        <w:tc>
          <w:tcPr>
            <w:tcW w:w="1997" w:type="dxa"/>
            <w:vAlign w:val="center"/>
          </w:tcPr>
          <w:p w14:paraId="309A78FC">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项目经理（项目总负责人）兼施工项目经理</w:t>
            </w:r>
          </w:p>
        </w:tc>
      </w:tr>
      <w:tr w14:paraId="551AEA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6C8E3B69">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rPr>
              <w:t>周常宝</w:t>
            </w:r>
          </w:p>
        </w:tc>
        <w:tc>
          <w:tcPr>
            <w:tcW w:w="798" w:type="dxa"/>
            <w:vAlign w:val="center"/>
          </w:tcPr>
          <w:p w14:paraId="029B671C">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72C13589">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53岁</w:t>
            </w:r>
          </w:p>
        </w:tc>
        <w:tc>
          <w:tcPr>
            <w:tcW w:w="1489" w:type="dxa"/>
            <w:vAlign w:val="center"/>
          </w:tcPr>
          <w:p w14:paraId="438874A0">
            <w:pPr>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高级工程师</w:t>
            </w:r>
          </w:p>
        </w:tc>
        <w:tc>
          <w:tcPr>
            <w:tcW w:w="1297" w:type="dxa"/>
            <w:vAlign w:val="center"/>
          </w:tcPr>
          <w:p w14:paraId="7F164AC0">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水暖与通风</w:t>
            </w:r>
          </w:p>
        </w:tc>
        <w:tc>
          <w:tcPr>
            <w:tcW w:w="2134" w:type="dxa"/>
            <w:vAlign w:val="center"/>
          </w:tcPr>
          <w:p w14:paraId="1D56C2B0">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80211673</w:t>
            </w:r>
          </w:p>
        </w:tc>
        <w:tc>
          <w:tcPr>
            <w:tcW w:w="1997" w:type="dxa"/>
            <w:vAlign w:val="center"/>
          </w:tcPr>
          <w:p w14:paraId="0337E41B">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项目副经理</w:t>
            </w:r>
          </w:p>
        </w:tc>
      </w:tr>
      <w:tr w14:paraId="767E9C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1977C8BD">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徐斌</w:t>
            </w:r>
          </w:p>
        </w:tc>
        <w:tc>
          <w:tcPr>
            <w:tcW w:w="798" w:type="dxa"/>
            <w:vAlign w:val="center"/>
          </w:tcPr>
          <w:p w14:paraId="410CF5B7">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33853AE1">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40岁</w:t>
            </w:r>
          </w:p>
        </w:tc>
        <w:tc>
          <w:tcPr>
            <w:tcW w:w="1489" w:type="dxa"/>
            <w:vAlign w:val="center"/>
          </w:tcPr>
          <w:p w14:paraId="0999FCF4">
            <w:pPr>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高级工程师</w:t>
            </w:r>
          </w:p>
        </w:tc>
        <w:tc>
          <w:tcPr>
            <w:tcW w:w="1297" w:type="dxa"/>
            <w:vAlign w:val="center"/>
          </w:tcPr>
          <w:p w14:paraId="4133FD9A">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建筑工程</w:t>
            </w:r>
          </w:p>
        </w:tc>
        <w:tc>
          <w:tcPr>
            <w:tcW w:w="2134" w:type="dxa"/>
            <w:vAlign w:val="center"/>
          </w:tcPr>
          <w:p w14:paraId="32F3CC8A">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鲁1372014201607976</w:t>
            </w:r>
          </w:p>
        </w:tc>
        <w:tc>
          <w:tcPr>
            <w:tcW w:w="1997" w:type="dxa"/>
            <w:vAlign w:val="center"/>
          </w:tcPr>
          <w:p w14:paraId="1A367F13">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技术负责人</w:t>
            </w:r>
          </w:p>
        </w:tc>
      </w:tr>
      <w:tr w14:paraId="285A5B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23D4D8DB">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rPr>
              <w:t>王浩杰</w:t>
            </w:r>
          </w:p>
        </w:tc>
        <w:tc>
          <w:tcPr>
            <w:tcW w:w="798" w:type="dxa"/>
            <w:vAlign w:val="center"/>
          </w:tcPr>
          <w:p w14:paraId="08C81EF9">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1EF13636">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36岁</w:t>
            </w:r>
          </w:p>
        </w:tc>
        <w:tc>
          <w:tcPr>
            <w:tcW w:w="1489" w:type="dxa"/>
            <w:vAlign w:val="center"/>
          </w:tcPr>
          <w:p w14:paraId="1D15E44D">
            <w:pPr>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工程师</w:t>
            </w:r>
          </w:p>
        </w:tc>
        <w:tc>
          <w:tcPr>
            <w:tcW w:w="1297" w:type="dxa"/>
            <w:vAlign w:val="center"/>
          </w:tcPr>
          <w:p w14:paraId="09FBAC5E">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城市地下空间工程</w:t>
            </w:r>
          </w:p>
        </w:tc>
        <w:tc>
          <w:tcPr>
            <w:tcW w:w="2134" w:type="dxa"/>
            <w:vAlign w:val="center"/>
          </w:tcPr>
          <w:p w14:paraId="73033793">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A16814885</w:t>
            </w:r>
          </w:p>
        </w:tc>
        <w:tc>
          <w:tcPr>
            <w:tcW w:w="1997" w:type="dxa"/>
            <w:vAlign w:val="center"/>
          </w:tcPr>
          <w:p w14:paraId="61C89F46">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施工员</w:t>
            </w:r>
          </w:p>
        </w:tc>
      </w:tr>
      <w:tr w14:paraId="1ECD32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4693F936">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王道磊</w:t>
            </w:r>
          </w:p>
        </w:tc>
        <w:tc>
          <w:tcPr>
            <w:tcW w:w="798" w:type="dxa"/>
            <w:vAlign w:val="center"/>
          </w:tcPr>
          <w:p w14:paraId="1CA24ABA">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1067B52B">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32岁</w:t>
            </w:r>
          </w:p>
        </w:tc>
        <w:tc>
          <w:tcPr>
            <w:tcW w:w="1489" w:type="dxa"/>
            <w:vAlign w:val="center"/>
          </w:tcPr>
          <w:p w14:paraId="77CCD421">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工程师</w:t>
            </w:r>
          </w:p>
        </w:tc>
        <w:tc>
          <w:tcPr>
            <w:tcW w:w="1297" w:type="dxa"/>
            <w:vAlign w:val="center"/>
          </w:tcPr>
          <w:p w14:paraId="5BEAB586">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土木工程</w:t>
            </w:r>
          </w:p>
        </w:tc>
        <w:tc>
          <w:tcPr>
            <w:tcW w:w="2134" w:type="dxa"/>
            <w:vAlign w:val="center"/>
          </w:tcPr>
          <w:p w14:paraId="5C1872FA">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A1981062</w:t>
            </w:r>
          </w:p>
        </w:tc>
        <w:tc>
          <w:tcPr>
            <w:tcW w:w="1997" w:type="dxa"/>
            <w:vAlign w:val="center"/>
          </w:tcPr>
          <w:p w14:paraId="46573AC3">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施工员</w:t>
            </w:r>
          </w:p>
        </w:tc>
      </w:tr>
      <w:tr w14:paraId="308B1D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6952EFC5">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rPr>
              <w:t>张伟强</w:t>
            </w:r>
          </w:p>
        </w:tc>
        <w:tc>
          <w:tcPr>
            <w:tcW w:w="798" w:type="dxa"/>
            <w:vAlign w:val="center"/>
          </w:tcPr>
          <w:p w14:paraId="6C940440">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5D760792">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43岁</w:t>
            </w:r>
          </w:p>
        </w:tc>
        <w:tc>
          <w:tcPr>
            <w:tcW w:w="1489" w:type="dxa"/>
            <w:vAlign w:val="center"/>
          </w:tcPr>
          <w:p w14:paraId="5B90EA2F">
            <w:pPr>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工程师</w:t>
            </w:r>
          </w:p>
        </w:tc>
        <w:tc>
          <w:tcPr>
            <w:tcW w:w="1297" w:type="dxa"/>
            <w:vAlign w:val="center"/>
          </w:tcPr>
          <w:p w14:paraId="461DCD36">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土木工程</w:t>
            </w:r>
          </w:p>
        </w:tc>
        <w:tc>
          <w:tcPr>
            <w:tcW w:w="2134" w:type="dxa"/>
            <w:vAlign w:val="center"/>
          </w:tcPr>
          <w:p w14:paraId="363C832E">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A0782874</w:t>
            </w:r>
          </w:p>
        </w:tc>
        <w:tc>
          <w:tcPr>
            <w:tcW w:w="1997" w:type="dxa"/>
            <w:vAlign w:val="center"/>
          </w:tcPr>
          <w:p w14:paraId="6CEF9C27">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施工员</w:t>
            </w:r>
          </w:p>
        </w:tc>
      </w:tr>
      <w:tr w14:paraId="4CFE67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242E0BAC">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焦云才</w:t>
            </w:r>
          </w:p>
        </w:tc>
        <w:tc>
          <w:tcPr>
            <w:tcW w:w="798" w:type="dxa"/>
            <w:vAlign w:val="center"/>
          </w:tcPr>
          <w:p w14:paraId="0EFBA9DF">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4F76B38D">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44岁</w:t>
            </w:r>
          </w:p>
        </w:tc>
        <w:tc>
          <w:tcPr>
            <w:tcW w:w="1489" w:type="dxa"/>
            <w:vAlign w:val="center"/>
          </w:tcPr>
          <w:p w14:paraId="56DBE44D">
            <w:pPr>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工程师</w:t>
            </w:r>
          </w:p>
        </w:tc>
        <w:tc>
          <w:tcPr>
            <w:tcW w:w="1297" w:type="dxa"/>
            <w:vAlign w:val="center"/>
          </w:tcPr>
          <w:p w14:paraId="46A5249A">
            <w:pPr>
              <w:jc w:val="center"/>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工程力学</w:t>
            </w:r>
          </w:p>
        </w:tc>
        <w:tc>
          <w:tcPr>
            <w:tcW w:w="2134" w:type="dxa"/>
            <w:vAlign w:val="center"/>
          </w:tcPr>
          <w:p w14:paraId="3B65741A">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z w:val="24"/>
                <w:szCs w:val="24"/>
                <w:lang w:val="en-US" w:eastAsia="zh-CN"/>
              </w:rPr>
            </w:pPr>
            <w:r>
              <w:rPr>
                <w:rFonts w:hint="eastAsia" w:ascii="宋体" w:hAnsi="宋体" w:eastAsia="宋体" w:cs="宋体"/>
                <w:snapToGrid w:val="0"/>
                <w:color w:val="000000"/>
                <w:spacing w:val="-1"/>
                <w:sz w:val="24"/>
                <w:szCs w:val="24"/>
                <w:lang w:eastAsia="zh-CN"/>
              </w:rPr>
              <w:t>建</w:t>
            </w:r>
            <w:r>
              <w:rPr>
                <w:rFonts w:hint="eastAsia" w:ascii="宋体" w:hAnsi="宋体" w:eastAsia="宋体" w:cs="宋体"/>
                <w:snapToGrid w:val="0"/>
                <w:color w:val="000000"/>
                <w:sz w:val="24"/>
                <w:szCs w:val="24"/>
                <w:lang w:val="en-US" w:eastAsia="zh-CN"/>
              </w:rPr>
              <w:t>[</w:t>
            </w:r>
            <w:r>
              <w:rPr>
                <w:rFonts w:hint="eastAsia" w:ascii="宋体" w:hAnsi="宋体" w:eastAsia="宋体" w:cs="宋体"/>
                <w:snapToGrid w:val="0"/>
                <w:color w:val="000000"/>
                <w:spacing w:val="-1"/>
                <w:sz w:val="24"/>
                <w:szCs w:val="24"/>
                <w:lang w:eastAsia="zh-CN"/>
              </w:rPr>
              <w:t>造</w:t>
            </w:r>
            <w:r>
              <w:rPr>
                <w:rFonts w:hint="eastAsia" w:ascii="宋体" w:hAnsi="宋体" w:eastAsia="宋体" w:cs="宋体"/>
                <w:snapToGrid w:val="0"/>
                <w:color w:val="000000"/>
                <w:sz w:val="24"/>
                <w:szCs w:val="24"/>
                <w:lang w:val="en-US" w:eastAsia="zh-CN"/>
              </w:rPr>
              <w:t>]</w:t>
            </w:r>
          </w:p>
          <w:p w14:paraId="1EB85413">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eastAsia="zh-CN"/>
              </w:rPr>
              <w:t>11143700016418</w:t>
            </w:r>
          </w:p>
        </w:tc>
        <w:tc>
          <w:tcPr>
            <w:tcW w:w="1997" w:type="dxa"/>
            <w:vAlign w:val="center"/>
          </w:tcPr>
          <w:p w14:paraId="5FAD9E14">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highlight w:val="none"/>
              </w:rPr>
              <w:t>商务经理</w:t>
            </w:r>
          </w:p>
        </w:tc>
      </w:tr>
      <w:tr w14:paraId="3D1184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765F32EE">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张艳侠</w:t>
            </w:r>
          </w:p>
        </w:tc>
        <w:tc>
          <w:tcPr>
            <w:tcW w:w="798" w:type="dxa"/>
            <w:vAlign w:val="center"/>
          </w:tcPr>
          <w:p w14:paraId="0A96B41E">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女</w:t>
            </w:r>
          </w:p>
        </w:tc>
        <w:tc>
          <w:tcPr>
            <w:tcW w:w="868" w:type="dxa"/>
            <w:vAlign w:val="center"/>
          </w:tcPr>
          <w:p w14:paraId="74C15C08">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39岁</w:t>
            </w:r>
          </w:p>
        </w:tc>
        <w:tc>
          <w:tcPr>
            <w:tcW w:w="1489" w:type="dxa"/>
            <w:vAlign w:val="center"/>
          </w:tcPr>
          <w:p w14:paraId="3E71AE4F">
            <w:pPr>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工程师</w:t>
            </w:r>
          </w:p>
        </w:tc>
        <w:tc>
          <w:tcPr>
            <w:tcW w:w="1297" w:type="dxa"/>
            <w:vAlign w:val="center"/>
          </w:tcPr>
          <w:p w14:paraId="2E9C2339">
            <w:pPr>
              <w:jc w:val="center"/>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工程管理</w:t>
            </w:r>
          </w:p>
        </w:tc>
        <w:tc>
          <w:tcPr>
            <w:tcW w:w="2134" w:type="dxa"/>
            <w:vAlign w:val="center"/>
          </w:tcPr>
          <w:p w14:paraId="3B3BA2F0">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z w:val="24"/>
                <w:szCs w:val="24"/>
                <w:lang w:val="en-US" w:eastAsia="zh-CN"/>
              </w:rPr>
            </w:pPr>
            <w:r>
              <w:rPr>
                <w:rFonts w:hint="eastAsia" w:ascii="宋体" w:hAnsi="宋体" w:eastAsia="宋体" w:cs="宋体"/>
                <w:snapToGrid w:val="0"/>
                <w:color w:val="000000"/>
                <w:spacing w:val="-1"/>
                <w:sz w:val="24"/>
                <w:szCs w:val="24"/>
                <w:lang w:eastAsia="zh-CN"/>
              </w:rPr>
              <w:t>建</w:t>
            </w:r>
            <w:r>
              <w:rPr>
                <w:rFonts w:hint="eastAsia" w:ascii="宋体" w:hAnsi="宋体" w:eastAsia="宋体" w:cs="宋体"/>
                <w:snapToGrid w:val="0"/>
                <w:color w:val="000000"/>
                <w:sz w:val="24"/>
                <w:szCs w:val="24"/>
                <w:lang w:val="en-US" w:eastAsia="zh-CN"/>
              </w:rPr>
              <w:t>[</w:t>
            </w:r>
            <w:r>
              <w:rPr>
                <w:rFonts w:hint="eastAsia" w:ascii="宋体" w:hAnsi="宋体" w:eastAsia="宋体" w:cs="宋体"/>
                <w:snapToGrid w:val="0"/>
                <w:color w:val="000000"/>
                <w:spacing w:val="-1"/>
                <w:sz w:val="24"/>
                <w:szCs w:val="24"/>
                <w:lang w:eastAsia="zh-CN"/>
              </w:rPr>
              <w:t>造</w:t>
            </w:r>
            <w:r>
              <w:rPr>
                <w:rFonts w:hint="eastAsia" w:ascii="宋体" w:hAnsi="宋体" w:eastAsia="宋体" w:cs="宋体"/>
                <w:snapToGrid w:val="0"/>
                <w:color w:val="000000"/>
                <w:sz w:val="24"/>
                <w:szCs w:val="24"/>
                <w:lang w:val="en-US" w:eastAsia="zh-CN"/>
              </w:rPr>
              <w:t>]</w:t>
            </w:r>
          </w:p>
          <w:p w14:paraId="4C1815C2">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eastAsia="zh-CN"/>
              </w:rPr>
              <w:t>11223700015568</w:t>
            </w:r>
          </w:p>
        </w:tc>
        <w:tc>
          <w:tcPr>
            <w:tcW w:w="1997" w:type="dxa"/>
            <w:vAlign w:val="center"/>
          </w:tcPr>
          <w:p w14:paraId="3537287F">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造价员</w:t>
            </w:r>
          </w:p>
        </w:tc>
      </w:tr>
      <w:tr w14:paraId="0320BE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38E145BF">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屈长杉</w:t>
            </w:r>
          </w:p>
        </w:tc>
        <w:tc>
          <w:tcPr>
            <w:tcW w:w="798" w:type="dxa"/>
            <w:vAlign w:val="center"/>
          </w:tcPr>
          <w:p w14:paraId="0206A8C4">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278D5B7B">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47岁</w:t>
            </w:r>
          </w:p>
        </w:tc>
        <w:tc>
          <w:tcPr>
            <w:tcW w:w="1489" w:type="dxa"/>
            <w:vAlign w:val="center"/>
          </w:tcPr>
          <w:p w14:paraId="0526D199">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工程师</w:t>
            </w:r>
          </w:p>
        </w:tc>
        <w:tc>
          <w:tcPr>
            <w:tcW w:w="1297" w:type="dxa"/>
            <w:vAlign w:val="center"/>
          </w:tcPr>
          <w:p w14:paraId="3E15094A">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工程造价管理</w:t>
            </w:r>
          </w:p>
        </w:tc>
        <w:tc>
          <w:tcPr>
            <w:tcW w:w="2134" w:type="dxa"/>
            <w:vAlign w:val="center"/>
          </w:tcPr>
          <w:p w14:paraId="5155C5D2">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U1680762</w:t>
            </w:r>
          </w:p>
        </w:tc>
        <w:tc>
          <w:tcPr>
            <w:tcW w:w="1997" w:type="dxa"/>
            <w:vAlign w:val="center"/>
          </w:tcPr>
          <w:p w14:paraId="19652A8A">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造价员</w:t>
            </w:r>
          </w:p>
        </w:tc>
      </w:tr>
      <w:tr w14:paraId="4669D5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4305D48A">
            <w:pPr>
              <w:keepNext w:val="0"/>
              <w:keepLines w:val="0"/>
              <w:pageBreakBefore w:val="0"/>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kern w:val="2"/>
                <w:sz w:val="24"/>
                <w:szCs w:val="24"/>
                <w:lang w:val="en-US" w:eastAsia="zh-CN" w:bidi="ar-SA"/>
              </w:rPr>
              <w:t>丛晓光</w:t>
            </w:r>
          </w:p>
        </w:tc>
        <w:tc>
          <w:tcPr>
            <w:tcW w:w="798" w:type="dxa"/>
            <w:vAlign w:val="center"/>
          </w:tcPr>
          <w:p w14:paraId="3C602C02">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02F704A8">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39岁</w:t>
            </w:r>
          </w:p>
        </w:tc>
        <w:tc>
          <w:tcPr>
            <w:tcW w:w="1489" w:type="dxa"/>
            <w:vAlign w:val="center"/>
          </w:tcPr>
          <w:p w14:paraId="325566F9">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高级工程师</w:t>
            </w:r>
          </w:p>
        </w:tc>
        <w:tc>
          <w:tcPr>
            <w:tcW w:w="1297" w:type="dxa"/>
            <w:vAlign w:val="center"/>
          </w:tcPr>
          <w:p w14:paraId="404EDB63">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电子信息科学与技术</w:t>
            </w:r>
          </w:p>
        </w:tc>
        <w:tc>
          <w:tcPr>
            <w:tcW w:w="2134" w:type="dxa"/>
            <w:vAlign w:val="center"/>
          </w:tcPr>
          <w:p w14:paraId="52B6AF19">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鲁建安C</w:t>
            </w:r>
            <w:r>
              <w:rPr>
                <w:rFonts w:hint="eastAsia" w:ascii="宋体" w:hAnsi="宋体" w:cs="宋体"/>
                <w:snapToGrid w:val="0"/>
                <w:color w:val="000000"/>
                <w:spacing w:val="-1"/>
                <w:sz w:val="24"/>
                <w:szCs w:val="24"/>
                <w:lang w:val="en-US" w:eastAsia="zh-CN"/>
              </w:rPr>
              <w:t>3（2013）8016868</w:t>
            </w:r>
          </w:p>
        </w:tc>
        <w:tc>
          <w:tcPr>
            <w:tcW w:w="1997" w:type="dxa"/>
            <w:vAlign w:val="center"/>
          </w:tcPr>
          <w:p w14:paraId="6A717027">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安全总监</w:t>
            </w:r>
          </w:p>
        </w:tc>
      </w:tr>
      <w:tr w14:paraId="0B3631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1682A709">
            <w:pPr>
              <w:keepNext w:val="0"/>
              <w:keepLines w:val="0"/>
              <w:pageBreakBefore w:val="0"/>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rPr>
              <w:t>徐长亮</w:t>
            </w:r>
          </w:p>
        </w:tc>
        <w:tc>
          <w:tcPr>
            <w:tcW w:w="798" w:type="dxa"/>
            <w:vAlign w:val="center"/>
          </w:tcPr>
          <w:p w14:paraId="57F78823">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56A6F583">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37岁</w:t>
            </w:r>
          </w:p>
        </w:tc>
        <w:tc>
          <w:tcPr>
            <w:tcW w:w="1489" w:type="dxa"/>
            <w:vAlign w:val="center"/>
          </w:tcPr>
          <w:p w14:paraId="0BA66D4B">
            <w:pPr>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工程师</w:t>
            </w:r>
          </w:p>
        </w:tc>
        <w:tc>
          <w:tcPr>
            <w:tcW w:w="1297" w:type="dxa"/>
            <w:vAlign w:val="center"/>
          </w:tcPr>
          <w:p w14:paraId="49EB6709">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土木工程</w:t>
            </w:r>
          </w:p>
        </w:tc>
        <w:tc>
          <w:tcPr>
            <w:tcW w:w="2134" w:type="dxa"/>
            <w:vAlign w:val="center"/>
          </w:tcPr>
          <w:p w14:paraId="619056FF">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鲁建安C3（2014）8018075</w:t>
            </w:r>
          </w:p>
        </w:tc>
        <w:tc>
          <w:tcPr>
            <w:tcW w:w="1997" w:type="dxa"/>
            <w:vAlign w:val="center"/>
          </w:tcPr>
          <w:p w14:paraId="28ADDEF5">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安全员</w:t>
            </w:r>
          </w:p>
        </w:tc>
      </w:tr>
      <w:tr w14:paraId="4AA3D8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06FBB77E">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李永康</w:t>
            </w:r>
          </w:p>
        </w:tc>
        <w:tc>
          <w:tcPr>
            <w:tcW w:w="798" w:type="dxa"/>
            <w:vAlign w:val="center"/>
          </w:tcPr>
          <w:p w14:paraId="1FF16952">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6B90F56E">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33岁</w:t>
            </w:r>
          </w:p>
        </w:tc>
        <w:tc>
          <w:tcPr>
            <w:tcW w:w="1489" w:type="dxa"/>
            <w:vAlign w:val="center"/>
          </w:tcPr>
          <w:p w14:paraId="24932B29">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工程师</w:t>
            </w:r>
          </w:p>
        </w:tc>
        <w:tc>
          <w:tcPr>
            <w:tcW w:w="1297" w:type="dxa"/>
            <w:vAlign w:val="center"/>
          </w:tcPr>
          <w:p w14:paraId="44E53587">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土木工程</w:t>
            </w:r>
          </w:p>
        </w:tc>
        <w:tc>
          <w:tcPr>
            <w:tcW w:w="2134" w:type="dxa"/>
            <w:vAlign w:val="center"/>
          </w:tcPr>
          <w:p w14:paraId="74405A8A">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鲁建安C3(2020)8037234</w:t>
            </w:r>
          </w:p>
        </w:tc>
        <w:tc>
          <w:tcPr>
            <w:tcW w:w="1997" w:type="dxa"/>
            <w:vAlign w:val="center"/>
          </w:tcPr>
          <w:p w14:paraId="66F6053E">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安全员</w:t>
            </w:r>
          </w:p>
        </w:tc>
      </w:tr>
      <w:tr w14:paraId="008F89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192C6DB7">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王刚</w:t>
            </w:r>
          </w:p>
        </w:tc>
        <w:tc>
          <w:tcPr>
            <w:tcW w:w="798" w:type="dxa"/>
            <w:vAlign w:val="center"/>
          </w:tcPr>
          <w:p w14:paraId="1098697D">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50E6C950">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28岁</w:t>
            </w:r>
          </w:p>
        </w:tc>
        <w:tc>
          <w:tcPr>
            <w:tcW w:w="1489" w:type="dxa"/>
            <w:vAlign w:val="center"/>
          </w:tcPr>
          <w:p w14:paraId="6A75A87D">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w:t>
            </w:r>
          </w:p>
        </w:tc>
        <w:tc>
          <w:tcPr>
            <w:tcW w:w="1297" w:type="dxa"/>
            <w:vAlign w:val="center"/>
          </w:tcPr>
          <w:p w14:paraId="51352787">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给排水科学与工程</w:t>
            </w:r>
          </w:p>
        </w:tc>
        <w:tc>
          <w:tcPr>
            <w:tcW w:w="2134" w:type="dxa"/>
            <w:vAlign w:val="center"/>
          </w:tcPr>
          <w:p w14:paraId="3FE169B1">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桂建安C3(2024)0001068</w:t>
            </w:r>
          </w:p>
        </w:tc>
        <w:tc>
          <w:tcPr>
            <w:tcW w:w="1997" w:type="dxa"/>
            <w:vAlign w:val="center"/>
          </w:tcPr>
          <w:p w14:paraId="72B8AF7C">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安全员</w:t>
            </w:r>
          </w:p>
        </w:tc>
      </w:tr>
      <w:tr w14:paraId="1694E7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77BB09DB">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rPr>
              <w:t>张莉</w:t>
            </w:r>
          </w:p>
        </w:tc>
        <w:tc>
          <w:tcPr>
            <w:tcW w:w="798" w:type="dxa"/>
            <w:vAlign w:val="center"/>
          </w:tcPr>
          <w:p w14:paraId="5EDCBC34">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女</w:t>
            </w:r>
          </w:p>
        </w:tc>
        <w:tc>
          <w:tcPr>
            <w:tcW w:w="868" w:type="dxa"/>
            <w:vAlign w:val="center"/>
          </w:tcPr>
          <w:p w14:paraId="6E174A2A">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39岁</w:t>
            </w:r>
          </w:p>
        </w:tc>
        <w:tc>
          <w:tcPr>
            <w:tcW w:w="1489" w:type="dxa"/>
            <w:vAlign w:val="center"/>
          </w:tcPr>
          <w:p w14:paraId="100E903C">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工程师</w:t>
            </w:r>
          </w:p>
        </w:tc>
        <w:tc>
          <w:tcPr>
            <w:tcW w:w="1297" w:type="dxa"/>
            <w:vAlign w:val="center"/>
          </w:tcPr>
          <w:p w14:paraId="22A6C05F">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计算机应用技术</w:t>
            </w:r>
          </w:p>
        </w:tc>
        <w:tc>
          <w:tcPr>
            <w:tcW w:w="2134" w:type="dxa"/>
            <w:vAlign w:val="center"/>
          </w:tcPr>
          <w:p w14:paraId="08F6A711">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C1681439</w:t>
            </w:r>
          </w:p>
        </w:tc>
        <w:tc>
          <w:tcPr>
            <w:tcW w:w="1997" w:type="dxa"/>
            <w:vAlign w:val="center"/>
          </w:tcPr>
          <w:p w14:paraId="07EDDE42">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质量总监</w:t>
            </w:r>
          </w:p>
        </w:tc>
      </w:tr>
      <w:tr w14:paraId="60AB6C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023DE1D4">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魏国成</w:t>
            </w:r>
          </w:p>
        </w:tc>
        <w:tc>
          <w:tcPr>
            <w:tcW w:w="798" w:type="dxa"/>
            <w:vAlign w:val="center"/>
          </w:tcPr>
          <w:p w14:paraId="5CD6DDB7">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59C0BB4B">
            <w:pPr>
              <w:jc w:val="center"/>
              <w:rPr>
                <w:rFonts w:hint="default" w:ascii="宋体" w:hAnsi="宋体" w:eastAsia="宋体" w:cs="宋体"/>
                <w:snapToGrid w:val="0"/>
                <w:color w:val="000000"/>
                <w:spacing w:val="0"/>
                <w:sz w:val="24"/>
                <w:szCs w:val="24"/>
                <w:lang w:val="en-US" w:eastAsia="zh-CN"/>
              </w:rPr>
            </w:pPr>
            <w:r>
              <w:rPr>
                <w:rFonts w:hint="eastAsia" w:ascii="宋体" w:hAnsi="宋体" w:eastAsia="宋体" w:cs="宋体"/>
                <w:snapToGrid w:val="0"/>
                <w:color w:val="000000"/>
                <w:spacing w:val="0"/>
                <w:sz w:val="24"/>
                <w:szCs w:val="24"/>
                <w:lang w:val="en-US" w:eastAsia="zh-CN"/>
              </w:rPr>
              <w:t>32岁</w:t>
            </w:r>
          </w:p>
        </w:tc>
        <w:tc>
          <w:tcPr>
            <w:tcW w:w="1489" w:type="dxa"/>
            <w:vAlign w:val="center"/>
          </w:tcPr>
          <w:p w14:paraId="02940485">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工程师</w:t>
            </w:r>
          </w:p>
        </w:tc>
        <w:tc>
          <w:tcPr>
            <w:tcW w:w="1297" w:type="dxa"/>
            <w:vAlign w:val="center"/>
          </w:tcPr>
          <w:p w14:paraId="78F4F800">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电气工程及其自动化</w:t>
            </w:r>
          </w:p>
        </w:tc>
        <w:tc>
          <w:tcPr>
            <w:tcW w:w="2134" w:type="dxa"/>
            <w:vAlign w:val="center"/>
          </w:tcPr>
          <w:p w14:paraId="52BD54E4">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C2282512</w:t>
            </w:r>
          </w:p>
        </w:tc>
        <w:tc>
          <w:tcPr>
            <w:tcW w:w="1997" w:type="dxa"/>
            <w:vAlign w:val="center"/>
          </w:tcPr>
          <w:p w14:paraId="72FC0330">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质检员</w:t>
            </w:r>
          </w:p>
        </w:tc>
      </w:tr>
      <w:tr w14:paraId="5882C6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2E44A06A">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rPr>
              <w:t>张辉</w:t>
            </w:r>
          </w:p>
        </w:tc>
        <w:tc>
          <w:tcPr>
            <w:tcW w:w="798" w:type="dxa"/>
            <w:vAlign w:val="center"/>
          </w:tcPr>
          <w:p w14:paraId="27B6CDC2">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08E55E79">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42岁</w:t>
            </w:r>
          </w:p>
        </w:tc>
        <w:tc>
          <w:tcPr>
            <w:tcW w:w="1489" w:type="dxa"/>
            <w:vAlign w:val="center"/>
          </w:tcPr>
          <w:p w14:paraId="63F1F13B">
            <w:pPr>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工程师</w:t>
            </w:r>
          </w:p>
        </w:tc>
        <w:tc>
          <w:tcPr>
            <w:tcW w:w="1297" w:type="dxa"/>
            <w:vAlign w:val="center"/>
          </w:tcPr>
          <w:p w14:paraId="4F659887">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建筑环境与设备工程</w:t>
            </w:r>
          </w:p>
        </w:tc>
        <w:tc>
          <w:tcPr>
            <w:tcW w:w="2134" w:type="dxa"/>
            <w:vAlign w:val="center"/>
          </w:tcPr>
          <w:p w14:paraId="42215A2B">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C1081785</w:t>
            </w:r>
          </w:p>
        </w:tc>
        <w:tc>
          <w:tcPr>
            <w:tcW w:w="1997" w:type="dxa"/>
            <w:vAlign w:val="center"/>
          </w:tcPr>
          <w:p w14:paraId="12F68E81">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质检员</w:t>
            </w:r>
          </w:p>
        </w:tc>
      </w:tr>
      <w:tr w14:paraId="0F975D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1A8498BB">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rPr>
              <w:t>冉晓蓉</w:t>
            </w:r>
          </w:p>
        </w:tc>
        <w:tc>
          <w:tcPr>
            <w:tcW w:w="798" w:type="dxa"/>
            <w:vAlign w:val="center"/>
          </w:tcPr>
          <w:p w14:paraId="1E4DA257">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女</w:t>
            </w:r>
          </w:p>
        </w:tc>
        <w:tc>
          <w:tcPr>
            <w:tcW w:w="868" w:type="dxa"/>
            <w:vAlign w:val="center"/>
          </w:tcPr>
          <w:p w14:paraId="48A49201">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42岁</w:t>
            </w:r>
          </w:p>
        </w:tc>
        <w:tc>
          <w:tcPr>
            <w:tcW w:w="1489" w:type="dxa"/>
            <w:vAlign w:val="center"/>
          </w:tcPr>
          <w:p w14:paraId="12420AAE">
            <w:pPr>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工程师</w:t>
            </w:r>
          </w:p>
        </w:tc>
        <w:tc>
          <w:tcPr>
            <w:tcW w:w="1297" w:type="dxa"/>
            <w:vAlign w:val="center"/>
          </w:tcPr>
          <w:p w14:paraId="7F87611E">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计算机应用技术</w:t>
            </w:r>
          </w:p>
        </w:tc>
        <w:tc>
          <w:tcPr>
            <w:tcW w:w="2134" w:type="dxa"/>
            <w:vAlign w:val="center"/>
          </w:tcPr>
          <w:p w14:paraId="389E0B74">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F1681774</w:t>
            </w:r>
          </w:p>
        </w:tc>
        <w:tc>
          <w:tcPr>
            <w:tcW w:w="1997" w:type="dxa"/>
            <w:vAlign w:val="center"/>
          </w:tcPr>
          <w:p w14:paraId="1972C014">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材料主管</w:t>
            </w:r>
          </w:p>
        </w:tc>
      </w:tr>
      <w:tr w14:paraId="1237B1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54225628">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rPr>
              <w:t>李聪</w:t>
            </w:r>
          </w:p>
        </w:tc>
        <w:tc>
          <w:tcPr>
            <w:tcW w:w="798" w:type="dxa"/>
            <w:vAlign w:val="center"/>
          </w:tcPr>
          <w:p w14:paraId="55DCDA89">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3447E7EA">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36岁</w:t>
            </w:r>
          </w:p>
        </w:tc>
        <w:tc>
          <w:tcPr>
            <w:tcW w:w="1489" w:type="dxa"/>
            <w:vAlign w:val="center"/>
          </w:tcPr>
          <w:p w14:paraId="353A3394">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工程师</w:t>
            </w:r>
          </w:p>
        </w:tc>
        <w:tc>
          <w:tcPr>
            <w:tcW w:w="1297" w:type="dxa"/>
            <w:vAlign w:val="center"/>
          </w:tcPr>
          <w:p w14:paraId="48260E0C">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工程管理</w:t>
            </w:r>
          </w:p>
        </w:tc>
        <w:tc>
          <w:tcPr>
            <w:tcW w:w="2134" w:type="dxa"/>
            <w:vAlign w:val="center"/>
          </w:tcPr>
          <w:p w14:paraId="7C62EA8B">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F1281418</w:t>
            </w:r>
          </w:p>
        </w:tc>
        <w:tc>
          <w:tcPr>
            <w:tcW w:w="1997" w:type="dxa"/>
            <w:vAlign w:val="center"/>
          </w:tcPr>
          <w:p w14:paraId="023A07B5">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材料员</w:t>
            </w:r>
          </w:p>
        </w:tc>
      </w:tr>
      <w:tr w14:paraId="09AFE2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32436401">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徐立超</w:t>
            </w:r>
          </w:p>
        </w:tc>
        <w:tc>
          <w:tcPr>
            <w:tcW w:w="798" w:type="dxa"/>
            <w:vAlign w:val="center"/>
          </w:tcPr>
          <w:p w14:paraId="5DA2C531">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3ADE2D5D">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34岁</w:t>
            </w:r>
          </w:p>
        </w:tc>
        <w:tc>
          <w:tcPr>
            <w:tcW w:w="1489" w:type="dxa"/>
            <w:vAlign w:val="center"/>
          </w:tcPr>
          <w:p w14:paraId="61C7C377">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工程师</w:t>
            </w:r>
          </w:p>
        </w:tc>
        <w:tc>
          <w:tcPr>
            <w:tcW w:w="1297" w:type="dxa"/>
            <w:vAlign w:val="center"/>
          </w:tcPr>
          <w:p w14:paraId="2761172D">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材料成型及控制工程</w:t>
            </w:r>
          </w:p>
        </w:tc>
        <w:tc>
          <w:tcPr>
            <w:tcW w:w="2134" w:type="dxa"/>
            <w:vAlign w:val="center"/>
          </w:tcPr>
          <w:p w14:paraId="0579F7F6">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F2280862</w:t>
            </w:r>
          </w:p>
        </w:tc>
        <w:tc>
          <w:tcPr>
            <w:tcW w:w="1997" w:type="dxa"/>
            <w:vAlign w:val="center"/>
          </w:tcPr>
          <w:p w14:paraId="70F88BD3">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材料员</w:t>
            </w:r>
          </w:p>
        </w:tc>
      </w:tr>
      <w:tr w14:paraId="795653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2AB8CB9E">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庞彦山</w:t>
            </w:r>
          </w:p>
        </w:tc>
        <w:tc>
          <w:tcPr>
            <w:tcW w:w="798" w:type="dxa"/>
            <w:vAlign w:val="center"/>
          </w:tcPr>
          <w:p w14:paraId="42EFE946">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2F5276C9">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38岁</w:t>
            </w:r>
          </w:p>
        </w:tc>
        <w:tc>
          <w:tcPr>
            <w:tcW w:w="1489" w:type="dxa"/>
            <w:vAlign w:val="center"/>
          </w:tcPr>
          <w:p w14:paraId="3EE4E278">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工程师</w:t>
            </w:r>
          </w:p>
        </w:tc>
        <w:tc>
          <w:tcPr>
            <w:tcW w:w="1297" w:type="dxa"/>
            <w:vAlign w:val="center"/>
          </w:tcPr>
          <w:p w14:paraId="587E478E">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勘查技术与工程</w:t>
            </w:r>
          </w:p>
        </w:tc>
        <w:tc>
          <w:tcPr>
            <w:tcW w:w="2134" w:type="dxa"/>
            <w:vAlign w:val="center"/>
          </w:tcPr>
          <w:p w14:paraId="77EE46FF">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K2180267</w:t>
            </w:r>
          </w:p>
        </w:tc>
        <w:tc>
          <w:tcPr>
            <w:tcW w:w="1997" w:type="dxa"/>
            <w:vAlign w:val="center"/>
          </w:tcPr>
          <w:p w14:paraId="025ADAC6">
            <w:pPr>
              <w:keepNext w:val="0"/>
              <w:keepLines w:val="0"/>
              <w:pageBreakBefore w:val="0"/>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试验员</w:t>
            </w:r>
          </w:p>
        </w:tc>
      </w:tr>
      <w:tr w14:paraId="05F068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4EB78A0B">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rPr>
              <w:t>张玉华</w:t>
            </w:r>
          </w:p>
        </w:tc>
        <w:tc>
          <w:tcPr>
            <w:tcW w:w="798" w:type="dxa"/>
            <w:vAlign w:val="center"/>
          </w:tcPr>
          <w:p w14:paraId="60059FC8">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04AABF14">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56岁</w:t>
            </w:r>
          </w:p>
        </w:tc>
        <w:tc>
          <w:tcPr>
            <w:tcW w:w="1489" w:type="dxa"/>
            <w:vAlign w:val="center"/>
          </w:tcPr>
          <w:p w14:paraId="1C7DE09B">
            <w:pPr>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工程师</w:t>
            </w:r>
          </w:p>
        </w:tc>
        <w:tc>
          <w:tcPr>
            <w:tcW w:w="1297" w:type="dxa"/>
            <w:vAlign w:val="center"/>
          </w:tcPr>
          <w:p w14:paraId="4BA761FC">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工业与民用建筑</w:t>
            </w:r>
          </w:p>
        </w:tc>
        <w:tc>
          <w:tcPr>
            <w:tcW w:w="2134" w:type="dxa"/>
            <w:vAlign w:val="center"/>
          </w:tcPr>
          <w:p w14:paraId="5D94BD22">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K1680326</w:t>
            </w:r>
          </w:p>
        </w:tc>
        <w:tc>
          <w:tcPr>
            <w:tcW w:w="1997" w:type="dxa"/>
            <w:vAlign w:val="center"/>
          </w:tcPr>
          <w:p w14:paraId="524B1063">
            <w:pPr>
              <w:keepNext w:val="0"/>
              <w:keepLines w:val="0"/>
              <w:pageBreakBefore w:val="0"/>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试验员</w:t>
            </w:r>
          </w:p>
        </w:tc>
      </w:tr>
      <w:tr w14:paraId="6BFAB7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4CBF2374">
            <w:pPr>
              <w:jc w:val="center"/>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rPr>
              <w:t>庞占强</w:t>
            </w:r>
          </w:p>
        </w:tc>
        <w:tc>
          <w:tcPr>
            <w:tcW w:w="798" w:type="dxa"/>
            <w:vAlign w:val="center"/>
          </w:tcPr>
          <w:p w14:paraId="550D09B6">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0F7348C3">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45岁</w:t>
            </w:r>
          </w:p>
        </w:tc>
        <w:tc>
          <w:tcPr>
            <w:tcW w:w="1489" w:type="dxa"/>
            <w:vAlign w:val="center"/>
          </w:tcPr>
          <w:p w14:paraId="0176CDAD">
            <w:pPr>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工程师</w:t>
            </w:r>
          </w:p>
        </w:tc>
        <w:tc>
          <w:tcPr>
            <w:tcW w:w="1297" w:type="dxa"/>
            <w:vAlign w:val="center"/>
          </w:tcPr>
          <w:p w14:paraId="338A93E5">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土木工程</w:t>
            </w:r>
          </w:p>
        </w:tc>
        <w:tc>
          <w:tcPr>
            <w:tcW w:w="2134" w:type="dxa"/>
            <w:vAlign w:val="center"/>
          </w:tcPr>
          <w:p w14:paraId="144302E6">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B1082995</w:t>
            </w:r>
          </w:p>
        </w:tc>
        <w:tc>
          <w:tcPr>
            <w:tcW w:w="1997" w:type="dxa"/>
            <w:vAlign w:val="center"/>
          </w:tcPr>
          <w:p w14:paraId="35E9C981">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测量员</w:t>
            </w:r>
          </w:p>
        </w:tc>
      </w:tr>
      <w:tr w14:paraId="327700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4C9A1B4F">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rPr>
              <w:t>刘朝波</w:t>
            </w:r>
          </w:p>
        </w:tc>
        <w:tc>
          <w:tcPr>
            <w:tcW w:w="798" w:type="dxa"/>
            <w:vAlign w:val="center"/>
          </w:tcPr>
          <w:p w14:paraId="3224479F">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4CFFC372">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41岁</w:t>
            </w:r>
          </w:p>
        </w:tc>
        <w:tc>
          <w:tcPr>
            <w:tcW w:w="1489" w:type="dxa"/>
            <w:vAlign w:val="center"/>
          </w:tcPr>
          <w:p w14:paraId="404D67F0">
            <w:pPr>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工程师</w:t>
            </w:r>
          </w:p>
        </w:tc>
        <w:tc>
          <w:tcPr>
            <w:tcW w:w="1297" w:type="dxa"/>
            <w:vAlign w:val="center"/>
          </w:tcPr>
          <w:p w14:paraId="29AC8EFE">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工程管理</w:t>
            </w:r>
          </w:p>
        </w:tc>
        <w:tc>
          <w:tcPr>
            <w:tcW w:w="2134" w:type="dxa"/>
            <w:vAlign w:val="center"/>
          </w:tcPr>
          <w:p w14:paraId="0FD362D0">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B0780516</w:t>
            </w:r>
          </w:p>
        </w:tc>
        <w:tc>
          <w:tcPr>
            <w:tcW w:w="1997" w:type="dxa"/>
            <w:vAlign w:val="center"/>
          </w:tcPr>
          <w:p w14:paraId="2148138E">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测量员</w:t>
            </w:r>
          </w:p>
        </w:tc>
      </w:tr>
      <w:tr w14:paraId="4866FB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40090727">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rPr>
              <w:t>林磊</w:t>
            </w:r>
          </w:p>
        </w:tc>
        <w:tc>
          <w:tcPr>
            <w:tcW w:w="798" w:type="dxa"/>
            <w:vAlign w:val="center"/>
          </w:tcPr>
          <w:p w14:paraId="30739034">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男</w:t>
            </w:r>
          </w:p>
        </w:tc>
        <w:tc>
          <w:tcPr>
            <w:tcW w:w="868" w:type="dxa"/>
            <w:vAlign w:val="center"/>
          </w:tcPr>
          <w:p w14:paraId="3E01418F">
            <w:pPr>
              <w:jc w:val="center"/>
              <w:rPr>
                <w:rFonts w:hint="eastAsia" w:ascii="宋体" w:hAnsi="宋体" w:eastAsia="宋体" w:cs="宋体"/>
                <w:snapToGrid w:val="0"/>
                <w:color w:val="000000"/>
                <w:spacing w:val="0"/>
                <w:sz w:val="24"/>
                <w:szCs w:val="24"/>
              </w:rPr>
            </w:pPr>
            <w:r>
              <w:rPr>
                <w:rFonts w:hint="eastAsia" w:ascii="宋体" w:hAnsi="宋体"/>
                <w:snapToGrid w:val="0"/>
                <w:color w:val="000000"/>
                <w:sz w:val="24"/>
                <w:szCs w:val="24"/>
                <w:lang w:val="en-US" w:eastAsia="zh-CN"/>
              </w:rPr>
              <w:t>46岁</w:t>
            </w:r>
          </w:p>
        </w:tc>
        <w:tc>
          <w:tcPr>
            <w:tcW w:w="1489" w:type="dxa"/>
            <w:vAlign w:val="center"/>
          </w:tcPr>
          <w:p w14:paraId="65E73728">
            <w:pPr>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lang w:val="en-US" w:eastAsia="zh-CN"/>
              </w:rPr>
              <w:t>高级工程师</w:t>
            </w:r>
          </w:p>
        </w:tc>
        <w:tc>
          <w:tcPr>
            <w:tcW w:w="1297" w:type="dxa"/>
            <w:vAlign w:val="center"/>
          </w:tcPr>
          <w:p w14:paraId="0F04C419">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snapToGrid w:val="0"/>
                <w:color w:val="000000"/>
                <w:spacing w:val="6"/>
                <w:sz w:val="24"/>
                <w:szCs w:val="24"/>
                <w:lang w:val="en-US" w:eastAsia="zh-CN"/>
              </w:rPr>
              <w:t>金属结构与焊接</w:t>
            </w:r>
          </w:p>
        </w:tc>
        <w:tc>
          <w:tcPr>
            <w:tcW w:w="2134" w:type="dxa"/>
            <w:vAlign w:val="center"/>
          </w:tcPr>
          <w:p w14:paraId="7D5B63B6">
            <w:pPr>
              <w:pStyle w:val="94"/>
              <w:keepNext w:val="0"/>
              <w:keepLines w:val="0"/>
              <w:pageBreakBefore w:val="0"/>
              <w:kinsoku w:val="0"/>
              <w:wordWrap/>
              <w:overflowPunct w:val="0"/>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pacing w:val="-1"/>
                <w:sz w:val="24"/>
                <w:szCs w:val="24"/>
                <w:lang w:val="en-US" w:eastAsia="zh-CN"/>
              </w:rPr>
              <w:t>1710023955</w:t>
            </w:r>
          </w:p>
        </w:tc>
        <w:tc>
          <w:tcPr>
            <w:tcW w:w="1997" w:type="dxa"/>
            <w:vAlign w:val="center"/>
          </w:tcPr>
          <w:p w14:paraId="2780D718">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BIM工程师</w:t>
            </w:r>
          </w:p>
        </w:tc>
      </w:tr>
      <w:tr w14:paraId="313B09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6268A28B">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贾海迪</w:t>
            </w:r>
          </w:p>
        </w:tc>
        <w:tc>
          <w:tcPr>
            <w:tcW w:w="798" w:type="dxa"/>
            <w:vAlign w:val="center"/>
          </w:tcPr>
          <w:p w14:paraId="79364032">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女</w:t>
            </w:r>
          </w:p>
        </w:tc>
        <w:tc>
          <w:tcPr>
            <w:tcW w:w="868" w:type="dxa"/>
            <w:vAlign w:val="center"/>
          </w:tcPr>
          <w:p w14:paraId="21A52B4D">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34岁</w:t>
            </w:r>
          </w:p>
        </w:tc>
        <w:tc>
          <w:tcPr>
            <w:tcW w:w="1489" w:type="dxa"/>
            <w:vAlign w:val="center"/>
          </w:tcPr>
          <w:p w14:paraId="145DCB17">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工程师</w:t>
            </w:r>
          </w:p>
        </w:tc>
        <w:tc>
          <w:tcPr>
            <w:tcW w:w="1297" w:type="dxa"/>
            <w:vAlign w:val="center"/>
          </w:tcPr>
          <w:p w14:paraId="49E28609">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土木工程</w:t>
            </w:r>
          </w:p>
        </w:tc>
        <w:tc>
          <w:tcPr>
            <w:tcW w:w="2134" w:type="dxa"/>
            <w:vAlign w:val="center"/>
          </w:tcPr>
          <w:p w14:paraId="0F1C5ECA">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M2180340</w:t>
            </w:r>
          </w:p>
        </w:tc>
        <w:tc>
          <w:tcPr>
            <w:tcW w:w="1997" w:type="dxa"/>
            <w:vAlign w:val="center"/>
          </w:tcPr>
          <w:p w14:paraId="359147C5">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资料员</w:t>
            </w:r>
          </w:p>
        </w:tc>
      </w:tr>
      <w:tr w14:paraId="493E43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3D784894">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苏晓兵</w:t>
            </w:r>
          </w:p>
        </w:tc>
        <w:tc>
          <w:tcPr>
            <w:tcW w:w="798" w:type="dxa"/>
            <w:vAlign w:val="center"/>
          </w:tcPr>
          <w:p w14:paraId="7F9FB34B">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0A96C22E">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28岁</w:t>
            </w:r>
          </w:p>
        </w:tc>
        <w:tc>
          <w:tcPr>
            <w:tcW w:w="1489" w:type="dxa"/>
            <w:vAlign w:val="center"/>
          </w:tcPr>
          <w:p w14:paraId="781DFE58">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w:t>
            </w:r>
          </w:p>
        </w:tc>
        <w:tc>
          <w:tcPr>
            <w:tcW w:w="1297" w:type="dxa"/>
            <w:vAlign w:val="center"/>
          </w:tcPr>
          <w:p w14:paraId="1F07993A">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工程管理</w:t>
            </w:r>
          </w:p>
        </w:tc>
        <w:tc>
          <w:tcPr>
            <w:tcW w:w="2134" w:type="dxa"/>
            <w:vAlign w:val="center"/>
          </w:tcPr>
          <w:p w14:paraId="3BB4D333">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N2180252</w:t>
            </w:r>
          </w:p>
        </w:tc>
        <w:tc>
          <w:tcPr>
            <w:tcW w:w="1997" w:type="dxa"/>
            <w:vAlign w:val="center"/>
          </w:tcPr>
          <w:p w14:paraId="1F827CC9">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劳务管理员</w:t>
            </w:r>
          </w:p>
        </w:tc>
      </w:tr>
      <w:tr w14:paraId="31D132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111D5979">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张东晓</w:t>
            </w:r>
          </w:p>
        </w:tc>
        <w:tc>
          <w:tcPr>
            <w:tcW w:w="798" w:type="dxa"/>
            <w:vAlign w:val="center"/>
          </w:tcPr>
          <w:p w14:paraId="38D7DA7C">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5FA81389">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35岁</w:t>
            </w:r>
          </w:p>
        </w:tc>
        <w:tc>
          <w:tcPr>
            <w:tcW w:w="1489" w:type="dxa"/>
            <w:vAlign w:val="center"/>
          </w:tcPr>
          <w:p w14:paraId="61C59215">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工程师</w:t>
            </w:r>
          </w:p>
        </w:tc>
        <w:tc>
          <w:tcPr>
            <w:tcW w:w="1297" w:type="dxa"/>
            <w:vAlign w:val="center"/>
          </w:tcPr>
          <w:p w14:paraId="3B6D7640">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土木工程</w:t>
            </w:r>
          </w:p>
        </w:tc>
        <w:tc>
          <w:tcPr>
            <w:tcW w:w="2134" w:type="dxa"/>
            <w:vAlign w:val="center"/>
          </w:tcPr>
          <w:p w14:paraId="135FC7D0">
            <w:pPr>
              <w:keepNext w:val="0"/>
              <w:keepLines w:val="0"/>
              <w:widowControl/>
              <w:suppressLineNumbers w:val="0"/>
              <w:jc w:val="center"/>
              <w:textAlignment w:val="bottom"/>
              <w:rPr>
                <w:rFonts w:hint="eastAsia" w:ascii="宋体" w:hAnsi="宋体" w:eastAsia="宋体" w:cs="宋体"/>
                <w:snapToGrid w:val="0"/>
                <w:color w:val="000000"/>
                <w:spacing w:val="0"/>
                <w:sz w:val="24"/>
                <w:szCs w:val="24"/>
              </w:rPr>
            </w:pPr>
            <w:r>
              <w:rPr>
                <w:rFonts w:hint="eastAsia" w:ascii="宋体" w:hAnsi="宋体" w:eastAsia="宋体" w:cs="宋体"/>
                <w:i w:val="0"/>
                <w:iCs w:val="0"/>
                <w:snapToGrid w:val="0"/>
                <w:color w:val="000000"/>
                <w:kern w:val="0"/>
                <w:sz w:val="24"/>
                <w:szCs w:val="24"/>
                <w:u w:val="none"/>
                <w:lang w:val="en-US" w:eastAsia="zh-CN" w:bidi="ar"/>
              </w:rPr>
              <w:t>G2180394</w:t>
            </w:r>
          </w:p>
        </w:tc>
        <w:tc>
          <w:tcPr>
            <w:tcW w:w="1997" w:type="dxa"/>
            <w:vAlign w:val="center"/>
          </w:tcPr>
          <w:p w14:paraId="23D97BC5">
            <w:pPr>
              <w:keepNext w:val="0"/>
              <w:keepLines w:val="0"/>
              <w:pageBreakBefore w:val="0"/>
              <w:tabs>
                <w:tab w:val="left" w:pos="360"/>
              </w:tabs>
              <w:wordWrap/>
              <w:topLinePunct w:val="0"/>
              <w:bidi w:val="0"/>
              <w:adjustRightInd/>
              <w:snapToGrid/>
              <w:spacing w:line="240" w:lineRule="auto"/>
              <w:jc w:val="center"/>
              <w:textAlignment w:val="auto"/>
              <w:rPr>
                <w:rFonts w:hint="eastAsia" w:ascii="宋体" w:hAnsi="宋体" w:eastAsia="宋体" w:cs="宋体"/>
                <w:snapToGrid w:val="0"/>
                <w:color w:val="000000"/>
                <w:spacing w:val="0"/>
                <w:sz w:val="24"/>
                <w:szCs w:val="24"/>
              </w:rPr>
            </w:pPr>
            <w:r>
              <w:rPr>
                <w:rFonts w:hint="eastAsia" w:ascii="宋体" w:hAnsi="宋体" w:eastAsia="宋体" w:cs="宋体"/>
                <w:snapToGrid w:val="0"/>
                <w:color w:val="000000"/>
                <w:sz w:val="24"/>
                <w:szCs w:val="24"/>
              </w:rPr>
              <w:t>机管员</w:t>
            </w:r>
          </w:p>
        </w:tc>
      </w:tr>
      <w:tr w14:paraId="15C067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346C7E49">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宋思蜀</w:t>
            </w:r>
          </w:p>
        </w:tc>
        <w:tc>
          <w:tcPr>
            <w:tcW w:w="798" w:type="dxa"/>
            <w:vAlign w:val="center"/>
          </w:tcPr>
          <w:p w14:paraId="7AE37F8F">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5EB2B24E">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41</w:t>
            </w:r>
          </w:p>
        </w:tc>
        <w:tc>
          <w:tcPr>
            <w:tcW w:w="1489" w:type="dxa"/>
            <w:vAlign w:val="center"/>
          </w:tcPr>
          <w:p w14:paraId="28CAA51B">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高级工程师</w:t>
            </w:r>
          </w:p>
        </w:tc>
        <w:tc>
          <w:tcPr>
            <w:tcW w:w="1297" w:type="dxa"/>
            <w:vAlign w:val="center"/>
          </w:tcPr>
          <w:p w14:paraId="744FE58A">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建筑专业</w:t>
            </w:r>
          </w:p>
        </w:tc>
        <w:tc>
          <w:tcPr>
            <w:tcW w:w="2134" w:type="dxa"/>
            <w:vAlign w:val="center"/>
          </w:tcPr>
          <w:p w14:paraId="7467CA9B">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20146100828</w:t>
            </w:r>
          </w:p>
        </w:tc>
        <w:tc>
          <w:tcPr>
            <w:tcW w:w="1997" w:type="dxa"/>
            <w:vAlign w:val="center"/>
          </w:tcPr>
          <w:p w14:paraId="1495A3B1">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en-US" w:bidi="ar"/>
              </w:rPr>
              <w:t>设计负责人</w:t>
            </w:r>
          </w:p>
        </w:tc>
      </w:tr>
      <w:tr w14:paraId="716E09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49E11F32">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辛伟</w:t>
            </w:r>
          </w:p>
        </w:tc>
        <w:tc>
          <w:tcPr>
            <w:tcW w:w="798" w:type="dxa"/>
            <w:vAlign w:val="center"/>
          </w:tcPr>
          <w:p w14:paraId="2BE87A8B">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39C4FF0D">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44岁</w:t>
            </w:r>
          </w:p>
        </w:tc>
        <w:tc>
          <w:tcPr>
            <w:tcW w:w="1489" w:type="dxa"/>
            <w:vAlign w:val="center"/>
          </w:tcPr>
          <w:p w14:paraId="335B6489">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高级工程师</w:t>
            </w:r>
          </w:p>
        </w:tc>
        <w:tc>
          <w:tcPr>
            <w:tcW w:w="1297" w:type="dxa"/>
            <w:vAlign w:val="center"/>
          </w:tcPr>
          <w:p w14:paraId="304D4C7D">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建筑专业</w:t>
            </w:r>
          </w:p>
        </w:tc>
        <w:tc>
          <w:tcPr>
            <w:tcW w:w="2134" w:type="dxa"/>
            <w:vAlign w:val="center"/>
          </w:tcPr>
          <w:p w14:paraId="7006F4C4">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20156100894</w:t>
            </w:r>
          </w:p>
        </w:tc>
        <w:tc>
          <w:tcPr>
            <w:tcW w:w="1997" w:type="dxa"/>
            <w:vAlign w:val="center"/>
          </w:tcPr>
          <w:p w14:paraId="3229DA0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建筑专业</w:t>
            </w:r>
            <w:r>
              <w:rPr>
                <w:rFonts w:hint="eastAsia" w:ascii="宋体" w:hAnsi="宋体" w:eastAsia="宋体" w:cs="宋体"/>
                <w:i w:val="0"/>
                <w:iCs w:val="0"/>
                <w:snapToGrid w:val="0"/>
                <w:color w:val="000000"/>
                <w:kern w:val="0"/>
                <w:sz w:val="24"/>
                <w:szCs w:val="24"/>
                <w:u w:val="none"/>
                <w:lang w:val="en-US" w:eastAsia="en-US" w:bidi="ar"/>
              </w:rPr>
              <w:t>负责人</w:t>
            </w:r>
          </w:p>
        </w:tc>
      </w:tr>
      <w:tr w14:paraId="451B5C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57D57917">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刘斌</w:t>
            </w:r>
          </w:p>
        </w:tc>
        <w:tc>
          <w:tcPr>
            <w:tcW w:w="798" w:type="dxa"/>
            <w:vAlign w:val="center"/>
          </w:tcPr>
          <w:p w14:paraId="07BD0848">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72EA3B48">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55岁</w:t>
            </w:r>
          </w:p>
        </w:tc>
        <w:tc>
          <w:tcPr>
            <w:tcW w:w="1489" w:type="dxa"/>
            <w:vAlign w:val="center"/>
          </w:tcPr>
          <w:p w14:paraId="1F8631EE">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教授级高级工程师</w:t>
            </w:r>
          </w:p>
        </w:tc>
        <w:tc>
          <w:tcPr>
            <w:tcW w:w="1297" w:type="dxa"/>
            <w:vAlign w:val="center"/>
          </w:tcPr>
          <w:p w14:paraId="3E0DD7CF">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建筑专业</w:t>
            </w:r>
          </w:p>
        </w:tc>
        <w:tc>
          <w:tcPr>
            <w:tcW w:w="2134" w:type="dxa"/>
            <w:vAlign w:val="center"/>
          </w:tcPr>
          <w:p w14:paraId="5B1E8CC2">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20036100464</w:t>
            </w:r>
          </w:p>
        </w:tc>
        <w:tc>
          <w:tcPr>
            <w:tcW w:w="1997" w:type="dxa"/>
            <w:vAlign w:val="center"/>
          </w:tcPr>
          <w:p w14:paraId="617E30F0">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建筑专业负责人</w:t>
            </w:r>
          </w:p>
        </w:tc>
      </w:tr>
      <w:tr w14:paraId="72C8FC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3F14ABA4">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马宁</w:t>
            </w:r>
          </w:p>
        </w:tc>
        <w:tc>
          <w:tcPr>
            <w:tcW w:w="798" w:type="dxa"/>
            <w:vAlign w:val="center"/>
          </w:tcPr>
          <w:p w14:paraId="08E2D662">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7BAD5840">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40岁</w:t>
            </w:r>
          </w:p>
        </w:tc>
        <w:tc>
          <w:tcPr>
            <w:tcW w:w="1489" w:type="dxa"/>
            <w:vAlign w:val="center"/>
          </w:tcPr>
          <w:p w14:paraId="0598BA6E">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高级工程师</w:t>
            </w:r>
          </w:p>
        </w:tc>
        <w:tc>
          <w:tcPr>
            <w:tcW w:w="1297" w:type="dxa"/>
            <w:vAlign w:val="center"/>
          </w:tcPr>
          <w:p w14:paraId="06B1DF3E">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建筑专业</w:t>
            </w:r>
          </w:p>
        </w:tc>
        <w:tc>
          <w:tcPr>
            <w:tcW w:w="2134" w:type="dxa"/>
            <w:vAlign w:val="center"/>
          </w:tcPr>
          <w:p w14:paraId="60A82D2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20246101722</w:t>
            </w:r>
          </w:p>
        </w:tc>
        <w:tc>
          <w:tcPr>
            <w:tcW w:w="1997" w:type="dxa"/>
            <w:vAlign w:val="center"/>
          </w:tcPr>
          <w:p w14:paraId="2A9948E6">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建筑专业设计人</w:t>
            </w:r>
          </w:p>
        </w:tc>
      </w:tr>
      <w:tr w14:paraId="07A0A6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77EE5ED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卢莹沙</w:t>
            </w:r>
          </w:p>
        </w:tc>
        <w:tc>
          <w:tcPr>
            <w:tcW w:w="798" w:type="dxa"/>
            <w:vAlign w:val="center"/>
          </w:tcPr>
          <w:p w14:paraId="3D60ED40">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女</w:t>
            </w:r>
          </w:p>
        </w:tc>
        <w:tc>
          <w:tcPr>
            <w:tcW w:w="868" w:type="dxa"/>
            <w:vAlign w:val="center"/>
          </w:tcPr>
          <w:p w14:paraId="421EEADD">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47岁</w:t>
            </w:r>
          </w:p>
        </w:tc>
        <w:tc>
          <w:tcPr>
            <w:tcW w:w="1489" w:type="dxa"/>
            <w:vAlign w:val="center"/>
          </w:tcPr>
          <w:p w14:paraId="66CC5BAD">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正高级工程师</w:t>
            </w:r>
          </w:p>
        </w:tc>
        <w:tc>
          <w:tcPr>
            <w:tcW w:w="1297" w:type="dxa"/>
            <w:vAlign w:val="center"/>
          </w:tcPr>
          <w:p w14:paraId="2C9BBE7C">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建筑专业</w:t>
            </w:r>
          </w:p>
        </w:tc>
        <w:tc>
          <w:tcPr>
            <w:tcW w:w="2134" w:type="dxa"/>
            <w:vAlign w:val="center"/>
          </w:tcPr>
          <w:p w14:paraId="7413874C">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20216101289</w:t>
            </w:r>
          </w:p>
        </w:tc>
        <w:tc>
          <w:tcPr>
            <w:tcW w:w="1997" w:type="dxa"/>
            <w:vAlign w:val="center"/>
          </w:tcPr>
          <w:p w14:paraId="4B46A6A5">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建筑专业设计人</w:t>
            </w:r>
          </w:p>
        </w:tc>
      </w:tr>
      <w:tr w14:paraId="645364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34E758D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乔欣</w:t>
            </w:r>
          </w:p>
        </w:tc>
        <w:tc>
          <w:tcPr>
            <w:tcW w:w="798" w:type="dxa"/>
            <w:vAlign w:val="center"/>
          </w:tcPr>
          <w:p w14:paraId="640F2A67">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女</w:t>
            </w:r>
          </w:p>
        </w:tc>
        <w:tc>
          <w:tcPr>
            <w:tcW w:w="868" w:type="dxa"/>
            <w:vAlign w:val="center"/>
          </w:tcPr>
          <w:p w14:paraId="32D8E7CF">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50岁</w:t>
            </w:r>
          </w:p>
        </w:tc>
        <w:tc>
          <w:tcPr>
            <w:tcW w:w="1489" w:type="dxa"/>
            <w:vAlign w:val="center"/>
          </w:tcPr>
          <w:p w14:paraId="053F92A1">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正高级工程师</w:t>
            </w:r>
          </w:p>
        </w:tc>
        <w:tc>
          <w:tcPr>
            <w:tcW w:w="1297" w:type="dxa"/>
            <w:vAlign w:val="center"/>
          </w:tcPr>
          <w:p w14:paraId="4FE48D09">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建筑专业</w:t>
            </w:r>
          </w:p>
        </w:tc>
        <w:tc>
          <w:tcPr>
            <w:tcW w:w="2134" w:type="dxa"/>
            <w:vAlign w:val="center"/>
          </w:tcPr>
          <w:p w14:paraId="50FE866A">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20126100710</w:t>
            </w:r>
          </w:p>
        </w:tc>
        <w:tc>
          <w:tcPr>
            <w:tcW w:w="1997" w:type="dxa"/>
            <w:vAlign w:val="center"/>
          </w:tcPr>
          <w:p w14:paraId="58A9C0D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建筑专业设计人</w:t>
            </w:r>
          </w:p>
        </w:tc>
      </w:tr>
      <w:tr w14:paraId="21C985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0A14DA40">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赵弘</w:t>
            </w:r>
          </w:p>
        </w:tc>
        <w:tc>
          <w:tcPr>
            <w:tcW w:w="798" w:type="dxa"/>
            <w:vAlign w:val="center"/>
          </w:tcPr>
          <w:p w14:paraId="56716E1D">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230DA674">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41岁</w:t>
            </w:r>
          </w:p>
        </w:tc>
        <w:tc>
          <w:tcPr>
            <w:tcW w:w="1489" w:type="dxa"/>
            <w:vAlign w:val="center"/>
          </w:tcPr>
          <w:p w14:paraId="481F13B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高级工程师</w:t>
            </w:r>
          </w:p>
        </w:tc>
        <w:tc>
          <w:tcPr>
            <w:tcW w:w="1297" w:type="dxa"/>
            <w:vAlign w:val="center"/>
          </w:tcPr>
          <w:p w14:paraId="40E632CF">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建筑专业</w:t>
            </w:r>
          </w:p>
        </w:tc>
        <w:tc>
          <w:tcPr>
            <w:tcW w:w="2134" w:type="dxa"/>
            <w:vAlign w:val="center"/>
          </w:tcPr>
          <w:p w14:paraId="32014485">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20246101708</w:t>
            </w:r>
          </w:p>
        </w:tc>
        <w:tc>
          <w:tcPr>
            <w:tcW w:w="1997" w:type="dxa"/>
            <w:vAlign w:val="center"/>
          </w:tcPr>
          <w:p w14:paraId="6FF2689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建筑专业设计人</w:t>
            </w:r>
          </w:p>
        </w:tc>
      </w:tr>
      <w:tr w14:paraId="1C7911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4BD2303F">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孙守荣</w:t>
            </w:r>
          </w:p>
        </w:tc>
        <w:tc>
          <w:tcPr>
            <w:tcW w:w="798" w:type="dxa"/>
            <w:vAlign w:val="center"/>
          </w:tcPr>
          <w:p w14:paraId="7C82B1C1">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0A739D0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47岁</w:t>
            </w:r>
          </w:p>
        </w:tc>
        <w:tc>
          <w:tcPr>
            <w:tcW w:w="1489" w:type="dxa"/>
            <w:vAlign w:val="center"/>
          </w:tcPr>
          <w:p w14:paraId="3513CD57">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正高级工程师</w:t>
            </w:r>
          </w:p>
        </w:tc>
        <w:tc>
          <w:tcPr>
            <w:tcW w:w="1297" w:type="dxa"/>
            <w:vAlign w:val="center"/>
          </w:tcPr>
          <w:p w14:paraId="7CB2E75E">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结构专业</w:t>
            </w:r>
          </w:p>
        </w:tc>
        <w:tc>
          <w:tcPr>
            <w:tcW w:w="2134" w:type="dxa"/>
            <w:vAlign w:val="center"/>
          </w:tcPr>
          <w:p w14:paraId="7379120F">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S20116101011</w:t>
            </w:r>
          </w:p>
        </w:tc>
        <w:tc>
          <w:tcPr>
            <w:tcW w:w="1997" w:type="dxa"/>
            <w:vAlign w:val="center"/>
          </w:tcPr>
          <w:p w14:paraId="16C12CE0">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结构专业负责人</w:t>
            </w:r>
          </w:p>
        </w:tc>
      </w:tr>
      <w:tr w14:paraId="49774B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01034CB9">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彭麟燕</w:t>
            </w:r>
          </w:p>
        </w:tc>
        <w:tc>
          <w:tcPr>
            <w:tcW w:w="798" w:type="dxa"/>
            <w:vAlign w:val="center"/>
          </w:tcPr>
          <w:p w14:paraId="43EA3122">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女</w:t>
            </w:r>
          </w:p>
        </w:tc>
        <w:tc>
          <w:tcPr>
            <w:tcW w:w="868" w:type="dxa"/>
            <w:vAlign w:val="center"/>
          </w:tcPr>
          <w:p w14:paraId="7FCB2609">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48岁</w:t>
            </w:r>
          </w:p>
        </w:tc>
        <w:tc>
          <w:tcPr>
            <w:tcW w:w="1489" w:type="dxa"/>
            <w:vAlign w:val="center"/>
          </w:tcPr>
          <w:p w14:paraId="6D790205">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正高级工程师</w:t>
            </w:r>
          </w:p>
        </w:tc>
        <w:tc>
          <w:tcPr>
            <w:tcW w:w="1297" w:type="dxa"/>
            <w:vAlign w:val="center"/>
          </w:tcPr>
          <w:p w14:paraId="6EC480F4">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结构专业</w:t>
            </w:r>
          </w:p>
        </w:tc>
        <w:tc>
          <w:tcPr>
            <w:tcW w:w="2134" w:type="dxa"/>
            <w:vAlign w:val="center"/>
          </w:tcPr>
          <w:p w14:paraId="6B8CA730">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S20036100829</w:t>
            </w:r>
          </w:p>
        </w:tc>
        <w:tc>
          <w:tcPr>
            <w:tcW w:w="1997" w:type="dxa"/>
            <w:vAlign w:val="center"/>
          </w:tcPr>
          <w:p w14:paraId="3B10E7AE">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结构专业设计人</w:t>
            </w:r>
          </w:p>
        </w:tc>
      </w:tr>
      <w:tr w14:paraId="2B2234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564A2599">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段小东</w:t>
            </w:r>
          </w:p>
        </w:tc>
        <w:tc>
          <w:tcPr>
            <w:tcW w:w="798" w:type="dxa"/>
            <w:vAlign w:val="center"/>
          </w:tcPr>
          <w:p w14:paraId="4EC3F03A">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2AF8912B">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38岁</w:t>
            </w:r>
          </w:p>
        </w:tc>
        <w:tc>
          <w:tcPr>
            <w:tcW w:w="1489" w:type="dxa"/>
            <w:vAlign w:val="center"/>
          </w:tcPr>
          <w:p w14:paraId="3780D4CD">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高级工程师</w:t>
            </w:r>
          </w:p>
        </w:tc>
        <w:tc>
          <w:tcPr>
            <w:tcW w:w="1297" w:type="dxa"/>
            <w:vAlign w:val="center"/>
          </w:tcPr>
          <w:p w14:paraId="20DD664C">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结构专业</w:t>
            </w:r>
          </w:p>
        </w:tc>
        <w:tc>
          <w:tcPr>
            <w:tcW w:w="2134" w:type="dxa"/>
            <w:vAlign w:val="center"/>
          </w:tcPr>
          <w:p w14:paraId="22A378F7">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S20226101732</w:t>
            </w:r>
          </w:p>
        </w:tc>
        <w:tc>
          <w:tcPr>
            <w:tcW w:w="1997" w:type="dxa"/>
            <w:vAlign w:val="center"/>
          </w:tcPr>
          <w:p w14:paraId="359ED265">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结构专业设计人</w:t>
            </w:r>
          </w:p>
        </w:tc>
      </w:tr>
      <w:tr w14:paraId="582657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6595BFE4">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张海宁</w:t>
            </w:r>
          </w:p>
        </w:tc>
        <w:tc>
          <w:tcPr>
            <w:tcW w:w="798" w:type="dxa"/>
            <w:vAlign w:val="center"/>
          </w:tcPr>
          <w:p w14:paraId="0F90570E">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32B168B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45岁</w:t>
            </w:r>
          </w:p>
        </w:tc>
        <w:tc>
          <w:tcPr>
            <w:tcW w:w="1489" w:type="dxa"/>
            <w:vAlign w:val="center"/>
          </w:tcPr>
          <w:p w14:paraId="23CE2E57">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高级工程师</w:t>
            </w:r>
          </w:p>
        </w:tc>
        <w:tc>
          <w:tcPr>
            <w:tcW w:w="1297" w:type="dxa"/>
            <w:vAlign w:val="center"/>
          </w:tcPr>
          <w:p w14:paraId="40964BFB">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给排水专业</w:t>
            </w:r>
          </w:p>
        </w:tc>
        <w:tc>
          <w:tcPr>
            <w:tcW w:w="2134" w:type="dxa"/>
            <w:vAlign w:val="center"/>
          </w:tcPr>
          <w:p w14:paraId="5D53862D">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CS20156100387</w:t>
            </w:r>
          </w:p>
        </w:tc>
        <w:tc>
          <w:tcPr>
            <w:tcW w:w="1997" w:type="dxa"/>
            <w:vAlign w:val="center"/>
          </w:tcPr>
          <w:p w14:paraId="517DCE9E">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给排水专业负责人</w:t>
            </w:r>
          </w:p>
        </w:tc>
      </w:tr>
      <w:tr w14:paraId="4C3413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7320D095">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杨敏</w:t>
            </w:r>
          </w:p>
        </w:tc>
        <w:tc>
          <w:tcPr>
            <w:tcW w:w="798" w:type="dxa"/>
            <w:vAlign w:val="center"/>
          </w:tcPr>
          <w:p w14:paraId="6FE711EB">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女</w:t>
            </w:r>
          </w:p>
        </w:tc>
        <w:tc>
          <w:tcPr>
            <w:tcW w:w="868" w:type="dxa"/>
            <w:vAlign w:val="center"/>
          </w:tcPr>
          <w:p w14:paraId="5C74AD7B">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44岁</w:t>
            </w:r>
          </w:p>
        </w:tc>
        <w:tc>
          <w:tcPr>
            <w:tcW w:w="1489" w:type="dxa"/>
            <w:vAlign w:val="center"/>
          </w:tcPr>
          <w:p w14:paraId="32150ACD">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高级工程师</w:t>
            </w:r>
          </w:p>
        </w:tc>
        <w:tc>
          <w:tcPr>
            <w:tcW w:w="1297" w:type="dxa"/>
            <w:vAlign w:val="center"/>
          </w:tcPr>
          <w:p w14:paraId="28ADE3B8">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给排水专业</w:t>
            </w:r>
          </w:p>
        </w:tc>
        <w:tc>
          <w:tcPr>
            <w:tcW w:w="2134" w:type="dxa"/>
            <w:vAlign w:val="center"/>
          </w:tcPr>
          <w:p w14:paraId="63501C1A">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CS20136100276</w:t>
            </w:r>
          </w:p>
        </w:tc>
        <w:tc>
          <w:tcPr>
            <w:tcW w:w="1997" w:type="dxa"/>
            <w:vAlign w:val="center"/>
          </w:tcPr>
          <w:p w14:paraId="7442B769">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给排水专业设计人</w:t>
            </w:r>
          </w:p>
        </w:tc>
      </w:tr>
      <w:tr w14:paraId="52C5C1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59264978">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张晓昱</w:t>
            </w:r>
          </w:p>
        </w:tc>
        <w:tc>
          <w:tcPr>
            <w:tcW w:w="798" w:type="dxa"/>
            <w:vAlign w:val="center"/>
          </w:tcPr>
          <w:p w14:paraId="68354D10">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7CE763FB">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51岁</w:t>
            </w:r>
          </w:p>
        </w:tc>
        <w:tc>
          <w:tcPr>
            <w:tcW w:w="1489" w:type="dxa"/>
            <w:vAlign w:val="center"/>
          </w:tcPr>
          <w:p w14:paraId="74FACA0A">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正高级工程师</w:t>
            </w:r>
          </w:p>
        </w:tc>
        <w:tc>
          <w:tcPr>
            <w:tcW w:w="1297" w:type="dxa"/>
            <w:vAlign w:val="center"/>
          </w:tcPr>
          <w:p w14:paraId="500C1148">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暖通专业</w:t>
            </w:r>
          </w:p>
        </w:tc>
        <w:tc>
          <w:tcPr>
            <w:tcW w:w="2134" w:type="dxa"/>
            <w:vAlign w:val="center"/>
          </w:tcPr>
          <w:p w14:paraId="3CB7385A">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CN20106100050</w:t>
            </w:r>
          </w:p>
        </w:tc>
        <w:tc>
          <w:tcPr>
            <w:tcW w:w="1997" w:type="dxa"/>
            <w:vAlign w:val="center"/>
          </w:tcPr>
          <w:p w14:paraId="4F97596A">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暖通专业负责人</w:t>
            </w:r>
          </w:p>
        </w:tc>
      </w:tr>
      <w:tr w14:paraId="11423A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7226856E">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熊超</w:t>
            </w:r>
          </w:p>
        </w:tc>
        <w:tc>
          <w:tcPr>
            <w:tcW w:w="798" w:type="dxa"/>
            <w:vAlign w:val="center"/>
          </w:tcPr>
          <w:p w14:paraId="115D9B9E">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1796F0AA">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43岁</w:t>
            </w:r>
          </w:p>
        </w:tc>
        <w:tc>
          <w:tcPr>
            <w:tcW w:w="1489" w:type="dxa"/>
            <w:vAlign w:val="center"/>
          </w:tcPr>
          <w:p w14:paraId="7B1FBD94">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高级工程师</w:t>
            </w:r>
          </w:p>
        </w:tc>
        <w:tc>
          <w:tcPr>
            <w:tcW w:w="1297" w:type="dxa"/>
            <w:vAlign w:val="center"/>
          </w:tcPr>
          <w:p w14:paraId="78B297AF">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暖通专业</w:t>
            </w:r>
          </w:p>
        </w:tc>
        <w:tc>
          <w:tcPr>
            <w:tcW w:w="2134" w:type="dxa"/>
            <w:vAlign w:val="center"/>
          </w:tcPr>
          <w:p w14:paraId="4C7469CF">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CN20156100302</w:t>
            </w:r>
          </w:p>
        </w:tc>
        <w:tc>
          <w:tcPr>
            <w:tcW w:w="1997" w:type="dxa"/>
            <w:vAlign w:val="center"/>
          </w:tcPr>
          <w:p w14:paraId="28F47D91">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暖通专业设计人</w:t>
            </w:r>
          </w:p>
        </w:tc>
      </w:tr>
      <w:tr w14:paraId="738C17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72EB43D6">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王国光</w:t>
            </w:r>
          </w:p>
        </w:tc>
        <w:tc>
          <w:tcPr>
            <w:tcW w:w="798" w:type="dxa"/>
            <w:vAlign w:val="center"/>
          </w:tcPr>
          <w:p w14:paraId="6B00089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4AE9BB95">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59岁</w:t>
            </w:r>
          </w:p>
        </w:tc>
        <w:tc>
          <w:tcPr>
            <w:tcW w:w="1489" w:type="dxa"/>
            <w:vAlign w:val="center"/>
          </w:tcPr>
          <w:p w14:paraId="401D5A78">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教授级高级工程师</w:t>
            </w:r>
          </w:p>
        </w:tc>
        <w:tc>
          <w:tcPr>
            <w:tcW w:w="1297" w:type="dxa"/>
            <w:vAlign w:val="center"/>
          </w:tcPr>
          <w:p w14:paraId="219B24EA">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电气专业</w:t>
            </w:r>
          </w:p>
        </w:tc>
        <w:tc>
          <w:tcPr>
            <w:tcW w:w="2134" w:type="dxa"/>
            <w:vAlign w:val="center"/>
          </w:tcPr>
          <w:p w14:paraId="570F5095">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DG20106100043</w:t>
            </w:r>
          </w:p>
        </w:tc>
        <w:tc>
          <w:tcPr>
            <w:tcW w:w="1997" w:type="dxa"/>
            <w:vAlign w:val="center"/>
          </w:tcPr>
          <w:p w14:paraId="1AA8FDEF">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电气</w:t>
            </w:r>
          </w:p>
          <w:p w14:paraId="067EDCDE">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专业负责人</w:t>
            </w:r>
          </w:p>
        </w:tc>
      </w:tr>
      <w:tr w14:paraId="5E4025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7E06B4A8">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朱磊</w:t>
            </w:r>
          </w:p>
        </w:tc>
        <w:tc>
          <w:tcPr>
            <w:tcW w:w="798" w:type="dxa"/>
            <w:vAlign w:val="center"/>
          </w:tcPr>
          <w:p w14:paraId="500470F9">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529CAE9B">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43岁</w:t>
            </w:r>
          </w:p>
        </w:tc>
        <w:tc>
          <w:tcPr>
            <w:tcW w:w="1489" w:type="dxa"/>
            <w:vAlign w:val="center"/>
          </w:tcPr>
          <w:p w14:paraId="219839B9">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高级工程师</w:t>
            </w:r>
          </w:p>
        </w:tc>
        <w:tc>
          <w:tcPr>
            <w:tcW w:w="1297" w:type="dxa"/>
            <w:vAlign w:val="center"/>
          </w:tcPr>
          <w:p w14:paraId="0B4BC8C9">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电气专业</w:t>
            </w:r>
          </w:p>
        </w:tc>
        <w:tc>
          <w:tcPr>
            <w:tcW w:w="2134" w:type="dxa"/>
            <w:vAlign w:val="center"/>
          </w:tcPr>
          <w:p w14:paraId="379F8736">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DG20186100515</w:t>
            </w:r>
          </w:p>
        </w:tc>
        <w:tc>
          <w:tcPr>
            <w:tcW w:w="1997" w:type="dxa"/>
            <w:vAlign w:val="center"/>
          </w:tcPr>
          <w:p w14:paraId="708ADCEA">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电气</w:t>
            </w:r>
          </w:p>
          <w:p w14:paraId="1EF266FC">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专业设计人</w:t>
            </w:r>
          </w:p>
        </w:tc>
      </w:tr>
      <w:tr w14:paraId="682731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70624984">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查波</w:t>
            </w:r>
          </w:p>
        </w:tc>
        <w:tc>
          <w:tcPr>
            <w:tcW w:w="798" w:type="dxa"/>
            <w:vAlign w:val="center"/>
          </w:tcPr>
          <w:p w14:paraId="2583A727">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25C27CE8">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48岁</w:t>
            </w:r>
          </w:p>
        </w:tc>
        <w:tc>
          <w:tcPr>
            <w:tcW w:w="1489" w:type="dxa"/>
            <w:vAlign w:val="center"/>
          </w:tcPr>
          <w:p w14:paraId="75439DFF">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正高级工程师</w:t>
            </w:r>
          </w:p>
        </w:tc>
        <w:tc>
          <w:tcPr>
            <w:tcW w:w="1297" w:type="dxa"/>
            <w:vAlign w:val="center"/>
          </w:tcPr>
          <w:p w14:paraId="58646BC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智能化专业</w:t>
            </w:r>
          </w:p>
        </w:tc>
        <w:tc>
          <w:tcPr>
            <w:tcW w:w="2134" w:type="dxa"/>
            <w:vAlign w:val="center"/>
          </w:tcPr>
          <w:p w14:paraId="22667E3C">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w:t>
            </w:r>
          </w:p>
        </w:tc>
        <w:tc>
          <w:tcPr>
            <w:tcW w:w="1997" w:type="dxa"/>
            <w:vAlign w:val="center"/>
          </w:tcPr>
          <w:p w14:paraId="203BD6A1">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en-US" w:bidi="ar"/>
              </w:rPr>
            </w:pPr>
            <w:r>
              <w:rPr>
                <w:rFonts w:hint="eastAsia" w:ascii="宋体" w:hAnsi="宋体" w:eastAsia="宋体" w:cs="宋体"/>
                <w:i w:val="0"/>
                <w:iCs w:val="0"/>
                <w:snapToGrid w:val="0"/>
                <w:color w:val="000000"/>
                <w:kern w:val="0"/>
                <w:sz w:val="24"/>
                <w:szCs w:val="24"/>
                <w:u w:val="none"/>
                <w:lang w:val="en-US" w:eastAsia="en-US" w:bidi="ar"/>
              </w:rPr>
              <w:t>智能化</w:t>
            </w:r>
          </w:p>
          <w:p w14:paraId="7A5F3C59">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en-US" w:bidi="ar"/>
              </w:rPr>
              <w:t>专业</w:t>
            </w:r>
            <w:r>
              <w:rPr>
                <w:rFonts w:hint="eastAsia" w:ascii="宋体" w:hAnsi="宋体" w:eastAsia="宋体" w:cs="宋体"/>
                <w:i w:val="0"/>
                <w:iCs w:val="0"/>
                <w:snapToGrid w:val="0"/>
                <w:color w:val="000000"/>
                <w:kern w:val="0"/>
                <w:sz w:val="24"/>
                <w:szCs w:val="24"/>
                <w:u w:val="none"/>
                <w:lang w:val="en-US" w:eastAsia="zh-CN" w:bidi="ar"/>
              </w:rPr>
              <w:t>负责人</w:t>
            </w:r>
          </w:p>
        </w:tc>
      </w:tr>
      <w:tr w14:paraId="0A7852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12C53482">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路平</w:t>
            </w:r>
          </w:p>
        </w:tc>
        <w:tc>
          <w:tcPr>
            <w:tcW w:w="798" w:type="dxa"/>
            <w:vAlign w:val="center"/>
          </w:tcPr>
          <w:p w14:paraId="7903B8EF">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76F99828">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40岁</w:t>
            </w:r>
          </w:p>
        </w:tc>
        <w:tc>
          <w:tcPr>
            <w:tcW w:w="1489" w:type="dxa"/>
            <w:vAlign w:val="center"/>
          </w:tcPr>
          <w:p w14:paraId="555D9B55">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高级工程师</w:t>
            </w:r>
          </w:p>
        </w:tc>
        <w:tc>
          <w:tcPr>
            <w:tcW w:w="1297" w:type="dxa"/>
            <w:vAlign w:val="center"/>
          </w:tcPr>
          <w:p w14:paraId="1665C43C">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造价专业</w:t>
            </w:r>
          </w:p>
        </w:tc>
        <w:tc>
          <w:tcPr>
            <w:tcW w:w="2134" w:type="dxa"/>
            <w:vAlign w:val="center"/>
          </w:tcPr>
          <w:p w14:paraId="5021D5ED">
            <w:pPr>
              <w:keepNext w:val="0"/>
              <w:keepLines w:val="0"/>
              <w:widowControl/>
              <w:suppressLineNumbers w:val="0"/>
              <w:jc w:val="center"/>
              <w:textAlignment w:val="bottom"/>
              <w:rPr>
                <w:rFonts w:hint="eastAsia" w:ascii="宋体" w:hAnsi="宋体" w:eastAsia="宋体" w:cs="宋体"/>
                <w:snapToGrid w:val="0"/>
                <w:color w:val="000000"/>
                <w:sz w:val="24"/>
                <w:szCs w:val="24"/>
                <w:lang w:val="en-US" w:eastAsia="zh-CN"/>
              </w:rPr>
            </w:pPr>
            <w:r>
              <w:rPr>
                <w:rFonts w:hint="eastAsia" w:ascii="宋体" w:hAnsi="宋体" w:eastAsia="宋体" w:cs="宋体"/>
                <w:snapToGrid w:val="0"/>
                <w:color w:val="000000"/>
                <w:spacing w:val="-1"/>
                <w:sz w:val="24"/>
                <w:szCs w:val="24"/>
                <w:lang w:eastAsia="zh-CN"/>
              </w:rPr>
              <w:t>建</w:t>
            </w:r>
            <w:r>
              <w:rPr>
                <w:rFonts w:hint="eastAsia" w:ascii="宋体" w:hAnsi="宋体" w:eastAsia="宋体" w:cs="宋体"/>
                <w:snapToGrid w:val="0"/>
                <w:color w:val="000000"/>
                <w:sz w:val="24"/>
                <w:szCs w:val="24"/>
                <w:lang w:val="en-US" w:eastAsia="zh-CN"/>
              </w:rPr>
              <w:t>[</w:t>
            </w:r>
            <w:r>
              <w:rPr>
                <w:rFonts w:hint="eastAsia" w:ascii="宋体" w:hAnsi="宋体" w:eastAsia="宋体" w:cs="宋体"/>
                <w:snapToGrid w:val="0"/>
                <w:color w:val="000000"/>
                <w:spacing w:val="-1"/>
                <w:sz w:val="24"/>
                <w:szCs w:val="24"/>
                <w:lang w:eastAsia="zh-CN"/>
              </w:rPr>
              <w:t>造</w:t>
            </w:r>
            <w:r>
              <w:rPr>
                <w:rFonts w:hint="eastAsia" w:ascii="宋体" w:hAnsi="宋体" w:eastAsia="宋体" w:cs="宋体"/>
                <w:snapToGrid w:val="0"/>
                <w:color w:val="000000"/>
                <w:sz w:val="24"/>
                <w:szCs w:val="24"/>
                <w:lang w:val="en-US" w:eastAsia="zh-CN"/>
              </w:rPr>
              <w:t>]</w:t>
            </w:r>
          </w:p>
          <w:p w14:paraId="7B6AE05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11196147001680</w:t>
            </w:r>
          </w:p>
        </w:tc>
        <w:tc>
          <w:tcPr>
            <w:tcW w:w="1997" w:type="dxa"/>
            <w:vAlign w:val="center"/>
          </w:tcPr>
          <w:p w14:paraId="6D276F47">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造价专业负责人</w:t>
            </w:r>
          </w:p>
        </w:tc>
      </w:tr>
      <w:tr w14:paraId="56DE5C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09248F24">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熊永强</w:t>
            </w:r>
          </w:p>
        </w:tc>
        <w:tc>
          <w:tcPr>
            <w:tcW w:w="798" w:type="dxa"/>
            <w:vAlign w:val="center"/>
          </w:tcPr>
          <w:p w14:paraId="1A4026FC">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男</w:t>
            </w:r>
          </w:p>
        </w:tc>
        <w:tc>
          <w:tcPr>
            <w:tcW w:w="868" w:type="dxa"/>
            <w:vAlign w:val="center"/>
          </w:tcPr>
          <w:p w14:paraId="7D285B4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42岁</w:t>
            </w:r>
          </w:p>
        </w:tc>
        <w:tc>
          <w:tcPr>
            <w:tcW w:w="1489" w:type="dxa"/>
            <w:vAlign w:val="center"/>
          </w:tcPr>
          <w:p w14:paraId="3A887AEA">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高级工程师</w:t>
            </w:r>
          </w:p>
        </w:tc>
        <w:tc>
          <w:tcPr>
            <w:tcW w:w="1297" w:type="dxa"/>
            <w:vAlign w:val="center"/>
          </w:tcPr>
          <w:p w14:paraId="3100E6C4">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造价专业</w:t>
            </w:r>
          </w:p>
        </w:tc>
        <w:tc>
          <w:tcPr>
            <w:tcW w:w="2134" w:type="dxa"/>
            <w:vAlign w:val="center"/>
          </w:tcPr>
          <w:p w14:paraId="2E6A8E7D">
            <w:pPr>
              <w:keepNext w:val="0"/>
              <w:keepLines w:val="0"/>
              <w:widowControl/>
              <w:suppressLineNumbers w:val="0"/>
              <w:jc w:val="center"/>
              <w:textAlignment w:val="bottom"/>
              <w:rPr>
                <w:rFonts w:hint="eastAsia" w:ascii="宋体" w:hAnsi="宋体" w:eastAsia="宋体" w:cs="宋体"/>
                <w:snapToGrid w:val="0"/>
                <w:color w:val="000000"/>
                <w:sz w:val="24"/>
                <w:szCs w:val="24"/>
                <w:lang w:val="en-US" w:eastAsia="zh-CN"/>
              </w:rPr>
            </w:pPr>
            <w:r>
              <w:rPr>
                <w:rFonts w:hint="eastAsia" w:ascii="宋体" w:hAnsi="宋体" w:eastAsia="宋体" w:cs="宋体"/>
                <w:snapToGrid w:val="0"/>
                <w:color w:val="000000"/>
                <w:spacing w:val="-1"/>
                <w:sz w:val="24"/>
                <w:szCs w:val="24"/>
                <w:lang w:eastAsia="zh-CN"/>
              </w:rPr>
              <w:t>建</w:t>
            </w:r>
            <w:r>
              <w:rPr>
                <w:rFonts w:hint="eastAsia" w:ascii="宋体" w:hAnsi="宋体" w:eastAsia="宋体" w:cs="宋体"/>
                <w:snapToGrid w:val="0"/>
                <w:color w:val="000000"/>
                <w:sz w:val="24"/>
                <w:szCs w:val="24"/>
                <w:lang w:val="en-US" w:eastAsia="zh-CN"/>
              </w:rPr>
              <w:t>[</w:t>
            </w:r>
            <w:r>
              <w:rPr>
                <w:rFonts w:hint="eastAsia" w:ascii="宋体" w:hAnsi="宋体" w:eastAsia="宋体" w:cs="宋体"/>
                <w:snapToGrid w:val="0"/>
                <w:color w:val="000000"/>
                <w:spacing w:val="-1"/>
                <w:sz w:val="24"/>
                <w:szCs w:val="24"/>
                <w:lang w:eastAsia="zh-CN"/>
              </w:rPr>
              <w:t>造</w:t>
            </w:r>
            <w:r>
              <w:rPr>
                <w:rFonts w:hint="eastAsia" w:ascii="宋体" w:hAnsi="宋体" w:eastAsia="宋体" w:cs="宋体"/>
                <w:snapToGrid w:val="0"/>
                <w:color w:val="000000"/>
                <w:sz w:val="24"/>
                <w:szCs w:val="24"/>
                <w:lang w:val="en-US" w:eastAsia="zh-CN"/>
              </w:rPr>
              <w:t>]</w:t>
            </w:r>
          </w:p>
          <w:p w14:paraId="4983FBDE">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14216147000730</w:t>
            </w:r>
          </w:p>
        </w:tc>
        <w:tc>
          <w:tcPr>
            <w:tcW w:w="1997" w:type="dxa"/>
            <w:vAlign w:val="center"/>
          </w:tcPr>
          <w:p w14:paraId="736D03DC">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造价专业设计人</w:t>
            </w:r>
          </w:p>
        </w:tc>
      </w:tr>
      <w:tr w14:paraId="6410BD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1100" w:type="dxa"/>
            <w:vAlign w:val="center"/>
          </w:tcPr>
          <w:p w14:paraId="56D8A401">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邓颖</w:t>
            </w:r>
          </w:p>
        </w:tc>
        <w:tc>
          <w:tcPr>
            <w:tcW w:w="798" w:type="dxa"/>
            <w:vAlign w:val="center"/>
          </w:tcPr>
          <w:p w14:paraId="3A2B1C43">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女</w:t>
            </w:r>
          </w:p>
        </w:tc>
        <w:tc>
          <w:tcPr>
            <w:tcW w:w="868" w:type="dxa"/>
            <w:vAlign w:val="center"/>
          </w:tcPr>
          <w:p w14:paraId="4BDF9A87">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45岁</w:t>
            </w:r>
          </w:p>
        </w:tc>
        <w:tc>
          <w:tcPr>
            <w:tcW w:w="1489" w:type="dxa"/>
            <w:vAlign w:val="center"/>
          </w:tcPr>
          <w:p w14:paraId="7B4D798C">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正高级工程师</w:t>
            </w:r>
          </w:p>
        </w:tc>
        <w:tc>
          <w:tcPr>
            <w:tcW w:w="1297" w:type="dxa"/>
            <w:vAlign w:val="center"/>
          </w:tcPr>
          <w:p w14:paraId="38C37C60">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造价专业</w:t>
            </w:r>
          </w:p>
        </w:tc>
        <w:tc>
          <w:tcPr>
            <w:tcW w:w="2134" w:type="dxa"/>
            <w:vAlign w:val="center"/>
          </w:tcPr>
          <w:p w14:paraId="6C9790BF">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咨登3220240515901</w:t>
            </w:r>
          </w:p>
        </w:tc>
        <w:tc>
          <w:tcPr>
            <w:tcW w:w="1997" w:type="dxa"/>
            <w:vAlign w:val="center"/>
          </w:tcPr>
          <w:p w14:paraId="2B337789">
            <w:pPr>
              <w:keepNext w:val="0"/>
              <w:keepLines w:val="0"/>
              <w:widowControl/>
              <w:suppressLineNumbers w:val="0"/>
              <w:jc w:val="center"/>
              <w:textAlignment w:val="bottom"/>
              <w:rPr>
                <w:rFonts w:hint="eastAsia" w:ascii="宋体" w:hAnsi="宋体" w:eastAsia="宋体" w:cs="宋体"/>
                <w:i w:val="0"/>
                <w:iCs w:val="0"/>
                <w:snapToGrid w:val="0"/>
                <w:color w:val="000000"/>
                <w:kern w:val="0"/>
                <w:sz w:val="24"/>
                <w:szCs w:val="24"/>
                <w:u w:val="none"/>
                <w:lang w:val="en-US" w:eastAsia="zh-CN" w:bidi="ar"/>
              </w:rPr>
            </w:pPr>
            <w:r>
              <w:rPr>
                <w:rFonts w:hint="eastAsia" w:ascii="宋体" w:hAnsi="宋体" w:eastAsia="宋体" w:cs="宋体"/>
                <w:i w:val="0"/>
                <w:iCs w:val="0"/>
                <w:snapToGrid w:val="0"/>
                <w:color w:val="000000"/>
                <w:kern w:val="0"/>
                <w:sz w:val="24"/>
                <w:szCs w:val="24"/>
                <w:u w:val="none"/>
                <w:lang w:val="en-US" w:eastAsia="zh-CN" w:bidi="ar"/>
              </w:rPr>
              <w:t>造价专业设计人</w:t>
            </w:r>
          </w:p>
        </w:tc>
      </w:tr>
    </w:tbl>
    <w:p w14:paraId="4EECD470">
      <w:pPr>
        <w:widowControl/>
        <w:adjustRightInd w:val="0"/>
        <w:snapToGrid w:val="0"/>
        <w:spacing w:line="360" w:lineRule="auto"/>
        <w:jc w:val="left"/>
        <w:outlineLvl w:val="9"/>
        <w:rPr>
          <w:rFonts w:asciiTheme="minorEastAsia" w:hAnsiTheme="minorEastAsia" w:eastAsiaTheme="minorEastAsia" w:cstheme="minorEastAsia"/>
          <w:color w:val="auto"/>
          <w:sz w:val="24"/>
          <w:highlight w:val="none"/>
        </w:rPr>
        <w:sectPr>
          <w:footerReference r:id="rId10" w:type="default"/>
          <w:pgSz w:w="12240" w:h="15840"/>
          <w:pgMar w:top="1134" w:right="1361" w:bottom="1134" w:left="1361" w:header="567" w:footer="567" w:gutter="0"/>
          <w:pgBorders>
            <w:top w:val="none" w:sz="0" w:space="0"/>
            <w:left w:val="none" w:sz="0" w:space="0"/>
            <w:bottom w:val="none" w:sz="0" w:space="0"/>
            <w:right w:val="none" w:sz="0" w:space="0"/>
          </w:pgBorders>
          <w:cols w:space="0" w:num="1"/>
          <w:titlePg/>
          <w:docGrid w:linePitch="312" w:charSpace="0"/>
        </w:sectPr>
      </w:pPr>
    </w:p>
    <w:p w14:paraId="046E4108">
      <w:pPr>
        <w:widowControl/>
        <w:adjustRightInd w:val="0"/>
        <w:snapToGrid w:val="0"/>
        <w:spacing w:line="360" w:lineRule="auto"/>
        <w:jc w:val="left"/>
        <w:outlineLvl w:val="9"/>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附件二十</w:t>
      </w:r>
      <w:r>
        <w:rPr>
          <w:rFonts w:hint="eastAsia" w:asciiTheme="minorEastAsia" w:hAnsiTheme="minorEastAsia" w:eastAsiaTheme="minorEastAsia" w:cstheme="minorEastAsia"/>
          <w:color w:val="auto"/>
          <w:sz w:val="21"/>
          <w:szCs w:val="21"/>
          <w:highlight w:val="none"/>
          <w:lang w:val="en-US" w:eastAsia="zh-CN"/>
        </w:rPr>
        <w:t>五</w:t>
      </w:r>
      <w:r>
        <w:rPr>
          <w:rFonts w:hint="eastAsia" w:asciiTheme="minorEastAsia" w:hAnsiTheme="minorEastAsia" w:eastAsiaTheme="minorEastAsia" w:cstheme="minorEastAsia"/>
          <w:color w:val="auto"/>
          <w:sz w:val="21"/>
          <w:szCs w:val="21"/>
          <w:highlight w:val="none"/>
        </w:rPr>
        <w:t>：</w:t>
      </w:r>
    </w:p>
    <w:p w14:paraId="44291422">
      <w:pPr>
        <w:pStyle w:val="109"/>
        <w:jc w:val="center"/>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施工工程类在用供方履约评价表</w:t>
      </w:r>
    </w:p>
    <w:p w14:paraId="3506412A">
      <w:pPr>
        <w:pStyle w:val="109"/>
        <w:outlineLvl w:val="9"/>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供方名称：</w:t>
      </w:r>
    </w:p>
    <w:p w14:paraId="65E94F7A">
      <w:pPr>
        <w:pStyle w:val="109"/>
        <w:outlineLvl w:val="9"/>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项目名称：</w:t>
      </w:r>
    </w:p>
    <w:tbl>
      <w:tblPr>
        <w:tblStyle w:val="56"/>
        <w:tblW w:w="13765" w:type="dxa"/>
        <w:tblInd w:w="93" w:type="dxa"/>
        <w:tblLayout w:type="autofit"/>
        <w:tblCellMar>
          <w:top w:w="0" w:type="dxa"/>
          <w:left w:w="108" w:type="dxa"/>
          <w:bottom w:w="0" w:type="dxa"/>
          <w:right w:w="108" w:type="dxa"/>
        </w:tblCellMar>
      </w:tblPr>
      <w:tblGrid>
        <w:gridCol w:w="1716"/>
        <w:gridCol w:w="2127"/>
        <w:gridCol w:w="7796"/>
        <w:gridCol w:w="992"/>
        <w:gridCol w:w="1134"/>
      </w:tblGrid>
      <w:tr w14:paraId="588F31BF">
        <w:tblPrEx>
          <w:tblCellMar>
            <w:top w:w="0" w:type="dxa"/>
            <w:left w:w="108" w:type="dxa"/>
            <w:bottom w:w="0" w:type="dxa"/>
            <w:right w:w="108" w:type="dxa"/>
          </w:tblCellMar>
        </w:tblPrEx>
        <w:trPr>
          <w:trHeight w:val="570" w:hRule="atLeast"/>
        </w:trPr>
        <w:tc>
          <w:tcPr>
            <w:tcW w:w="1716" w:type="dxa"/>
            <w:tcBorders>
              <w:top w:val="single" w:color="auto" w:sz="4" w:space="0"/>
              <w:left w:val="single" w:color="auto" w:sz="4" w:space="0"/>
              <w:bottom w:val="single" w:color="auto" w:sz="4" w:space="0"/>
              <w:right w:val="single" w:color="auto" w:sz="4" w:space="0"/>
            </w:tcBorders>
            <w:vAlign w:val="center"/>
          </w:tcPr>
          <w:p w14:paraId="33F8594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b/>
                <w:bCs/>
                <w:color w:val="auto"/>
                <w:kern w:val="0"/>
                <w:szCs w:val="21"/>
                <w:highlight w:val="none"/>
              </w:rPr>
            </w:pPr>
            <w:r>
              <w:rPr>
                <w:rFonts w:hint="eastAsia" w:cs="宋体" w:asciiTheme="minorEastAsia" w:hAnsiTheme="minorEastAsia" w:eastAsiaTheme="minorEastAsia"/>
                <w:b/>
                <w:bCs/>
                <w:color w:val="auto"/>
                <w:kern w:val="0"/>
                <w:szCs w:val="21"/>
                <w:highlight w:val="none"/>
              </w:rPr>
              <w:t>发包人</w:t>
            </w:r>
            <w:r>
              <w:rPr>
                <w:rFonts w:cs="宋体" w:asciiTheme="minorEastAsia" w:hAnsiTheme="minorEastAsia" w:eastAsiaTheme="minorEastAsia"/>
                <w:b/>
                <w:bCs/>
                <w:color w:val="auto"/>
                <w:kern w:val="0"/>
                <w:szCs w:val="21"/>
                <w:highlight w:val="none"/>
              </w:rPr>
              <w:t>考核部门</w:t>
            </w:r>
          </w:p>
        </w:tc>
        <w:tc>
          <w:tcPr>
            <w:tcW w:w="2127" w:type="dxa"/>
            <w:tcBorders>
              <w:top w:val="single" w:color="auto" w:sz="4" w:space="0"/>
              <w:left w:val="nil"/>
              <w:bottom w:val="single" w:color="auto" w:sz="4" w:space="0"/>
              <w:right w:val="single" w:color="auto" w:sz="4" w:space="0"/>
            </w:tcBorders>
            <w:vAlign w:val="center"/>
          </w:tcPr>
          <w:p w14:paraId="567DAEB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b/>
                <w:bCs/>
                <w:color w:val="auto"/>
                <w:kern w:val="0"/>
                <w:szCs w:val="21"/>
                <w:highlight w:val="none"/>
              </w:rPr>
            </w:pPr>
            <w:r>
              <w:rPr>
                <w:rFonts w:cs="宋体" w:asciiTheme="minorEastAsia" w:hAnsiTheme="minorEastAsia" w:eastAsiaTheme="minorEastAsia"/>
                <w:b/>
                <w:bCs/>
                <w:color w:val="auto"/>
                <w:kern w:val="0"/>
                <w:szCs w:val="21"/>
                <w:highlight w:val="none"/>
              </w:rPr>
              <w:t>评估指标</w:t>
            </w:r>
          </w:p>
        </w:tc>
        <w:tc>
          <w:tcPr>
            <w:tcW w:w="7796" w:type="dxa"/>
            <w:tcBorders>
              <w:top w:val="single" w:color="auto" w:sz="4" w:space="0"/>
              <w:left w:val="nil"/>
              <w:bottom w:val="single" w:color="auto" w:sz="4" w:space="0"/>
              <w:right w:val="single" w:color="auto" w:sz="4" w:space="0"/>
            </w:tcBorders>
            <w:vAlign w:val="center"/>
          </w:tcPr>
          <w:p w14:paraId="421A564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b/>
                <w:bCs/>
                <w:color w:val="auto"/>
                <w:kern w:val="0"/>
                <w:szCs w:val="21"/>
                <w:highlight w:val="none"/>
              </w:rPr>
            </w:pPr>
            <w:r>
              <w:rPr>
                <w:rFonts w:cs="宋体" w:asciiTheme="minorEastAsia" w:hAnsiTheme="minorEastAsia" w:eastAsiaTheme="minorEastAsia"/>
                <w:b/>
                <w:bCs/>
                <w:color w:val="auto"/>
                <w:kern w:val="0"/>
                <w:szCs w:val="21"/>
                <w:highlight w:val="none"/>
              </w:rPr>
              <w:t>评分标准</w:t>
            </w:r>
          </w:p>
        </w:tc>
        <w:tc>
          <w:tcPr>
            <w:tcW w:w="992" w:type="dxa"/>
            <w:tcBorders>
              <w:top w:val="single" w:color="auto" w:sz="4" w:space="0"/>
              <w:left w:val="nil"/>
              <w:bottom w:val="single" w:color="auto" w:sz="4" w:space="0"/>
              <w:right w:val="single" w:color="auto" w:sz="4" w:space="0"/>
            </w:tcBorders>
            <w:vAlign w:val="center"/>
          </w:tcPr>
          <w:p w14:paraId="5BDB753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b/>
                <w:bCs/>
                <w:color w:val="auto"/>
                <w:kern w:val="0"/>
                <w:szCs w:val="21"/>
                <w:highlight w:val="none"/>
              </w:rPr>
            </w:pPr>
            <w:r>
              <w:rPr>
                <w:rFonts w:cs="宋体" w:asciiTheme="minorEastAsia" w:hAnsiTheme="minorEastAsia" w:eastAsiaTheme="minorEastAsia"/>
                <w:b/>
                <w:bCs/>
                <w:color w:val="auto"/>
                <w:kern w:val="0"/>
                <w:szCs w:val="21"/>
                <w:highlight w:val="none"/>
              </w:rPr>
              <w:t>分值</w:t>
            </w:r>
          </w:p>
        </w:tc>
        <w:tc>
          <w:tcPr>
            <w:tcW w:w="1134" w:type="dxa"/>
            <w:tcBorders>
              <w:top w:val="single" w:color="auto" w:sz="4" w:space="0"/>
              <w:left w:val="nil"/>
              <w:bottom w:val="single" w:color="auto" w:sz="4" w:space="0"/>
              <w:right w:val="single" w:color="auto" w:sz="4" w:space="0"/>
            </w:tcBorders>
            <w:vAlign w:val="center"/>
          </w:tcPr>
          <w:p w14:paraId="0F0CB16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b/>
                <w:bCs/>
                <w:color w:val="auto"/>
                <w:kern w:val="0"/>
                <w:szCs w:val="21"/>
                <w:highlight w:val="none"/>
              </w:rPr>
            </w:pPr>
            <w:r>
              <w:rPr>
                <w:rFonts w:cs="宋体" w:asciiTheme="minorEastAsia" w:hAnsiTheme="minorEastAsia" w:eastAsiaTheme="minorEastAsia"/>
                <w:b/>
                <w:bCs/>
                <w:color w:val="auto"/>
                <w:kern w:val="0"/>
                <w:szCs w:val="21"/>
                <w:highlight w:val="none"/>
              </w:rPr>
              <w:t>得分</w:t>
            </w:r>
          </w:p>
        </w:tc>
      </w:tr>
      <w:tr w14:paraId="0C73416B">
        <w:tblPrEx>
          <w:tblCellMar>
            <w:top w:w="0" w:type="dxa"/>
            <w:left w:w="108" w:type="dxa"/>
            <w:bottom w:w="0" w:type="dxa"/>
            <w:right w:w="108" w:type="dxa"/>
          </w:tblCellMar>
        </w:tblPrEx>
        <w:trPr>
          <w:trHeight w:val="675" w:hRule="atLeast"/>
        </w:trPr>
        <w:tc>
          <w:tcPr>
            <w:tcW w:w="1716" w:type="dxa"/>
            <w:vMerge w:val="restart"/>
            <w:tcBorders>
              <w:top w:val="nil"/>
              <w:left w:val="single" w:color="auto" w:sz="4" w:space="0"/>
              <w:bottom w:val="single" w:color="auto" w:sz="4" w:space="0"/>
              <w:right w:val="single" w:color="auto" w:sz="4" w:space="0"/>
            </w:tcBorders>
            <w:vAlign w:val="center"/>
          </w:tcPr>
          <w:p w14:paraId="11C489E7">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招标采供部（10分）</w:t>
            </w:r>
          </w:p>
        </w:tc>
        <w:tc>
          <w:tcPr>
            <w:tcW w:w="2127" w:type="dxa"/>
            <w:tcBorders>
              <w:top w:val="nil"/>
              <w:left w:val="nil"/>
              <w:bottom w:val="single" w:color="auto" w:sz="4" w:space="0"/>
              <w:right w:val="single" w:color="auto" w:sz="4" w:space="0"/>
            </w:tcBorders>
            <w:vAlign w:val="center"/>
          </w:tcPr>
          <w:p w14:paraId="4445D14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定标后及时进场</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施工</w:t>
            </w:r>
          </w:p>
        </w:tc>
        <w:tc>
          <w:tcPr>
            <w:tcW w:w="7796" w:type="dxa"/>
            <w:tcBorders>
              <w:top w:val="nil"/>
              <w:left w:val="nil"/>
              <w:bottom w:val="single" w:color="auto" w:sz="4" w:space="0"/>
              <w:right w:val="single" w:color="auto" w:sz="4" w:space="0"/>
            </w:tcBorders>
            <w:vAlign w:val="center"/>
          </w:tcPr>
          <w:p w14:paraId="22FB5CB6">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定标后按甲方要求时间及时进场施工。</w:t>
            </w:r>
          </w:p>
        </w:tc>
        <w:tc>
          <w:tcPr>
            <w:tcW w:w="992" w:type="dxa"/>
            <w:tcBorders>
              <w:top w:val="nil"/>
              <w:left w:val="nil"/>
              <w:bottom w:val="single" w:color="auto" w:sz="4" w:space="0"/>
              <w:right w:val="single" w:color="auto" w:sz="4" w:space="0"/>
            </w:tcBorders>
            <w:noWrap/>
            <w:vAlign w:val="bottom"/>
          </w:tcPr>
          <w:p w14:paraId="3B83E45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w:t>
            </w:r>
          </w:p>
        </w:tc>
        <w:tc>
          <w:tcPr>
            <w:tcW w:w="1134" w:type="dxa"/>
            <w:tcBorders>
              <w:top w:val="nil"/>
              <w:left w:val="nil"/>
              <w:bottom w:val="single" w:color="auto" w:sz="4" w:space="0"/>
              <w:right w:val="single" w:color="auto" w:sz="4" w:space="0"/>
            </w:tcBorders>
            <w:noWrap/>
            <w:vAlign w:val="bottom"/>
          </w:tcPr>
          <w:p w14:paraId="087ED3E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5EA711D3">
        <w:tblPrEx>
          <w:tblCellMar>
            <w:top w:w="0" w:type="dxa"/>
            <w:left w:w="108" w:type="dxa"/>
            <w:bottom w:w="0" w:type="dxa"/>
            <w:right w:w="108" w:type="dxa"/>
          </w:tblCellMar>
        </w:tblPrEx>
        <w:trPr>
          <w:trHeight w:val="675" w:hRule="atLeast"/>
        </w:trPr>
        <w:tc>
          <w:tcPr>
            <w:tcW w:w="1716" w:type="dxa"/>
            <w:vMerge w:val="continue"/>
            <w:tcBorders>
              <w:top w:val="nil"/>
              <w:left w:val="single" w:color="auto" w:sz="4" w:space="0"/>
              <w:bottom w:val="single" w:color="auto" w:sz="4" w:space="0"/>
              <w:right w:val="single" w:color="auto" w:sz="4" w:space="0"/>
            </w:tcBorders>
            <w:vAlign w:val="center"/>
          </w:tcPr>
          <w:p w14:paraId="2F23ABC9">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7CA2E96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合同及补充协议</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签订及时</w:t>
            </w:r>
          </w:p>
        </w:tc>
        <w:tc>
          <w:tcPr>
            <w:tcW w:w="7796" w:type="dxa"/>
            <w:tcBorders>
              <w:top w:val="nil"/>
              <w:left w:val="nil"/>
              <w:bottom w:val="single" w:color="auto" w:sz="4" w:space="0"/>
              <w:right w:val="single" w:color="auto" w:sz="4" w:space="0"/>
            </w:tcBorders>
            <w:vAlign w:val="center"/>
          </w:tcPr>
          <w:p w14:paraId="3C1333C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按甲方要求在规定时间内签订合同或补充协议，无延误。</w:t>
            </w:r>
          </w:p>
        </w:tc>
        <w:tc>
          <w:tcPr>
            <w:tcW w:w="992" w:type="dxa"/>
            <w:tcBorders>
              <w:top w:val="nil"/>
              <w:left w:val="nil"/>
              <w:bottom w:val="single" w:color="auto" w:sz="4" w:space="0"/>
              <w:right w:val="single" w:color="auto" w:sz="4" w:space="0"/>
            </w:tcBorders>
            <w:noWrap/>
            <w:vAlign w:val="bottom"/>
          </w:tcPr>
          <w:p w14:paraId="133EA01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w:t>
            </w:r>
          </w:p>
        </w:tc>
        <w:tc>
          <w:tcPr>
            <w:tcW w:w="1134" w:type="dxa"/>
            <w:tcBorders>
              <w:top w:val="nil"/>
              <w:left w:val="nil"/>
              <w:bottom w:val="single" w:color="auto" w:sz="4" w:space="0"/>
              <w:right w:val="single" w:color="auto" w:sz="4" w:space="0"/>
            </w:tcBorders>
            <w:noWrap/>
            <w:vAlign w:val="bottom"/>
          </w:tcPr>
          <w:p w14:paraId="698CD41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15AE641A">
        <w:tblPrEx>
          <w:tblCellMar>
            <w:top w:w="0" w:type="dxa"/>
            <w:left w:w="108" w:type="dxa"/>
            <w:bottom w:w="0" w:type="dxa"/>
            <w:right w:w="108" w:type="dxa"/>
          </w:tblCellMar>
        </w:tblPrEx>
        <w:trPr>
          <w:trHeight w:val="675" w:hRule="atLeast"/>
        </w:trPr>
        <w:tc>
          <w:tcPr>
            <w:tcW w:w="1716" w:type="dxa"/>
            <w:vMerge w:val="continue"/>
            <w:tcBorders>
              <w:top w:val="nil"/>
              <w:left w:val="single" w:color="auto" w:sz="4" w:space="0"/>
              <w:bottom w:val="single" w:color="auto" w:sz="4" w:space="0"/>
              <w:right w:val="single" w:color="auto" w:sz="4" w:space="0"/>
            </w:tcBorders>
            <w:vAlign w:val="center"/>
          </w:tcPr>
          <w:p w14:paraId="70BE49BB">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7705FF2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认价配合</w:t>
            </w:r>
          </w:p>
        </w:tc>
        <w:tc>
          <w:tcPr>
            <w:tcW w:w="7796" w:type="dxa"/>
            <w:tcBorders>
              <w:top w:val="nil"/>
              <w:left w:val="nil"/>
              <w:bottom w:val="single" w:color="auto" w:sz="4" w:space="0"/>
              <w:right w:val="single" w:color="auto" w:sz="4" w:space="0"/>
            </w:tcBorders>
            <w:vAlign w:val="center"/>
          </w:tcPr>
          <w:p w14:paraId="57A489BF">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有专人负责，认价报审资料齐全，反馈及时</w:t>
            </w:r>
          </w:p>
        </w:tc>
        <w:tc>
          <w:tcPr>
            <w:tcW w:w="992" w:type="dxa"/>
            <w:tcBorders>
              <w:top w:val="nil"/>
              <w:left w:val="nil"/>
              <w:bottom w:val="single" w:color="auto" w:sz="4" w:space="0"/>
              <w:right w:val="single" w:color="auto" w:sz="4" w:space="0"/>
            </w:tcBorders>
            <w:noWrap/>
            <w:vAlign w:val="bottom"/>
          </w:tcPr>
          <w:p w14:paraId="563B446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w:t>
            </w:r>
          </w:p>
        </w:tc>
        <w:tc>
          <w:tcPr>
            <w:tcW w:w="1134" w:type="dxa"/>
            <w:tcBorders>
              <w:top w:val="nil"/>
              <w:left w:val="nil"/>
              <w:bottom w:val="single" w:color="auto" w:sz="4" w:space="0"/>
              <w:right w:val="single" w:color="auto" w:sz="4" w:space="0"/>
            </w:tcBorders>
            <w:noWrap/>
            <w:vAlign w:val="bottom"/>
          </w:tcPr>
          <w:p w14:paraId="42DB42C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08514E60">
        <w:tblPrEx>
          <w:tblCellMar>
            <w:top w:w="0" w:type="dxa"/>
            <w:left w:w="108" w:type="dxa"/>
            <w:bottom w:w="0" w:type="dxa"/>
            <w:right w:w="108" w:type="dxa"/>
          </w:tblCellMar>
        </w:tblPrEx>
        <w:trPr>
          <w:trHeight w:val="1095" w:hRule="atLeast"/>
        </w:trPr>
        <w:tc>
          <w:tcPr>
            <w:tcW w:w="1716" w:type="dxa"/>
            <w:vMerge w:val="continue"/>
            <w:tcBorders>
              <w:top w:val="nil"/>
              <w:left w:val="single" w:color="auto" w:sz="4" w:space="0"/>
              <w:bottom w:val="single" w:color="auto" w:sz="4" w:space="0"/>
              <w:right w:val="single" w:color="auto" w:sz="4" w:space="0"/>
            </w:tcBorders>
            <w:vAlign w:val="center"/>
          </w:tcPr>
          <w:p w14:paraId="35762270">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37122B3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合同履约情况</w:t>
            </w:r>
          </w:p>
        </w:tc>
        <w:tc>
          <w:tcPr>
            <w:tcW w:w="7796" w:type="dxa"/>
            <w:tcBorders>
              <w:top w:val="nil"/>
              <w:left w:val="nil"/>
              <w:bottom w:val="single" w:color="auto" w:sz="4" w:space="0"/>
              <w:right w:val="single" w:color="auto" w:sz="4" w:space="0"/>
            </w:tcBorders>
            <w:vAlign w:val="center"/>
          </w:tcPr>
          <w:p w14:paraId="2C1CF074">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在合同履约过程中未发现货不对版情况,违背合同条款提出索赔,发生合同未明确事项时能顺利协商解决,能按合同条款履行合同各项义务。</w:t>
            </w:r>
          </w:p>
        </w:tc>
        <w:tc>
          <w:tcPr>
            <w:tcW w:w="992" w:type="dxa"/>
            <w:tcBorders>
              <w:top w:val="nil"/>
              <w:left w:val="nil"/>
              <w:bottom w:val="single" w:color="auto" w:sz="4" w:space="0"/>
              <w:right w:val="single" w:color="auto" w:sz="4" w:space="0"/>
            </w:tcBorders>
            <w:noWrap/>
            <w:vAlign w:val="bottom"/>
          </w:tcPr>
          <w:p w14:paraId="12BFD4E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w:t>
            </w:r>
          </w:p>
        </w:tc>
        <w:tc>
          <w:tcPr>
            <w:tcW w:w="1134" w:type="dxa"/>
            <w:tcBorders>
              <w:top w:val="nil"/>
              <w:left w:val="nil"/>
              <w:bottom w:val="single" w:color="auto" w:sz="4" w:space="0"/>
              <w:right w:val="single" w:color="auto" w:sz="4" w:space="0"/>
            </w:tcBorders>
            <w:noWrap/>
            <w:vAlign w:val="bottom"/>
          </w:tcPr>
          <w:p w14:paraId="063CB8A7">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574FA844">
        <w:tblPrEx>
          <w:tblCellMar>
            <w:top w:w="0" w:type="dxa"/>
            <w:left w:w="108" w:type="dxa"/>
            <w:bottom w:w="0" w:type="dxa"/>
            <w:right w:w="108" w:type="dxa"/>
          </w:tblCellMar>
        </w:tblPrEx>
        <w:trPr>
          <w:trHeight w:val="1095" w:hRule="atLeast"/>
        </w:trPr>
        <w:tc>
          <w:tcPr>
            <w:tcW w:w="1716" w:type="dxa"/>
            <w:vMerge w:val="continue"/>
            <w:tcBorders>
              <w:top w:val="nil"/>
              <w:left w:val="single" w:color="auto" w:sz="4" w:space="0"/>
              <w:bottom w:val="single" w:color="auto" w:sz="4" w:space="0"/>
              <w:right w:val="single" w:color="auto" w:sz="4" w:space="0"/>
            </w:tcBorders>
            <w:vAlign w:val="center"/>
          </w:tcPr>
          <w:p w14:paraId="396581E6">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417C5DB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公司资金实力</w:t>
            </w:r>
          </w:p>
        </w:tc>
        <w:tc>
          <w:tcPr>
            <w:tcW w:w="7796" w:type="dxa"/>
            <w:tcBorders>
              <w:top w:val="nil"/>
              <w:left w:val="nil"/>
              <w:bottom w:val="single" w:color="auto" w:sz="4" w:space="0"/>
              <w:right w:val="single" w:color="auto" w:sz="4" w:space="0"/>
            </w:tcBorders>
            <w:vAlign w:val="center"/>
          </w:tcPr>
          <w:p w14:paraId="44692CA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公司资金实力强，不因工程量暂未支付影响工程进度；每年春节、秋收、学校开学时，不因资金问题影响施工进度。</w:t>
            </w:r>
          </w:p>
        </w:tc>
        <w:tc>
          <w:tcPr>
            <w:tcW w:w="992" w:type="dxa"/>
            <w:tcBorders>
              <w:top w:val="nil"/>
              <w:left w:val="nil"/>
              <w:bottom w:val="single" w:color="auto" w:sz="4" w:space="0"/>
              <w:right w:val="single" w:color="auto" w:sz="4" w:space="0"/>
            </w:tcBorders>
            <w:noWrap/>
            <w:vAlign w:val="bottom"/>
          </w:tcPr>
          <w:p w14:paraId="20369D7C">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2</w:t>
            </w:r>
          </w:p>
        </w:tc>
        <w:tc>
          <w:tcPr>
            <w:tcW w:w="1134" w:type="dxa"/>
            <w:tcBorders>
              <w:top w:val="nil"/>
              <w:left w:val="nil"/>
              <w:bottom w:val="single" w:color="auto" w:sz="4" w:space="0"/>
              <w:right w:val="single" w:color="auto" w:sz="4" w:space="0"/>
            </w:tcBorders>
            <w:noWrap/>
            <w:vAlign w:val="bottom"/>
          </w:tcPr>
          <w:p w14:paraId="5DB8009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3D0E2F02">
        <w:tblPrEx>
          <w:tblCellMar>
            <w:top w:w="0" w:type="dxa"/>
            <w:left w:w="108" w:type="dxa"/>
            <w:bottom w:w="0" w:type="dxa"/>
            <w:right w:w="108" w:type="dxa"/>
          </w:tblCellMar>
        </w:tblPrEx>
        <w:trPr>
          <w:trHeight w:val="1140" w:hRule="atLeast"/>
        </w:trPr>
        <w:tc>
          <w:tcPr>
            <w:tcW w:w="1716" w:type="dxa"/>
            <w:tcBorders>
              <w:top w:val="nil"/>
              <w:left w:val="single" w:color="auto" w:sz="4" w:space="0"/>
              <w:bottom w:val="single" w:color="auto" w:sz="4" w:space="0"/>
              <w:right w:val="single" w:color="auto" w:sz="4" w:space="0"/>
            </w:tcBorders>
            <w:vAlign w:val="center"/>
          </w:tcPr>
          <w:p w14:paraId="74BF851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成本管理部（5分）</w:t>
            </w:r>
          </w:p>
        </w:tc>
        <w:tc>
          <w:tcPr>
            <w:tcW w:w="2127" w:type="dxa"/>
            <w:tcBorders>
              <w:top w:val="nil"/>
              <w:left w:val="nil"/>
              <w:bottom w:val="single" w:color="auto" w:sz="4" w:space="0"/>
              <w:right w:val="single" w:color="auto" w:sz="4" w:space="0"/>
            </w:tcBorders>
            <w:vAlign w:val="center"/>
          </w:tcPr>
          <w:p w14:paraId="57788C1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工程进度款、结算配合</w:t>
            </w:r>
          </w:p>
        </w:tc>
        <w:tc>
          <w:tcPr>
            <w:tcW w:w="7796" w:type="dxa"/>
            <w:tcBorders>
              <w:top w:val="nil"/>
              <w:left w:val="nil"/>
              <w:bottom w:val="single" w:color="auto" w:sz="4" w:space="0"/>
              <w:right w:val="single" w:color="auto" w:sz="4" w:space="0"/>
            </w:tcBorders>
            <w:vAlign w:val="center"/>
          </w:tcPr>
          <w:p w14:paraId="2E1288C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预算及时性、结算及时性；进度款及时性和准确性；每月上报的已完成工程量及时准确,不存在问题；变更洽商能在规定时间内上报，且合理。按合同约定处理结算过程中出现问题,尊重客观事实。</w:t>
            </w:r>
          </w:p>
        </w:tc>
        <w:tc>
          <w:tcPr>
            <w:tcW w:w="992" w:type="dxa"/>
            <w:tcBorders>
              <w:top w:val="nil"/>
              <w:left w:val="nil"/>
              <w:bottom w:val="single" w:color="auto" w:sz="4" w:space="0"/>
              <w:right w:val="single" w:color="auto" w:sz="4" w:space="0"/>
            </w:tcBorders>
            <w:noWrap/>
            <w:vAlign w:val="bottom"/>
          </w:tcPr>
          <w:p w14:paraId="56B28C4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5</w:t>
            </w:r>
          </w:p>
        </w:tc>
        <w:tc>
          <w:tcPr>
            <w:tcW w:w="1134" w:type="dxa"/>
            <w:tcBorders>
              <w:top w:val="nil"/>
              <w:left w:val="nil"/>
              <w:bottom w:val="single" w:color="auto" w:sz="4" w:space="0"/>
              <w:right w:val="single" w:color="auto" w:sz="4" w:space="0"/>
            </w:tcBorders>
            <w:noWrap/>
            <w:vAlign w:val="bottom"/>
          </w:tcPr>
          <w:p w14:paraId="28BFC27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5E8F1386">
        <w:tblPrEx>
          <w:tblCellMar>
            <w:top w:w="0" w:type="dxa"/>
            <w:left w:w="108" w:type="dxa"/>
            <w:bottom w:w="0" w:type="dxa"/>
            <w:right w:w="108" w:type="dxa"/>
          </w:tblCellMar>
        </w:tblPrEx>
        <w:trPr>
          <w:trHeight w:val="1759" w:hRule="atLeast"/>
        </w:trPr>
        <w:tc>
          <w:tcPr>
            <w:tcW w:w="1716" w:type="dxa"/>
            <w:vMerge w:val="restart"/>
            <w:tcBorders>
              <w:top w:val="nil"/>
              <w:left w:val="single" w:color="auto" w:sz="4" w:space="0"/>
              <w:bottom w:val="single" w:color="auto" w:sz="4" w:space="0"/>
              <w:right w:val="single" w:color="auto" w:sz="4" w:space="0"/>
            </w:tcBorders>
            <w:vAlign w:val="center"/>
          </w:tcPr>
          <w:p w14:paraId="103D390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工程管理部（30分）</w:t>
            </w:r>
          </w:p>
        </w:tc>
        <w:tc>
          <w:tcPr>
            <w:tcW w:w="2127" w:type="dxa"/>
            <w:tcBorders>
              <w:top w:val="nil"/>
              <w:left w:val="nil"/>
              <w:bottom w:val="single" w:color="auto" w:sz="4" w:space="0"/>
              <w:right w:val="single" w:color="auto" w:sz="4" w:space="0"/>
            </w:tcBorders>
            <w:vAlign w:val="center"/>
          </w:tcPr>
          <w:p w14:paraId="1EA0B13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安全文明施工管理</w:t>
            </w:r>
          </w:p>
        </w:tc>
        <w:tc>
          <w:tcPr>
            <w:tcW w:w="7796" w:type="dxa"/>
            <w:tcBorders>
              <w:top w:val="nil"/>
              <w:left w:val="nil"/>
              <w:bottom w:val="single" w:color="auto" w:sz="4" w:space="0"/>
              <w:right w:val="single" w:color="auto" w:sz="4" w:space="0"/>
            </w:tcBorders>
            <w:vAlign w:val="center"/>
          </w:tcPr>
          <w:p w14:paraId="55E6952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服从甲方、监理及总包的安全文明施工管理要求,管好自身的安全文明施工,不得出现安全事故。发生重伤以下的生产安全事故，一起扣3分；发生1-2人重伤，或直接经济损失低于50万元的生产安全事故，一起扣6分；发生人员死亡或3人以上重伤，或直接经济损失超过50万元（含）的生产安全事故。扣10分。扣完为止</w:t>
            </w:r>
          </w:p>
        </w:tc>
        <w:tc>
          <w:tcPr>
            <w:tcW w:w="992" w:type="dxa"/>
            <w:tcBorders>
              <w:top w:val="nil"/>
              <w:left w:val="nil"/>
              <w:bottom w:val="single" w:color="auto" w:sz="4" w:space="0"/>
              <w:right w:val="single" w:color="auto" w:sz="4" w:space="0"/>
            </w:tcBorders>
            <w:noWrap/>
            <w:vAlign w:val="bottom"/>
          </w:tcPr>
          <w:p w14:paraId="1FEFECC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10</w:t>
            </w:r>
          </w:p>
        </w:tc>
        <w:tc>
          <w:tcPr>
            <w:tcW w:w="1134" w:type="dxa"/>
            <w:tcBorders>
              <w:top w:val="nil"/>
              <w:left w:val="nil"/>
              <w:bottom w:val="single" w:color="auto" w:sz="4" w:space="0"/>
              <w:right w:val="single" w:color="auto" w:sz="4" w:space="0"/>
            </w:tcBorders>
            <w:noWrap/>
            <w:vAlign w:val="bottom"/>
          </w:tcPr>
          <w:p w14:paraId="482B9E3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674FA4AB">
        <w:tblPrEx>
          <w:tblCellMar>
            <w:top w:w="0" w:type="dxa"/>
            <w:left w:w="108" w:type="dxa"/>
            <w:bottom w:w="0" w:type="dxa"/>
            <w:right w:w="108" w:type="dxa"/>
          </w:tblCellMar>
        </w:tblPrEx>
        <w:trPr>
          <w:trHeight w:val="1140" w:hRule="atLeast"/>
        </w:trPr>
        <w:tc>
          <w:tcPr>
            <w:tcW w:w="1716" w:type="dxa"/>
            <w:vMerge w:val="continue"/>
            <w:tcBorders>
              <w:top w:val="nil"/>
              <w:left w:val="single" w:color="auto" w:sz="4" w:space="0"/>
              <w:bottom w:val="single" w:color="auto" w:sz="4" w:space="0"/>
              <w:right w:val="single" w:color="auto" w:sz="4" w:space="0"/>
            </w:tcBorders>
            <w:vAlign w:val="center"/>
          </w:tcPr>
          <w:p w14:paraId="0B3DA675">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64592D27">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移动质检</w:t>
            </w:r>
          </w:p>
        </w:tc>
        <w:tc>
          <w:tcPr>
            <w:tcW w:w="7796" w:type="dxa"/>
            <w:tcBorders>
              <w:top w:val="nil"/>
              <w:left w:val="nil"/>
              <w:bottom w:val="single" w:color="auto" w:sz="4" w:space="0"/>
              <w:right w:val="single" w:color="auto" w:sz="4" w:space="0"/>
            </w:tcBorders>
            <w:vAlign w:val="center"/>
          </w:tcPr>
          <w:p w14:paraId="3891DC01">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每月问题整改完成率：90%-95%扣0.5分，85%-90%扣1分，85%分以下扣1.5分。问题整改及时率：85%分以下扣1分,85%以上不扣分。实测实量比例需达到100%，实测比例一项达不到要求，扣0.5分。扣完为止</w:t>
            </w:r>
          </w:p>
        </w:tc>
        <w:tc>
          <w:tcPr>
            <w:tcW w:w="992" w:type="dxa"/>
            <w:tcBorders>
              <w:top w:val="nil"/>
              <w:left w:val="nil"/>
              <w:bottom w:val="single" w:color="auto" w:sz="4" w:space="0"/>
              <w:right w:val="single" w:color="auto" w:sz="4" w:space="0"/>
            </w:tcBorders>
            <w:noWrap/>
            <w:vAlign w:val="bottom"/>
          </w:tcPr>
          <w:p w14:paraId="5131E86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10</w:t>
            </w:r>
          </w:p>
        </w:tc>
        <w:tc>
          <w:tcPr>
            <w:tcW w:w="1134" w:type="dxa"/>
            <w:tcBorders>
              <w:top w:val="nil"/>
              <w:left w:val="nil"/>
              <w:bottom w:val="single" w:color="auto" w:sz="4" w:space="0"/>
              <w:right w:val="single" w:color="auto" w:sz="4" w:space="0"/>
            </w:tcBorders>
            <w:noWrap/>
            <w:vAlign w:val="bottom"/>
          </w:tcPr>
          <w:p w14:paraId="082DE57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03E131B4">
        <w:tblPrEx>
          <w:tblCellMar>
            <w:top w:w="0" w:type="dxa"/>
            <w:left w:w="108" w:type="dxa"/>
            <w:bottom w:w="0" w:type="dxa"/>
            <w:right w:w="108" w:type="dxa"/>
          </w:tblCellMar>
        </w:tblPrEx>
        <w:trPr>
          <w:trHeight w:val="1320" w:hRule="atLeast"/>
        </w:trPr>
        <w:tc>
          <w:tcPr>
            <w:tcW w:w="1716" w:type="dxa"/>
            <w:vMerge w:val="continue"/>
            <w:tcBorders>
              <w:top w:val="nil"/>
              <w:left w:val="single" w:color="auto" w:sz="4" w:space="0"/>
              <w:bottom w:val="single" w:color="auto" w:sz="4" w:space="0"/>
              <w:right w:val="single" w:color="auto" w:sz="4" w:space="0"/>
            </w:tcBorders>
            <w:vAlign w:val="center"/>
          </w:tcPr>
          <w:p w14:paraId="45B70312">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5AFF7C7D">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第三方评估</w:t>
            </w:r>
          </w:p>
        </w:tc>
        <w:tc>
          <w:tcPr>
            <w:tcW w:w="7796" w:type="dxa"/>
            <w:tcBorders>
              <w:top w:val="nil"/>
              <w:left w:val="nil"/>
              <w:bottom w:val="single" w:color="auto" w:sz="4" w:space="0"/>
              <w:right w:val="single" w:color="auto" w:sz="4" w:space="0"/>
            </w:tcBorders>
            <w:vAlign w:val="center"/>
          </w:tcPr>
          <w:p w14:paraId="469B3FBB">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br w:type="page"/>
            </w:r>
            <w:r>
              <w:rPr>
                <w:rFonts w:cs="宋体" w:asciiTheme="minorEastAsia" w:hAnsiTheme="minorEastAsia" w:eastAsiaTheme="minorEastAsia"/>
                <w:color w:val="auto"/>
                <w:kern w:val="0"/>
                <w:szCs w:val="21"/>
                <w:highlight w:val="none"/>
              </w:rPr>
              <w:t>第三方评估综合得分低于8</w:t>
            </w:r>
            <w:r>
              <w:rPr>
                <w:rFonts w:hint="eastAsia" w:cs="宋体" w:asciiTheme="minorEastAsia" w:hAnsiTheme="minorEastAsia" w:eastAsiaTheme="minorEastAsia"/>
                <w:color w:val="auto"/>
                <w:kern w:val="0"/>
                <w:szCs w:val="21"/>
                <w:highlight w:val="none"/>
              </w:rPr>
              <w:t>8</w:t>
            </w:r>
            <w:r>
              <w:rPr>
                <w:rFonts w:cs="宋体" w:asciiTheme="minorEastAsia" w:hAnsiTheme="minorEastAsia" w:eastAsiaTheme="minorEastAsia"/>
                <w:color w:val="auto"/>
                <w:kern w:val="0"/>
                <w:szCs w:val="21"/>
                <w:highlight w:val="none"/>
              </w:rPr>
              <w:t>分或分项得分低于80，一次扣2分；第三方评估综合得分小于80分或分项得分低于75，一次扣4分。每次评估完成后15天内整改完成，整改未完成每次扣2分。扣完为止</w:t>
            </w:r>
          </w:p>
        </w:tc>
        <w:tc>
          <w:tcPr>
            <w:tcW w:w="992" w:type="dxa"/>
            <w:tcBorders>
              <w:top w:val="nil"/>
              <w:left w:val="nil"/>
              <w:bottom w:val="single" w:color="auto" w:sz="4" w:space="0"/>
              <w:right w:val="single" w:color="auto" w:sz="4" w:space="0"/>
            </w:tcBorders>
            <w:noWrap/>
            <w:vAlign w:val="bottom"/>
          </w:tcPr>
          <w:p w14:paraId="5C3C3917">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10</w:t>
            </w:r>
          </w:p>
        </w:tc>
        <w:tc>
          <w:tcPr>
            <w:tcW w:w="1134" w:type="dxa"/>
            <w:tcBorders>
              <w:top w:val="nil"/>
              <w:left w:val="nil"/>
              <w:bottom w:val="single" w:color="auto" w:sz="4" w:space="0"/>
              <w:right w:val="single" w:color="auto" w:sz="4" w:space="0"/>
            </w:tcBorders>
            <w:noWrap/>
            <w:vAlign w:val="bottom"/>
          </w:tcPr>
          <w:p w14:paraId="2DBA82B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7BBAA932">
        <w:tblPrEx>
          <w:tblCellMar>
            <w:top w:w="0" w:type="dxa"/>
            <w:left w:w="108" w:type="dxa"/>
            <w:bottom w:w="0" w:type="dxa"/>
            <w:right w:w="108" w:type="dxa"/>
          </w:tblCellMar>
        </w:tblPrEx>
        <w:trPr>
          <w:trHeight w:val="1320" w:hRule="atLeast"/>
        </w:trPr>
        <w:tc>
          <w:tcPr>
            <w:tcW w:w="1716" w:type="dxa"/>
            <w:vMerge w:val="restart"/>
            <w:tcBorders>
              <w:top w:val="nil"/>
              <w:left w:val="single" w:color="auto" w:sz="4" w:space="0"/>
              <w:bottom w:val="single" w:color="auto" w:sz="4" w:space="0"/>
              <w:right w:val="single" w:color="auto" w:sz="4" w:space="0"/>
            </w:tcBorders>
            <w:vAlign w:val="center"/>
          </w:tcPr>
          <w:p w14:paraId="78F063E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项目部</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（55分）</w:t>
            </w:r>
          </w:p>
        </w:tc>
        <w:tc>
          <w:tcPr>
            <w:tcW w:w="2127" w:type="dxa"/>
            <w:tcBorders>
              <w:top w:val="nil"/>
              <w:left w:val="nil"/>
              <w:bottom w:val="single" w:color="auto" w:sz="4" w:space="0"/>
              <w:right w:val="single" w:color="auto" w:sz="4" w:space="0"/>
            </w:tcBorders>
            <w:vAlign w:val="center"/>
          </w:tcPr>
          <w:p w14:paraId="6EC66ED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现场管理人员</w:t>
            </w:r>
          </w:p>
        </w:tc>
        <w:tc>
          <w:tcPr>
            <w:tcW w:w="7796" w:type="dxa"/>
            <w:tcBorders>
              <w:top w:val="nil"/>
              <w:left w:val="nil"/>
              <w:bottom w:val="single" w:color="auto" w:sz="4" w:space="0"/>
              <w:right w:val="single" w:color="auto" w:sz="4" w:space="0"/>
            </w:tcBorders>
            <w:vAlign w:val="center"/>
          </w:tcPr>
          <w:p w14:paraId="188897E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施工单位管理人员严格按中标文件中人员配备，不得随意更换，未经批准更换，每更换一人扣1分；</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项目经理每个月累计离开现场时间不得超过3个日历天，每超过一天，扣1分；专职安全员不擅自离开施工现场，每发现一次扣1分。扣完为止</w:t>
            </w:r>
          </w:p>
        </w:tc>
        <w:tc>
          <w:tcPr>
            <w:tcW w:w="992" w:type="dxa"/>
            <w:tcBorders>
              <w:top w:val="nil"/>
              <w:left w:val="nil"/>
              <w:bottom w:val="single" w:color="auto" w:sz="4" w:space="0"/>
              <w:right w:val="single" w:color="auto" w:sz="4" w:space="0"/>
            </w:tcBorders>
            <w:noWrap/>
            <w:vAlign w:val="bottom"/>
          </w:tcPr>
          <w:p w14:paraId="22BDAC57">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5</w:t>
            </w:r>
          </w:p>
        </w:tc>
        <w:tc>
          <w:tcPr>
            <w:tcW w:w="1134" w:type="dxa"/>
            <w:tcBorders>
              <w:top w:val="nil"/>
              <w:left w:val="nil"/>
              <w:bottom w:val="single" w:color="auto" w:sz="4" w:space="0"/>
              <w:right w:val="single" w:color="auto" w:sz="4" w:space="0"/>
            </w:tcBorders>
            <w:noWrap/>
            <w:vAlign w:val="bottom"/>
          </w:tcPr>
          <w:p w14:paraId="10113B7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20E08187">
        <w:tblPrEx>
          <w:tblCellMar>
            <w:top w:w="0" w:type="dxa"/>
            <w:left w:w="108" w:type="dxa"/>
            <w:bottom w:w="0" w:type="dxa"/>
            <w:right w:w="108" w:type="dxa"/>
          </w:tblCellMar>
        </w:tblPrEx>
        <w:trPr>
          <w:trHeight w:val="1680" w:hRule="atLeast"/>
        </w:trPr>
        <w:tc>
          <w:tcPr>
            <w:tcW w:w="1716" w:type="dxa"/>
            <w:vMerge w:val="continue"/>
            <w:tcBorders>
              <w:top w:val="nil"/>
              <w:left w:val="single" w:color="auto" w:sz="4" w:space="0"/>
              <w:bottom w:val="single" w:color="auto" w:sz="4" w:space="0"/>
              <w:right w:val="single" w:color="auto" w:sz="4" w:space="0"/>
            </w:tcBorders>
            <w:vAlign w:val="center"/>
          </w:tcPr>
          <w:p w14:paraId="736991B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16B4310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工程进度</w:t>
            </w:r>
          </w:p>
        </w:tc>
        <w:tc>
          <w:tcPr>
            <w:tcW w:w="7796" w:type="dxa"/>
            <w:tcBorders>
              <w:top w:val="nil"/>
              <w:left w:val="nil"/>
              <w:bottom w:val="single" w:color="auto" w:sz="4" w:space="0"/>
              <w:right w:val="single" w:color="auto" w:sz="4" w:space="0"/>
            </w:tcBorders>
            <w:vAlign w:val="center"/>
          </w:tcPr>
          <w:p w14:paraId="6B8E421E">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各进度节点在合同的要求范围内,未进入预警。</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（1）施工进度严格按照项目总计划执行，没有滞后现象；满足要求得4分</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（2）出现滞后现象后能主动、及时采取赶工措施；满足要求得3分</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（3）按期竣工。满足要求得3分</w:t>
            </w:r>
          </w:p>
        </w:tc>
        <w:tc>
          <w:tcPr>
            <w:tcW w:w="992" w:type="dxa"/>
            <w:tcBorders>
              <w:top w:val="nil"/>
              <w:left w:val="nil"/>
              <w:bottom w:val="single" w:color="auto" w:sz="4" w:space="0"/>
              <w:right w:val="single" w:color="auto" w:sz="4" w:space="0"/>
            </w:tcBorders>
            <w:noWrap/>
            <w:vAlign w:val="bottom"/>
          </w:tcPr>
          <w:p w14:paraId="06108B2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10</w:t>
            </w:r>
          </w:p>
        </w:tc>
        <w:tc>
          <w:tcPr>
            <w:tcW w:w="1134" w:type="dxa"/>
            <w:tcBorders>
              <w:top w:val="nil"/>
              <w:left w:val="nil"/>
              <w:bottom w:val="single" w:color="auto" w:sz="4" w:space="0"/>
              <w:right w:val="single" w:color="auto" w:sz="4" w:space="0"/>
            </w:tcBorders>
            <w:noWrap/>
            <w:vAlign w:val="bottom"/>
          </w:tcPr>
          <w:p w14:paraId="5FD1749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37F6EE20">
        <w:tblPrEx>
          <w:tblCellMar>
            <w:top w:w="0" w:type="dxa"/>
            <w:left w:w="108" w:type="dxa"/>
            <w:bottom w:w="0" w:type="dxa"/>
            <w:right w:w="108" w:type="dxa"/>
          </w:tblCellMar>
        </w:tblPrEx>
        <w:trPr>
          <w:trHeight w:val="683" w:hRule="atLeast"/>
        </w:trPr>
        <w:tc>
          <w:tcPr>
            <w:tcW w:w="1716" w:type="dxa"/>
            <w:vMerge w:val="continue"/>
            <w:tcBorders>
              <w:top w:val="nil"/>
              <w:left w:val="single" w:color="auto" w:sz="4" w:space="0"/>
              <w:bottom w:val="single" w:color="auto" w:sz="4" w:space="0"/>
              <w:right w:val="single" w:color="auto" w:sz="4" w:space="0"/>
            </w:tcBorders>
            <w:vAlign w:val="center"/>
          </w:tcPr>
          <w:p w14:paraId="408EA375">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2225218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农民工管理</w:t>
            </w:r>
          </w:p>
        </w:tc>
        <w:tc>
          <w:tcPr>
            <w:tcW w:w="7796" w:type="dxa"/>
            <w:tcBorders>
              <w:top w:val="nil"/>
              <w:left w:val="nil"/>
              <w:bottom w:val="single" w:color="auto" w:sz="4" w:space="0"/>
              <w:right w:val="single" w:color="auto" w:sz="4" w:space="0"/>
            </w:tcBorders>
            <w:vAlign w:val="center"/>
          </w:tcPr>
          <w:p w14:paraId="5275C043">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民工管理良好,工资发放及时,未发生民工闹事。每出现一次扣2分，扣完为止。</w:t>
            </w:r>
          </w:p>
        </w:tc>
        <w:tc>
          <w:tcPr>
            <w:tcW w:w="992" w:type="dxa"/>
            <w:tcBorders>
              <w:top w:val="nil"/>
              <w:left w:val="nil"/>
              <w:bottom w:val="single" w:color="auto" w:sz="4" w:space="0"/>
              <w:right w:val="single" w:color="auto" w:sz="4" w:space="0"/>
            </w:tcBorders>
            <w:noWrap/>
            <w:vAlign w:val="bottom"/>
          </w:tcPr>
          <w:p w14:paraId="31E8386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4</w:t>
            </w:r>
          </w:p>
        </w:tc>
        <w:tc>
          <w:tcPr>
            <w:tcW w:w="1134" w:type="dxa"/>
            <w:tcBorders>
              <w:top w:val="nil"/>
              <w:left w:val="nil"/>
              <w:bottom w:val="single" w:color="auto" w:sz="4" w:space="0"/>
              <w:right w:val="single" w:color="auto" w:sz="4" w:space="0"/>
            </w:tcBorders>
            <w:noWrap/>
            <w:vAlign w:val="bottom"/>
          </w:tcPr>
          <w:p w14:paraId="0C8DF17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55289B60">
        <w:tblPrEx>
          <w:tblCellMar>
            <w:top w:w="0" w:type="dxa"/>
            <w:left w:w="108" w:type="dxa"/>
            <w:bottom w:w="0" w:type="dxa"/>
            <w:right w:w="108" w:type="dxa"/>
          </w:tblCellMar>
        </w:tblPrEx>
        <w:trPr>
          <w:trHeight w:val="1215" w:hRule="atLeast"/>
        </w:trPr>
        <w:tc>
          <w:tcPr>
            <w:tcW w:w="1716" w:type="dxa"/>
            <w:vMerge w:val="continue"/>
            <w:tcBorders>
              <w:top w:val="nil"/>
              <w:left w:val="single" w:color="auto" w:sz="4" w:space="0"/>
              <w:bottom w:val="single" w:color="auto" w:sz="4" w:space="0"/>
              <w:right w:val="single" w:color="auto" w:sz="4" w:space="0"/>
            </w:tcBorders>
            <w:vAlign w:val="center"/>
          </w:tcPr>
          <w:p w14:paraId="030B08A0">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13D01F2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分包单位管理</w:t>
            </w:r>
          </w:p>
        </w:tc>
        <w:tc>
          <w:tcPr>
            <w:tcW w:w="7796" w:type="dxa"/>
            <w:tcBorders>
              <w:top w:val="nil"/>
              <w:left w:val="nil"/>
              <w:bottom w:val="single" w:color="auto" w:sz="4" w:space="0"/>
              <w:right w:val="single" w:color="auto" w:sz="4" w:space="0"/>
            </w:tcBorders>
            <w:vAlign w:val="center"/>
          </w:tcPr>
          <w:p w14:paraId="07ADD5CD">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是否拖欠民工工资及供应商材料款；是否违法转包、分包；是否违反合同规定停工；是否恶意煽动民工围攻建设方办公场所；是否不听从建设方或监理单位现场管理等。</w:t>
            </w:r>
          </w:p>
        </w:tc>
        <w:tc>
          <w:tcPr>
            <w:tcW w:w="992" w:type="dxa"/>
            <w:tcBorders>
              <w:top w:val="nil"/>
              <w:left w:val="nil"/>
              <w:bottom w:val="single" w:color="auto" w:sz="4" w:space="0"/>
              <w:right w:val="single" w:color="auto" w:sz="4" w:space="0"/>
            </w:tcBorders>
            <w:noWrap/>
            <w:vAlign w:val="bottom"/>
          </w:tcPr>
          <w:p w14:paraId="3240ED4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4</w:t>
            </w:r>
          </w:p>
        </w:tc>
        <w:tc>
          <w:tcPr>
            <w:tcW w:w="1134" w:type="dxa"/>
            <w:tcBorders>
              <w:top w:val="nil"/>
              <w:left w:val="nil"/>
              <w:bottom w:val="single" w:color="auto" w:sz="4" w:space="0"/>
              <w:right w:val="single" w:color="auto" w:sz="4" w:space="0"/>
            </w:tcBorders>
            <w:noWrap/>
            <w:vAlign w:val="bottom"/>
          </w:tcPr>
          <w:p w14:paraId="28F4D6C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289D896A">
        <w:tblPrEx>
          <w:tblCellMar>
            <w:top w:w="0" w:type="dxa"/>
            <w:left w:w="108" w:type="dxa"/>
            <w:bottom w:w="0" w:type="dxa"/>
            <w:right w:w="108" w:type="dxa"/>
          </w:tblCellMar>
        </w:tblPrEx>
        <w:trPr>
          <w:trHeight w:val="1020" w:hRule="atLeast"/>
        </w:trPr>
        <w:tc>
          <w:tcPr>
            <w:tcW w:w="1716" w:type="dxa"/>
            <w:vMerge w:val="continue"/>
            <w:tcBorders>
              <w:top w:val="nil"/>
              <w:left w:val="single" w:color="auto" w:sz="4" w:space="0"/>
              <w:bottom w:val="single" w:color="auto" w:sz="4" w:space="0"/>
              <w:right w:val="single" w:color="auto" w:sz="4" w:space="0"/>
            </w:tcBorders>
            <w:vAlign w:val="center"/>
          </w:tcPr>
          <w:p w14:paraId="792ABAB0">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51E3439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专项施工方案及</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图纸会审</w:t>
            </w:r>
          </w:p>
        </w:tc>
        <w:tc>
          <w:tcPr>
            <w:tcW w:w="7796" w:type="dxa"/>
            <w:tcBorders>
              <w:top w:val="nil"/>
              <w:left w:val="nil"/>
              <w:bottom w:val="single" w:color="auto" w:sz="4" w:space="0"/>
              <w:right w:val="single" w:color="auto" w:sz="4" w:space="0"/>
            </w:tcBorders>
            <w:vAlign w:val="center"/>
          </w:tcPr>
          <w:p w14:paraId="490812F1">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专项施工方案及时送审,并及时将审核意见补充落实,图纸会审时必须结合相关专业图纸，发现问题及时提出。</w:t>
            </w:r>
          </w:p>
        </w:tc>
        <w:tc>
          <w:tcPr>
            <w:tcW w:w="992" w:type="dxa"/>
            <w:tcBorders>
              <w:top w:val="nil"/>
              <w:left w:val="nil"/>
              <w:bottom w:val="single" w:color="auto" w:sz="4" w:space="0"/>
              <w:right w:val="single" w:color="auto" w:sz="4" w:space="0"/>
            </w:tcBorders>
            <w:noWrap/>
            <w:vAlign w:val="bottom"/>
          </w:tcPr>
          <w:p w14:paraId="14A81A7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3</w:t>
            </w:r>
          </w:p>
        </w:tc>
        <w:tc>
          <w:tcPr>
            <w:tcW w:w="1134" w:type="dxa"/>
            <w:tcBorders>
              <w:top w:val="nil"/>
              <w:left w:val="nil"/>
              <w:bottom w:val="single" w:color="auto" w:sz="4" w:space="0"/>
              <w:right w:val="single" w:color="auto" w:sz="4" w:space="0"/>
            </w:tcBorders>
            <w:noWrap/>
            <w:vAlign w:val="bottom"/>
          </w:tcPr>
          <w:p w14:paraId="6A72695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0D359BBB">
        <w:tblPrEx>
          <w:tblCellMar>
            <w:top w:w="0" w:type="dxa"/>
            <w:left w:w="108" w:type="dxa"/>
            <w:bottom w:w="0" w:type="dxa"/>
            <w:right w:w="108" w:type="dxa"/>
          </w:tblCellMar>
        </w:tblPrEx>
        <w:trPr>
          <w:trHeight w:val="683" w:hRule="atLeast"/>
        </w:trPr>
        <w:tc>
          <w:tcPr>
            <w:tcW w:w="1716" w:type="dxa"/>
            <w:vMerge w:val="continue"/>
            <w:tcBorders>
              <w:top w:val="nil"/>
              <w:left w:val="single" w:color="auto" w:sz="4" w:space="0"/>
              <w:bottom w:val="single" w:color="auto" w:sz="4" w:space="0"/>
              <w:right w:val="single" w:color="auto" w:sz="4" w:space="0"/>
            </w:tcBorders>
            <w:vAlign w:val="center"/>
          </w:tcPr>
          <w:p w14:paraId="4AE257C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2E1B4ED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安全文明施工</w:t>
            </w:r>
          </w:p>
        </w:tc>
        <w:tc>
          <w:tcPr>
            <w:tcW w:w="7796" w:type="dxa"/>
            <w:tcBorders>
              <w:top w:val="nil"/>
              <w:left w:val="nil"/>
              <w:bottom w:val="single" w:color="auto" w:sz="4" w:space="0"/>
              <w:right w:val="single" w:color="auto" w:sz="4" w:space="0"/>
            </w:tcBorders>
            <w:vAlign w:val="center"/>
          </w:tcPr>
          <w:p w14:paraId="76C17535">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服从甲方、监理及总包的安全文明施工管理要求,管好自身的安全文明施工,不得出现安全事故。</w:t>
            </w:r>
          </w:p>
        </w:tc>
        <w:tc>
          <w:tcPr>
            <w:tcW w:w="992" w:type="dxa"/>
            <w:tcBorders>
              <w:top w:val="nil"/>
              <w:left w:val="nil"/>
              <w:bottom w:val="single" w:color="auto" w:sz="4" w:space="0"/>
              <w:right w:val="single" w:color="auto" w:sz="4" w:space="0"/>
            </w:tcBorders>
            <w:noWrap/>
            <w:vAlign w:val="bottom"/>
          </w:tcPr>
          <w:p w14:paraId="6DD3804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3</w:t>
            </w:r>
          </w:p>
        </w:tc>
        <w:tc>
          <w:tcPr>
            <w:tcW w:w="1134" w:type="dxa"/>
            <w:tcBorders>
              <w:top w:val="nil"/>
              <w:left w:val="nil"/>
              <w:bottom w:val="single" w:color="auto" w:sz="4" w:space="0"/>
              <w:right w:val="single" w:color="auto" w:sz="4" w:space="0"/>
            </w:tcBorders>
            <w:noWrap/>
            <w:vAlign w:val="bottom"/>
          </w:tcPr>
          <w:p w14:paraId="03FA845D">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34F7D00C">
        <w:tblPrEx>
          <w:tblCellMar>
            <w:top w:w="0" w:type="dxa"/>
            <w:left w:w="108" w:type="dxa"/>
            <w:bottom w:w="0" w:type="dxa"/>
            <w:right w:w="108" w:type="dxa"/>
          </w:tblCellMar>
        </w:tblPrEx>
        <w:trPr>
          <w:trHeight w:val="2460" w:hRule="atLeast"/>
        </w:trPr>
        <w:tc>
          <w:tcPr>
            <w:tcW w:w="1716" w:type="dxa"/>
            <w:vMerge w:val="continue"/>
            <w:tcBorders>
              <w:top w:val="nil"/>
              <w:left w:val="single" w:color="auto" w:sz="4" w:space="0"/>
              <w:bottom w:val="single" w:color="auto" w:sz="4" w:space="0"/>
              <w:right w:val="single" w:color="auto" w:sz="4" w:space="0"/>
            </w:tcBorders>
            <w:vAlign w:val="center"/>
          </w:tcPr>
          <w:p w14:paraId="79ECDC2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0D65FCFC">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施工过程质量管</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控</w:t>
            </w:r>
          </w:p>
        </w:tc>
        <w:tc>
          <w:tcPr>
            <w:tcW w:w="7796" w:type="dxa"/>
            <w:tcBorders>
              <w:top w:val="nil"/>
              <w:left w:val="nil"/>
              <w:bottom w:val="single" w:color="auto" w:sz="4" w:space="0"/>
              <w:right w:val="single" w:color="auto" w:sz="4" w:space="0"/>
            </w:tcBorders>
            <w:vAlign w:val="center"/>
          </w:tcPr>
          <w:p w14:paraId="18528027">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按专项施工方案保质保量完成合同,不得发生触碰质量管理红线,对各级检查发现的质量问题积极整改并及时回复。</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（1）工程施工阶段未出现因自身原因发生的质量不合格或返工事件；满足得2分</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（2）工程验收及竣工验收中均一次交验合格；满足得2分</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（3）能积极配合监理单位的工作，对监理提出的现场质量、安全、进度方面的问题能积极进行整改。满足得2分</w:t>
            </w:r>
          </w:p>
        </w:tc>
        <w:tc>
          <w:tcPr>
            <w:tcW w:w="992" w:type="dxa"/>
            <w:tcBorders>
              <w:top w:val="nil"/>
              <w:left w:val="nil"/>
              <w:bottom w:val="single" w:color="auto" w:sz="4" w:space="0"/>
              <w:right w:val="single" w:color="auto" w:sz="4" w:space="0"/>
            </w:tcBorders>
            <w:noWrap/>
            <w:vAlign w:val="center"/>
          </w:tcPr>
          <w:p w14:paraId="7A6361A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6</w:t>
            </w:r>
          </w:p>
        </w:tc>
        <w:tc>
          <w:tcPr>
            <w:tcW w:w="1134" w:type="dxa"/>
            <w:tcBorders>
              <w:top w:val="nil"/>
              <w:left w:val="nil"/>
              <w:bottom w:val="single" w:color="auto" w:sz="4" w:space="0"/>
              <w:right w:val="single" w:color="auto" w:sz="4" w:space="0"/>
            </w:tcBorders>
            <w:noWrap/>
            <w:vAlign w:val="bottom"/>
          </w:tcPr>
          <w:p w14:paraId="02B7E0E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55A4218F">
        <w:tblPrEx>
          <w:tblCellMar>
            <w:top w:w="0" w:type="dxa"/>
            <w:left w:w="108" w:type="dxa"/>
            <w:bottom w:w="0" w:type="dxa"/>
            <w:right w:w="108" w:type="dxa"/>
          </w:tblCellMar>
        </w:tblPrEx>
        <w:trPr>
          <w:trHeight w:val="683" w:hRule="atLeast"/>
        </w:trPr>
        <w:tc>
          <w:tcPr>
            <w:tcW w:w="1716" w:type="dxa"/>
            <w:vMerge w:val="continue"/>
            <w:tcBorders>
              <w:top w:val="nil"/>
              <w:left w:val="single" w:color="auto" w:sz="4" w:space="0"/>
              <w:bottom w:val="single" w:color="auto" w:sz="4" w:space="0"/>
              <w:right w:val="single" w:color="auto" w:sz="4" w:space="0"/>
            </w:tcBorders>
            <w:vAlign w:val="center"/>
          </w:tcPr>
          <w:p w14:paraId="44F1CEA5">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68BE901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现场履约</w:t>
            </w:r>
          </w:p>
        </w:tc>
        <w:tc>
          <w:tcPr>
            <w:tcW w:w="7796" w:type="dxa"/>
            <w:tcBorders>
              <w:top w:val="nil"/>
              <w:left w:val="nil"/>
              <w:bottom w:val="single" w:color="auto" w:sz="4" w:space="0"/>
              <w:right w:val="single" w:color="auto" w:sz="4" w:space="0"/>
            </w:tcBorders>
            <w:vAlign w:val="center"/>
          </w:tcPr>
          <w:p w14:paraId="3068268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是否存在转包、转卖,经营模式改变和私自更换项目经理等重大履约风险等行为。</w:t>
            </w:r>
          </w:p>
        </w:tc>
        <w:tc>
          <w:tcPr>
            <w:tcW w:w="992" w:type="dxa"/>
            <w:tcBorders>
              <w:top w:val="nil"/>
              <w:left w:val="nil"/>
              <w:bottom w:val="single" w:color="auto" w:sz="4" w:space="0"/>
              <w:right w:val="single" w:color="auto" w:sz="4" w:space="0"/>
            </w:tcBorders>
            <w:noWrap/>
            <w:vAlign w:val="bottom"/>
          </w:tcPr>
          <w:p w14:paraId="5555251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3</w:t>
            </w:r>
          </w:p>
        </w:tc>
        <w:tc>
          <w:tcPr>
            <w:tcW w:w="1134" w:type="dxa"/>
            <w:tcBorders>
              <w:top w:val="nil"/>
              <w:left w:val="nil"/>
              <w:bottom w:val="single" w:color="auto" w:sz="4" w:space="0"/>
              <w:right w:val="single" w:color="auto" w:sz="4" w:space="0"/>
            </w:tcBorders>
            <w:noWrap/>
            <w:vAlign w:val="bottom"/>
          </w:tcPr>
          <w:p w14:paraId="57A08FD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01D4A2B8">
        <w:tblPrEx>
          <w:tblCellMar>
            <w:top w:w="0" w:type="dxa"/>
            <w:left w:w="108" w:type="dxa"/>
            <w:bottom w:w="0" w:type="dxa"/>
            <w:right w:w="108" w:type="dxa"/>
          </w:tblCellMar>
        </w:tblPrEx>
        <w:trPr>
          <w:trHeight w:val="683" w:hRule="atLeast"/>
        </w:trPr>
        <w:tc>
          <w:tcPr>
            <w:tcW w:w="1716" w:type="dxa"/>
            <w:vMerge w:val="continue"/>
            <w:tcBorders>
              <w:top w:val="nil"/>
              <w:left w:val="single" w:color="auto" w:sz="4" w:space="0"/>
              <w:bottom w:val="single" w:color="auto" w:sz="4" w:space="0"/>
              <w:right w:val="single" w:color="auto" w:sz="4" w:space="0"/>
            </w:tcBorders>
            <w:vAlign w:val="center"/>
          </w:tcPr>
          <w:p w14:paraId="202B8CD7">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06F42097">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资料管理</w:t>
            </w:r>
          </w:p>
        </w:tc>
        <w:tc>
          <w:tcPr>
            <w:tcW w:w="7796" w:type="dxa"/>
            <w:tcBorders>
              <w:top w:val="nil"/>
              <w:left w:val="nil"/>
              <w:bottom w:val="single" w:color="auto" w:sz="4" w:space="0"/>
              <w:right w:val="single" w:color="auto" w:sz="4" w:space="0"/>
            </w:tcBorders>
            <w:vAlign w:val="center"/>
          </w:tcPr>
          <w:p w14:paraId="08768DB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需提交归档的资料收集及时、准确、真实、做到有据可循。（包含过程资料及结算资料）</w:t>
            </w:r>
          </w:p>
        </w:tc>
        <w:tc>
          <w:tcPr>
            <w:tcW w:w="992" w:type="dxa"/>
            <w:tcBorders>
              <w:top w:val="nil"/>
              <w:left w:val="nil"/>
              <w:bottom w:val="single" w:color="auto" w:sz="4" w:space="0"/>
              <w:right w:val="single" w:color="auto" w:sz="4" w:space="0"/>
            </w:tcBorders>
            <w:noWrap/>
            <w:vAlign w:val="bottom"/>
          </w:tcPr>
          <w:p w14:paraId="269C03C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5</w:t>
            </w:r>
          </w:p>
        </w:tc>
        <w:tc>
          <w:tcPr>
            <w:tcW w:w="1134" w:type="dxa"/>
            <w:tcBorders>
              <w:top w:val="nil"/>
              <w:left w:val="nil"/>
              <w:bottom w:val="single" w:color="auto" w:sz="4" w:space="0"/>
              <w:right w:val="single" w:color="auto" w:sz="4" w:space="0"/>
            </w:tcBorders>
            <w:noWrap/>
            <w:vAlign w:val="bottom"/>
          </w:tcPr>
          <w:p w14:paraId="79F931D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143A2EA6">
        <w:tblPrEx>
          <w:tblCellMar>
            <w:top w:w="0" w:type="dxa"/>
            <w:left w:w="108" w:type="dxa"/>
            <w:bottom w:w="0" w:type="dxa"/>
            <w:right w:w="108" w:type="dxa"/>
          </w:tblCellMar>
        </w:tblPrEx>
        <w:trPr>
          <w:trHeight w:val="2700" w:hRule="atLeast"/>
        </w:trPr>
        <w:tc>
          <w:tcPr>
            <w:tcW w:w="1716" w:type="dxa"/>
            <w:vMerge w:val="continue"/>
            <w:tcBorders>
              <w:top w:val="nil"/>
              <w:left w:val="single" w:color="auto" w:sz="4" w:space="0"/>
              <w:bottom w:val="single" w:color="auto" w:sz="4" w:space="0"/>
              <w:right w:val="single" w:color="auto" w:sz="4" w:space="0"/>
            </w:tcBorders>
            <w:vAlign w:val="center"/>
          </w:tcPr>
          <w:p w14:paraId="3347149D">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noWrap/>
            <w:vAlign w:val="center"/>
          </w:tcPr>
          <w:p w14:paraId="2D61B8B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配合度</w:t>
            </w:r>
          </w:p>
        </w:tc>
        <w:tc>
          <w:tcPr>
            <w:tcW w:w="7796" w:type="dxa"/>
            <w:tcBorders>
              <w:top w:val="nil"/>
              <w:left w:val="nil"/>
              <w:bottom w:val="single" w:color="auto" w:sz="4" w:space="0"/>
              <w:right w:val="single" w:color="auto" w:sz="4" w:space="0"/>
            </w:tcBorders>
            <w:vAlign w:val="center"/>
          </w:tcPr>
          <w:p w14:paraId="67E08AA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A、供方领导对合作的重视程度：1、不重视,即使要求其协调有关问题,都不起作用，经多次要求，才会出面解决问题；2、在有要求时,能出面解决问题；3、比较重视,能够主动出面协调重大问题；4、很重视,不定期的到公司/项目进行交流。0-3分</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B、能服从甲方、监理及总包的指令并按要求完成,不得出现拖延、推诿的现象。施工现场配合积极主动；对总（分）包单位的配合无扯皮、无推诿现象；项目经理组织能力强，处理问题及时性；0-4分</w:t>
            </w:r>
          </w:p>
        </w:tc>
        <w:tc>
          <w:tcPr>
            <w:tcW w:w="992" w:type="dxa"/>
            <w:tcBorders>
              <w:top w:val="nil"/>
              <w:left w:val="nil"/>
              <w:bottom w:val="single" w:color="auto" w:sz="4" w:space="0"/>
              <w:right w:val="single" w:color="auto" w:sz="4" w:space="0"/>
            </w:tcBorders>
            <w:noWrap/>
            <w:vAlign w:val="center"/>
          </w:tcPr>
          <w:p w14:paraId="31518C07">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7</w:t>
            </w:r>
          </w:p>
        </w:tc>
        <w:tc>
          <w:tcPr>
            <w:tcW w:w="1134" w:type="dxa"/>
            <w:tcBorders>
              <w:top w:val="nil"/>
              <w:left w:val="nil"/>
              <w:bottom w:val="single" w:color="auto" w:sz="4" w:space="0"/>
              <w:right w:val="single" w:color="auto" w:sz="4" w:space="0"/>
            </w:tcBorders>
            <w:noWrap/>
            <w:vAlign w:val="bottom"/>
          </w:tcPr>
          <w:p w14:paraId="39563E3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24F100DA">
        <w:tblPrEx>
          <w:tblCellMar>
            <w:top w:w="0" w:type="dxa"/>
            <w:left w:w="108" w:type="dxa"/>
            <w:bottom w:w="0" w:type="dxa"/>
            <w:right w:w="108" w:type="dxa"/>
          </w:tblCellMar>
        </w:tblPrEx>
        <w:trPr>
          <w:trHeight w:val="675" w:hRule="atLeast"/>
        </w:trPr>
        <w:tc>
          <w:tcPr>
            <w:tcW w:w="1716" w:type="dxa"/>
            <w:vMerge w:val="continue"/>
            <w:tcBorders>
              <w:top w:val="nil"/>
              <w:left w:val="single" w:color="auto" w:sz="4" w:space="0"/>
              <w:bottom w:val="single" w:color="auto" w:sz="4" w:space="0"/>
              <w:right w:val="single" w:color="auto" w:sz="4" w:space="0"/>
            </w:tcBorders>
            <w:vAlign w:val="center"/>
          </w:tcPr>
          <w:p w14:paraId="3E8947B3">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p>
        </w:tc>
        <w:tc>
          <w:tcPr>
            <w:tcW w:w="2127" w:type="dxa"/>
            <w:tcBorders>
              <w:top w:val="nil"/>
              <w:left w:val="nil"/>
              <w:bottom w:val="single" w:color="auto" w:sz="4" w:space="0"/>
              <w:right w:val="single" w:color="auto" w:sz="4" w:space="0"/>
            </w:tcBorders>
            <w:vAlign w:val="center"/>
          </w:tcPr>
          <w:p w14:paraId="3D592DA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保修期服务</w:t>
            </w:r>
          </w:p>
        </w:tc>
        <w:tc>
          <w:tcPr>
            <w:tcW w:w="7796" w:type="dxa"/>
            <w:tcBorders>
              <w:top w:val="nil"/>
              <w:left w:val="nil"/>
              <w:bottom w:val="single" w:color="auto" w:sz="4" w:space="0"/>
              <w:right w:val="single" w:color="auto" w:sz="4" w:space="0"/>
            </w:tcBorders>
            <w:vAlign w:val="center"/>
          </w:tcPr>
          <w:p w14:paraId="5A713CE0">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工程竣工交付6个月内保修情况由项目部考核，工程竣工交付6个月后保修情况由工程管理部考核</w:t>
            </w:r>
          </w:p>
        </w:tc>
        <w:tc>
          <w:tcPr>
            <w:tcW w:w="992" w:type="dxa"/>
            <w:tcBorders>
              <w:top w:val="nil"/>
              <w:left w:val="nil"/>
              <w:bottom w:val="single" w:color="auto" w:sz="4" w:space="0"/>
              <w:right w:val="single" w:color="auto" w:sz="4" w:space="0"/>
            </w:tcBorders>
            <w:noWrap/>
            <w:vAlign w:val="bottom"/>
          </w:tcPr>
          <w:p w14:paraId="63A00B4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5</w:t>
            </w:r>
          </w:p>
        </w:tc>
        <w:tc>
          <w:tcPr>
            <w:tcW w:w="1134" w:type="dxa"/>
            <w:tcBorders>
              <w:top w:val="nil"/>
              <w:left w:val="nil"/>
              <w:bottom w:val="single" w:color="auto" w:sz="4" w:space="0"/>
              <w:right w:val="single" w:color="auto" w:sz="4" w:space="0"/>
            </w:tcBorders>
            <w:noWrap/>
            <w:vAlign w:val="bottom"/>
          </w:tcPr>
          <w:p w14:paraId="4BE1120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7D4845C9">
        <w:tblPrEx>
          <w:tblCellMar>
            <w:top w:w="0" w:type="dxa"/>
            <w:left w:w="108" w:type="dxa"/>
            <w:bottom w:w="0" w:type="dxa"/>
            <w:right w:w="108" w:type="dxa"/>
          </w:tblCellMar>
        </w:tblPrEx>
        <w:trPr>
          <w:trHeight w:val="1185" w:hRule="atLeast"/>
        </w:trPr>
        <w:tc>
          <w:tcPr>
            <w:tcW w:w="3843" w:type="dxa"/>
            <w:gridSpan w:val="2"/>
            <w:tcBorders>
              <w:top w:val="single" w:color="auto" w:sz="4" w:space="0"/>
              <w:left w:val="single" w:color="auto" w:sz="4" w:space="0"/>
              <w:bottom w:val="single" w:color="auto" w:sz="4" w:space="0"/>
              <w:right w:val="single" w:color="auto" w:sz="4" w:space="0"/>
            </w:tcBorders>
            <w:vAlign w:val="center"/>
          </w:tcPr>
          <w:p w14:paraId="7D6B840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评估结论</w:t>
            </w:r>
          </w:p>
        </w:tc>
        <w:tc>
          <w:tcPr>
            <w:tcW w:w="7796" w:type="dxa"/>
            <w:tcBorders>
              <w:top w:val="nil"/>
              <w:left w:val="nil"/>
              <w:bottom w:val="single" w:color="auto" w:sz="4" w:space="0"/>
              <w:right w:val="single" w:color="auto" w:sz="4" w:space="0"/>
            </w:tcBorders>
            <w:vAlign w:val="center"/>
          </w:tcPr>
          <w:p w14:paraId="19E70D7A">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1、得分80-100之间的列入我公司施工企业库A类</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2、得分70-79之间的列入我公司施工企业库B类</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3、得分在69以下的列入我公司施工企业库黑名单</w:t>
            </w:r>
          </w:p>
        </w:tc>
        <w:tc>
          <w:tcPr>
            <w:tcW w:w="992" w:type="dxa"/>
            <w:tcBorders>
              <w:top w:val="nil"/>
              <w:left w:val="nil"/>
              <w:bottom w:val="single" w:color="auto" w:sz="4" w:space="0"/>
              <w:right w:val="single" w:color="auto" w:sz="4" w:space="0"/>
            </w:tcBorders>
            <w:noWrap/>
            <w:vAlign w:val="bottom"/>
          </w:tcPr>
          <w:p w14:paraId="40E0779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100</w:t>
            </w:r>
          </w:p>
        </w:tc>
        <w:tc>
          <w:tcPr>
            <w:tcW w:w="1134" w:type="dxa"/>
            <w:tcBorders>
              <w:top w:val="nil"/>
              <w:left w:val="nil"/>
              <w:bottom w:val="single" w:color="auto" w:sz="4" w:space="0"/>
              <w:right w:val="single" w:color="auto" w:sz="4" w:space="0"/>
            </w:tcBorders>
            <w:noWrap/>
            <w:vAlign w:val="bottom"/>
          </w:tcPr>
          <w:p w14:paraId="43AC9E7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　</w:t>
            </w:r>
          </w:p>
        </w:tc>
      </w:tr>
      <w:tr w14:paraId="63AE5F08">
        <w:tblPrEx>
          <w:tblCellMar>
            <w:top w:w="0" w:type="dxa"/>
            <w:left w:w="108" w:type="dxa"/>
            <w:bottom w:w="0" w:type="dxa"/>
            <w:right w:w="108" w:type="dxa"/>
          </w:tblCellMar>
        </w:tblPrEx>
        <w:trPr>
          <w:trHeight w:val="3405" w:hRule="atLeast"/>
        </w:trPr>
        <w:tc>
          <w:tcPr>
            <w:tcW w:w="3843" w:type="dxa"/>
            <w:gridSpan w:val="2"/>
            <w:tcBorders>
              <w:top w:val="single" w:color="auto" w:sz="4" w:space="0"/>
              <w:left w:val="single" w:color="auto" w:sz="4" w:space="0"/>
              <w:bottom w:val="single" w:color="auto" w:sz="4" w:space="0"/>
              <w:right w:val="single" w:color="auto" w:sz="4" w:space="0"/>
            </w:tcBorders>
            <w:noWrap/>
            <w:vAlign w:val="center"/>
          </w:tcPr>
          <w:p w14:paraId="33AFE68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备注</w:t>
            </w:r>
          </w:p>
        </w:tc>
        <w:tc>
          <w:tcPr>
            <w:tcW w:w="9922" w:type="dxa"/>
            <w:gridSpan w:val="3"/>
            <w:tcBorders>
              <w:top w:val="single" w:color="auto" w:sz="4" w:space="0"/>
              <w:left w:val="nil"/>
              <w:bottom w:val="single" w:color="auto" w:sz="4" w:space="0"/>
              <w:right w:val="single" w:color="auto" w:sz="4" w:space="0"/>
            </w:tcBorders>
            <w:vAlign w:val="center"/>
          </w:tcPr>
          <w:p w14:paraId="75A9C4AC">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kern w:val="0"/>
                <w:szCs w:val="21"/>
                <w:highlight w:val="none"/>
              </w:rPr>
            </w:pPr>
            <w:r>
              <w:rPr>
                <w:rFonts w:cs="宋体" w:asciiTheme="minorEastAsia" w:hAnsiTheme="minorEastAsia" w:eastAsiaTheme="minorEastAsia"/>
                <w:color w:val="auto"/>
                <w:kern w:val="0"/>
                <w:szCs w:val="21"/>
                <w:highlight w:val="none"/>
              </w:rPr>
              <w:t>若出现以下质量、安全、农民工工资发放问题，按以下罚款约定从乙方工程进度款中直接扣除：</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1、质量事故：(包含质量低劣或达不到质量标准，需要加固修补，直接经济损失（包括修复费用）在20万以上的事故)。直接经济损失在20--50万之间，一次性罚款10万；直接经济损失在50-150万，一次罚款20万；直接经济损失150万-300万，一次罚款30万；直接经济损失在300万以上的，一次罚款经济损失的20%。</w:t>
            </w:r>
            <w:r>
              <w:rPr>
                <w:rFonts w:cs="宋体" w:asciiTheme="minorEastAsia" w:hAnsiTheme="minorEastAsia" w:eastAsiaTheme="minorEastAsia"/>
                <w:color w:val="auto"/>
                <w:kern w:val="0"/>
                <w:szCs w:val="21"/>
                <w:highlight w:val="none"/>
              </w:rPr>
              <w:br w:type="textWrapping"/>
            </w:r>
            <w:r>
              <w:rPr>
                <w:rFonts w:cs="宋体" w:asciiTheme="minorEastAsia" w:hAnsiTheme="minorEastAsia" w:eastAsiaTheme="minorEastAsia"/>
                <w:color w:val="auto"/>
                <w:kern w:val="0"/>
                <w:szCs w:val="21"/>
                <w:highlight w:val="none"/>
              </w:rPr>
              <w:t>2、出现安全事故，视轻重：发生重伤以下的生产安全事故，一起事故罚款5万；发生1-2人重伤，或直接经济损失低于50万元的生产安全事故，一起事故罚款10万；发生人员死亡或3人以上重伤，或直接经济损失超过50万元（含）的生产安全事故，一起事故罚款15万。出现问题未积极解决或后续处理不到位造成上访或诉讼另罚10万元。3、因农民工工资发放问题向公司、集团及相关劳动部门上访维权：一次罚款20万元。</w:t>
            </w:r>
          </w:p>
        </w:tc>
      </w:tr>
    </w:tbl>
    <w:p w14:paraId="508E8F44">
      <w:pPr>
        <w:widowControl/>
        <w:jc w:val="left"/>
        <w:outlineLvl w:val="9"/>
        <w:rPr>
          <w:rFonts w:asciiTheme="minorEastAsia" w:hAnsiTheme="minorEastAsia" w:eastAsiaTheme="minorEastAsia" w:cstheme="minorEastAsia"/>
          <w:color w:val="auto"/>
          <w:sz w:val="24"/>
          <w:highlight w:val="none"/>
        </w:rPr>
      </w:pPr>
      <w:r>
        <w:rPr>
          <w:rFonts w:asciiTheme="minorEastAsia" w:hAnsiTheme="minorEastAsia" w:eastAsiaTheme="minorEastAsia" w:cstheme="minorEastAsia"/>
          <w:color w:val="auto"/>
          <w:sz w:val="24"/>
          <w:highlight w:val="none"/>
        </w:rPr>
        <w:br w:type="page"/>
      </w:r>
    </w:p>
    <w:p w14:paraId="557A8A1C">
      <w:pPr>
        <w:widowControl/>
        <w:jc w:val="left"/>
        <w:outlineLvl w:val="9"/>
        <w:rPr>
          <w:rFonts w:asciiTheme="minorEastAsia" w:hAnsiTheme="minorEastAsia" w:eastAsiaTheme="minorEastAsia" w:cstheme="minorEastAsia"/>
          <w:color w:val="auto"/>
          <w:sz w:val="24"/>
          <w:highlight w:val="none"/>
        </w:rPr>
        <w:sectPr>
          <w:pgSz w:w="15840" w:h="12240" w:orient="landscape"/>
          <w:pgMar w:top="1361" w:right="1134" w:bottom="1361" w:left="1134" w:header="567" w:footer="567" w:gutter="0"/>
          <w:pgBorders>
            <w:top w:val="none" w:sz="0" w:space="0"/>
            <w:left w:val="none" w:sz="0" w:space="0"/>
            <w:bottom w:val="none" w:sz="0" w:space="0"/>
            <w:right w:val="none" w:sz="0" w:space="0"/>
          </w:pgBorders>
          <w:cols w:space="0" w:num="1"/>
          <w:titlePg/>
          <w:docGrid w:linePitch="312" w:charSpace="0"/>
        </w:sectPr>
      </w:pPr>
    </w:p>
    <w:p w14:paraId="46178322">
      <w:pPr>
        <w:widowControl/>
        <w:adjustRightInd w:val="0"/>
        <w:snapToGrid w:val="0"/>
        <w:spacing w:line="360" w:lineRule="auto"/>
        <w:jc w:val="left"/>
        <w:outlineLvl w:val="9"/>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附件二十</w:t>
      </w:r>
      <w:r>
        <w:rPr>
          <w:rFonts w:hint="eastAsia" w:asciiTheme="minorEastAsia" w:hAnsiTheme="minorEastAsia" w:eastAsiaTheme="minorEastAsia" w:cstheme="minorEastAsia"/>
          <w:color w:val="auto"/>
          <w:sz w:val="21"/>
          <w:szCs w:val="21"/>
          <w:highlight w:val="none"/>
          <w:lang w:val="en-US" w:eastAsia="zh-CN"/>
        </w:rPr>
        <w:t>六</w:t>
      </w:r>
      <w:r>
        <w:rPr>
          <w:rFonts w:hint="eastAsia" w:asciiTheme="minorEastAsia" w:hAnsiTheme="minorEastAsia" w:eastAsiaTheme="minorEastAsia" w:cstheme="minorEastAsia"/>
          <w:color w:val="auto"/>
          <w:sz w:val="21"/>
          <w:szCs w:val="21"/>
          <w:highlight w:val="none"/>
        </w:rPr>
        <w:t>：</w:t>
      </w:r>
    </w:p>
    <w:p w14:paraId="5EA96278">
      <w:pPr>
        <w:adjustRightInd w:val="0"/>
        <w:snapToGrid w:val="0"/>
        <w:spacing w:line="360" w:lineRule="auto"/>
        <w:jc w:val="center"/>
        <w:outlineLvl w:val="9"/>
        <w:rPr>
          <w:rFonts w:asciiTheme="minorEastAsia" w:hAnsiTheme="minorEastAsia" w:eastAsiaTheme="minorEastAsia"/>
          <w:b/>
          <w:color w:val="auto"/>
          <w:sz w:val="32"/>
          <w:szCs w:val="32"/>
          <w:highlight w:val="none"/>
        </w:rPr>
      </w:pPr>
      <w:r>
        <w:rPr>
          <w:rFonts w:hint="eastAsia" w:asciiTheme="minorEastAsia" w:hAnsiTheme="minorEastAsia" w:eastAsiaTheme="minorEastAsia"/>
          <w:b/>
          <w:color w:val="auto"/>
          <w:sz w:val="32"/>
          <w:szCs w:val="32"/>
          <w:highlight w:val="none"/>
        </w:rPr>
        <w:t>暂估价工程及暂定价材料设备管理办法</w:t>
      </w:r>
    </w:p>
    <w:p w14:paraId="41C1A708">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b/>
          <w:color w:val="auto"/>
          <w:sz w:val="21"/>
          <w:szCs w:val="21"/>
          <w:highlight w:val="none"/>
        </w:rPr>
        <w:t>一、目的</w:t>
      </w:r>
    </w:p>
    <w:p w14:paraId="091343F7">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 xml:space="preserve"> 为了规范暂估价工程及暂定价材料设备合同实质性条款，保障暂估价工程及暂定价材料设备合同签订工作的时效性，确保总包单位按期支付暂估价工程及暂定价材料设备进度款、结算款及质保金，特制定本管理办法。</w:t>
      </w:r>
    </w:p>
    <w:p w14:paraId="36B614F5">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b/>
          <w:color w:val="auto"/>
          <w:sz w:val="21"/>
          <w:szCs w:val="21"/>
          <w:highlight w:val="none"/>
        </w:rPr>
        <w:t>二、适用范围</w:t>
      </w:r>
    </w:p>
    <w:p w14:paraId="40D0AFCD">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 xml:space="preserve">    本管理办法适用于我公司所有自开发项目的暂估价工程及暂定价材料设备管理工作。</w:t>
      </w:r>
    </w:p>
    <w:p w14:paraId="609009D5">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b/>
          <w:color w:val="auto"/>
          <w:sz w:val="21"/>
          <w:szCs w:val="21"/>
          <w:highlight w:val="none"/>
        </w:rPr>
        <w:t>三、职责</w:t>
      </w:r>
    </w:p>
    <w:p w14:paraId="10D3FAE3">
      <w:pPr>
        <w:adjustRightInd w:val="0"/>
        <w:snapToGrid w:val="0"/>
        <w:spacing w:line="360" w:lineRule="auto"/>
        <w:ind w:firstLine="420" w:firstLineChars="200"/>
        <w:outlineLvl w:val="9"/>
        <w:rPr>
          <w:rFonts w:hint="eastAsia" w:asciiTheme="minorEastAsia" w:hAnsiTheme="minorEastAsia" w:eastAsiaTheme="minorEastAsia"/>
          <w:b w:val="0"/>
          <w:color w:val="auto"/>
          <w:sz w:val="21"/>
          <w:szCs w:val="21"/>
          <w:highlight w:val="none"/>
        </w:rPr>
      </w:pPr>
      <w:r>
        <w:rPr>
          <w:rFonts w:hint="eastAsia" w:asciiTheme="minorEastAsia" w:hAnsiTheme="minorEastAsia" w:eastAsiaTheme="minorEastAsia"/>
          <w:color w:val="auto"/>
          <w:sz w:val="21"/>
          <w:szCs w:val="21"/>
          <w:highlight w:val="none"/>
        </w:rPr>
        <w:t>1、招标采供部负责暂估价工程及暂定价材料设备合同的签订、监督工作。</w:t>
      </w:r>
    </w:p>
    <w:p w14:paraId="6D841388">
      <w:pPr>
        <w:adjustRightInd w:val="0"/>
        <w:snapToGrid w:val="0"/>
        <w:spacing w:line="360" w:lineRule="auto"/>
        <w:ind w:firstLine="48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2、项目部负责暂估价工程及暂定价材料设备合同签订的协调；进度款、结算款及质保金的支付申请、监督工作。</w:t>
      </w:r>
    </w:p>
    <w:p w14:paraId="1B7587AF">
      <w:pPr>
        <w:adjustRightInd w:val="0"/>
        <w:snapToGrid w:val="0"/>
        <w:spacing w:line="360" w:lineRule="auto"/>
        <w:ind w:firstLine="420" w:firstLineChars="20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3、成本管理部负责暂估价工程及暂定价材料设备进度款、结算款及质保金的审核及支付工作。</w:t>
      </w:r>
    </w:p>
    <w:p w14:paraId="57DF1E1B">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b/>
          <w:color w:val="auto"/>
          <w:sz w:val="21"/>
          <w:szCs w:val="21"/>
          <w:highlight w:val="none"/>
        </w:rPr>
        <w:t>四、暂估价工程及暂定价材料设备工程款支付比例</w:t>
      </w:r>
    </w:p>
    <w:p w14:paraId="2091D101">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color w:val="auto"/>
          <w:sz w:val="21"/>
          <w:szCs w:val="21"/>
          <w:highlight w:val="none"/>
        </w:rPr>
        <w:t>A、暂估价工程：</w:t>
      </w:r>
    </w:p>
    <w:p w14:paraId="28B73504">
      <w:pPr>
        <w:adjustRightInd w:val="0"/>
        <w:snapToGrid w:val="0"/>
        <w:spacing w:line="360" w:lineRule="auto"/>
        <w:ind w:firstLine="420" w:firstLineChars="200"/>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color w:val="auto"/>
          <w:sz w:val="21"/>
          <w:szCs w:val="21"/>
          <w:highlight w:val="none"/>
        </w:rPr>
        <w:t>（1）总包及分包单位申请的进度款</w:t>
      </w:r>
      <w:r>
        <w:rPr>
          <w:rFonts w:hint="eastAsia" w:asciiTheme="minorEastAsia" w:hAnsiTheme="minorEastAsia" w:eastAsiaTheme="minorEastAsia"/>
          <w:bCs/>
          <w:color w:val="auto"/>
          <w:sz w:val="21"/>
          <w:szCs w:val="21"/>
          <w:highlight w:val="none"/>
        </w:rPr>
        <w:t>支付至</w:t>
      </w:r>
      <w:r>
        <w:rPr>
          <w:rFonts w:hint="eastAsia" w:asciiTheme="minorEastAsia" w:hAnsiTheme="minorEastAsia" w:eastAsiaTheme="minorEastAsia"/>
          <w:color w:val="auto"/>
          <w:sz w:val="21"/>
          <w:szCs w:val="21"/>
          <w:highlight w:val="none"/>
        </w:rPr>
        <w:t>该标段暂估价工程</w:t>
      </w:r>
      <w:r>
        <w:rPr>
          <w:rFonts w:hint="eastAsia" w:asciiTheme="minorEastAsia" w:hAnsiTheme="minorEastAsia" w:eastAsiaTheme="minorEastAsia"/>
          <w:bCs/>
          <w:color w:val="auto"/>
          <w:sz w:val="21"/>
          <w:szCs w:val="21"/>
          <w:highlight w:val="none"/>
        </w:rPr>
        <w:t>合同有效金额的75％时,暂停支付。</w:t>
      </w:r>
    </w:p>
    <w:p w14:paraId="02289C60">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 xml:space="preserve">    （2）总包竣工验收完成且暂估价工程结算完成，支付至暂估价工程结算价款的90%。</w:t>
      </w:r>
    </w:p>
    <w:p w14:paraId="753B71AD">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 xml:space="preserve">    （3）总包竣工决算完成后支付至97%，余3％作为质量保修金</w:t>
      </w:r>
      <w:r>
        <w:rPr>
          <w:rFonts w:hint="eastAsia" w:asciiTheme="minorEastAsia" w:hAnsiTheme="minorEastAsia" w:eastAsiaTheme="minorEastAsia"/>
          <w:bCs/>
          <w:color w:val="auto"/>
          <w:sz w:val="21"/>
          <w:szCs w:val="21"/>
          <w:highlight w:val="none"/>
        </w:rPr>
        <w:t>。</w:t>
      </w:r>
    </w:p>
    <w:p w14:paraId="1906C8F4">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 xml:space="preserve">    B、暂定价材料设备支付比例及原则：</w:t>
      </w:r>
    </w:p>
    <w:p w14:paraId="69D8BA90">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 xml:space="preserve">    （1）若有预付款（板换、空调、装甲门、发电机组、机械车位），预付款支付不超过该标段合同金额的20%。</w:t>
      </w:r>
    </w:p>
    <w:p w14:paraId="0D779D94">
      <w:pPr>
        <w:adjustRightInd w:val="0"/>
        <w:snapToGrid w:val="0"/>
        <w:spacing w:line="360" w:lineRule="auto"/>
        <w:outlineLvl w:val="9"/>
        <w:rPr>
          <w:rFonts w:asciiTheme="minorEastAsia" w:hAnsiTheme="minorEastAsia" w:eastAsiaTheme="minorEastAsia"/>
          <w:bCs/>
          <w:color w:val="auto"/>
          <w:sz w:val="21"/>
          <w:szCs w:val="21"/>
          <w:highlight w:val="none"/>
        </w:rPr>
      </w:pPr>
      <w:r>
        <w:rPr>
          <w:rFonts w:hint="eastAsia" w:asciiTheme="minorEastAsia" w:hAnsiTheme="minorEastAsia" w:eastAsiaTheme="minorEastAsia"/>
          <w:color w:val="auto"/>
          <w:sz w:val="21"/>
          <w:szCs w:val="21"/>
          <w:highlight w:val="none"/>
        </w:rPr>
        <w:t xml:space="preserve">    （2）到货款支付不超过</w:t>
      </w:r>
      <w:r>
        <w:rPr>
          <w:rFonts w:hint="eastAsia" w:asciiTheme="minorEastAsia" w:hAnsiTheme="minorEastAsia" w:eastAsiaTheme="minorEastAsia"/>
          <w:bCs/>
          <w:color w:val="auto"/>
          <w:sz w:val="21"/>
          <w:szCs w:val="21"/>
          <w:highlight w:val="none"/>
        </w:rPr>
        <w:t>到货价款的75%。</w:t>
      </w:r>
    </w:p>
    <w:p w14:paraId="03795851">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bCs/>
          <w:color w:val="auto"/>
          <w:sz w:val="21"/>
          <w:szCs w:val="21"/>
          <w:highlight w:val="none"/>
        </w:rPr>
        <w:t xml:space="preserve">    （3）</w:t>
      </w:r>
      <w:r>
        <w:rPr>
          <w:rFonts w:hint="eastAsia" w:cs="宋体" w:asciiTheme="minorEastAsia" w:hAnsiTheme="minorEastAsia" w:eastAsiaTheme="minorEastAsia"/>
          <w:color w:val="auto"/>
          <w:kern w:val="0"/>
          <w:sz w:val="21"/>
          <w:szCs w:val="21"/>
          <w:highlight w:val="none"/>
        </w:rPr>
        <w:t>总包竣工验收完成且</w:t>
      </w:r>
      <w:r>
        <w:rPr>
          <w:rFonts w:hint="eastAsia" w:asciiTheme="minorEastAsia" w:hAnsiTheme="minorEastAsia" w:eastAsiaTheme="minorEastAsia"/>
          <w:color w:val="auto"/>
          <w:sz w:val="21"/>
          <w:szCs w:val="21"/>
          <w:highlight w:val="none"/>
        </w:rPr>
        <w:t>暂定价材料设备</w:t>
      </w:r>
      <w:r>
        <w:rPr>
          <w:rFonts w:hint="eastAsia" w:cs="宋体" w:asciiTheme="minorEastAsia" w:hAnsiTheme="minorEastAsia" w:eastAsiaTheme="minorEastAsia"/>
          <w:color w:val="auto"/>
          <w:kern w:val="0"/>
          <w:sz w:val="21"/>
          <w:szCs w:val="21"/>
          <w:highlight w:val="none"/>
        </w:rPr>
        <w:t>结算完成，</w:t>
      </w:r>
      <w:r>
        <w:rPr>
          <w:rFonts w:hint="eastAsia" w:asciiTheme="minorEastAsia" w:hAnsiTheme="minorEastAsia" w:eastAsiaTheme="minorEastAsia"/>
          <w:bCs/>
          <w:color w:val="auto"/>
          <w:sz w:val="21"/>
          <w:szCs w:val="21"/>
          <w:highlight w:val="none"/>
        </w:rPr>
        <w:t>支付至到货价款的97%，</w:t>
      </w:r>
      <w:r>
        <w:rPr>
          <w:rFonts w:hint="eastAsia" w:asciiTheme="minorEastAsia" w:hAnsiTheme="minorEastAsia" w:eastAsiaTheme="minorEastAsia"/>
          <w:color w:val="auto"/>
          <w:sz w:val="21"/>
          <w:szCs w:val="21"/>
          <w:highlight w:val="none"/>
        </w:rPr>
        <w:t>余3％</w:t>
      </w:r>
      <w:r>
        <w:rPr>
          <w:rFonts w:hint="eastAsia" w:cs="宋体" w:asciiTheme="minorEastAsia" w:hAnsiTheme="minorEastAsia" w:eastAsiaTheme="minorEastAsia"/>
          <w:color w:val="auto"/>
          <w:kern w:val="0"/>
          <w:sz w:val="21"/>
          <w:szCs w:val="21"/>
          <w:highlight w:val="none"/>
        </w:rPr>
        <w:t>作为质保金。</w:t>
      </w:r>
    </w:p>
    <w:p w14:paraId="5E56C67D">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kern w:val="0"/>
          <w:sz w:val="21"/>
          <w:szCs w:val="21"/>
          <w:highlight w:val="none"/>
        </w:rPr>
        <w:t>C、电梯采购及安装：</w:t>
      </w:r>
    </w:p>
    <w:p w14:paraId="050E7EFF">
      <w:pPr>
        <w:adjustRightInd w:val="0"/>
        <w:snapToGrid w:val="0"/>
        <w:spacing w:line="360" w:lineRule="auto"/>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（1）电梯采购：</w:t>
      </w:r>
    </w:p>
    <w:p w14:paraId="36A15CB7">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kern w:val="0"/>
          <w:sz w:val="21"/>
          <w:szCs w:val="21"/>
          <w:highlight w:val="none"/>
        </w:rPr>
        <w:t xml:space="preserve">    ①</w:t>
      </w:r>
      <w:r>
        <w:rPr>
          <w:rFonts w:hint="eastAsia" w:asciiTheme="minorEastAsia" w:hAnsiTheme="minorEastAsia" w:eastAsiaTheme="minorEastAsia"/>
          <w:color w:val="auto"/>
          <w:sz w:val="21"/>
          <w:szCs w:val="21"/>
          <w:highlight w:val="none"/>
        </w:rPr>
        <w:t>预付款支付不超过该批订货单设备价款的10%。</w:t>
      </w:r>
    </w:p>
    <w:p w14:paraId="40B5AE0D">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 xml:space="preserve">    ②提货款支付至该批订货单设备价款的55%。</w:t>
      </w:r>
    </w:p>
    <w:p w14:paraId="5F3113AA">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 xml:space="preserve">    ③到货款支付至到货设备价款的85%。</w:t>
      </w:r>
    </w:p>
    <w:p w14:paraId="6D998A37">
      <w:pPr>
        <w:adjustRightInd w:val="0"/>
        <w:snapToGrid w:val="0"/>
        <w:spacing w:line="360" w:lineRule="auto"/>
        <w:ind w:firstLine="420" w:firstLineChars="20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④电梯安装调试验收完成、相关部门检验合格且验收报告交予甲方，总包竣工验收完成且电梯设备结算完成，支付至电梯设备结算价款的97%；余3％</w:t>
      </w:r>
      <w:r>
        <w:rPr>
          <w:rFonts w:hint="eastAsia" w:cs="宋体" w:asciiTheme="minorEastAsia" w:hAnsiTheme="minorEastAsia" w:eastAsiaTheme="minorEastAsia"/>
          <w:color w:val="auto"/>
          <w:kern w:val="0"/>
          <w:sz w:val="21"/>
          <w:szCs w:val="21"/>
          <w:highlight w:val="none"/>
        </w:rPr>
        <w:t>作为质保金。</w:t>
      </w:r>
    </w:p>
    <w:p w14:paraId="79E1C7D3">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kern w:val="0"/>
          <w:sz w:val="21"/>
          <w:szCs w:val="21"/>
          <w:highlight w:val="none"/>
        </w:rPr>
        <w:t>（2）电梯安装：</w:t>
      </w:r>
    </w:p>
    <w:p w14:paraId="428EF1DB">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kern w:val="0"/>
          <w:sz w:val="21"/>
          <w:szCs w:val="21"/>
          <w:highlight w:val="none"/>
        </w:rPr>
        <w:t xml:space="preserve">    ①</w:t>
      </w:r>
      <w:r>
        <w:rPr>
          <w:rFonts w:hint="eastAsia" w:asciiTheme="minorEastAsia" w:hAnsiTheme="minorEastAsia" w:eastAsiaTheme="minorEastAsia"/>
          <w:color w:val="auto"/>
          <w:sz w:val="21"/>
          <w:szCs w:val="21"/>
          <w:highlight w:val="none"/>
        </w:rPr>
        <w:t>预付款支付不超过到货安装价款的10%。</w:t>
      </w:r>
    </w:p>
    <w:p w14:paraId="710048E9">
      <w:pPr>
        <w:adjustRightInd w:val="0"/>
        <w:snapToGrid w:val="0"/>
        <w:spacing w:line="360" w:lineRule="auto"/>
        <w:ind w:firstLine="420" w:firstLineChars="20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②电梯安装调试验收完成、相关部门检验合格且验收报告交予甲方，支付至到货安装价款85%。</w:t>
      </w:r>
    </w:p>
    <w:p w14:paraId="7F3F83CD">
      <w:pPr>
        <w:adjustRightInd w:val="0"/>
        <w:snapToGrid w:val="0"/>
        <w:spacing w:line="360" w:lineRule="auto"/>
        <w:ind w:firstLine="420" w:firstLineChars="20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③总包竣工验收完成且电梯安装结算完成，支付至电梯安装结算价款的97%；余3％</w:t>
      </w:r>
      <w:r>
        <w:rPr>
          <w:rFonts w:hint="eastAsia" w:cs="宋体" w:asciiTheme="minorEastAsia" w:hAnsiTheme="minorEastAsia" w:eastAsiaTheme="minorEastAsia"/>
          <w:color w:val="auto"/>
          <w:kern w:val="0"/>
          <w:sz w:val="21"/>
          <w:szCs w:val="21"/>
          <w:highlight w:val="none"/>
        </w:rPr>
        <w:t>作为质保金。</w:t>
      </w:r>
    </w:p>
    <w:p w14:paraId="0CDC6DC2">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b/>
          <w:color w:val="auto"/>
          <w:sz w:val="21"/>
          <w:szCs w:val="21"/>
          <w:highlight w:val="none"/>
        </w:rPr>
        <w:t>五、暂估价工程及暂定价材料设备总包管理配合费、履约保证金及结算原则</w:t>
      </w:r>
    </w:p>
    <w:p w14:paraId="5AEE3789">
      <w:pPr>
        <w:adjustRightInd w:val="0"/>
        <w:snapToGrid w:val="0"/>
        <w:spacing w:line="360" w:lineRule="auto"/>
        <w:ind w:firstLine="420" w:firstLineChars="200"/>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color w:val="auto"/>
          <w:sz w:val="21"/>
          <w:szCs w:val="21"/>
          <w:highlight w:val="none"/>
        </w:rPr>
        <w:t>1、暂估价工程及暂定价材料设备的总包管理配合费已综合考虑在承包人投标报价中，配合内容详见合同附件。</w:t>
      </w:r>
    </w:p>
    <w:p w14:paraId="7EC752F5">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 xml:space="preserve">    2、暂估价工程及暂定价材料设备合同履约保证金均为合同有效金额的3%，可按总包标段划分进行分阶段缴纳。</w:t>
      </w:r>
    </w:p>
    <w:p w14:paraId="30E39CB8">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color w:val="auto"/>
          <w:sz w:val="21"/>
          <w:szCs w:val="21"/>
          <w:highlight w:val="none"/>
        </w:rPr>
        <w:t xml:space="preserve">    3、结算原则：若暂估价工程及暂定价材料设备覆盖2个以上总包标段，按总包标段划分进行分阶段独立结算。</w:t>
      </w:r>
    </w:p>
    <w:p w14:paraId="7BC95D31">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b/>
          <w:color w:val="auto"/>
          <w:sz w:val="21"/>
          <w:szCs w:val="21"/>
          <w:highlight w:val="none"/>
        </w:rPr>
        <w:t>六、暂估价工程及暂定价材料设备合同签订时限管理</w:t>
      </w:r>
    </w:p>
    <w:p w14:paraId="33AD5B74">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 xml:space="preserve"> </w:t>
      </w:r>
      <w:r>
        <w:rPr>
          <w:rFonts w:hint="eastAsia" w:asciiTheme="minorEastAsia" w:hAnsiTheme="minorEastAsia" w:eastAsiaTheme="minorEastAsia"/>
          <w:color w:val="auto"/>
          <w:sz w:val="21"/>
          <w:szCs w:val="21"/>
          <w:highlight w:val="none"/>
          <w:lang w:val="en-US" w:eastAsia="zh-CN"/>
        </w:rPr>
        <w:t xml:space="preserve">   </w:t>
      </w:r>
      <w:r>
        <w:rPr>
          <w:rFonts w:hint="eastAsia" w:asciiTheme="minorEastAsia" w:hAnsiTheme="minorEastAsia" w:eastAsiaTheme="minorEastAsia"/>
          <w:color w:val="auto"/>
          <w:sz w:val="21"/>
          <w:szCs w:val="21"/>
          <w:highlight w:val="none"/>
        </w:rPr>
        <w:t>1、总包合同签订完成后，招标采供部30日内将所有暂估价工程及暂定价材料设备合同模板发给总包单位，总包单位</w:t>
      </w:r>
      <w:r>
        <w:rPr>
          <w:rFonts w:asciiTheme="minorEastAsia" w:hAnsiTheme="minorEastAsia" w:eastAsiaTheme="minorEastAsia"/>
          <w:color w:val="auto"/>
          <w:sz w:val="21"/>
          <w:szCs w:val="21"/>
          <w:highlight w:val="none"/>
        </w:rPr>
        <w:t>60</w:t>
      </w:r>
      <w:r>
        <w:rPr>
          <w:rFonts w:hint="eastAsia" w:asciiTheme="minorEastAsia" w:hAnsiTheme="minorEastAsia" w:eastAsiaTheme="minorEastAsia"/>
          <w:color w:val="auto"/>
          <w:sz w:val="21"/>
          <w:szCs w:val="21"/>
          <w:highlight w:val="none"/>
        </w:rPr>
        <w:t>日内完成分包合同模板的会签。会签过程中</w:t>
      </w:r>
      <w:r>
        <w:rPr>
          <w:rFonts w:hint="eastAsia" w:cs="仿宋_GB2312" w:asciiTheme="minorEastAsia" w:hAnsiTheme="minorEastAsia" w:eastAsiaTheme="minorEastAsia"/>
          <w:color w:val="auto"/>
          <w:sz w:val="21"/>
          <w:szCs w:val="21"/>
          <w:highlight w:val="none"/>
        </w:rPr>
        <w:t>若对分包合同条款有异议，须征求</w:t>
      </w:r>
      <w:r>
        <w:rPr>
          <w:rFonts w:hint="eastAsia" w:asciiTheme="minorEastAsia" w:hAnsiTheme="minorEastAsia" w:eastAsiaTheme="minorEastAsia"/>
          <w:color w:val="auto"/>
          <w:sz w:val="21"/>
          <w:szCs w:val="21"/>
          <w:highlight w:val="none"/>
        </w:rPr>
        <w:t>建设单位</w:t>
      </w:r>
      <w:r>
        <w:rPr>
          <w:rFonts w:hint="eastAsia" w:cs="仿宋_GB2312" w:asciiTheme="minorEastAsia" w:hAnsiTheme="minorEastAsia" w:eastAsiaTheme="minorEastAsia"/>
          <w:color w:val="auto"/>
          <w:sz w:val="21"/>
          <w:szCs w:val="21"/>
          <w:highlight w:val="none"/>
        </w:rPr>
        <w:t>意见，经双方协商后可增加相关条款，但合同实质性条款不允许修改。</w:t>
      </w:r>
    </w:p>
    <w:p w14:paraId="2514F4F9">
      <w:pPr>
        <w:adjustRightInd w:val="0"/>
        <w:snapToGrid w:val="0"/>
        <w:spacing w:line="360" w:lineRule="auto"/>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 xml:space="preserve">    2、</w:t>
      </w:r>
      <w:r>
        <w:rPr>
          <w:rFonts w:hint="eastAsia" w:asciiTheme="minorEastAsia" w:hAnsiTheme="minorEastAsia" w:eastAsiaTheme="minorEastAsia"/>
          <w:color w:val="auto"/>
          <w:sz w:val="21"/>
          <w:szCs w:val="21"/>
          <w:highlight w:val="none"/>
        </w:rPr>
        <w:t>暂估价工程及暂定价材料设备</w:t>
      </w:r>
      <w:r>
        <w:rPr>
          <w:rFonts w:hint="eastAsia" w:cs="仿宋_GB2312" w:asciiTheme="minorEastAsia" w:hAnsiTheme="minorEastAsia" w:eastAsiaTheme="minorEastAsia"/>
          <w:color w:val="auto"/>
          <w:sz w:val="21"/>
          <w:szCs w:val="21"/>
          <w:highlight w:val="none"/>
        </w:rPr>
        <w:t>定标后，总包单位在编制分包合同时，必须采用建设单位提供的合同模板，私自修改合同条款的，</w:t>
      </w:r>
      <w:r>
        <w:rPr>
          <w:rFonts w:hint="eastAsia" w:asciiTheme="minorEastAsia" w:hAnsiTheme="minorEastAsia" w:eastAsiaTheme="minorEastAsia"/>
          <w:color w:val="auto"/>
          <w:sz w:val="21"/>
          <w:szCs w:val="21"/>
          <w:highlight w:val="none"/>
        </w:rPr>
        <w:t>建设单位对总包单位罚款5000元/次。由招标采供部开具罚款单，从总包单位的工程款中扣除。</w:t>
      </w:r>
    </w:p>
    <w:p w14:paraId="165D2D6B">
      <w:pPr>
        <w:adjustRightInd w:val="0"/>
        <w:snapToGrid w:val="0"/>
        <w:spacing w:line="360" w:lineRule="auto"/>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 xml:space="preserve">    3</w:t>
      </w:r>
      <w:r>
        <w:rPr>
          <w:rFonts w:hint="eastAsia" w:asciiTheme="minorEastAsia" w:hAnsiTheme="minorEastAsia" w:eastAsiaTheme="minorEastAsia"/>
          <w:color w:val="auto"/>
          <w:sz w:val="21"/>
          <w:szCs w:val="21"/>
          <w:highlight w:val="none"/>
        </w:rPr>
        <w:t>、暂估价工程及暂定价材料设备中标通知书发出后45日内完成合同签订，合同签订后</w:t>
      </w:r>
      <w:r>
        <w:rPr>
          <w:rFonts w:asciiTheme="minorEastAsia" w:hAnsiTheme="minorEastAsia" w:eastAsiaTheme="minorEastAsia"/>
          <w:color w:val="auto"/>
          <w:sz w:val="21"/>
          <w:szCs w:val="21"/>
          <w:highlight w:val="none"/>
        </w:rPr>
        <w:t>5</w:t>
      </w:r>
      <w:r>
        <w:rPr>
          <w:rFonts w:hint="eastAsia" w:asciiTheme="minorEastAsia" w:hAnsiTheme="minorEastAsia" w:eastAsiaTheme="minorEastAsia"/>
          <w:color w:val="auto"/>
          <w:sz w:val="21"/>
          <w:szCs w:val="21"/>
          <w:highlight w:val="none"/>
        </w:rPr>
        <w:t>日内，总包单位向建设单位报送5份合同进行备案，若45日内未签订合同，</w:t>
      </w:r>
      <w:r>
        <w:rPr>
          <w:rFonts w:asciiTheme="minorEastAsia" w:hAnsiTheme="minorEastAsia" w:eastAsiaTheme="minorEastAsia"/>
          <w:color w:val="auto"/>
          <w:sz w:val="21"/>
          <w:szCs w:val="21"/>
          <w:highlight w:val="none"/>
        </w:rPr>
        <w:t>每超出一天按1000元/天对总包及分包单位</w:t>
      </w:r>
      <w:r>
        <w:rPr>
          <w:rFonts w:hint="eastAsia" w:asciiTheme="minorEastAsia" w:hAnsiTheme="minorEastAsia" w:eastAsiaTheme="minorEastAsia"/>
          <w:color w:val="auto"/>
          <w:sz w:val="21"/>
          <w:szCs w:val="21"/>
          <w:highlight w:val="none"/>
        </w:rPr>
        <w:t>分别</w:t>
      </w:r>
      <w:r>
        <w:rPr>
          <w:rFonts w:asciiTheme="minorEastAsia" w:hAnsiTheme="minorEastAsia" w:eastAsiaTheme="minorEastAsia"/>
          <w:color w:val="auto"/>
          <w:sz w:val="21"/>
          <w:szCs w:val="21"/>
          <w:highlight w:val="none"/>
        </w:rPr>
        <w:t>进行处罚。</w:t>
      </w:r>
      <w:r>
        <w:rPr>
          <w:rFonts w:hint="eastAsia" w:asciiTheme="minorEastAsia" w:hAnsiTheme="minorEastAsia" w:eastAsiaTheme="minorEastAsia"/>
          <w:color w:val="auto"/>
          <w:sz w:val="21"/>
          <w:szCs w:val="21"/>
          <w:highlight w:val="none"/>
        </w:rPr>
        <w:t>由招标采供部开具罚款单，从总包单位的工程款中扣除。</w:t>
      </w:r>
    </w:p>
    <w:p w14:paraId="5EA8D505">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b/>
          <w:color w:val="auto"/>
          <w:sz w:val="21"/>
          <w:szCs w:val="21"/>
          <w:highlight w:val="none"/>
        </w:rPr>
        <w:t>七、暂估价工程及暂定价材料设备支付管理</w:t>
      </w:r>
    </w:p>
    <w:p w14:paraId="0BE1BC89">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 xml:space="preserve">    1、</w:t>
      </w:r>
      <w:r>
        <w:rPr>
          <w:rFonts w:asciiTheme="minorEastAsia" w:hAnsiTheme="minorEastAsia" w:eastAsiaTheme="minorEastAsia"/>
          <w:color w:val="auto"/>
          <w:sz w:val="21"/>
          <w:szCs w:val="21"/>
          <w:highlight w:val="none"/>
        </w:rPr>
        <w:t>除</w:t>
      </w:r>
      <w:r>
        <w:rPr>
          <w:rFonts w:hint="eastAsia" w:asciiTheme="minorEastAsia" w:hAnsiTheme="minorEastAsia" w:eastAsiaTheme="minorEastAsia"/>
          <w:color w:val="auto"/>
          <w:sz w:val="21"/>
          <w:szCs w:val="21"/>
          <w:highlight w:val="none"/>
        </w:rPr>
        <w:t>总包合</w:t>
      </w:r>
      <w:r>
        <w:rPr>
          <w:rFonts w:asciiTheme="minorEastAsia" w:hAnsiTheme="minorEastAsia" w:eastAsiaTheme="minorEastAsia"/>
          <w:color w:val="auto"/>
          <w:sz w:val="21"/>
          <w:szCs w:val="21"/>
          <w:highlight w:val="none"/>
        </w:rPr>
        <w:t>同另有约定外,</w:t>
      </w:r>
      <w:r>
        <w:rPr>
          <w:rFonts w:hint="eastAsia" w:asciiTheme="minorEastAsia" w:hAnsiTheme="minorEastAsia" w:eastAsiaTheme="minorEastAsia"/>
          <w:color w:val="auto"/>
          <w:sz w:val="21"/>
          <w:szCs w:val="21"/>
          <w:highlight w:val="none"/>
        </w:rPr>
        <w:t>总包单位必须依照总包合同</w:t>
      </w:r>
      <w:r>
        <w:rPr>
          <w:rFonts w:asciiTheme="minorEastAsia" w:hAnsiTheme="minorEastAsia" w:eastAsiaTheme="minorEastAsia"/>
          <w:color w:val="auto"/>
          <w:sz w:val="21"/>
          <w:szCs w:val="21"/>
          <w:highlight w:val="none"/>
        </w:rPr>
        <w:t>附件《专业分包工程及材料设备付款、结算及质保期约定》</w:t>
      </w:r>
      <w:r>
        <w:rPr>
          <w:rFonts w:hint="eastAsia" w:asciiTheme="minorEastAsia" w:hAnsiTheme="minorEastAsia" w:eastAsiaTheme="minorEastAsia"/>
          <w:color w:val="auto"/>
          <w:sz w:val="21"/>
          <w:szCs w:val="21"/>
          <w:highlight w:val="none"/>
        </w:rPr>
        <w:t>的付款方式按成本管理部审核确认后的工程款项足额、按时支付给分包单位，支付时间要求：总包单位将分包单位确认的收款证明交由成本管理部，自收到甲方工程款后不超过10个日历天，</w:t>
      </w:r>
      <w:r>
        <w:rPr>
          <w:rFonts w:asciiTheme="minorEastAsia" w:hAnsiTheme="minorEastAsia" w:eastAsiaTheme="minorEastAsia"/>
          <w:color w:val="auto"/>
          <w:sz w:val="21"/>
          <w:szCs w:val="21"/>
          <w:highlight w:val="none"/>
        </w:rPr>
        <w:t>否则每超出一天按1000元/天进行处罚。</w:t>
      </w:r>
      <w:r>
        <w:rPr>
          <w:rFonts w:hint="eastAsia" w:asciiTheme="minorEastAsia" w:hAnsiTheme="minorEastAsia" w:eastAsiaTheme="minorEastAsia"/>
          <w:color w:val="auto"/>
          <w:sz w:val="21"/>
          <w:szCs w:val="21"/>
          <w:highlight w:val="none"/>
        </w:rPr>
        <w:t>由成本管理部开具罚款单，次月从总包单位的工程进度款中扣除。</w:t>
      </w:r>
    </w:p>
    <w:p w14:paraId="0CC47553">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 xml:space="preserve">    2、总包单位每月在付款申请资料内应附上一个月分包单位付款凭证，成本管理部审核通过后方可办理本月进度款的付款手续。</w:t>
      </w:r>
    </w:p>
    <w:p w14:paraId="59908934">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color w:val="auto"/>
          <w:sz w:val="21"/>
          <w:szCs w:val="21"/>
          <w:highlight w:val="none"/>
        </w:rPr>
        <w:t xml:space="preserve">    3、暂估价工程及暂定价材料设备</w:t>
      </w:r>
      <w:r>
        <w:rPr>
          <w:rFonts w:hint="eastAsia" w:cs="仿宋_GB2312" w:asciiTheme="minorEastAsia" w:hAnsiTheme="minorEastAsia" w:eastAsiaTheme="minorEastAsia"/>
          <w:color w:val="auto"/>
          <w:sz w:val="21"/>
          <w:szCs w:val="21"/>
          <w:highlight w:val="none"/>
        </w:rPr>
        <w:t>合同</w:t>
      </w:r>
      <w:r>
        <w:rPr>
          <w:rFonts w:hint="eastAsia" w:asciiTheme="minorEastAsia" w:hAnsiTheme="minorEastAsia" w:eastAsiaTheme="minorEastAsia"/>
          <w:color w:val="auto"/>
          <w:sz w:val="21"/>
          <w:szCs w:val="21"/>
          <w:highlight w:val="none"/>
        </w:rPr>
        <w:t>总包管理配合费已综合考虑在投标报价中，总包单位按合同附件提供配合内容，此范围以外的配合内容及费用由总包单位和分包单位自行协商解决。若总包单位强行向分包单位收取额外总包管理配合费，分包单位提供相关证明材料，经建设单位项目部、招标采供部、成本管理部确认后，结算时从总包单位的结算造价中扣除</w:t>
      </w:r>
      <w:r>
        <w:rPr>
          <w:rFonts w:asciiTheme="minorEastAsia" w:hAnsiTheme="minorEastAsia" w:eastAsiaTheme="minorEastAsia"/>
          <w:color w:val="auto"/>
          <w:sz w:val="21"/>
          <w:szCs w:val="21"/>
          <w:highlight w:val="none"/>
        </w:rPr>
        <w:t>违规收取金额</w:t>
      </w:r>
      <w:r>
        <w:rPr>
          <w:rFonts w:hint="eastAsia" w:asciiTheme="minorEastAsia" w:hAnsiTheme="minorEastAsia" w:eastAsiaTheme="minorEastAsia"/>
          <w:color w:val="auto"/>
          <w:sz w:val="21"/>
          <w:szCs w:val="21"/>
          <w:highlight w:val="none"/>
        </w:rPr>
        <w:t>5</w:t>
      </w:r>
      <w:r>
        <w:rPr>
          <w:rFonts w:asciiTheme="minorEastAsia" w:hAnsiTheme="minorEastAsia" w:eastAsiaTheme="minorEastAsia"/>
          <w:color w:val="auto"/>
          <w:sz w:val="21"/>
          <w:szCs w:val="21"/>
          <w:highlight w:val="none"/>
        </w:rPr>
        <w:t>倍的</w:t>
      </w:r>
      <w:r>
        <w:rPr>
          <w:rFonts w:hint="eastAsia" w:asciiTheme="minorEastAsia" w:hAnsiTheme="minorEastAsia" w:eastAsiaTheme="minorEastAsia"/>
          <w:color w:val="auto"/>
          <w:sz w:val="21"/>
          <w:szCs w:val="21"/>
          <w:highlight w:val="none"/>
        </w:rPr>
        <w:t>罚款，并按索贿报相关部门处理。</w:t>
      </w:r>
    </w:p>
    <w:p w14:paraId="64518201">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b/>
          <w:color w:val="auto"/>
          <w:kern w:val="0"/>
          <w:sz w:val="21"/>
          <w:szCs w:val="21"/>
          <w:highlight w:val="none"/>
        </w:rPr>
        <w:t>八、暂停支付工程款及罚则</w:t>
      </w:r>
    </w:p>
    <w:p w14:paraId="0FB8EE53">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color w:val="auto"/>
          <w:kern w:val="0"/>
          <w:sz w:val="21"/>
          <w:szCs w:val="21"/>
          <w:highlight w:val="none"/>
        </w:rPr>
        <w:t>1、</w:t>
      </w:r>
      <w:r>
        <w:rPr>
          <w:rFonts w:asciiTheme="minorEastAsia" w:hAnsiTheme="minorEastAsia" w:eastAsiaTheme="minorEastAsia"/>
          <w:color w:val="auto"/>
          <w:sz w:val="21"/>
          <w:szCs w:val="21"/>
          <w:highlight w:val="none"/>
        </w:rPr>
        <w:t>暂估价工程及暂定价材料设备</w:t>
      </w:r>
      <w:r>
        <w:rPr>
          <w:rFonts w:hint="eastAsia" w:asciiTheme="minorEastAsia" w:hAnsiTheme="minorEastAsia" w:eastAsiaTheme="minorEastAsia"/>
          <w:color w:val="auto"/>
          <w:sz w:val="21"/>
          <w:szCs w:val="21"/>
          <w:highlight w:val="none"/>
        </w:rPr>
        <w:t>支付时</w:t>
      </w:r>
      <w:r>
        <w:rPr>
          <w:rFonts w:hint="eastAsia" w:asciiTheme="minorEastAsia" w:hAnsiTheme="minorEastAsia" w:eastAsiaTheme="minorEastAsia"/>
          <w:color w:val="auto"/>
          <w:kern w:val="0"/>
          <w:sz w:val="21"/>
          <w:szCs w:val="21"/>
          <w:highlight w:val="none"/>
        </w:rPr>
        <w:t>出现以下情况，</w:t>
      </w:r>
      <w:r>
        <w:rPr>
          <w:rFonts w:hint="eastAsia" w:asciiTheme="minorEastAsia" w:hAnsiTheme="minorEastAsia" w:eastAsiaTheme="minorEastAsia"/>
          <w:color w:val="auto"/>
          <w:sz w:val="21"/>
          <w:szCs w:val="21"/>
          <w:highlight w:val="none"/>
        </w:rPr>
        <w:t>建设单位暂停支付总包单位工程款：</w:t>
      </w:r>
    </w:p>
    <w:p w14:paraId="32A1F8C9">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color w:val="auto"/>
          <w:sz w:val="21"/>
          <w:szCs w:val="21"/>
          <w:highlight w:val="none"/>
        </w:rPr>
        <w:t>（1）总包单位在付款申请资料内未附上一个月应支付给分包单位工程款的付款凭证。</w:t>
      </w:r>
    </w:p>
    <w:p w14:paraId="7ECEDBBD">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color w:val="auto"/>
          <w:sz w:val="21"/>
          <w:szCs w:val="21"/>
          <w:highlight w:val="none"/>
        </w:rPr>
        <w:t>（2）分包单位已向总包单位递交付款申请资料，总包单位未及时报送或拒收的（分包单位需提供相关证明材料）。</w:t>
      </w:r>
    </w:p>
    <w:p w14:paraId="3F46868D">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color w:val="auto"/>
          <w:sz w:val="21"/>
          <w:szCs w:val="21"/>
          <w:highlight w:val="none"/>
        </w:rPr>
        <w:t>（3</w:t>
      </w:r>
      <w:r>
        <w:rPr>
          <w:rFonts w:asciiTheme="minorEastAsia" w:hAnsiTheme="minorEastAsia" w:eastAsiaTheme="minorEastAsia"/>
          <w:color w:val="auto"/>
          <w:sz w:val="21"/>
          <w:szCs w:val="21"/>
          <w:highlight w:val="none"/>
        </w:rPr>
        <w:t>）</w:t>
      </w:r>
      <w:r>
        <w:rPr>
          <w:rFonts w:hint="eastAsia" w:cs="宋体" w:asciiTheme="minorEastAsia" w:hAnsiTheme="minorEastAsia" w:eastAsiaTheme="minorEastAsia"/>
          <w:color w:val="auto"/>
          <w:kern w:val="0"/>
          <w:sz w:val="21"/>
          <w:szCs w:val="21"/>
          <w:highlight w:val="none"/>
        </w:rPr>
        <w:t>总包竣工验收完成后，</w:t>
      </w:r>
      <w:r>
        <w:rPr>
          <w:rFonts w:hint="eastAsia" w:asciiTheme="minorEastAsia" w:hAnsiTheme="minorEastAsia" w:eastAsiaTheme="minorEastAsia"/>
          <w:color w:val="auto"/>
          <w:sz w:val="21"/>
          <w:szCs w:val="21"/>
          <w:highlight w:val="none"/>
        </w:rPr>
        <w:t>分包单位办理结算时总包单位不配合的。</w:t>
      </w:r>
    </w:p>
    <w:p w14:paraId="0A0D1999">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kern w:val="0"/>
          <w:sz w:val="21"/>
          <w:szCs w:val="21"/>
          <w:highlight w:val="none"/>
        </w:rPr>
        <w:t xml:space="preserve">    2、</w:t>
      </w:r>
      <w:r>
        <w:rPr>
          <w:rFonts w:asciiTheme="minorEastAsia" w:hAnsiTheme="minorEastAsia" w:eastAsiaTheme="minorEastAsia"/>
          <w:color w:val="auto"/>
          <w:sz w:val="21"/>
          <w:szCs w:val="21"/>
          <w:highlight w:val="none"/>
        </w:rPr>
        <w:t>暂估价工程及暂定价材料设备</w:t>
      </w:r>
      <w:r>
        <w:rPr>
          <w:rFonts w:hint="eastAsia" w:asciiTheme="minorEastAsia" w:hAnsiTheme="minorEastAsia" w:eastAsiaTheme="minorEastAsia"/>
          <w:color w:val="auto"/>
          <w:sz w:val="21"/>
          <w:szCs w:val="21"/>
          <w:highlight w:val="none"/>
        </w:rPr>
        <w:t>支付时</w:t>
      </w:r>
      <w:r>
        <w:rPr>
          <w:rFonts w:hint="eastAsia" w:asciiTheme="minorEastAsia" w:hAnsiTheme="minorEastAsia" w:eastAsiaTheme="minorEastAsia"/>
          <w:color w:val="auto"/>
          <w:kern w:val="0"/>
          <w:sz w:val="21"/>
          <w:szCs w:val="21"/>
          <w:highlight w:val="none"/>
        </w:rPr>
        <w:t>出现以下情况，</w:t>
      </w:r>
      <w:r>
        <w:rPr>
          <w:rFonts w:hint="eastAsia" w:asciiTheme="minorEastAsia" w:hAnsiTheme="minorEastAsia" w:eastAsiaTheme="minorEastAsia"/>
          <w:color w:val="auto"/>
          <w:sz w:val="21"/>
          <w:szCs w:val="21"/>
          <w:highlight w:val="none"/>
        </w:rPr>
        <w:t>建设单位对总包单位进行罚款：</w:t>
      </w:r>
    </w:p>
    <w:p w14:paraId="736DF026">
      <w:pPr>
        <w:pStyle w:val="17"/>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（1）建设单位已支付分包单位进度款、结算款及质保金，发现总包单位收款后超过10个日历天未支付的，</w:t>
      </w:r>
      <w:r>
        <w:rPr>
          <w:rFonts w:asciiTheme="minorEastAsia" w:hAnsiTheme="minorEastAsia" w:eastAsiaTheme="minorEastAsia"/>
          <w:color w:val="auto"/>
          <w:sz w:val="21"/>
          <w:szCs w:val="21"/>
          <w:highlight w:val="none"/>
        </w:rPr>
        <w:t>每超出一天按1000元/天进行处罚</w:t>
      </w:r>
      <w:r>
        <w:rPr>
          <w:rFonts w:hint="eastAsia" w:asciiTheme="minorEastAsia" w:hAnsiTheme="minorEastAsia" w:eastAsiaTheme="minorEastAsia"/>
          <w:color w:val="auto"/>
          <w:sz w:val="21"/>
          <w:szCs w:val="21"/>
          <w:highlight w:val="none"/>
        </w:rPr>
        <w:t>，超过15个日历天未支付的，按应付款金额的2%进行处罚。</w:t>
      </w:r>
    </w:p>
    <w:p w14:paraId="469A4495">
      <w:pPr>
        <w:adjustRightInd w:val="0"/>
        <w:snapToGrid w:val="0"/>
        <w:spacing w:line="360" w:lineRule="auto"/>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color w:val="auto"/>
          <w:sz w:val="21"/>
          <w:szCs w:val="21"/>
          <w:highlight w:val="none"/>
        </w:rPr>
        <w:t>（2）总包单位未经建设单位同意而扣减分包单位部分进度款、结算款及质保金的。结算时从总包单位的结算造价中扣除</w:t>
      </w:r>
      <w:r>
        <w:rPr>
          <w:rFonts w:asciiTheme="minorEastAsia" w:hAnsiTheme="minorEastAsia" w:eastAsiaTheme="minorEastAsia"/>
          <w:color w:val="auto"/>
          <w:sz w:val="21"/>
          <w:szCs w:val="21"/>
          <w:highlight w:val="none"/>
        </w:rPr>
        <w:t>违规收取金额</w:t>
      </w:r>
      <w:r>
        <w:rPr>
          <w:rFonts w:hint="eastAsia" w:asciiTheme="minorEastAsia" w:hAnsiTheme="minorEastAsia" w:eastAsiaTheme="minorEastAsia"/>
          <w:color w:val="auto"/>
          <w:sz w:val="21"/>
          <w:szCs w:val="21"/>
          <w:highlight w:val="none"/>
        </w:rPr>
        <w:t>5</w:t>
      </w:r>
      <w:r>
        <w:rPr>
          <w:rFonts w:asciiTheme="minorEastAsia" w:hAnsiTheme="minorEastAsia" w:eastAsiaTheme="minorEastAsia"/>
          <w:color w:val="auto"/>
          <w:sz w:val="21"/>
          <w:szCs w:val="21"/>
          <w:highlight w:val="none"/>
        </w:rPr>
        <w:t>倍的</w:t>
      </w:r>
      <w:r>
        <w:rPr>
          <w:rFonts w:hint="eastAsia" w:asciiTheme="minorEastAsia" w:hAnsiTheme="minorEastAsia" w:eastAsiaTheme="minorEastAsia"/>
          <w:color w:val="auto"/>
          <w:sz w:val="21"/>
          <w:szCs w:val="21"/>
          <w:highlight w:val="none"/>
        </w:rPr>
        <w:t>罚款。并按索贿报相关部门处理。</w:t>
      </w:r>
    </w:p>
    <w:p w14:paraId="353C679B">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b/>
          <w:color w:val="auto"/>
          <w:sz w:val="21"/>
          <w:szCs w:val="21"/>
          <w:highlight w:val="none"/>
        </w:rPr>
        <w:t>九、</w:t>
      </w:r>
      <w:r>
        <w:rPr>
          <w:rFonts w:hint="eastAsia" w:asciiTheme="minorEastAsia" w:hAnsiTheme="minorEastAsia" w:eastAsiaTheme="minorEastAsia"/>
          <w:color w:val="auto"/>
          <w:sz w:val="21"/>
          <w:szCs w:val="21"/>
          <w:highlight w:val="none"/>
        </w:rPr>
        <w:t>若因特殊情况，与本管理办法不符，需上工程管理委员会评审后执行。</w:t>
      </w:r>
    </w:p>
    <w:p w14:paraId="072C6F51">
      <w:pPr>
        <w:adjustRightInd w:val="0"/>
        <w:snapToGrid w:val="0"/>
        <w:spacing w:line="500" w:lineRule="exact"/>
        <w:ind w:firstLine="480"/>
        <w:outlineLvl w:val="9"/>
        <w:rPr>
          <w:rFonts w:cs="宋体" w:asciiTheme="minorEastAsia" w:hAnsiTheme="minorEastAsia" w:eastAsiaTheme="minorEastAsia"/>
          <w:color w:val="auto"/>
          <w:sz w:val="21"/>
          <w:szCs w:val="21"/>
          <w:highlight w:val="none"/>
        </w:rPr>
      </w:pPr>
    </w:p>
    <w:p w14:paraId="13F89D6E">
      <w:pPr>
        <w:adjustRightInd w:val="0"/>
        <w:snapToGrid w:val="0"/>
        <w:spacing w:line="500" w:lineRule="exact"/>
        <w:ind w:firstLine="48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附表一：材料设备供货验收清单（暂定价）</w:t>
      </w:r>
    </w:p>
    <w:p w14:paraId="4EB18276">
      <w:pPr>
        <w:adjustRightInd w:val="0"/>
        <w:snapToGrid w:val="0"/>
        <w:spacing w:line="500" w:lineRule="exact"/>
        <w:ind w:firstLine="48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附表二：</w:t>
      </w:r>
      <w:r>
        <w:rPr>
          <w:rFonts w:hint="eastAsia" w:cs="宋体" w:asciiTheme="minorEastAsia" w:hAnsiTheme="minorEastAsia" w:eastAsiaTheme="minorEastAsia"/>
          <w:bCs/>
          <w:color w:val="auto"/>
          <w:sz w:val="21"/>
          <w:szCs w:val="21"/>
          <w:highlight w:val="none"/>
        </w:rPr>
        <w:t>材料设备安装调试验收确认单</w:t>
      </w:r>
      <w:r>
        <w:rPr>
          <w:rFonts w:hint="eastAsia" w:cs="宋体" w:asciiTheme="minorEastAsia" w:hAnsiTheme="minorEastAsia" w:eastAsiaTheme="minorEastAsia"/>
          <w:color w:val="auto"/>
          <w:sz w:val="21"/>
          <w:szCs w:val="21"/>
          <w:highlight w:val="none"/>
        </w:rPr>
        <w:t>（暂定价）</w:t>
      </w:r>
    </w:p>
    <w:p w14:paraId="5A765F2A">
      <w:pPr>
        <w:adjustRightInd w:val="0"/>
        <w:snapToGrid w:val="0"/>
        <w:spacing w:line="500" w:lineRule="exact"/>
        <w:ind w:firstLine="48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附表三：材料设备结算确认单（暂定价）</w:t>
      </w:r>
    </w:p>
    <w:p w14:paraId="7598B42D">
      <w:pPr>
        <w:adjustRightInd w:val="0"/>
        <w:snapToGrid w:val="0"/>
        <w:spacing w:line="500" w:lineRule="exact"/>
        <w:ind w:firstLine="48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附表四：电梯设备费结算确认单（暂定价）</w:t>
      </w:r>
    </w:p>
    <w:p w14:paraId="16147B5F">
      <w:pPr>
        <w:adjustRightInd w:val="0"/>
        <w:snapToGrid w:val="0"/>
        <w:spacing w:line="500" w:lineRule="exact"/>
        <w:ind w:firstLine="48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附表五：电梯安装费结算确认单（暂定价）</w:t>
      </w:r>
    </w:p>
    <w:p w14:paraId="5958B4CC">
      <w:pPr>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br w:type="page"/>
      </w:r>
    </w:p>
    <w:p w14:paraId="20D15B3E">
      <w:pPr>
        <w:adjustRightInd w:val="0"/>
        <w:snapToGrid w:val="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附表一：</w:t>
      </w:r>
    </w:p>
    <w:p w14:paraId="4649089D">
      <w:pPr>
        <w:adjustRightInd w:val="0"/>
        <w:snapToGrid w:val="0"/>
        <w:spacing w:line="360" w:lineRule="auto"/>
        <w:ind w:firstLine="643"/>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材料设备供货验收清单（暂定价）</w:t>
      </w:r>
    </w:p>
    <w:p w14:paraId="309D8398">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项目名称：编号：</w:t>
      </w:r>
    </w:p>
    <w:tbl>
      <w:tblPr>
        <w:tblStyle w:val="56"/>
        <w:tblW w:w="96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1701"/>
        <w:gridCol w:w="1750"/>
        <w:gridCol w:w="688"/>
        <w:gridCol w:w="162"/>
        <w:gridCol w:w="851"/>
        <w:gridCol w:w="1319"/>
        <w:gridCol w:w="1592"/>
        <w:gridCol w:w="747"/>
      </w:tblGrid>
      <w:tr w14:paraId="41BC3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3" w:type="dxa"/>
            <w:vAlign w:val="center"/>
          </w:tcPr>
          <w:p w14:paraId="44A0BAC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序号</w:t>
            </w:r>
          </w:p>
        </w:tc>
        <w:tc>
          <w:tcPr>
            <w:tcW w:w="1701" w:type="dxa"/>
            <w:vAlign w:val="center"/>
          </w:tcPr>
          <w:p w14:paraId="332CC48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材料设备名称</w:t>
            </w:r>
          </w:p>
        </w:tc>
        <w:tc>
          <w:tcPr>
            <w:tcW w:w="1750" w:type="dxa"/>
            <w:vAlign w:val="center"/>
          </w:tcPr>
          <w:p w14:paraId="006D85D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规格型号</w:t>
            </w:r>
          </w:p>
        </w:tc>
        <w:tc>
          <w:tcPr>
            <w:tcW w:w="850" w:type="dxa"/>
            <w:gridSpan w:val="2"/>
            <w:vAlign w:val="center"/>
          </w:tcPr>
          <w:p w14:paraId="40CEF36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品牌</w:t>
            </w:r>
          </w:p>
        </w:tc>
        <w:tc>
          <w:tcPr>
            <w:tcW w:w="851" w:type="dxa"/>
            <w:vAlign w:val="center"/>
          </w:tcPr>
          <w:p w14:paraId="71C9856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单位</w:t>
            </w:r>
          </w:p>
        </w:tc>
        <w:tc>
          <w:tcPr>
            <w:tcW w:w="1319" w:type="dxa"/>
            <w:vAlign w:val="center"/>
          </w:tcPr>
          <w:p w14:paraId="1E64688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数量</w:t>
            </w:r>
          </w:p>
        </w:tc>
        <w:tc>
          <w:tcPr>
            <w:tcW w:w="1592" w:type="dxa"/>
            <w:vAlign w:val="center"/>
          </w:tcPr>
          <w:p w14:paraId="441691E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到货时间</w:t>
            </w:r>
          </w:p>
        </w:tc>
        <w:tc>
          <w:tcPr>
            <w:tcW w:w="747" w:type="dxa"/>
            <w:vAlign w:val="center"/>
          </w:tcPr>
          <w:p w14:paraId="76B1CA0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备注</w:t>
            </w:r>
          </w:p>
        </w:tc>
      </w:tr>
      <w:tr w14:paraId="511DE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3" w:type="dxa"/>
            <w:vAlign w:val="center"/>
          </w:tcPr>
          <w:p w14:paraId="0D31A6E0">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701" w:type="dxa"/>
            <w:vAlign w:val="center"/>
          </w:tcPr>
          <w:p w14:paraId="00D55953">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750" w:type="dxa"/>
            <w:vAlign w:val="center"/>
          </w:tcPr>
          <w:p w14:paraId="3037E457">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gridSpan w:val="2"/>
            <w:vAlign w:val="center"/>
          </w:tcPr>
          <w:p w14:paraId="67C89054">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vAlign w:val="center"/>
          </w:tcPr>
          <w:p w14:paraId="24978070">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319" w:type="dxa"/>
            <w:vAlign w:val="center"/>
          </w:tcPr>
          <w:p w14:paraId="4DC8C8EF">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592" w:type="dxa"/>
            <w:vAlign w:val="center"/>
          </w:tcPr>
          <w:p w14:paraId="60E96D29">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747" w:type="dxa"/>
            <w:vAlign w:val="center"/>
          </w:tcPr>
          <w:p w14:paraId="5A2FC731">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75B21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3" w:type="dxa"/>
            <w:vAlign w:val="center"/>
          </w:tcPr>
          <w:p w14:paraId="77211330">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701" w:type="dxa"/>
            <w:vAlign w:val="center"/>
          </w:tcPr>
          <w:p w14:paraId="729DCAFA">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750" w:type="dxa"/>
            <w:vAlign w:val="center"/>
          </w:tcPr>
          <w:p w14:paraId="0E416F01">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gridSpan w:val="2"/>
            <w:vAlign w:val="center"/>
          </w:tcPr>
          <w:p w14:paraId="53556F9F">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vAlign w:val="center"/>
          </w:tcPr>
          <w:p w14:paraId="25B5CC54">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319" w:type="dxa"/>
            <w:vAlign w:val="center"/>
          </w:tcPr>
          <w:p w14:paraId="7111BC66">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592" w:type="dxa"/>
            <w:vAlign w:val="center"/>
          </w:tcPr>
          <w:p w14:paraId="18F2603A">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747" w:type="dxa"/>
            <w:vAlign w:val="center"/>
          </w:tcPr>
          <w:p w14:paraId="0DFEE0B0">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04381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3" w:type="dxa"/>
            <w:vAlign w:val="center"/>
          </w:tcPr>
          <w:p w14:paraId="4357A3AF">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701" w:type="dxa"/>
            <w:vAlign w:val="center"/>
          </w:tcPr>
          <w:p w14:paraId="0FD9D855">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750" w:type="dxa"/>
            <w:vAlign w:val="center"/>
          </w:tcPr>
          <w:p w14:paraId="1E8A2899">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gridSpan w:val="2"/>
            <w:vAlign w:val="center"/>
          </w:tcPr>
          <w:p w14:paraId="48D1119E">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vAlign w:val="center"/>
          </w:tcPr>
          <w:p w14:paraId="075BAB2E">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319" w:type="dxa"/>
            <w:vAlign w:val="center"/>
          </w:tcPr>
          <w:p w14:paraId="54621549">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592" w:type="dxa"/>
            <w:vAlign w:val="center"/>
          </w:tcPr>
          <w:p w14:paraId="7E492284">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747" w:type="dxa"/>
            <w:vAlign w:val="center"/>
          </w:tcPr>
          <w:p w14:paraId="4D4E14CB">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0FF78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3" w:type="dxa"/>
            <w:vAlign w:val="center"/>
          </w:tcPr>
          <w:p w14:paraId="409768D3">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701" w:type="dxa"/>
            <w:vAlign w:val="center"/>
          </w:tcPr>
          <w:p w14:paraId="163D71A6">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750" w:type="dxa"/>
            <w:vAlign w:val="center"/>
          </w:tcPr>
          <w:p w14:paraId="3AF542D9">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gridSpan w:val="2"/>
            <w:vAlign w:val="center"/>
          </w:tcPr>
          <w:p w14:paraId="62BDFBB1">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vAlign w:val="center"/>
          </w:tcPr>
          <w:p w14:paraId="466015E8">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319" w:type="dxa"/>
            <w:vAlign w:val="center"/>
          </w:tcPr>
          <w:p w14:paraId="168849E0">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592" w:type="dxa"/>
            <w:vAlign w:val="center"/>
          </w:tcPr>
          <w:p w14:paraId="4D280593">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747" w:type="dxa"/>
            <w:vAlign w:val="center"/>
          </w:tcPr>
          <w:p w14:paraId="7CAA0779">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207C0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24" w:type="dxa"/>
            <w:gridSpan w:val="2"/>
            <w:vAlign w:val="center"/>
          </w:tcPr>
          <w:p w14:paraId="0CC516C9">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出厂检验报告</w:t>
            </w:r>
          </w:p>
        </w:tc>
        <w:tc>
          <w:tcPr>
            <w:tcW w:w="7109" w:type="dxa"/>
            <w:gridSpan w:val="7"/>
            <w:vAlign w:val="center"/>
          </w:tcPr>
          <w:p w14:paraId="6037C010">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□齐全□不齐全□备注：</w:t>
            </w:r>
          </w:p>
        </w:tc>
      </w:tr>
      <w:tr w14:paraId="4996B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24" w:type="dxa"/>
            <w:gridSpan w:val="2"/>
            <w:vAlign w:val="center"/>
          </w:tcPr>
          <w:p w14:paraId="7602AA63">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材质证明资料</w:t>
            </w:r>
          </w:p>
        </w:tc>
        <w:tc>
          <w:tcPr>
            <w:tcW w:w="7109" w:type="dxa"/>
            <w:gridSpan w:val="7"/>
            <w:vAlign w:val="center"/>
          </w:tcPr>
          <w:p w14:paraId="7A2FB640">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Cs/>
                <w:color w:val="auto"/>
                <w:szCs w:val="21"/>
                <w:highlight w:val="none"/>
              </w:rPr>
              <w:t>□齐全□不齐全□备注：</w:t>
            </w:r>
          </w:p>
        </w:tc>
      </w:tr>
      <w:tr w14:paraId="4B542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24" w:type="dxa"/>
            <w:gridSpan w:val="2"/>
            <w:vAlign w:val="center"/>
          </w:tcPr>
          <w:p w14:paraId="39D0A95E">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检验方法</w:t>
            </w:r>
          </w:p>
        </w:tc>
        <w:tc>
          <w:tcPr>
            <w:tcW w:w="7109" w:type="dxa"/>
            <w:gridSpan w:val="7"/>
            <w:vAlign w:val="center"/>
          </w:tcPr>
          <w:p w14:paraId="09A58F3A">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目测、实量□备注：</w:t>
            </w:r>
          </w:p>
        </w:tc>
      </w:tr>
      <w:tr w14:paraId="13DC2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24" w:type="dxa"/>
            <w:gridSpan w:val="2"/>
            <w:vAlign w:val="center"/>
          </w:tcPr>
          <w:p w14:paraId="7420C746">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进场批次</w:t>
            </w:r>
          </w:p>
        </w:tc>
        <w:tc>
          <w:tcPr>
            <w:tcW w:w="7109" w:type="dxa"/>
            <w:gridSpan w:val="7"/>
            <w:vAlign w:val="center"/>
          </w:tcPr>
          <w:p w14:paraId="33DC3CC6">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□首批进场□后续批次进场</w:t>
            </w:r>
          </w:p>
        </w:tc>
      </w:tr>
      <w:tr w14:paraId="6A567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24" w:type="dxa"/>
            <w:gridSpan w:val="2"/>
            <w:vAlign w:val="center"/>
          </w:tcPr>
          <w:p w14:paraId="62C61C5C">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封样对比</w:t>
            </w:r>
          </w:p>
        </w:tc>
        <w:tc>
          <w:tcPr>
            <w:tcW w:w="7109" w:type="dxa"/>
            <w:gridSpan w:val="7"/>
            <w:vAlign w:val="center"/>
          </w:tcPr>
          <w:p w14:paraId="495F75FB">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□与封样相符□与封样不相符</w:t>
            </w:r>
          </w:p>
        </w:tc>
      </w:tr>
      <w:tr w14:paraId="56330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24" w:type="dxa"/>
            <w:gridSpan w:val="2"/>
            <w:vAlign w:val="center"/>
          </w:tcPr>
          <w:p w14:paraId="3B11A614">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外观尺寸</w:t>
            </w:r>
          </w:p>
        </w:tc>
        <w:tc>
          <w:tcPr>
            <w:tcW w:w="7109" w:type="dxa"/>
            <w:gridSpan w:val="7"/>
            <w:vAlign w:val="center"/>
          </w:tcPr>
          <w:p w14:paraId="7A3A179F">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□尺寸偏差在规范允许范围内□尺寸偏差超出规范允许范围</w:t>
            </w:r>
          </w:p>
        </w:tc>
      </w:tr>
      <w:tr w14:paraId="11B67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24" w:type="dxa"/>
            <w:gridSpan w:val="2"/>
            <w:vAlign w:val="center"/>
          </w:tcPr>
          <w:p w14:paraId="28A14182">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观感质量</w:t>
            </w:r>
          </w:p>
        </w:tc>
        <w:tc>
          <w:tcPr>
            <w:tcW w:w="7109" w:type="dxa"/>
            <w:gridSpan w:val="7"/>
            <w:vAlign w:val="center"/>
          </w:tcPr>
          <w:p w14:paraId="54F0FF01">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□符合图纸设计和规范要求□不符合图纸设计和规范要求</w:t>
            </w:r>
          </w:p>
        </w:tc>
      </w:tr>
      <w:tr w14:paraId="38243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24" w:type="dxa"/>
            <w:gridSpan w:val="2"/>
            <w:vAlign w:val="center"/>
          </w:tcPr>
          <w:p w14:paraId="397F9D39">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规格型号</w:t>
            </w:r>
          </w:p>
          <w:p w14:paraId="295CB020">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品牌、厂家</w:t>
            </w:r>
          </w:p>
        </w:tc>
        <w:tc>
          <w:tcPr>
            <w:tcW w:w="7109" w:type="dxa"/>
            <w:gridSpan w:val="7"/>
            <w:vAlign w:val="center"/>
          </w:tcPr>
          <w:p w14:paraId="71FBADC1">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□与合同约定的规格型号、品牌、生产厂家、产地完全一致</w:t>
            </w:r>
          </w:p>
          <w:p w14:paraId="37483124">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□与合同约定不一致：为品牌。如与合同约定不一致全部退货。</w:t>
            </w:r>
          </w:p>
        </w:tc>
      </w:tr>
      <w:tr w14:paraId="2387D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73" w:hRule="atLeast"/>
          <w:jc w:val="center"/>
        </w:trPr>
        <w:tc>
          <w:tcPr>
            <w:tcW w:w="2524" w:type="dxa"/>
            <w:gridSpan w:val="2"/>
            <w:vAlign w:val="center"/>
          </w:tcPr>
          <w:p w14:paraId="57624ADB">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其他</w:t>
            </w:r>
          </w:p>
        </w:tc>
        <w:tc>
          <w:tcPr>
            <w:tcW w:w="7109" w:type="dxa"/>
            <w:gridSpan w:val="7"/>
            <w:vAlign w:val="center"/>
          </w:tcPr>
          <w:p w14:paraId="45B01E7C">
            <w:pPr>
              <w:keepNext/>
              <w:keepLines/>
              <w:suppressLineNumbers w:val="0"/>
              <w:adjustRightInd w:val="0"/>
              <w:snapToGrid w:val="0"/>
              <w:spacing w:before="340" w:beforeAutospacing="0" w:after="330" w:afterAutospacing="0" w:line="360" w:lineRule="auto"/>
              <w:ind w:left="0" w:right="0" w:firstLine="0"/>
              <w:jc w:val="both"/>
              <w:outlineLvl w:val="9"/>
              <w:rPr>
                <w:rFonts w:cs="宋体" w:asciiTheme="minorEastAsia" w:hAnsiTheme="minorEastAsia" w:eastAsiaTheme="minorEastAsia"/>
                <w:bCs/>
                <w:color w:val="auto"/>
                <w:szCs w:val="21"/>
                <w:highlight w:val="none"/>
              </w:rPr>
            </w:pPr>
          </w:p>
        </w:tc>
      </w:tr>
      <w:tr w14:paraId="4A2E0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24" w:type="dxa"/>
            <w:gridSpan w:val="2"/>
            <w:vAlign w:val="center"/>
          </w:tcPr>
          <w:p w14:paraId="21E9DB5D">
            <w:pPr>
              <w:keepNext w:val="0"/>
              <w:keepLines w:val="0"/>
              <w:suppressLineNumbers w:val="0"/>
              <w:adjustRightInd w:val="0"/>
              <w:snapToGrid w:val="0"/>
              <w:spacing w:before="0" w:beforeAutospacing="0" w:after="0" w:afterAutospacing="0" w:line="360" w:lineRule="auto"/>
              <w:ind w:left="0" w:right="0" w:firstLine="480"/>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最终意见</w:t>
            </w:r>
          </w:p>
        </w:tc>
        <w:tc>
          <w:tcPr>
            <w:tcW w:w="7109" w:type="dxa"/>
            <w:gridSpan w:val="7"/>
            <w:vAlign w:val="center"/>
          </w:tcPr>
          <w:p w14:paraId="47C848BF">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□同意全部接收□不接收全部退回</w:t>
            </w:r>
          </w:p>
          <w:p w14:paraId="0D651A74">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□挑选合格品接受、不合格品退回日内重新供货</w:t>
            </w:r>
          </w:p>
        </w:tc>
      </w:tr>
      <w:tr w14:paraId="1DE7F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52" w:hRule="atLeast"/>
          <w:jc w:val="center"/>
        </w:trPr>
        <w:tc>
          <w:tcPr>
            <w:tcW w:w="2524" w:type="dxa"/>
            <w:gridSpan w:val="2"/>
            <w:tcBorders>
              <w:bottom w:val="single" w:color="auto" w:sz="4" w:space="0"/>
            </w:tcBorders>
          </w:tcPr>
          <w:p w14:paraId="784156D9">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供货单位：</w:t>
            </w:r>
          </w:p>
          <w:p w14:paraId="381DC044">
            <w:pPr>
              <w:keepNext/>
              <w:keepLines/>
              <w:suppressLineNumbers w:val="0"/>
              <w:adjustRightInd w:val="0"/>
              <w:snapToGrid w:val="0"/>
              <w:spacing w:before="260" w:beforeAutospacing="0" w:after="260" w:afterAutospacing="0" w:line="360" w:lineRule="auto"/>
              <w:ind w:left="0" w:right="0" w:firstLine="0"/>
              <w:outlineLvl w:val="9"/>
              <w:rPr>
                <w:rFonts w:cs="宋体" w:asciiTheme="minorEastAsia" w:hAnsiTheme="minorEastAsia" w:eastAsiaTheme="minorEastAsia"/>
                <w:color w:val="auto"/>
                <w:szCs w:val="21"/>
                <w:highlight w:val="none"/>
              </w:rPr>
            </w:pPr>
          </w:p>
          <w:p w14:paraId="33BFEBFF">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6B5DE853">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   年   月   日</w:t>
            </w:r>
          </w:p>
        </w:tc>
        <w:tc>
          <w:tcPr>
            <w:tcW w:w="2438" w:type="dxa"/>
            <w:gridSpan w:val="2"/>
            <w:tcBorders>
              <w:bottom w:val="single" w:color="auto" w:sz="4" w:space="0"/>
            </w:tcBorders>
          </w:tcPr>
          <w:p w14:paraId="1846F80A">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收货单位：</w:t>
            </w:r>
          </w:p>
          <w:p w14:paraId="401A0D3C">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0437D411">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704433CA">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c>
          <w:tcPr>
            <w:tcW w:w="2332" w:type="dxa"/>
            <w:gridSpan w:val="3"/>
            <w:tcBorders>
              <w:bottom w:val="single" w:color="auto" w:sz="4" w:space="0"/>
            </w:tcBorders>
          </w:tcPr>
          <w:p w14:paraId="5CE81FAE">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监理单位：</w:t>
            </w:r>
          </w:p>
          <w:p w14:paraId="68C33D1E">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2AA3AF71">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1A6887BE">
            <w:pPr>
              <w:keepNext w:val="0"/>
              <w:keepLines w:val="0"/>
              <w:suppressLineNumbers w:val="0"/>
              <w:adjustRightInd w:val="0"/>
              <w:snapToGrid w:val="0"/>
              <w:spacing w:before="0" w:beforeAutospacing="0" w:after="0" w:afterAutospacing="0" w:line="360" w:lineRule="auto"/>
              <w:ind w:left="0" w:right="0" w:firstLine="480"/>
              <w:jc w:val="righ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c>
          <w:tcPr>
            <w:tcW w:w="2339" w:type="dxa"/>
            <w:gridSpan w:val="2"/>
            <w:tcBorders>
              <w:bottom w:val="single" w:color="auto" w:sz="4" w:space="0"/>
            </w:tcBorders>
          </w:tcPr>
          <w:p w14:paraId="7128D81F">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建设单位：</w:t>
            </w:r>
          </w:p>
          <w:p w14:paraId="0B498581">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0BB57745">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1E226EF1">
            <w:pPr>
              <w:keepNext w:val="0"/>
              <w:keepLines w:val="0"/>
              <w:suppressLineNumbers w:val="0"/>
              <w:adjustRightInd w:val="0"/>
              <w:snapToGrid w:val="0"/>
              <w:spacing w:before="0" w:beforeAutospacing="0" w:after="0" w:afterAutospacing="0" w:line="360" w:lineRule="auto"/>
              <w:ind w:left="0" w:right="0"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r>
    </w:tbl>
    <w:p w14:paraId="1CA38130">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1、本表一式五份，其中供货单位一份，收货单位二份、监理单位一份，建设单位一份。</w:t>
      </w:r>
    </w:p>
    <w:p w14:paraId="5498F96D">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2、本表的材料设备规格数量仅作为供货单位与收货单位之间的结算依据。</w:t>
      </w:r>
    </w:p>
    <w:p w14:paraId="27156909">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3、收货单位与建设单位之间材料设备规格数量的结算以竣工结算为准。</w:t>
      </w:r>
    </w:p>
    <w:p w14:paraId="192B078C">
      <w:pPr>
        <w:adjustRightInd w:val="0"/>
        <w:snapToGrid w:val="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附表二：</w:t>
      </w:r>
    </w:p>
    <w:p w14:paraId="79071C6D">
      <w:pPr>
        <w:adjustRightInd w:val="0"/>
        <w:snapToGrid w:val="0"/>
        <w:spacing w:line="360" w:lineRule="auto"/>
        <w:ind w:firstLine="643"/>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材料设备安装调试验收确认单</w:t>
      </w:r>
      <w:r>
        <w:rPr>
          <w:rFonts w:hint="eastAsia" w:cs="宋体" w:asciiTheme="minorEastAsia" w:hAnsiTheme="minorEastAsia" w:eastAsiaTheme="minorEastAsia"/>
          <w:b/>
          <w:color w:val="auto"/>
          <w:szCs w:val="21"/>
          <w:highlight w:val="none"/>
        </w:rPr>
        <w:t>（暂定价）</w:t>
      </w:r>
    </w:p>
    <w:p w14:paraId="16EFA591">
      <w:pPr>
        <w:adjustRightInd w:val="0"/>
        <w:snapToGrid w:val="0"/>
        <w:spacing w:line="360" w:lineRule="auto"/>
        <w:ind w:firstLine="480"/>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项目名称：编号：</w:t>
      </w:r>
    </w:p>
    <w:tbl>
      <w:tblPr>
        <w:tblStyle w:val="5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71"/>
        <w:gridCol w:w="6475"/>
      </w:tblGrid>
      <w:tr w14:paraId="12F5E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2" w:hRule="atLeast"/>
          <w:jc w:val="center"/>
        </w:trPr>
        <w:tc>
          <w:tcPr>
            <w:tcW w:w="2524" w:type="dxa"/>
            <w:vAlign w:val="center"/>
          </w:tcPr>
          <w:p w14:paraId="6A388604">
            <w:pPr>
              <w:keepNext w:val="0"/>
              <w:keepLines w:val="0"/>
              <w:suppressLineNumbers w:val="0"/>
              <w:spacing w:before="0" w:beforeAutospacing="0" w:after="0" w:afterAutospacing="0" w:line="440" w:lineRule="exact"/>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供应商名称</w:t>
            </w:r>
          </w:p>
          <w:p w14:paraId="768C6CEB">
            <w:pPr>
              <w:keepNext w:val="0"/>
              <w:keepLines w:val="0"/>
              <w:suppressLineNumbers w:val="0"/>
              <w:spacing w:before="0" w:beforeAutospacing="0" w:after="0" w:afterAutospacing="0" w:line="440" w:lineRule="exact"/>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（加盖公章）</w:t>
            </w:r>
          </w:p>
        </w:tc>
        <w:tc>
          <w:tcPr>
            <w:tcW w:w="6718" w:type="dxa"/>
            <w:vAlign w:val="center"/>
          </w:tcPr>
          <w:p w14:paraId="428E369E">
            <w:pPr>
              <w:keepNext/>
              <w:keepLines/>
              <w:suppressLineNumbers w:val="0"/>
              <w:spacing w:before="340" w:beforeAutospacing="0" w:after="330" w:afterAutospacing="0" w:line="500" w:lineRule="exact"/>
              <w:ind w:left="0" w:right="0" w:firstLine="480"/>
              <w:outlineLvl w:val="9"/>
              <w:rPr>
                <w:rFonts w:cs="宋体" w:asciiTheme="minorEastAsia" w:hAnsiTheme="minorEastAsia" w:eastAsiaTheme="minorEastAsia"/>
                <w:color w:val="auto"/>
                <w:szCs w:val="21"/>
                <w:highlight w:val="none"/>
              </w:rPr>
            </w:pPr>
          </w:p>
        </w:tc>
      </w:tr>
      <w:tr w14:paraId="00A36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2524" w:type="dxa"/>
            <w:vAlign w:val="center"/>
          </w:tcPr>
          <w:p w14:paraId="59CC8894">
            <w:pPr>
              <w:keepNext w:val="0"/>
              <w:keepLines w:val="0"/>
              <w:suppressLineNumbers w:val="0"/>
              <w:spacing w:before="0" w:beforeAutospacing="0" w:after="0" w:afterAutospacing="0" w:line="500" w:lineRule="exact"/>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合同名称</w:t>
            </w:r>
          </w:p>
        </w:tc>
        <w:tc>
          <w:tcPr>
            <w:tcW w:w="6718" w:type="dxa"/>
            <w:vAlign w:val="center"/>
          </w:tcPr>
          <w:p w14:paraId="3D83EBA7">
            <w:pPr>
              <w:keepNext/>
              <w:keepLines/>
              <w:suppressLineNumbers w:val="0"/>
              <w:spacing w:before="340" w:beforeAutospacing="0" w:after="330" w:afterAutospacing="0" w:line="500" w:lineRule="exact"/>
              <w:ind w:left="0" w:right="0" w:firstLine="480"/>
              <w:outlineLvl w:val="9"/>
              <w:rPr>
                <w:rFonts w:cs="宋体" w:asciiTheme="minorEastAsia" w:hAnsiTheme="minorEastAsia" w:eastAsiaTheme="minorEastAsia"/>
                <w:color w:val="auto"/>
                <w:szCs w:val="21"/>
                <w:highlight w:val="none"/>
              </w:rPr>
            </w:pPr>
          </w:p>
        </w:tc>
      </w:tr>
      <w:tr w14:paraId="36D9C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1" w:hRule="atLeast"/>
          <w:jc w:val="center"/>
        </w:trPr>
        <w:tc>
          <w:tcPr>
            <w:tcW w:w="2524" w:type="dxa"/>
            <w:vAlign w:val="center"/>
          </w:tcPr>
          <w:p w14:paraId="1F690BAA">
            <w:pPr>
              <w:keepNext w:val="0"/>
              <w:keepLines w:val="0"/>
              <w:suppressLineNumbers w:val="0"/>
              <w:spacing w:before="0" w:beforeAutospacing="0" w:after="0" w:afterAutospacing="0" w:line="500" w:lineRule="exact"/>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材料设备名称</w:t>
            </w:r>
          </w:p>
        </w:tc>
        <w:tc>
          <w:tcPr>
            <w:tcW w:w="6718" w:type="dxa"/>
            <w:vAlign w:val="center"/>
          </w:tcPr>
          <w:p w14:paraId="2F431017">
            <w:pPr>
              <w:keepNext/>
              <w:keepLines/>
              <w:suppressLineNumbers w:val="0"/>
              <w:spacing w:before="340" w:beforeAutospacing="0" w:after="330" w:afterAutospacing="0" w:line="500" w:lineRule="exact"/>
              <w:ind w:left="0" w:right="0" w:firstLine="480"/>
              <w:outlineLvl w:val="9"/>
              <w:rPr>
                <w:rFonts w:cs="宋体" w:asciiTheme="minorEastAsia" w:hAnsiTheme="minorEastAsia" w:eastAsiaTheme="minorEastAsia"/>
                <w:color w:val="auto"/>
                <w:szCs w:val="21"/>
                <w:highlight w:val="none"/>
              </w:rPr>
            </w:pPr>
          </w:p>
        </w:tc>
      </w:tr>
      <w:tr w14:paraId="04065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2" w:hRule="atLeast"/>
          <w:jc w:val="center"/>
        </w:trPr>
        <w:tc>
          <w:tcPr>
            <w:tcW w:w="2524" w:type="dxa"/>
            <w:vAlign w:val="center"/>
          </w:tcPr>
          <w:p w14:paraId="39010496">
            <w:pPr>
              <w:keepNext w:val="0"/>
              <w:keepLines w:val="0"/>
              <w:suppressLineNumbers w:val="0"/>
              <w:spacing w:before="0" w:beforeAutospacing="0" w:after="0" w:afterAutospacing="0" w:line="440" w:lineRule="exact"/>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材料设备供货情况</w:t>
            </w:r>
          </w:p>
        </w:tc>
        <w:tc>
          <w:tcPr>
            <w:tcW w:w="6718" w:type="dxa"/>
            <w:vAlign w:val="center"/>
          </w:tcPr>
          <w:p w14:paraId="0DDC0D5D">
            <w:pPr>
              <w:keepNext/>
              <w:keepLines/>
              <w:suppressLineNumbers w:val="0"/>
              <w:spacing w:before="340" w:beforeAutospacing="0" w:after="330" w:afterAutospacing="0" w:line="500" w:lineRule="exact"/>
              <w:ind w:left="0" w:right="0" w:firstLine="480"/>
              <w:outlineLvl w:val="9"/>
              <w:rPr>
                <w:rFonts w:cs="宋体" w:asciiTheme="minorEastAsia" w:hAnsiTheme="minorEastAsia" w:eastAsiaTheme="minorEastAsia"/>
                <w:color w:val="auto"/>
                <w:szCs w:val="21"/>
                <w:highlight w:val="none"/>
              </w:rPr>
            </w:pPr>
          </w:p>
        </w:tc>
      </w:tr>
      <w:tr w14:paraId="1B041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2" w:hRule="atLeast"/>
          <w:jc w:val="center"/>
        </w:trPr>
        <w:tc>
          <w:tcPr>
            <w:tcW w:w="2524" w:type="dxa"/>
            <w:vAlign w:val="center"/>
          </w:tcPr>
          <w:p w14:paraId="07F50D4A">
            <w:pPr>
              <w:keepNext w:val="0"/>
              <w:keepLines w:val="0"/>
              <w:suppressLineNumbers w:val="0"/>
              <w:spacing w:before="0" w:beforeAutospacing="0" w:after="0" w:afterAutospacing="0" w:line="440" w:lineRule="exact"/>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材料设备安装调试情况</w:t>
            </w:r>
          </w:p>
        </w:tc>
        <w:tc>
          <w:tcPr>
            <w:tcW w:w="6718" w:type="dxa"/>
            <w:vAlign w:val="center"/>
          </w:tcPr>
          <w:p w14:paraId="001DC0C2">
            <w:pPr>
              <w:keepNext/>
              <w:keepLines/>
              <w:suppressLineNumbers w:val="0"/>
              <w:spacing w:before="340" w:beforeAutospacing="0" w:after="330" w:afterAutospacing="0" w:line="500" w:lineRule="exact"/>
              <w:ind w:left="0" w:right="0" w:firstLine="480"/>
              <w:outlineLvl w:val="9"/>
              <w:rPr>
                <w:rFonts w:cs="宋体" w:asciiTheme="minorEastAsia" w:hAnsiTheme="minorEastAsia" w:eastAsiaTheme="minorEastAsia"/>
                <w:color w:val="auto"/>
                <w:szCs w:val="21"/>
                <w:highlight w:val="none"/>
              </w:rPr>
            </w:pPr>
          </w:p>
        </w:tc>
      </w:tr>
      <w:tr w14:paraId="018DE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2" w:hRule="atLeast"/>
          <w:jc w:val="center"/>
        </w:trPr>
        <w:tc>
          <w:tcPr>
            <w:tcW w:w="2524" w:type="dxa"/>
            <w:vAlign w:val="center"/>
          </w:tcPr>
          <w:p w14:paraId="74FEAF02">
            <w:pPr>
              <w:keepNext w:val="0"/>
              <w:keepLines w:val="0"/>
              <w:suppressLineNumbers w:val="0"/>
              <w:spacing w:before="0" w:beforeAutospacing="0" w:after="0" w:afterAutospacing="0" w:line="440" w:lineRule="exact"/>
              <w:ind w:left="0" w:right="0"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遗留问题处理情况</w:t>
            </w:r>
          </w:p>
        </w:tc>
        <w:tc>
          <w:tcPr>
            <w:tcW w:w="6718" w:type="dxa"/>
            <w:vAlign w:val="center"/>
          </w:tcPr>
          <w:p w14:paraId="5F20650A">
            <w:pPr>
              <w:keepNext/>
              <w:keepLines/>
              <w:suppressLineNumbers w:val="0"/>
              <w:spacing w:before="340" w:beforeAutospacing="0" w:after="330" w:afterAutospacing="0" w:line="500" w:lineRule="exact"/>
              <w:ind w:left="0" w:right="0" w:firstLine="480"/>
              <w:outlineLvl w:val="9"/>
              <w:rPr>
                <w:rFonts w:cs="宋体" w:asciiTheme="minorEastAsia" w:hAnsiTheme="minorEastAsia" w:eastAsiaTheme="minorEastAsia"/>
                <w:color w:val="auto"/>
                <w:szCs w:val="21"/>
                <w:highlight w:val="none"/>
              </w:rPr>
            </w:pPr>
          </w:p>
        </w:tc>
      </w:tr>
      <w:tr w14:paraId="7FD8A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24" w:type="dxa"/>
            <w:vAlign w:val="center"/>
          </w:tcPr>
          <w:p w14:paraId="2E75EA61">
            <w:pPr>
              <w:keepNext w:val="0"/>
              <w:keepLines w:val="0"/>
              <w:suppressLineNumbers w:val="0"/>
              <w:spacing w:before="0" w:beforeAutospacing="0" w:after="0" w:afterAutospacing="0" w:line="500" w:lineRule="exact"/>
              <w:ind w:left="0" w:right="0" w:firstLine="105" w:firstLineChars="5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收货单位意见</w:t>
            </w:r>
          </w:p>
        </w:tc>
        <w:tc>
          <w:tcPr>
            <w:tcW w:w="6718" w:type="dxa"/>
            <w:vAlign w:val="center"/>
          </w:tcPr>
          <w:p w14:paraId="38C73371">
            <w:pPr>
              <w:keepNext/>
              <w:keepLines/>
              <w:suppressLineNumbers w:val="0"/>
              <w:spacing w:before="340" w:beforeAutospacing="0" w:after="330" w:afterAutospacing="0" w:line="500" w:lineRule="exact"/>
              <w:ind w:left="0" w:right="0" w:firstLine="480"/>
              <w:outlineLvl w:val="9"/>
              <w:rPr>
                <w:rFonts w:cs="宋体" w:asciiTheme="minorEastAsia" w:hAnsiTheme="minorEastAsia" w:eastAsiaTheme="minorEastAsia"/>
                <w:color w:val="auto"/>
                <w:szCs w:val="21"/>
                <w:highlight w:val="none"/>
              </w:rPr>
            </w:pPr>
          </w:p>
        </w:tc>
      </w:tr>
      <w:tr w14:paraId="1F6F6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24" w:type="dxa"/>
            <w:vAlign w:val="center"/>
          </w:tcPr>
          <w:p w14:paraId="56917EE5">
            <w:pPr>
              <w:keepNext w:val="0"/>
              <w:keepLines w:val="0"/>
              <w:suppressLineNumbers w:val="0"/>
              <w:spacing w:before="0" w:beforeAutospacing="0" w:after="0" w:afterAutospacing="0" w:line="500" w:lineRule="exact"/>
              <w:ind w:left="0" w:right="0" w:firstLine="105" w:firstLineChars="5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监理单位意见</w:t>
            </w:r>
          </w:p>
        </w:tc>
        <w:tc>
          <w:tcPr>
            <w:tcW w:w="6718" w:type="dxa"/>
            <w:vAlign w:val="center"/>
          </w:tcPr>
          <w:p w14:paraId="2FCAB473">
            <w:pPr>
              <w:keepNext/>
              <w:keepLines/>
              <w:suppressLineNumbers w:val="0"/>
              <w:spacing w:before="340" w:beforeAutospacing="0" w:after="330" w:afterAutospacing="0" w:line="500" w:lineRule="exact"/>
              <w:ind w:left="0" w:right="0" w:firstLine="480"/>
              <w:outlineLvl w:val="9"/>
              <w:rPr>
                <w:rFonts w:cs="宋体" w:asciiTheme="minorEastAsia" w:hAnsiTheme="minorEastAsia" w:eastAsiaTheme="minorEastAsia"/>
                <w:color w:val="auto"/>
                <w:szCs w:val="21"/>
                <w:highlight w:val="none"/>
              </w:rPr>
            </w:pPr>
          </w:p>
        </w:tc>
      </w:tr>
      <w:tr w14:paraId="1FC66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24" w:type="dxa"/>
            <w:vAlign w:val="center"/>
          </w:tcPr>
          <w:p w14:paraId="262D9C43">
            <w:pPr>
              <w:keepNext w:val="0"/>
              <w:keepLines w:val="0"/>
              <w:suppressLineNumbers w:val="0"/>
              <w:spacing w:before="0" w:beforeAutospacing="0" w:after="0" w:afterAutospacing="0" w:line="420" w:lineRule="exact"/>
              <w:ind w:left="0" w:right="0" w:firstLine="105" w:firstLineChars="5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建设单位意见</w:t>
            </w:r>
          </w:p>
        </w:tc>
        <w:tc>
          <w:tcPr>
            <w:tcW w:w="6718" w:type="dxa"/>
            <w:vAlign w:val="center"/>
          </w:tcPr>
          <w:p w14:paraId="0BF8104D">
            <w:pPr>
              <w:keepNext/>
              <w:keepLines/>
              <w:suppressLineNumbers w:val="0"/>
              <w:spacing w:before="340" w:beforeAutospacing="0" w:after="330" w:afterAutospacing="0" w:line="500" w:lineRule="exact"/>
              <w:ind w:left="0" w:right="0" w:firstLine="480"/>
              <w:outlineLvl w:val="9"/>
              <w:rPr>
                <w:rFonts w:cs="宋体" w:asciiTheme="minorEastAsia" w:hAnsiTheme="minorEastAsia" w:eastAsiaTheme="minorEastAsia"/>
                <w:color w:val="auto"/>
                <w:szCs w:val="21"/>
                <w:highlight w:val="none"/>
              </w:rPr>
            </w:pPr>
          </w:p>
        </w:tc>
      </w:tr>
    </w:tbl>
    <w:p w14:paraId="3DF32E3B">
      <w:pPr>
        <w:keepNext w:val="0"/>
        <w:keepLines w:val="0"/>
        <w:pageBreakBefore w:val="0"/>
        <w:widowControl w:val="0"/>
        <w:kinsoku/>
        <w:wordWrap/>
        <w:overflowPunct/>
        <w:topLinePunct w:val="0"/>
        <w:autoSpaceDE/>
        <w:autoSpaceDN/>
        <w:bidi w:val="0"/>
        <w:adjustRightInd/>
        <w:snapToGrid/>
        <w:spacing w:line="312" w:lineRule="auto"/>
        <w:ind w:firstLine="482"/>
        <w:contextualSpacing/>
        <w:textAlignment w:val="auto"/>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Cs/>
          <w:color w:val="auto"/>
          <w:szCs w:val="21"/>
          <w:highlight w:val="none"/>
        </w:rPr>
        <w:t>填写说明：</w:t>
      </w:r>
    </w:p>
    <w:p w14:paraId="5BEF5EF6">
      <w:pPr>
        <w:keepNext w:val="0"/>
        <w:keepLines w:val="0"/>
        <w:pageBreakBefore w:val="0"/>
        <w:widowControl w:val="0"/>
        <w:kinsoku/>
        <w:wordWrap/>
        <w:overflowPunct/>
        <w:topLinePunct w:val="0"/>
        <w:autoSpaceDE/>
        <w:autoSpaceDN/>
        <w:bidi w:val="0"/>
        <w:adjustRightInd/>
        <w:snapToGrid/>
        <w:spacing w:line="312" w:lineRule="auto"/>
        <w:ind w:firstLine="482"/>
        <w:contextualSpacing/>
        <w:textAlignment w:val="auto"/>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1、供货情况填写是否按要求供货及是否供货完毕。</w:t>
      </w:r>
    </w:p>
    <w:p w14:paraId="5BF2F1C3">
      <w:pPr>
        <w:keepNext w:val="0"/>
        <w:keepLines w:val="0"/>
        <w:pageBreakBefore w:val="0"/>
        <w:widowControl w:val="0"/>
        <w:kinsoku/>
        <w:wordWrap/>
        <w:overflowPunct/>
        <w:topLinePunct w:val="0"/>
        <w:autoSpaceDE/>
        <w:autoSpaceDN/>
        <w:bidi w:val="0"/>
        <w:adjustRightInd/>
        <w:snapToGrid/>
        <w:spacing w:line="312" w:lineRule="auto"/>
        <w:ind w:firstLine="482"/>
        <w:contextualSpacing/>
        <w:textAlignment w:val="auto"/>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2、安装调试情况填写是否已经安装调试完成及是否存在遗留问题。</w:t>
      </w:r>
    </w:p>
    <w:p w14:paraId="79672BE5">
      <w:pPr>
        <w:keepNext w:val="0"/>
        <w:keepLines w:val="0"/>
        <w:pageBreakBefore w:val="0"/>
        <w:widowControl w:val="0"/>
        <w:kinsoku/>
        <w:wordWrap/>
        <w:overflowPunct/>
        <w:topLinePunct w:val="0"/>
        <w:autoSpaceDE/>
        <w:autoSpaceDN/>
        <w:bidi w:val="0"/>
        <w:adjustRightInd/>
        <w:snapToGrid/>
        <w:spacing w:line="312" w:lineRule="auto"/>
        <w:ind w:firstLine="482"/>
        <w:contextualSpacing/>
        <w:textAlignment w:val="auto"/>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3、遗留问题处理情况：有遗留问题则填写是否已处理结束，没有则填写无遗留问题。</w:t>
      </w:r>
    </w:p>
    <w:p w14:paraId="7F803398">
      <w:pPr>
        <w:keepNext w:val="0"/>
        <w:keepLines w:val="0"/>
        <w:pageBreakBefore w:val="0"/>
        <w:widowControl w:val="0"/>
        <w:kinsoku/>
        <w:wordWrap/>
        <w:overflowPunct/>
        <w:topLinePunct w:val="0"/>
        <w:autoSpaceDE/>
        <w:autoSpaceDN/>
        <w:bidi w:val="0"/>
        <w:adjustRightInd/>
        <w:snapToGrid/>
        <w:spacing w:line="312" w:lineRule="auto"/>
        <w:ind w:firstLine="482"/>
        <w:contextualSpacing/>
        <w:textAlignment w:val="auto"/>
        <w:outlineLvl w:val="9"/>
        <w:rPr>
          <w:rFonts w:cs="宋体" w:asciiTheme="minorEastAsia" w:hAnsiTheme="minorEastAsia" w:eastAsiaTheme="minorEastAsia"/>
          <w:bCs/>
          <w:color w:val="auto"/>
          <w:szCs w:val="21"/>
          <w:highlight w:val="none"/>
        </w:rPr>
      </w:pPr>
      <w:r>
        <w:rPr>
          <w:rFonts w:cs="宋体" w:asciiTheme="minorEastAsia" w:hAnsiTheme="minorEastAsia" w:eastAsiaTheme="minorEastAsia"/>
          <w:bCs/>
          <w:color w:val="auto"/>
          <w:szCs w:val="21"/>
          <w:highlight w:val="none"/>
        </w:rPr>
        <w:t>4、收货单位、监理单位及建设单位对材料设备供货情况及是否通过安装调试验收填写意见，并对调试验收款的支付出具相关意见。</w:t>
      </w:r>
    </w:p>
    <w:p w14:paraId="2DB89743">
      <w:pPr>
        <w:keepNext w:val="0"/>
        <w:keepLines w:val="0"/>
        <w:pageBreakBefore w:val="0"/>
        <w:widowControl w:val="0"/>
        <w:kinsoku/>
        <w:wordWrap/>
        <w:overflowPunct/>
        <w:topLinePunct w:val="0"/>
        <w:autoSpaceDE/>
        <w:autoSpaceDN/>
        <w:bidi w:val="0"/>
        <w:adjustRightInd/>
        <w:snapToGrid/>
        <w:spacing w:line="312" w:lineRule="auto"/>
        <w:ind w:firstLine="482"/>
        <w:contextualSpacing/>
        <w:textAlignment w:val="auto"/>
        <w:outlineLvl w:val="9"/>
        <w:rPr>
          <w:rFonts w:cs="宋体" w:asciiTheme="minorEastAsia" w:hAnsiTheme="minorEastAsia" w:eastAsiaTheme="minorEastAsia"/>
          <w:bCs/>
          <w:color w:val="auto"/>
          <w:szCs w:val="21"/>
          <w:highlight w:val="none"/>
        </w:rPr>
        <w:sectPr>
          <w:footerReference r:id="rId11" w:type="default"/>
          <w:pgSz w:w="11906" w:h="16838"/>
          <w:pgMar w:top="1134" w:right="1588" w:bottom="1134" w:left="1588" w:header="567" w:footer="567" w:gutter="0"/>
          <w:pgBorders>
            <w:top w:val="none" w:sz="0" w:space="0"/>
            <w:left w:val="none" w:sz="0" w:space="0"/>
            <w:bottom w:val="none" w:sz="0" w:space="0"/>
            <w:right w:val="none" w:sz="0" w:space="0"/>
          </w:pgBorders>
          <w:cols w:space="425" w:num="1"/>
          <w:docGrid w:type="lines" w:linePitch="312" w:charSpace="0"/>
        </w:sectPr>
      </w:pPr>
      <w:r>
        <w:rPr>
          <w:rFonts w:cs="宋体" w:asciiTheme="minorEastAsia" w:hAnsiTheme="minorEastAsia" w:eastAsiaTheme="minorEastAsia"/>
          <w:bCs/>
          <w:color w:val="auto"/>
          <w:szCs w:val="21"/>
          <w:highlight w:val="none"/>
        </w:rPr>
        <w:t>5、供货单位与收到单位之间的结算数量以四方确认的《材料设备供货验收清单》为准。</w:t>
      </w:r>
    </w:p>
    <w:p w14:paraId="3001AF32">
      <w:pPr>
        <w:adjustRightInd w:val="0"/>
        <w:snapToGrid w:val="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附表三：</w:t>
      </w:r>
    </w:p>
    <w:p w14:paraId="3F803CCE">
      <w:pPr>
        <w:adjustRightInd w:val="0"/>
        <w:snapToGrid w:val="0"/>
        <w:spacing w:line="360" w:lineRule="auto"/>
        <w:ind w:firstLine="643"/>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材料设备结算确认单（暂定价）</w:t>
      </w:r>
    </w:p>
    <w:p w14:paraId="62782658">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项目名称：编号：</w:t>
      </w:r>
    </w:p>
    <w:tbl>
      <w:tblPr>
        <w:tblStyle w:val="56"/>
        <w:tblW w:w="146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2693"/>
        <w:gridCol w:w="284"/>
        <w:gridCol w:w="2699"/>
        <w:gridCol w:w="850"/>
        <w:gridCol w:w="136"/>
        <w:gridCol w:w="715"/>
        <w:gridCol w:w="1128"/>
        <w:gridCol w:w="1843"/>
        <w:gridCol w:w="141"/>
        <w:gridCol w:w="2127"/>
        <w:gridCol w:w="1232"/>
      </w:tblGrid>
      <w:tr w14:paraId="6C7B0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4" w:type="dxa"/>
            <w:vAlign w:val="center"/>
          </w:tcPr>
          <w:p w14:paraId="5270C2B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序号</w:t>
            </w:r>
          </w:p>
        </w:tc>
        <w:tc>
          <w:tcPr>
            <w:tcW w:w="2693" w:type="dxa"/>
            <w:vAlign w:val="center"/>
          </w:tcPr>
          <w:p w14:paraId="7463751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材料设备名称</w:t>
            </w:r>
          </w:p>
        </w:tc>
        <w:tc>
          <w:tcPr>
            <w:tcW w:w="2983" w:type="dxa"/>
            <w:gridSpan w:val="2"/>
            <w:vAlign w:val="center"/>
          </w:tcPr>
          <w:p w14:paraId="09CB26D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规格型号</w:t>
            </w:r>
          </w:p>
        </w:tc>
        <w:tc>
          <w:tcPr>
            <w:tcW w:w="850" w:type="dxa"/>
            <w:vAlign w:val="center"/>
          </w:tcPr>
          <w:p w14:paraId="19A642F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品牌</w:t>
            </w:r>
          </w:p>
        </w:tc>
        <w:tc>
          <w:tcPr>
            <w:tcW w:w="851" w:type="dxa"/>
            <w:gridSpan w:val="2"/>
            <w:vAlign w:val="center"/>
          </w:tcPr>
          <w:p w14:paraId="6DD3C10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单位</w:t>
            </w:r>
          </w:p>
        </w:tc>
        <w:tc>
          <w:tcPr>
            <w:tcW w:w="1128" w:type="dxa"/>
            <w:vAlign w:val="center"/>
          </w:tcPr>
          <w:p w14:paraId="7A63D0E5">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数量</w:t>
            </w:r>
          </w:p>
        </w:tc>
        <w:tc>
          <w:tcPr>
            <w:tcW w:w="1984" w:type="dxa"/>
            <w:gridSpan w:val="2"/>
            <w:vAlign w:val="center"/>
          </w:tcPr>
          <w:p w14:paraId="69B8EC43">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单价（元）</w:t>
            </w:r>
          </w:p>
        </w:tc>
        <w:tc>
          <w:tcPr>
            <w:tcW w:w="2127" w:type="dxa"/>
            <w:vAlign w:val="center"/>
          </w:tcPr>
          <w:p w14:paraId="5DBBDAE1">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总价（元）</w:t>
            </w:r>
          </w:p>
        </w:tc>
        <w:tc>
          <w:tcPr>
            <w:tcW w:w="1232" w:type="dxa"/>
            <w:vAlign w:val="center"/>
          </w:tcPr>
          <w:p w14:paraId="4109FD1E">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备注</w:t>
            </w:r>
          </w:p>
        </w:tc>
      </w:tr>
      <w:tr w14:paraId="4445F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64F55861">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76F0C34C">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081B5964">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712A6DAA">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5B90F5E3">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016935F1">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435BE84B">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1CD9A9B9">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4880C3A9">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01CC2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0EBA11AF">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385982A0">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007F5E9E">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0759BED6">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509B9EC7">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340A7839">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5A104701">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4BB25EAC">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2BDA24DA">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7F5A0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26187CED">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6CE90502">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1B3B12DB">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0A320656">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03D6276E">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3A046418">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5E8B06E6">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50D54C9D">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7BCC8EF1">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7C892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1521CEEB">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7AF2E7A7">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4A1268D1">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0CADF50E">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6AD1C87C">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14A9D4D0">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33A571A7">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4CE2E9FC">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345D34A0">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6B561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3447" w:type="dxa"/>
            <w:gridSpan w:val="2"/>
            <w:vAlign w:val="center"/>
          </w:tcPr>
          <w:p w14:paraId="6A06D5C6">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合计（元）：</w:t>
            </w:r>
          </w:p>
        </w:tc>
        <w:tc>
          <w:tcPr>
            <w:tcW w:w="2983" w:type="dxa"/>
            <w:gridSpan w:val="2"/>
            <w:vAlign w:val="center"/>
          </w:tcPr>
          <w:p w14:paraId="061C09E0">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850" w:type="dxa"/>
            <w:vAlign w:val="center"/>
          </w:tcPr>
          <w:p w14:paraId="37F1510B">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851" w:type="dxa"/>
            <w:gridSpan w:val="2"/>
            <w:vAlign w:val="center"/>
          </w:tcPr>
          <w:p w14:paraId="688B6BB8">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1128" w:type="dxa"/>
            <w:vAlign w:val="center"/>
          </w:tcPr>
          <w:p w14:paraId="4CE78660">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1984" w:type="dxa"/>
            <w:gridSpan w:val="2"/>
            <w:vAlign w:val="center"/>
          </w:tcPr>
          <w:p w14:paraId="074880A8">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2127" w:type="dxa"/>
            <w:vAlign w:val="center"/>
          </w:tcPr>
          <w:p w14:paraId="360587A6">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1232" w:type="dxa"/>
            <w:vAlign w:val="center"/>
          </w:tcPr>
          <w:p w14:paraId="2F074293">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r>
      <w:tr w14:paraId="1700C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0" w:hRule="atLeast"/>
          <w:jc w:val="center"/>
        </w:trPr>
        <w:tc>
          <w:tcPr>
            <w:tcW w:w="3731" w:type="dxa"/>
            <w:gridSpan w:val="3"/>
            <w:tcBorders>
              <w:bottom w:val="single" w:color="auto" w:sz="4" w:space="0"/>
            </w:tcBorders>
          </w:tcPr>
          <w:p w14:paraId="46A0C3AD">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供货单位：</w:t>
            </w:r>
          </w:p>
          <w:p w14:paraId="739566A7">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73076877">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7CDBE783">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37421E54">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c>
          <w:tcPr>
            <w:tcW w:w="3685" w:type="dxa"/>
            <w:gridSpan w:val="3"/>
            <w:tcBorders>
              <w:bottom w:val="single" w:color="auto" w:sz="4" w:space="0"/>
            </w:tcBorders>
          </w:tcPr>
          <w:p w14:paraId="3D7D914C">
            <w:pPr>
              <w:keepNext w:val="0"/>
              <w:keepLines w:val="0"/>
              <w:suppressLineNumbers w:val="0"/>
              <w:adjustRightInd w:val="0"/>
              <w:snapToGrid w:val="0"/>
              <w:spacing w:before="0" w:beforeAutospacing="0" w:after="0" w:afterAutospacing="0"/>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收货单位：（盖项目部章）</w:t>
            </w:r>
          </w:p>
          <w:p w14:paraId="4A732D12">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4AB339A7">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590AFF04">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76DDA719">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6615D151">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c>
          <w:tcPr>
            <w:tcW w:w="3686" w:type="dxa"/>
            <w:gridSpan w:val="3"/>
            <w:tcBorders>
              <w:bottom w:val="single" w:color="auto" w:sz="4" w:space="0"/>
            </w:tcBorders>
          </w:tcPr>
          <w:p w14:paraId="4C53A622">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监理单位：</w:t>
            </w:r>
          </w:p>
          <w:p w14:paraId="1563C80C">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35E6E8EE">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6B424DB5">
            <w:pPr>
              <w:keepNext/>
              <w:keepLines/>
              <w:suppressLineNumbers w:val="0"/>
              <w:adjustRightInd w:val="0"/>
              <w:snapToGrid w:val="0"/>
              <w:spacing w:before="260" w:beforeAutospacing="0" w:after="260" w:afterAutospacing="0" w:line="360" w:lineRule="auto"/>
              <w:ind w:left="0" w:right="0" w:firstLine="480"/>
              <w:jc w:val="right"/>
              <w:outlineLvl w:val="9"/>
              <w:rPr>
                <w:rFonts w:cs="宋体" w:asciiTheme="minorEastAsia" w:hAnsiTheme="minorEastAsia" w:eastAsiaTheme="minorEastAsia"/>
                <w:color w:val="auto"/>
                <w:szCs w:val="21"/>
                <w:highlight w:val="none"/>
              </w:rPr>
            </w:pPr>
          </w:p>
          <w:p w14:paraId="241231BA">
            <w:pPr>
              <w:keepNext w:val="0"/>
              <w:keepLines w:val="0"/>
              <w:suppressLineNumbers w:val="0"/>
              <w:adjustRightInd w:val="0"/>
              <w:snapToGrid w:val="0"/>
              <w:spacing w:before="0" w:beforeAutospacing="0" w:after="0" w:afterAutospacing="0" w:line="360" w:lineRule="auto"/>
              <w:ind w:left="0" w:right="0" w:firstLine="480"/>
              <w:jc w:val="righ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c>
          <w:tcPr>
            <w:tcW w:w="3500" w:type="dxa"/>
            <w:gridSpan w:val="3"/>
            <w:tcBorders>
              <w:bottom w:val="single" w:color="auto" w:sz="4" w:space="0"/>
            </w:tcBorders>
          </w:tcPr>
          <w:p w14:paraId="15B351A5">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建设单位：</w:t>
            </w:r>
          </w:p>
          <w:p w14:paraId="098201CE">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629A81F4">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62C711AA">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734017CC">
            <w:pPr>
              <w:keepNext w:val="0"/>
              <w:keepLines w:val="0"/>
              <w:suppressLineNumbers w:val="0"/>
              <w:adjustRightInd w:val="0"/>
              <w:snapToGrid w:val="0"/>
              <w:spacing w:before="0" w:beforeAutospacing="0" w:after="0" w:afterAutospacing="0" w:line="360" w:lineRule="auto"/>
              <w:ind w:left="0" w:right="0"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r>
    </w:tbl>
    <w:p w14:paraId="5C414C5A">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1、本表一式五份，其中供货单位一份，收货单位二份、监理单位一份，建设单位一份。</w:t>
      </w:r>
    </w:p>
    <w:p w14:paraId="2D7C0C43">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2、本表的材料设备规格数量仅作为供货单位与收货单位之间的结算依据。</w:t>
      </w:r>
    </w:p>
    <w:p w14:paraId="4A40D51E">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3、收货单位与建设单位之间材料设备规格数量的结算以竣工结算为准。</w:t>
      </w:r>
    </w:p>
    <w:p w14:paraId="1C84E75B">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4、后附供货单位上报的详细结算资料。</w:t>
      </w:r>
      <w:r>
        <w:rPr>
          <w:rFonts w:cs="宋体" w:asciiTheme="minorEastAsia" w:hAnsiTheme="minorEastAsia" w:eastAsiaTheme="minorEastAsia"/>
          <w:color w:val="auto"/>
          <w:szCs w:val="21"/>
          <w:highlight w:val="none"/>
        </w:rPr>
        <w:br w:type="page"/>
      </w:r>
    </w:p>
    <w:p w14:paraId="44E653DE">
      <w:pPr>
        <w:adjustRightInd w:val="0"/>
        <w:snapToGrid w:val="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附表四：</w:t>
      </w:r>
    </w:p>
    <w:p w14:paraId="6DA830E0">
      <w:pPr>
        <w:adjustRightInd w:val="0"/>
        <w:snapToGrid w:val="0"/>
        <w:ind w:firstLine="643"/>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b/>
          <w:color w:val="auto"/>
          <w:szCs w:val="21"/>
          <w:highlight w:val="none"/>
        </w:rPr>
        <w:t>电梯设备费结算确认单（暂定价）</w:t>
      </w:r>
    </w:p>
    <w:p w14:paraId="0958EED7">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项目名称：                                                                                              编号：</w:t>
      </w:r>
    </w:p>
    <w:tbl>
      <w:tblPr>
        <w:tblStyle w:val="56"/>
        <w:tblW w:w="146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2693"/>
        <w:gridCol w:w="284"/>
        <w:gridCol w:w="2699"/>
        <w:gridCol w:w="850"/>
        <w:gridCol w:w="136"/>
        <w:gridCol w:w="715"/>
        <w:gridCol w:w="1128"/>
        <w:gridCol w:w="1843"/>
        <w:gridCol w:w="141"/>
        <w:gridCol w:w="2127"/>
        <w:gridCol w:w="1232"/>
      </w:tblGrid>
      <w:tr w14:paraId="1CB8A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754" w:type="dxa"/>
            <w:vAlign w:val="center"/>
          </w:tcPr>
          <w:p w14:paraId="6257E77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序号</w:t>
            </w:r>
          </w:p>
        </w:tc>
        <w:tc>
          <w:tcPr>
            <w:tcW w:w="2693" w:type="dxa"/>
            <w:vAlign w:val="center"/>
          </w:tcPr>
          <w:p w14:paraId="48999A87">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材料设备名称</w:t>
            </w:r>
          </w:p>
        </w:tc>
        <w:tc>
          <w:tcPr>
            <w:tcW w:w="2983" w:type="dxa"/>
            <w:gridSpan w:val="2"/>
            <w:vAlign w:val="center"/>
          </w:tcPr>
          <w:p w14:paraId="1BC90632">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规格型号</w:t>
            </w:r>
          </w:p>
        </w:tc>
        <w:tc>
          <w:tcPr>
            <w:tcW w:w="850" w:type="dxa"/>
            <w:vAlign w:val="center"/>
          </w:tcPr>
          <w:p w14:paraId="15F863C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品牌</w:t>
            </w:r>
          </w:p>
        </w:tc>
        <w:tc>
          <w:tcPr>
            <w:tcW w:w="851" w:type="dxa"/>
            <w:gridSpan w:val="2"/>
            <w:vAlign w:val="center"/>
          </w:tcPr>
          <w:p w14:paraId="73D02E2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单位</w:t>
            </w:r>
          </w:p>
        </w:tc>
        <w:tc>
          <w:tcPr>
            <w:tcW w:w="1128" w:type="dxa"/>
            <w:vAlign w:val="center"/>
          </w:tcPr>
          <w:p w14:paraId="6FD56557">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数量</w:t>
            </w:r>
          </w:p>
        </w:tc>
        <w:tc>
          <w:tcPr>
            <w:tcW w:w="1984" w:type="dxa"/>
            <w:gridSpan w:val="2"/>
            <w:vAlign w:val="center"/>
          </w:tcPr>
          <w:p w14:paraId="5F7F844E">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单价（元）</w:t>
            </w:r>
          </w:p>
        </w:tc>
        <w:tc>
          <w:tcPr>
            <w:tcW w:w="2127" w:type="dxa"/>
            <w:vAlign w:val="center"/>
          </w:tcPr>
          <w:p w14:paraId="65944505">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总价（元）</w:t>
            </w:r>
          </w:p>
        </w:tc>
        <w:tc>
          <w:tcPr>
            <w:tcW w:w="1232" w:type="dxa"/>
            <w:vAlign w:val="center"/>
          </w:tcPr>
          <w:p w14:paraId="7B3D1CD0">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备注</w:t>
            </w:r>
          </w:p>
        </w:tc>
      </w:tr>
      <w:tr w14:paraId="20F05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6CBD33D1">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2F8EA98F">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3AAD684C">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16F727D6">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2294B633">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2E65A0CE">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6F43F7C8">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501428DE">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04EB9242">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757AC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56135E6F">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3BD099F0">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1633DF81">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4D3BC625">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049220DA">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02D2BF1E">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56C0D819">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38ABBDB7">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33A31FB2">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0098E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36F9D836">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1E8AC848">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77EF6A00">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1F3758FA">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33D56A97">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64F7BB15">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38949BBB">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5CE93FA9">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4480AAFA">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61A18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1766916D">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58546860">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05CE56F0">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730ADEDE">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1AD9EC98">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2E6AA99A">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5414EC55">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335DFC64">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2DF360BF">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5FF7F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74AFB27E">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5394DC65">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1CE65A67">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23CF6D45">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5CD1731C">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0B97A20A">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03D1CB88">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3D77FDA8">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5C2E084A">
            <w:pPr>
              <w:keepNext/>
              <w:keepLines/>
              <w:suppressLineNumbers w:val="0"/>
              <w:adjustRightInd w:val="0"/>
              <w:snapToGrid w:val="0"/>
              <w:spacing w:before="340" w:beforeAutospacing="0" w:after="33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1126F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3447" w:type="dxa"/>
            <w:gridSpan w:val="2"/>
            <w:vAlign w:val="center"/>
          </w:tcPr>
          <w:p w14:paraId="03DD4895">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合计（元）：</w:t>
            </w:r>
          </w:p>
        </w:tc>
        <w:tc>
          <w:tcPr>
            <w:tcW w:w="2983" w:type="dxa"/>
            <w:gridSpan w:val="2"/>
            <w:vAlign w:val="center"/>
          </w:tcPr>
          <w:p w14:paraId="09A8416D">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850" w:type="dxa"/>
            <w:vAlign w:val="center"/>
          </w:tcPr>
          <w:p w14:paraId="0B76520C">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851" w:type="dxa"/>
            <w:gridSpan w:val="2"/>
            <w:vAlign w:val="center"/>
          </w:tcPr>
          <w:p w14:paraId="21CD2F2B">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1128" w:type="dxa"/>
            <w:vAlign w:val="center"/>
          </w:tcPr>
          <w:p w14:paraId="74ACF464">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1984" w:type="dxa"/>
            <w:gridSpan w:val="2"/>
            <w:vAlign w:val="center"/>
          </w:tcPr>
          <w:p w14:paraId="6459D6C8">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2127" w:type="dxa"/>
            <w:vAlign w:val="center"/>
          </w:tcPr>
          <w:p w14:paraId="5CBC961A">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1232" w:type="dxa"/>
            <w:vAlign w:val="center"/>
          </w:tcPr>
          <w:p w14:paraId="621F5F0E">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r>
      <w:tr w14:paraId="4D0E6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18" w:hRule="atLeast"/>
          <w:jc w:val="center"/>
        </w:trPr>
        <w:tc>
          <w:tcPr>
            <w:tcW w:w="3731" w:type="dxa"/>
            <w:gridSpan w:val="3"/>
            <w:tcBorders>
              <w:bottom w:val="single" w:color="auto" w:sz="4" w:space="0"/>
            </w:tcBorders>
          </w:tcPr>
          <w:p w14:paraId="6047C369">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供货单位：</w:t>
            </w:r>
          </w:p>
          <w:p w14:paraId="7248C1A2">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4EA97B8A">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2C64FA6D">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36299B33">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c>
          <w:tcPr>
            <w:tcW w:w="3685" w:type="dxa"/>
            <w:gridSpan w:val="3"/>
            <w:tcBorders>
              <w:bottom w:val="single" w:color="auto" w:sz="4" w:space="0"/>
            </w:tcBorders>
          </w:tcPr>
          <w:p w14:paraId="3FBD5C88">
            <w:pPr>
              <w:keepNext w:val="0"/>
              <w:keepLines w:val="0"/>
              <w:suppressLineNumbers w:val="0"/>
              <w:adjustRightInd w:val="0"/>
              <w:snapToGrid w:val="0"/>
              <w:spacing w:before="0" w:beforeAutospacing="0" w:after="0" w:afterAutospacing="0"/>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收货单位：（盖项目部章）</w:t>
            </w:r>
          </w:p>
          <w:p w14:paraId="3B5D68A9">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635F94A1">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3B32E33C">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4B6D6BC5">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52BDA6D2">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c>
          <w:tcPr>
            <w:tcW w:w="3686" w:type="dxa"/>
            <w:gridSpan w:val="3"/>
            <w:tcBorders>
              <w:bottom w:val="single" w:color="auto" w:sz="4" w:space="0"/>
            </w:tcBorders>
          </w:tcPr>
          <w:p w14:paraId="34897017">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监理单位：</w:t>
            </w:r>
          </w:p>
          <w:p w14:paraId="356D8534">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488EEE6F">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6C1DB7FA">
            <w:pPr>
              <w:keepNext/>
              <w:keepLines/>
              <w:suppressLineNumbers w:val="0"/>
              <w:adjustRightInd w:val="0"/>
              <w:snapToGrid w:val="0"/>
              <w:spacing w:before="260" w:beforeAutospacing="0" w:after="260" w:afterAutospacing="0" w:line="360" w:lineRule="auto"/>
              <w:ind w:left="0" w:right="0" w:firstLine="480"/>
              <w:jc w:val="right"/>
              <w:outlineLvl w:val="9"/>
              <w:rPr>
                <w:rFonts w:cs="宋体" w:asciiTheme="minorEastAsia" w:hAnsiTheme="minorEastAsia" w:eastAsiaTheme="minorEastAsia"/>
                <w:color w:val="auto"/>
                <w:szCs w:val="21"/>
                <w:highlight w:val="none"/>
              </w:rPr>
            </w:pPr>
          </w:p>
          <w:p w14:paraId="46641DC1">
            <w:pPr>
              <w:keepNext w:val="0"/>
              <w:keepLines w:val="0"/>
              <w:suppressLineNumbers w:val="0"/>
              <w:adjustRightInd w:val="0"/>
              <w:snapToGrid w:val="0"/>
              <w:spacing w:before="0" w:beforeAutospacing="0" w:after="0" w:afterAutospacing="0" w:line="360" w:lineRule="auto"/>
              <w:ind w:left="0" w:right="0" w:firstLine="480"/>
              <w:jc w:val="righ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c>
          <w:tcPr>
            <w:tcW w:w="3500" w:type="dxa"/>
            <w:gridSpan w:val="3"/>
            <w:tcBorders>
              <w:bottom w:val="single" w:color="auto" w:sz="4" w:space="0"/>
            </w:tcBorders>
          </w:tcPr>
          <w:p w14:paraId="53ABDEA1">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建设单位：</w:t>
            </w:r>
          </w:p>
          <w:p w14:paraId="5CA2144D">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3A3E7455">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01BC03F4">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10DFE94E">
            <w:pPr>
              <w:keepNext w:val="0"/>
              <w:keepLines w:val="0"/>
              <w:suppressLineNumbers w:val="0"/>
              <w:adjustRightInd w:val="0"/>
              <w:snapToGrid w:val="0"/>
              <w:spacing w:before="0" w:beforeAutospacing="0" w:after="0" w:afterAutospacing="0" w:line="360" w:lineRule="auto"/>
              <w:ind w:left="0" w:right="0"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r>
    </w:tbl>
    <w:p w14:paraId="516E873C">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1、本表一式五份，其中供货单位一份，收货单位二份、监理单位一份，建设单位一份。</w:t>
      </w:r>
    </w:p>
    <w:p w14:paraId="49AF732C">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2、本表的材料设备规格数量仅作为供货单位与收货单位之间的结算依据。</w:t>
      </w:r>
    </w:p>
    <w:p w14:paraId="01664441">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3、收货单位与建设单位之间材料设备规格数量的结算以竣工结算为准。</w:t>
      </w:r>
    </w:p>
    <w:p w14:paraId="71FF0984">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4、后附供货单位上报的详细结算资料。</w:t>
      </w:r>
    </w:p>
    <w:p w14:paraId="61CE9ED3">
      <w:pPr>
        <w:adjustRightInd w:val="0"/>
        <w:snapToGrid w:val="0"/>
        <w:ind w:firstLine="480"/>
        <w:outlineLvl w:val="9"/>
        <w:rPr>
          <w:rFonts w:hint="eastAsia" w:cs="宋体" w:asciiTheme="minorEastAsia" w:hAnsiTheme="minorEastAsia" w:eastAsiaTheme="minorEastAsia"/>
          <w:color w:val="auto"/>
          <w:szCs w:val="21"/>
          <w:highlight w:val="none"/>
        </w:rPr>
        <w:sectPr>
          <w:pgSz w:w="16838" w:h="11906" w:orient="landscape"/>
          <w:pgMar w:top="1134" w:right="1134" w:bottom="1134" w:left="1134" w:header="567" w:footer="567" w:gutter="0"/>
          <w:pgBorders>
            <w:top w:val="none" w:sz="0" w:space="0"/>
            <w:left w:val="none" w:sz="0" w:space="0"/>
            <w:bottom w:val="none" w:sz="0" w:space="0"/>
            <w:right w:val="none" w:sz="0" w:space="0"/>
          </w:pgBorders>
          <w:cols w:space="425" w:num="1"/>
          <w:docGrid w:type="lines" w:linePitch="312" w:charSpace="0"/>
        </w:sectPr>
      </w:pPr>
    </w:p>
    <w:p w14:paraId="67A3BA1D">
      <w:pPr>
        <w:adjustRightInd w:val="0"/>
        <w:snapToGrid w:val="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附表五：</w:t>
      </w:r>
    </w:p>
    <w:p w14:paraId="42D7E137">
      <w:pPr>
        <w:adjustRightInd w:val="0"/>
        <w:snapToGrid w:val="0"/>
        <w:spacing w:line="360" w:lineRule="auto"/>
        <w:ind w:firstLine="643"/>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电梯安装费结算确认单（暂定价）</w:t>
      </w:r>
    </w:p>
    <w:p w14:paraId="6AD192A6">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项目名称：                                                                    编号：</w:t>
      </w:r>
    </w:p>
    <w:tbl>
      <w:tblPr>
        <w:tblStyle w:val="56"/>
        <w:tblW w:w="146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2693"/>
        <w:gridCol w:w="284"/>
        <w:gridCol w:w="2699"/>
        <w:gridCol w:w="850"/>
        <w:gridCol w:w="136"/>
        <w:gridCol w:w="715"/>
        <w:gridCol w:w="1128"/>
        <w:gridCol w:w="1843"/>
        <w:gridCol w:w="141"/>
        <w:gridCol w:w="2127"/>
        <w:gridCol w:w="1232"/>
      </w:tblGrid>
      <w:tr w14:paraId="5AD7C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54" w:type="dxa"/>
            <w:vAlign w:val="center"/>
          </w:tcPr>
          <w:p w14:paraId="413D22B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序号</w:t>
            </w:r>
          </w:p>
        </w:tc>
        <w:tc>
          <w:tcPr>
            <w:tcW w:w="2693" w:type="dxa"/>
            <w:vAlign w:val="center"/>
          </w:tcPr>
          <w:p w14:paraId="064FB7B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材料设备名称</w:t>
            </w:r>
          </w:p>
        </w:tc>
        <w:tc>
          <w:tcPr>
            <w:tcW w:w="2983" w:type="dxa"/>
            <w:gridSpan w:val="2"/>
            <w:vAlign w:val="center"/>
          </w:tcPr>
          <w:p w14:paraId="4CC156E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规格型号</w:t>
            </w:r>
          </w:p>
        </w:tc>
        <w:tc>
          <w:tcPr>
            <w:tcW w:w="850" w:type="dxa"/>
            <w:vAlign w:val="center"/>
          </w:tcPr>
          <w:p w14:paraId="14DFED1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品牌</w:t>
            </w:r>
          </w:p>
        </w:tc>
        <w:tc>
          <w:tcPr>
            <w:tcW w:w="851" w:type="dxa"/>
            <w:gridSpan w:val="2"/>
            <w:vAlign w:val="center"/>
          </w:tcPr>
          <w:p w14:paraId="4ED5640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单位</w:t>
            </w:r>
          </w:p>
        </w:tc>
        <w:tc>
          <w:tcPr>
            <w:tcW w:w="1128" w:type="dxa"/>
            <w:vAlign w:val="center"/>
          </w:tcPr>
          <w:p w14:paraId="3AD817D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数量</w:t>
            </w:r>
          </w:p>
        </w:tc>
        <w:tc>
          <w:tcPr>
            <w:tcW w:w="1984" w:type="dxa"/>
            <w:gridSpan w:val="2"/>
            <w:vAlign w:val="center"/>
          </w:tcPr>
          <w:p w14:paraId="6B224D7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单价（元）</w:t>
            </w:r>
          </w:p>
        </w:tc>
        <w:tc>
          <w:tcPr>
            <w:tcW w:w="2127" w:type="dxa"/>
            <w:vAlign w:val="center"/>
          </w:tcPr>
          <w:p w14:paraId="013DE56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总价（元）</w:t>
            </w:r>
          </w:p>
        </w:tc>
        <w:tc>
          <w:tcPr>
            <w:tcW w:w="1232" w:type="dxa"/>
            <w:vAlign w:val="center"/>
          </w:tcPr>
          <w:p w14:paraId="757E127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b/>
                <w:bCs/>
                <w:color w:val="auto"/>
                <w:szCs w:val="21"/>
                <w:highlight w:val="none"/>
              </w:rPr>
            </w:pPr>
            <w:r>
              <w:rPr>
                <w:rFonts w:hint="eastAsia" w:cs="宋体" w:asciiTheme="minorEastAsia" w:hAnsiTheme="minorEastAsia" w:eastAsiaTheme="minorEastAsia"/>
                <w:b/>
                <w:bCs/>
                <w:color w:val="auto"/>
                <w:szCs w:val="21"/>
                <w:highlight w:val="none"/>
              </w:rPr>
              <w:t>备注</w:t>
            </w:r>
          </w:p>
        </w:tc>
      </w:tr>
      <w:tr w14:paraId="22F12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13FE3F49">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1B9BFB02">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1D8E83A7">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2CA9312A">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30685E4D">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35E6A624">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3F5AB1E0">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1989938D">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241D8E4B">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5E287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6C6AA593">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359A5B51">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76DC4C1B">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455E2962">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4CFB4042">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7F8950A4">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517940A1">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27C73A9D">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19B3013D">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40C49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0214D1B2">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7847E78E">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3A9CCA58">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21824361">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481764D2">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16A41399">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21A0D399">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0FE0B981">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655DA708">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7074F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149D862A">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2214DA7B">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6F654E90">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0E96C70B">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39E926FA">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40EF1673">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3A8EC83B">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21D3624B">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63F7895B">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1B343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54" w:type="dxa"/>
            <w:vAlign w:val="center"/>
          </w:tcPr>
          <w:p w14:paraId="5399267D">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693" w:type="dxa"/>
            <w:vAlign w:val="center"/>
          </w:tcPr>
          <w:p w14:paraId="51CD6FA6">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983" w:type="dxa"/>
            <w:gridSpan w:val="2"/>
            <w:vAlign w:val="center"/>
          </w:tcPr>
          <w:p w14:paraId="32CF25FF">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0" w:type="dxa"/>
            <w:vAlign w:val="center"/>
          </w:tcPr>
          <w:p w14:paraId="010C026C">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851" w:type="dxa"/>
            <w:gridSpan w:val="2"/>
            <w:vAlign w:val="center"/>
          </w:tcPr>
          <w:p w14:paraId="699AC5FC">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128" w:type="dxa"/>
            <w:vAlign w:val="center"/>
          </w:tcPr>
          <w:p w14:paraId="2122AA4C">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984" w:type="dxa"/>
            <w:gridSpan w:val="2"/>
            <w:vAlign w:val="center"/>
          </w:tcPr>
          <w:p w14:paraId="3B70A06E">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2127" w:type="dxa"/>
            <w:vAlign w:val="center"/>
          </w:tcPr>
          <w:p w14:paraId="1D226F4D">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c>
          <w:tcPr>
            <w:tcW w:w="1232" w:type="dxa"/>
            <w:vAlign w:val="center"/>
          </w:tcPr>
          <w:p w14:paraId="1526133E">
            <w:pPr>
              <w:keepNext/>
              <w:keepLines/>
              <w:suppressLineNumbers w:val="0"/>
              <w:adjustRightInd w:val="0"/>
              <w:snapToGrid w:val="0"/>
              <w:spacing w:before="260" w:beforeAutospacing="0" w:after="260" w:afterAutospacing="0" w:line="360" w:lineRule="auto"/>
              <w:ind w:left="0" w:right="0" w:firstLine="480"/>
              <w:jc w:val="center"/>
              <w:outlineLvl w:val="9"/>
              <w:rPr>
                <w:rFonts w:cs="宋体" w:asciiTheme="minorEastAsia" w:hAnsiTheme="minorEastAsia" w:eastAsiaTheme="minorEastAsia"/>
                <w:color w:val="auto"/>
                <w:szCs w:val="21"/>
                <w:highlight w:val="none"/>
              </w:rPr>
            </w:pPr>
          </w:p>
        </w:tc>
      </w:tr>
      <w:tr w14:paraId="442C6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3447" w:type="dxa"/>
            <w:gridSpan w:val="2"/>
            <w:vAlign w:val="center"/>
          </w:tcPr>
          <w:p w14:paraId="17D8AA5C">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合计（元）：</w:t>
            </w:r>
          </w:p>
        </w:tc>
        <w:tc>
          <w:tcPr>
            <w:tcW w:w="2983" w:type="dxa"/>
            <w:gridSpan w:val="2"/>
            <w:vAlign w:val="center"/>
          </w:tcPr>
          <w:p w14:paraId="57B4806C">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850" w:type="dxa"/>
            <w:vAlign w:val="center"/>
          </w:tcPr>
          <w:p w14:paraId="377C6F41">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851" w:type="dxa"/>
            <w:gridSpan w:val="2"/>
            <w:vAlign w:val="center"/>
          </w:tcPr>
          <w:p w14:paraId="4446A3FF">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1128" w:type="dxa"/>
            <w:vAlign w:val="center"/>
          </w:tcPr>
          <w:p w14:paraId="638C8E1C">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1984" w:type="dxa"/>
            <w:gridSpan w:val="2"/>
            <w:vAlign w:val="center"/>
          </w:tcPr>
          <w:p w14:paraId="72B47828">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2127" w:type="dxa"/>
            <w:vAlign w:val="center"/>
          </w:tcPr>
          <w:p w14:paraId="4DB34FD7">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c>
          <w:tcPr>
            <w:tcW w:w="1232" w:type="dxa"/>
            <w:vAlign w:val="center"/>
          </w:tcPr>
          <w:p w14:paraId="04E533CD">
            <w:pPr>
              <w:keepNext/>
              <w:keepLines/>
              <w:suppressLineNumbers w:val="0"/>
              <w:adjustRightInd w:val="0"/>
              <w:snapToGrid w:val="0"/>
              <w:spacing w:before="340" w:beforeAutospacing="0" w:after="330" w:afterAutospacing="0" w:line="360" w:lineRule="auto"/>
              <w:ind w:left="0" w:right="0" w:firstLine="482"/>
              <w:jc w:val="center"/>
              <w:outlineLvl w:val="9"/>
              <w:rPr>
                <w:rFonts w:cs="宋体" w:asciiTheme="minorEastAsia" w:hAnsiTheme="minorEastAsia" w:eastAsiaTheme="minorEastAsia"/>
                <w:b/>
                <w:color w:val="auto"/>
                <w:szCs w:val="21"/>
                <w:highlight w:val="none"/>
              </w:rPr>
            </w:pPr>
          </w:p>
        </w:tc>
      </w:tr>
      <w:tr w14:paraId="6763F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0" w:hRule="atLeast"/>
          <w:jc w:val="center"/>
        </w:trPr>
        <w:tc>
          <w:tcPr>
            <w:tcW w:w="3731" w:type="dxa"/>
            <w:gridSpan w:val="3"/>
            <w:tcBorders>
              <w:bottom w:val="single" w:color="auto" w:sz="4" w:space="0"/>
            </w:tcBorders>
          </w:tcPr>
          <w:p w14:paraId="74AB72E8">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供货单位：</w:t>
            </w:r>
          </w:p>
          <w:p w14:paraId="2AC32DCC">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6DAE22D7">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48E40B06">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5E39F455">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c>
          <w:tcPr>
            <w:tcW w:w="3685" w:type="dxa"/>
            <w:gridSpan w:val="3"/>
            <w:tcBorders>
              <w:bottom w:val="single" w:color="auto" w:sz="4" w:space="0"/>
            </w:tcBorders>
          </w:tcPr>
          <w:p w14:paraId="2BD0B512">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收货单位：（盖项目部章）</w:t>
            </w:r>
          </w:p>
          <w:p w14:paraId="3C81339A">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00F1A063">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18F61BDF">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03F650C2">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c>
          <w:tcPr>
            <w:tcW w:w="3686" w:type="dxa"/>
            <w:gridSpan w:val="3"/>
            <w:tcBorders>
              <w:bottom w:val="single" w:color="auto" w:sz="4" w:space="0"/>
            </w:tcBorders>
          </w:tcPr>
          <w:p w14:paraId="4B102023">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监理单位：</w:t>
            </w:r>
          </w:p>
          <w:p w14:paraId="24548832">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6EFE8814">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0B984F97">
            <w:pPr>
              <w:keepNext/>
              <w:keepLines/>
              <w:suppressLineNumbers w:val="0"/>
              <w:adjustRightInd w:val="0"/>
              <w:snapToGrid w:val="0"/>
              <w:spacing w:before="260" w:beforeAutospacing="0" w:after="260" w:afterAutospacing="0" w:line="360" w:lineRule="auto"/>
              <w:ind w:left="0" w:right="0" w:firstLine="480"/>
              <w:jc w:val="right"/>
              <w:outlineLvl w:val="9"/>
              <w:rPr>
                <w:rFonts w:cs="宋体" w:asciiTheme="minorEastAsia" w:hAnsiTheme="minorEastAsia" w:eastAsiaTheme="minorEastAsia"/>
                <w:color w:val="auto"/>
                <w:szCs w:val="21"/>
                <w:highlight w:val="none"/>
              </w:rPr>
            </w:pPr>
          </w:p>
          <w:p w14:paraId="0EA00669">
            <w:pPr>
              <w:keepNext w:val="0"/>
              <w:keepLines w:val="0"/>
              <w:suppressLineNumbers w:val="0"/>
              <w:adjustRightInd w:val="0"/>
              <w:snapToGrid w:val="0"/>
              <w:spacing w:before="0" w:beforeAutospacing="0" w:after="0" w:afterAutospacing="0" w:line="360" w:lineRule="auto"/>
              <w:ind w:left="0" w:right="0" w:firstLine="480"/>
              <w:jc w:val="righ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c>
          <w:tcPr>
            <w:tcW w:w="3500" w:type="dxa"/>
            <w:gridSpan w:val="3"/>
            <w:tcBorders>
              <w:bottom w:val="single" w:color="auto" w:sz="4" w:space="0"/>
            </w:tcBorders>
          </w:tcPr>
          <w:p w14:paraId="2C4FD1C5">
            <w:pPr>
              <w:keepNext w:val="0"/>
              <w:keepLines w:val="0"/>
              <w:suppressLineNumbers w:val="0"/>
              <w:adjustRightInd w:val="0"/>
              <w:snapToGrid w:val="0"/>
              <w:spacing w:before="0" w:beforeAutospacing="0" w:after="0" w:afterAutospacing="0" w:line="360" w:lineRule="auto"/>
              <w:ind w:left="0" w:right="0"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建设单位：</w:t>
            </w:r>
          </w:p>
          <w:p w14:paraId="0592AA12">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7151721C">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4EC79A70">
            <w:pPr>
              <w:keepNext/>
              <w:keepLines/>
              <w:suppressLineNumbers w:val="0"/>
              <w:adjustRightInd w:val="0"/>
              <w:snapToGrid w:val="0"/>
              <w:spacing w:before="260" w:beforeAutospacing="0" w:after="260" w:afterAutospacing="0" w:line="360" w:lineRule="auto"/>
              <w:ind w:left="0" w:right="0" w:firstLine="480"/>
              <w:outlineLvl w:val="9"/>
              <w:rPr>
                <w:rFonts w:cs="宋体" w:asciiTheme="minorEastAsia" w:hAnsiTheme="minorEastAsia" w:eastAsiaTheme="minorEastAsia"/>
                <w:color w:val="auto"/>
                <w:szCs w:val="21"/>
                <w:highlight w:val="none"/>
              </w:rPr>
            </w:pPr>
          </w:p>
          <w:p w14:paraId="0D7F98D6">
            <w:pPr>
              <w:keepNext w:val="0"/>
              <w:keepLines w:val="0"/>
              <w:suppressLineNumbers w:val="0"/>
              <w:adjustRightInd w:val="0"/>
              <w:snapToGrid w:val="0"/>
              <w:spacing w:before="0" w:beforeAutospacing="0" w:after="0" w:afterAutospacing="0" w:line="360" w:lineRule="auto"/>
              <w:ind w:left="0" w:right="0" w:firstLine="315" w:firstLineChars="15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年月日</w:t>
            </w:r>
          </w:p>
        </w:tc>
      </w:tr>
    </w:tbl>
    <w:p w14:paraId="310E5C05">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1、本表一式五份，其中供货单位一份，收货单位二份、监理单位一份，建设单位一份。</w:t>
      </w:r>
    </w:p>
    <w:p w14:paraId="5CD16299">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2、本表的材料设备规格数量仅作为供货单位与收货单位之间的结算依据。</w:t>
      </w:r>
    </w:p>
    <w:p w14:paraId="50BBFA0E">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3、收货单位与建设单位之间材料设备规格数量的结算以竣工结算为准。</w:t>
      </w:r>
    </w:p>
    <w:p w14:paraId="2666B7A5">
      <w:pPr>
        <w:adjustRightInd w:val="0"/>
        <w:snapToGrid w:val="0"/>
        <w:spacing w:line="360" w:lineRule="auto"/>
        <w:ind w:firstLine="480"/>
        <w:outlineLvl w:val="9"/>
        <w:rPr>
          <w:rFonts w:cs="宋体" w:asciiTheme="minorEastAsia" w:hAnsiTheme="minorEastAsia" w:eastAsiaTheme="minorEastAsia"/>
          <w:color w:val="auto"/>
          <w:szCs w:val="21"/>
          <w:highlight w:val="none"/>
        </w:rPr>
        <w:sectPr>
          <w:pgSz w:w="16838" w:h="11906" w:orient="landscape"/>
          <w:pgMar w:top="1134" w:right="1134" w:bottom="1134" w:left="1134" w:header="567" w:footer="567" w:gutter="0"/>
          <w:pgBorders>
            <w:top w:val="none" w:sz="0" w:space="0"/>
            <w:left w:val="none" w:sz="0" w:space="0"/>
            <w:bottom w:val="none" w:sz="0" w:space="0"/>
            <w:right w:val="none" w:sz="0" w:space="0"/>
          </w:pgBorders>
          <w:cols w:space="425" w:num="1"/>
          <w:docGrid w:type="lines" w:linePitch="312" w:charSpace="0"/>
        </w:sectPr>
      </w:pPr>
      <w:r>
        <w:rPr>
          <w:rFonts w:cs="宋体" w:asciiTheme="minorEastAsia" w:hAnsiTheme="minorEastAsia" w:eastAsiaTheme="minorEastAsia"/>
          <w:color w:val="auto"/>
          <w:szCs w:val="21"/>
          <w:highlight w:val="none"/>
        </w:rPr>
        <w:t>4、后附供货单位上报的详细结算资料</w:t>
      </w:r>
    </w:p>
    <w:p w14:paraId="044FF512">
      <w:pPr>
        <w:adjustRightInd w:val="0"/>
        <w:snapToGrid w:val="0"/>
        <w:outlineLvl w:val="9"/>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附件二十</w:t>
      </w:r>
      <w:r>
        <w:rPr>
          <w:rFonts w:hint="eastAsia" w:asciiTheme="minorEastAsia" w:hAnsiTheme="minorEastAsia" w:eastAsiaTheme="minorEastAsia" w:cstheme="minorEastAsia"/>
          <w:color w:val="auto"/>
          <w:sz w:val="21"/>
          <w:szCs w:val="21"/>
          <w:highlight w:val="none"/>
          <w:lang w:val="en-US" w:eastAsia="zh-CN"/>
        </w:rPr>
        <w:t>七</w:t>
      </w:r>
      <w:r>
        <w:rPr>
          <w:rFonts w:hint="eastAsia" w:asciiTheme="minorEastAsia" w:hAnsiTheme="minorEastAsia" w:eastAsiaTheme="minorEastAsia" w:cstheme="minorEastAsia"/>
          <w:color w:val="auto"/>
          <w:sz w:val="21"/>
          <w:szCs w:val="21"/>
          <w:highlight w:val="none"/>
        </w:rPr>
        <w:t>：</w:t>
      </w:r>
    </w:p>
    <w:p w14:paraId="4D1572E4">
      <w:pPr>
        <w:widowControl/>
        <w:spacing w:line="360" w:lineRule="auto"/>
        <w:jc w:val="center"/>
        <w:outlineLvl w:val="9"/>
        <w:rPr>
          <w:rFonts w:asciiTheme="minorEastAsia" w:hAnsiTheme="minorEastAsia" w:eastAsiaTheme="minorEastAsia" w:cstheme="minorEastAsia"/>
          <w:b/>
          <w:color w:val="auto"/>
          <w:sz w:val="32"/>
          <w:szCs w:val="32"/>
          <w:highlight w:val="none"/>
        </w:rPr>
      </w:pPr>
      <w:r>
        <w:rPr>
          <w:rFonts w:hint="eastAsia" w:asciiTheme="minorEastAsia" w:hAnsiTheme="minorEastAsia" w:eastAsiaTheme="minorEastAsia" w:cstheme="minorEastAsia"/>
          <w:b/>
          <w:color w:val="auto"/>
          <w:sz w:val="32"/>
          <w:szCs w:val="32"/>
          <w:highlight w:val="none"/>
        </w:rPr>
        <w:t>工期延期批复表</w:t>
      </w:r>
    </w:p>
    <w:p w14:paraId="5CFC3337">
      <w:pPr>
        <w:pStyle w:val="109"/>
        <w:outlineLvl w:val="9"/>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工程名称：</w:t>
      </w:r>
    </w:p>
    <w:tbl>
      <w:tblPr>
        <w:tblStyle w:val="5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34"/>
      </w:tblGrid>
      <w:tr w14:paraId="5BA62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0" w:type="dxa"/>
          </w:tcPr>
          <w:p w14:paraId="0401AB67">
            <w:pPr>
              <w:keepNext w:val="0"/>
              <w:keepLines w:val="0"/>
              <w:suppressLineNumbers w:val="0"/>
              <w:spacing w:before="0" w:beforeAutospacing="0" w:after="0" w:afterAutospacing="0"/>
              <w:ind w:left="0" w:right="0"/>
              <w:outlineLvl w:val="9"/>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致：</w:t>
            </w:r>
          </w:p>
          <w:p w14:paraId="7889AA00">
            <w:pPr>
              <w:keepNext w:val="0"/>
              <w:keepLines w:val="0"/>
              <w:suppressLineNumbers w:val="0"/>
              <w:spacing w:before="0" w:beforeAutospacing="0" w:after="0" w:afterAutospacing="0"/>
              <w:ind w:left="0" w:right="0"/>
              <w:outlineLvl w:val="9"/>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 xml:space="preserve">    根据施工合同条款条的规定，由于原因，我方申请工程延期天，请予以批准。</w:t>
            </w:r>
          </w:p>
          <w:p w14:paraId="6845A5FA">
            <w:pPr>
              <w:keepNext w:val="0"/>
              <w:keepLines w:val="0"/>
              <w:suppressLineNumbers w:val="0"/>
              <w:spacing w:before="0" w:beforeAutospacing="0" w:after="0" w:afterAutospacing="0"/>
              <w:ind w:left="0" w:right="0"/>
              <w:outlineLvl w:val="9"/>
              <w:rPr>
                <w:rFonts w:asciiTheme="minorEastAsia" w:hAnsiTheme="minorEastAsia" w:eastAsiaTheme="minorEastAsia"/>
                <w:color w:val="auto"/>
                <w:sz w:val="24"/>
                <w:highlight w:val="none"/>
              </w:rPr>
            </w:pPr>
          </w:p>
          <w:p w14:paraId="0E838D05">
            <w:pPr>
              <w:keepNext w:val="0"/>
              <w:keepLines w:val="0"/>
              <w:suppressLineNumbers w:val="0"/>
              <w:spacing w:before="0" w:beforeAutospacing="0" w:after="0" w:afterAutospacing="0"/>
              <w:ind w:left="0" w:right="0"/>
              <w:outlineLvl w:val="9"/>
              <w:rPr>
                <w:rFonts w:asciiTheme="minorEastAsia" w:hAnsiTheme="minorEastAsia" w:eastAsiaTheme="minorEastAsia"/>
                <w:color w:val="auto"/>
                <w:sz w:val="24"/>
                <w:highlight w:val="none"/>
                <w:u w:val="single"/>
              </w:rPr>
            </w:pPr>
            <w:r>
              <w:rPr>
                <w:rFonts w:hint="eastAsia" w:asciiTheme="minorEastAsia" w:hAnsiTheme="minorEastAsia" w:eastAsiaTheme="minorEastAsia"/>
                <w:color w:val="auto"/>
                <w:sz w:val="24"/>
                <w:highlight w:val="none"/>
              </w:rPr>
              <w:t xml:space="preserve">    附件1、工期延期依据及工期计算；</w:t>
            </w:r>
          </w:p>
          <w:p w14:paraId="79141DDB">
            <w:pPr>
              <w:pStyle w:val="109"/>
              <w:keepNext w:val="0"/>
              <w:keepLines w:val="0"/>
              <w:suppressLineNumbers w:val="0"/>
              <w:spacing w:before="0" w:beforeAutospacing="0" w:after="0" w:afterAutospacing="0"/>
              <w:ind w:left="0" w:right="0"/>
              <w:outlineLvl w:val="9"/>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 xml:space="preserve">           合同竣工日期 ；</w:t>
            </w:r>
          </w:p>
          <w:p w14:paraId="7A8B33AF">
            <w:pPr>
              <w:pStyle w:val="109"/>
              <w:keepNext w:val="0"/>
              <w:keepLines w:val="0"/>
              <w:suppressLineNumbers w:val="0"/>
              <w:spacing w:before="0" w:beforeAutospacing="0" w:after="0" w:afterAutospacing="0"/>
              <w:ind w:left="0" w:right="0"/>
              <w:outlineLvl w:val="9"/>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 xml:space="preserve">           申请延长竣工日期</w:t>
            </w:r>
          </w:p>
          <w:p w14:paraId="7BA2EB2B">
            <w:pPr>
              <w:pStyle w:val="109"/>
              <w:keepNext w:val="0"/>
              <w:keepLines w:val="0"/>
              <w:suppressLineNumbers w:val="0"/>
              <w:spacing w:before="0" w:beforeAutospacing="0" w:after="0" w:afterAutospacing="0"/>
              <w:ind w:left="0" w:right="0" w:firstLine="480" w:firstLineChars="200"/>
              <w:outlineLvl w:val="9"/>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 xml:space="preserve">    2、证明材料：  </w:t>
            </w:r>
          </w:p>
          <w:p w14:paraId="4920F55B">
            <w:pPr>
              <w:pStyle w:val="109"/>
              <w:keepNext w:val="0"/>
              <w:keepLines w:val="0"/>
              <w:suppressLineNumbers w:val="0"/>
              <w:spacing w:before="0" w:beforeAutospacing="0" w:after="0" w:afterAutospacing="0"/>
              <w:ind w:left="0" w:right="0"/>
              <w:jc w:val="center"/>
              <w:outlineLvl w:val="9"/>
              <w:rPr>
                <w:rFonts w:asciiTheme="minorEastAsia" w:hAnsiTheme="minorEastAsia" w:eastAsiaTheme="minorEastAsia"/>
                <w:b w:val="0"/>
                <w:color w:val="auto"/>
                <w:sz w:val="24"/>
                <w:szCs w:val="24"/>
                <w:highlight w:val="none"/>
              </w:rPr>
            </w:pPr>
          </w:p>
          <w:p w14:paraId="0736DA28">
            <w:pPr>
              <w:pStyle w:val="109"/>
              <w:keepNext w:val="0"/>
              <w:keepLines w:val="0"/>
              <w:suppressLineNumbers w:val="0"/>
              <w:spacing w:before="0" w:beforeAutospacing="0" w:after="0" w:afterAutospacing="0"/>
              <w:ind w:left="0" w:right="0"/>
              <w:jc w:val="center"/>
              <w:outlineLvl w:val="9"/>
              <w:rPr>
                <w:rFonts w:asciiTheme="minorEastAsia" w:hAnsiTheme="minorEastAsia" w:eastAsiaTheme="minorEastAsia"/>
                <w:b w:val="0"/>
                <w:color w:val="auto"/>
                <w:sz w:val="24"/>
                <w:szCs w:val="24"/>
                <w:highlight w:val="none"/>
                <w:u w:val="single"/>
              </w:rPr>
            </w:pPr>
            <w:r>
              <w:rPr>
                <w:rFonts w:hint="eastAsia" w:asciiTheme="minorEastAsia" w:hAnsiTheme="minorEastAsia" w:eastAsiaTheme="minorEastAsia"/>
                <w:b w:val="0"/>
                <w:color w:val="auto"/>
                <w:sz w:val="24"/>
                <w:szCs w:val="24"/>
                <w:highlight w:val="none"/>
              </w:rPr>
              <w:t xml:space="preserve">       承包单位：（章）</w:t>
            </w:r>
          </w:p>
          <w:p w14:paraId="72AB1035">
            <w:pPr>
              <w:pStyle w:val="109"/>
              <w:keepNext w:val="0"/>
              <w:keepLines w:val="0"/>
              <w:suppressLineNumbers w:val="0"/>
              <w:spacing w:before="0" w:beforeAutospacing="0" w:after="0" w:afterAutospacing="0"/>
              <w:ind w:left="0" w:right="0"/>
              <w:jc w:val="center"/>
              <w:outlineLvl w:val="9"/>
              <w:rPr>
                <w:rFonts w:asciiTheme="minorEastAsia" w:hAnsiTheme="minorEastAsia" w:eastAsiaTheme="minorEastAsia"/>
                <w:b w:val="0"/>
                <w:color w:val="auto"/>
                <w:sz w:val="24"/>
                <w:szCs w:val="24"/>
                <w:highlight w:val="none"/>
                <w:u w:val="single"/>
              </w:rPr>
            </w:pPr>
            <w:r>
              <w:rPr>
                <w:rFonts w:hint="eastAsia" w:asciiTheme="minorEastAsia" w:hAnsiTheme="minorEastAsia" w:eastAsiaTheme="minorEastAsia"/>
                <w:b w:val="0"/>
                <w:color w:val="auto"/>
                <w:sz w:val="24"/>
                <w:szCs w:val="24"/>
                <w:highlight w:val="none"/>
              </w:rPr>
              <w:t>项目经理：</w:t>
            </w:r>
          </w:p>
          <w:p w14:paraId="61FAB773">
            <w:pPr>
              <w:pStyle w:val="109"/>
              <w:keepNext w:val="0"/>
              <w:keepLines w:val="0"/>
              <w:suppressLineNumbers w:val="0"/>
              <w:spacing w:before="0" w:beforeAutospacing="0" w:after="0" w:afterAutospacing="0"/>
              <w:ind w:left="0" w:right="0"/>
              <w:jc w:val="center"/>
              <w:outlineLvl w:val="9"/>
              <w:rPr>
                <w:rFonts w:asciiTheme="minorEastAsia" w:hAnsiTheme="minorEastAsia" w:eastAsiaTheme="minorEastAsia"/>
                <w:b w:val="0"/>
                <w:color w:val="auto"/>
                <w:sz w:val="24"/>
                <w:szCs w:val="24"/>
                <w:highlight w:val="none"/>
                <w:u w:val="single"/>
              </w:rPr>
            </w:pPr>
            <w:r>
              <w:rPr>
                <w:rFonts w:hint="eastAsia" w:asciiTheme="minorEastAsia" w:hAnsiTheme="minorEastAsia" w:eastAsiaTheme="minorEastAsia"/>
                <w:b w:val="0"/>
                <w:color w:val="auto"/>
                <w:sz w:val="24"/>
                <w:szCs w:val="24"/>
                <w:highlight w:val="none"/>
              </w:rPr>
              <w:t>日期：</w:t>
            </w:r>
          </w:p>
          <w:p w14:paraId="7C02845B">
            <w:pPr>
              <w:pStyle w:val="109"/>
              <w:keepNext w:val="0"/>
              <w:keepLines w:val="0"/>
              <w:suppressLineNumbers w:val="0"/>
              <w:spacing w:before="0" w:beforeAutospacing="0" w:after="0" w:afterAutospacing="0"/>
              <w:ind w:left="0" w:right="0"/>
              <w:outlineLvl w:val="9"/>
              <w:rPr>
                <w:rFonts w:asciiTheme="minorEastAsia" w:hAnsiTheme="minorEastAsia" w:eastAsiaTheme="minorEastAsia"/>
                <w:b w:val="0"/>
                <w:color w:val="auto"/>
                <w:highlight w:val="none"/>
              </w:rPr>
            </w:pPr>
          </w:p>
        </w:tc>
      </w:tr>
      <w:tr w14:paraId="4C13A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0" w:type="dxa"/>
          </w:tcPr>
          <w:p w14:paraId="585A426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监理工程师意见：</w:t>
            </w:r>
          </w:p>
          <w:p w14:paraId="0A12CE95">
            <w:pPr>
              <w:pStyle w:val="109"/>
              <w:keepNext w:val="0"/>
              <w:keepLines w:val="0"/>
              <w:suppressLineNumbers w:val="0"/>
              <w:spacing w:before="0" w:beforeAutospacing="0" w:after="0" w:afterAutospacing="0"/>
              <w:ind w:left="0" w:right="0"/>
              <w:outlineLvl w:val="9"/>
              <w:rPr>
                <w:rFonts w:asciiTheme="minorEastAsia" w:hAnsiTheme="minorEastAsia" w:eastAsiaTheme="minorEastAsia"/>
                <w:b w:val="0"/>
                <w:color w:val="auto"/>
                <w:highlight w:val="none"/>
              </w:rPr>
            </w:pPr>
          </w:p>
          <w:p w14:paraId="078AF479">
            <w:pPr>
              <w:pStyle w:val="109"/>
              <w:keepNext w:val="0"/>
              <w:keepLines w:val="0"/>
              <w:suppressLineNumbers w:val="0"/>
              <w:spacing w:before="0" w:beforeAutospacing="0" w:after="0" w:afterAutospacing="0"/>
              <w:ind w:left="0" w:right="0"/>
              <w:outlineLvl w:val="9"/>
              <w:rPr>
                <w:rFonts w:asciiTheme="minorEastAsia" w:hAnsiTheme="minorEastAsia" w:eastAsiaTheme="minorEastAsia"/>
                <w:b w:val="0"/>
                <w:color w:val="auto"/>
                <w:sz w:val="24"/>
                <w:szCs w:val="24"/>
                <w:highlight w:val="none"/>
                <w:u w:val="single"/>
              </w:rPr>
            </w:pPr>
            <w:r>
              <w:rPr>
                <w:rFonts w:hint="eastAsia" w:asciiTheme="minorEastAsia" w:hAnsiTheme="minorEastAsia" w:eastAsiaTheme="minorEastAsia"/>
                <w:b w:val="0"/>
                <w:color w:val="auto"/>
                <w:sz w:val="24"/>
                <w:szCs w:val="24"/>
                <w:highlight w:val="none"/>
              </w:rPr>
              <w:t>签名日期</w:t>
            </w:r>
          </w:p>
        </w:tc>
      </w:tr>
      <w:tr w14:paraId="2CF69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0" w:type="dxa"/>
          </w:tcPr>
          <w:p w14:paraId="70B41EF8">
            <w:pPr>
              <w:keepNext w:val="0"/>
              <w:keepLines w:val="0"/>
              <w:suppressLineNumbers w:val="0"/>
              <w:spacing w:before="0" w:beforeAutospacing="0" w:after="0" w:afterAutospacing="0"/>
              <w:ind w:left="0" w:right="0"/>
              <w:outlineLvl w:val="9"/>
              <w:rPr>
                <w:rFonts w:asciiTheme="minorEastAsia" w:hAnsiTheme="minorEastAsia" w:eastAsiaTheme="minorEastAsia"/>
                <w:color w:val="auto"/>
                <w:sz w:val="24"/>
                <w:highlight w:val="none"/>
              </w:rPr>
            </w:pPr>
          </w:p>
          <w:p w14:paraId="19F7FF15">
            <w:pPr>
              <w:pStyle w:val="109"/>
              <w:keepNext w:val="0"/>
              <w:keepLines w:val="0"/>
              <w:suppressLineNumbers w:val="0"/>
              <w:spacing w:before="0" w:beforeAutospacing="0" w:after="0" w:afterAutospacing="0"/>
              <w:ind w:left="0" w:right="0"/>
              <w:outlineLvl w:val="9"/>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建设单位项目部意见：</w:t>
            </w:r>
          </w:p>
          <w:p w14:paraId="0F7F7213">
            <w:pPr>
              <w:pStyle w:val="109"/>
              <w:keepNext w:val="0"/>
              <w:keepLines w:val="0"/>
              <w:suppressLineNumbers w:val="0"/>
              <w:spacing w:before="0" w:beforeAutospacing="0" w:after="0" w:afterAutospacing="0"/>
              <w:ind w:left="0" w:right="0"/>
              <w:outlineLvl w:val="9"/>
              <w:rPr>
                <w:rFonts w:asciiTheme="minorEastAsia" w:hAnsiTheme="minorEastAsia" w:eastAsiaTheme="minorEastAsia"/>
                <w:b w:val="0"/>
                <w:color w:val="auto"/>
                <w:sz w:val="24"/>
                <w:szCs w:val="24"/>
                <w:highlight w:val="none"/>
              </w:rPr>
            </w:pPr>
          </w:p>
          <w:p w14:paraId="608E097D">
            <w:pPr>
              <w:pStyle w:val="109"/>
              <w:keepNext w:val="0"/>
              <w:keepLines w:val="0"/>
              <w:suppressLineNumbers w:val="0"/>
              <w:spacing w:before="0" w:beforeAutospacing="0" w:after="0" w:afterAutospacing="0"/>
              <w:ind w:left="0" w:right="0"/>
              <w:outlineLvl w:val="9"/>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签名日期</w:t>
            </w:r>
          </w:p>
        </w:tc>
      </w:tr>
      <w:tr w14:paraId="77645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0" w:type="dxa"/>
          </w:tcPr>
          <w:p w14:paraId="036DCBAC">
            <w:pPr>
              <w:keepNext w:val="0"/>
              <w:keepLines w:val="0"/>
              <w:suppressLineNumbers w:val="0"/>
              <w:spacing w:before="0" w:beforeAutospacing="0" w:after="0" w:afterAutospacing="0"/>
              <w:ind w:left="0" w:right="0"/>
              <w:outlineLvl w:val="9"/>
              <w:rPr>
                <w:rFonts w:asciiTheme="minorEastAsia" w:hAnsiTheme="minorEastAsia" w:eastAsiaTheme="minorEastAsia"/>
                <w:color w:val="auto"/>
                <w:sz w:val="24"/>
                <w:highlight w:val="none"/>
              </w:rPr>
            </w:pPr>
          </w:p>
          <w:p w14:paraId="39FDE263">
            <w:pPr>
              <w:pStyle w:val="109"/>
              <w:keepNext w:val="0"/>
              <w:keepLines w:val="0"/>
              <w:suppressLineNumbers w:val="0"/>
              <w:spacing w:before="0" w:beforeAutospacing="0" w:after="0" w:afterAutospacing="0"/>
              <w:ind w:left="0" w:right="0"/>
              <w:outlineLvl w:val="9"/>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招标采供部意见：</w:t>
            </w:r>
          </w:p>
          <w:p w14:paraId="74C5D665">
            <w:pPr>
              <w:pStyle w:val="109"/>
              <w:keepNext w:val="0"/>
              <w:keepLines w:val="0"/>
              <w:suppressLineNumbers w:val="0"/>
              <w:spacing w:before="0" w:beforeAutospacing="0" w:after="0" w:afterAutospacing="0"/>
              <w:ind w:left="0" w:right="0"/>
              <w:outlineLvl w:val="9"/>
              <w:rPr>
                <w:rFonts w:asciiTheme="minorEastAsia" w:hAnsiTheme="minorEastAsia" w:eastAsiaTheme="minorEastAsia"/>
                <w:b w:val="0"/>
                <w:color w:val="auto"/>
                <w:sz w:val="24"/>
                <w:szCs w:val="24"/>
                <w:highlight w:val="none"/>
              </w:rPr>
            </w:pPr>
          </w:p>
          <w:p w14:paraId="155BA8BE">
            <w:pPr>
              <w:pStyle w:val="109"/>
              <w:keepNext w:val="0"/>
              <w:keepLines w:val="0"/>
              <w:suppressLineNumbers w:val="0"/>
              <w:spacing w:before="0" w:beforeAutospacing="0" w:after="0" w:afterAutospacing="0"/>
              <w:ind w:left="0" w:right="0"/>
              <w:outlineLvl w:val="9"/>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签名日期</w:t>
            </w:r>
          </w:p>
        </w:tc>
      </w:tr>
      <w:tr w14:paraId="5F0FC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0" w:type="dxa"/>
          </w:tcPr>
          <w:p w14:paraId="38F6F59C">
            <w:pPr>
              <w:keepNext w:val="0"/>
              <w:keepLines w:val="0"/>
              <w:suppressLineNumbers w:val="0"/>
              <w:spacing w:before="0" w:beforeAutospacing="0" w:after="0" w:afterAutospacing="0"/>
              <w:ind w:left="0" w:right="0"/>
              <w:outlineLvl w:val="9"/>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建设单位项目主管领导意见：</w:t>
            </w:r>
          </w:p>
          <w:p w14:paraId="29B8AC2F">
            <w:pPr>
              <w:pStyle w:val="109"/>
              <w:keepNext w:val="0"/>
              <w:keepLines w:val="0"/>
              <w:suppressLineNumbers w:val="0"/>
              <w:spacing w:before="0" w:beforeAutospacing="0" w:after="0" w:afterAutospacing="0"/>
              <w:ind w:left="0" w:right="0"/>
              <w:outlineLvl w:val="9"/>
              <w:rPr>
                <w:rFonts w:asciiTheme="minorEastAsia" w:hAnsiTheme="minorEastAsia" w:eastAsiaTheme="minorEastAsia"/>
                <w:b w:val="0"/>
                <w:color w:val="auto"/>
                <w:sz w:val="24"/>
                <w:szCs w:val="24"/>
                <w:highlight w:val="none"/>
              </w:rPr>
            </w:pPr>
          </w:p>
          <w:p w14:paraId="052B5954">
            <w:pPr>
              <w:pStyle w:val="109"/>
              <w:keepNext w:val="0"/>
              <w:keepLines w:val="0"/>
              <w:suppressLineNumbers w:val="0"/>
              <w:spacing w:before="0" w:beforeAutospacing="0" w:after="0" w:afterAutospacing="0"/>
              <w:ind w:left="0" w:right="0"/>
              <w:outlineLvl w:val="9"/>
              <w:rPr>
                <w:rFonts w:asciiTheme="minorEastAsia" w:hAnsiTheme="minorEastAsia" w:eastAsiaTheme="minorEastAsia"/>
                <w:b w:val="0"/>
                <w:color w:val="auto"/>
                <w:sz w:val="24"/>
                <w:szCs w:val="24"/>
                <w:highlight w:val="none"/>
              </w:rPr>
            </w:pPr>
            <w:r>
              <w:rPr>
                <w:rFonts w:hint="eastAsia" w:asciiTheme="minorEastAsia" w:hAnsiTheme="minorEastAsia" w:eastAsiaTheme="minorEastAsia"/>
                <w:b w:val="0"/>
                <w:color w:val="auto"/>
                <w:sz w:val="24"/>
                <w:szCs w:val="24"/>
                <w:highlight w:val="none"/>
              </w:rPr>
              <w:t>签名日期</w:t>
            </w:r>
          </w:p>
        </w:tc>
      </w:tr>
    </w:tbl>
    <w:p w14:paraId="2D992955">
      <w:pPr>
        <w:outlineLvl w:val="9"/>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备注：上表仅作为工期延期使用，若涉及费用调整，参考合同相关条款。</w:t>
      </w:r>
    </w:p>
    <w:p w14:paraId="78594D15">
      <w:pPr>
        <w:widowControl/>
        <w:spacing w:line="360" w:lineRule="auto"/>
        <w:jc w:val="left"/>
        <w:outlineLvl w:val="9"/>
        <w:rPr>
          <w:rFonts w:asciiTheme="minorEastAsia" w:hAnsiTheme="minorEastAsia" w:eastAsiaTheme="minorEastAsia" w:cstheme="minorEastAsia"/>
          <w:color w:val="auto"/>
          <w:sz w:val="24"/>
          <w:highlight w:val="none"/>
        </w:rPr>
      </w:pPr>
      <w:r>
        <w:rPr>
          <w:rFonts w:asciiTheme="minorEastAsia" w:hAnsiTheme="minorEastAsia" w:eastAsiaTheme="minorEastAsia" w:cstheme="minorEastAsia"/>
          <w:color w:val="auto"/>
          <w:sz w:val="24"/>
          <w:highlight w:val="none"/>
        </w:rPr>
        <w:br w:type="page"/>
      </w:r>
    </w:p>
    <w:p w14:paraId="08A50127">
      <w:pPr>
        <w:adjustRightInd w:val="0"/>
        <w:snapToGrid w:val="0"/>
        <w:spacing w:line="360" w:lineRule="auto"/>
        <w:outlineLvl w:val="9"/>
        <w:rPr>
          <w:rFonts w:asciiTheme="minorEastAsia" w:hAnsiTheme="minorEastAsia" w:eastAsiaTheme="minorEastAsia" w:cstheme="minorEastAsia"/>
          <w:color w:val="auto"/>
          <w:sz w:val="24"/>
          <w:highlight w:val="none"/>
        </w:rPr>
        <w:sectPr>
          <w:pgSz w:w="12240" w:h="15840"/>
          <w:pgMar w:top="1134" w:right="1361" w:bottom="1134" w:left="1361" w:header="567" w:footer="567" w:gutter="0"/>
          <w:pgBorders>
            <w:top w:val="none" w:sz="0" w:space="0"/>
            <w:left w:val="none" w:sz="0" w:space="0"/>
            <w:bottom w:val="none" w:sz="0" w:space="0"/>
            <w:right w:val="none" w:sz="0" w:space="0"/>
          </w:pgBorders>
          <w:cols w:space="0" w:num="1"/>
          <w:titlePg/>
          <w:docGrid w:linePitch="312" w:charSpace="0"/>
        </w:sectPr>
      </w:pPr>
    </w:p>
    <w:p w14:paraId="58255828">
      <w:pPr>
        <w:adjustRightInd w:val="0"/>
        <w:snapToGrid w:val="0"/>
        <w:spacing w:line="360" w:lineRule="auto"/>
        <w:outlineLvl w:val="9"/>
        <w:rPr>
          <w:rFonts w:hint="eastAsia" w:asciiTheme="minorEastAsia" w:hAnsiTheme="minorEastAsia" w:eastAsiaTheme="minorEastAsia" w:cstheme="minorEastAsia"/>
          <w:b/>
          <w:bCs/>
          <w:color w:val="auto"/>
          <w:sz w:val="24"/>
          <w:highlight w:val="none"/>
          <w:lang w:val="en-US" w:eastAsia="zh-CN"/>
        </w:rPr>
      </w:pPr>
      <w:r>
        <w:rPr>
          <w:rFonts w:hint="eastAsia" w:asciiTheme="minorEastAsia" w:hAnsiTheme="minorEastAsia" w:eastAsiaTheme="minorEastAsia" w:cstheme="minorEastAsia"/>
          <w:color w:val="auto"/>
          <w:sz w:val="24"/>
          <w:highlight w:val="none"/>
        </w:rPr>
        <w:t>附件</w:t>
      </w:r>
      <w:r>
        <w:rPr>
          <w:rFonts w:hint="eastAsia" w:asciiTheme="minorEastAsia" w:hAnsiTheme="minorEastAsia" w:eastAsiaTheme="minorEastAsia" w:cstheme="minorEastAsia"/>
          <w:color w:val="auto"/>
          <w:sz w:val="24"/>
          <w:highlight w:val="none"/>
          <w:lang w:val="en-US" w:eastAsia="zh-CN"/>
        </w:rPr>
        <w:t>二十八</w:t>
      </w:r>
      <w:r>
        <w:rPr>
          <w:rFonts w:hint="eastAsia" w:asciiTheme="minorEastAsia" w:hAnsiTheme="minorEastAsia" w:eastAsiaTheme="minorEastAsia" w:cstheme="minorEastAsia"/>
          <w:color w:val="auto"/>
          <w:sz w:val="24"/>
          <w:highlight w:val="none"/>
        </w:rPr>
        <w:t>：</w:t>
      </w:r>
      <w:r>
        <w:rPr>
          <w:rFonts w:hint="eastAsia" w:asciiTheme="minorEastAsia" w:hAnsiTheme="minorEastAsia" w:eastAsiaTheme="minorEastAsia" w:cstheme="minorEastAsia"/>
          <w:b/>
          <w:bCs/>
          <w:color w:val="auto"/>
          <w:sz w:val="24"/>
          <w:highlight w:val="none"/>
          <w:lang w:val="zh-CN" w:eastAsia="zh-CN"/>
        </w:rPr>
        <w:t>施工图设计质量评分表</w:t>
      </w:r>
    </w:p>
    <w:p w14:paraId="0EDD32D7">
      <w:pPr>
        <w:adjustRightInd w:val="0"/>
        <w:snapToGrid w:val="0"/>
        <w:spacing w:line="360" w:lineRule="auto"/>
        <w:jc w:val="center"/>
        <w:outlineLvl w:val="9"/>
        <w:rPr>
          <w:rFonts w:cs="黑体" w:asciiTheme="minorEastAsia" w:hAnsiTheme="minorEastAsia" w:eastAsiaTheme="minorEastAsia"/>
          <w:bCs/>
          <w:color w:val="auto"/>
          <w:kern w:val="0"/>
          <w:sz w:val="24"/>
          <w:highlight w:val="none"/>
          <w:lang w:val="zh-CN"/>
        </w:rPr>
      </w:pPr>
      <w:r>
        <w:rPr>
          <w:rFonts w:hint="eastAsia" w:cs="黑体" w:asciiTheme="minorEastAsia" w:hAnsiTheme="minorEastAsia" w:eastAsiaTheme="minorEastAsia"/>
          <w:bCs/>
          <w:color w:val="auto"/>
          <w:kern w:val="0"/>
          <w:sz w:val="24"/>
          <w:highlight w:val="none"/>
          <w:lang w:val="zh-CN"/>
        </w:rPr>
        <w:t>土建、安装施工图设计质量评分表</w:t>
      </w:r>
    </w:p>
    <w:tbl>
      <w:tblPr>
        <w:tblStyle w:val="56"/>
        <w:tblW w:w="153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709"/>
        <w:gridCol w:w="2745"/>
        <w:gridCol w:w="2700"/>
        <w:gridCol w:w="960"/>
        <w:gridCol w:w="630"/>
        <w:gridCol w:w="900"/>
        <w:gridCol w:w="555"/>
        <w:gridCol w:w="855"/>
        <w:gridCol w:w="645"/>
        <w:gridCol w:w="915"/>
        <w:gridCol w:w="630"/>
        <w:gridCol w:w="915"/>
        <w:gridCol w:w="810"/>
        <w:gridCol w:w="1419"/>
      </w:tblGrid>
      <w:tr w14:paraId="0FF08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95" w:hRule="atLeast"/>
          <w:jc w:val="center"/>
        </w:trPr>
        <w:tc>
          <w:tcPr>
            <w:tcW w:w="709" w:type="dxa"/>
            <w:vAlign w:val="center"/>
          </w:tcPr>
          <w:p w14:paraId="5D3367E8">
            <w:pPr>
              <w:keepNext w:val="0"/>
              <w:keepLines w:val="0"/>
              <w:suppressLineNumbers w:val="0"/>
              <w:spacing w:before="0" w:beforeAutospacing="0" w:after="0" w:afterAutospacing="0"/>
              <w:ind w:left="0" w:right="0"/>
              <w:outlineLvl w:val="9"/>
              <w:rPr>
                <w:rFonts w:cs="宋体" w:asciiTheme="minorEastAsia" w:hAnsiTheme="minorEastAsia" w:eastAsiaTheme="minorEastAsia"/>
                <w:color w:val="auto"/>
                <w:sz w:val="24"/>
                <w:highlight w:val="none"/>
              </w:rPr>
            </w:pPr>
          </w:p>
        </w:tc>
        <w:tc>
          <w:tcPr>
            <w:tcW w:w="14679" w:type="dxa"/>
            <w:gridSpan w:val="13"/>
            <w:vAlign w:val="center"/>
          </w:tcPr>
          <w:p w14:paraId="02C8D184">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土建施工图设计质量评分表</w:t>
            </w:r>
          </w:p>
        </w:tc>
      </w:tr>
      <w:tr w14:paraId="748FF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49" w:hRule="atLeast"/>
          <w:jc w:val="center"/>
        </w:trPr>
        <w:tc>
          <w:tcPr>
            <w:tcW w:w="709" w:type="dxa"/>
            <w:vMerge w:val="restart"/>
            <w:vAlign w:val="center"/>
          </w:tcPr>
          <w:p w14:paraId="0FE137B7">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类别</w:t>
            </w:r>
          </w:p>
        </w:tc>
        <w:tc>
          <w:tcPr>
            <w:tcW w:w="2745" w:type="dxa"/>
            <w:vMerge w:val="restart"/>
            <w:vAlign w:val="center"/>
          </w:tcPr>
          <w:p w14:paraId="55311409">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错误类型判定</w:t>
            </w:r>
          </w:p>
        </w:tc>
        <w:tc>
          <w:tcPr>
            <w:tcW w:w="2700" w:type="dxa"/>
            <w:vAlign w:val="center"/>
          </w:tcPr>
          <w:p w14:paraId="641DE619">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评分标准</w:t>
            </w:r>
          </w:p>
        </w:tc>
        <w:tc>
          <w:tcPr>
            <w:tcW w:w="1590" w:type="dxa"/>
            <w:gridSpan w:val="2"/>
            <w:vAlign w:val="center"/>
          </w:tcPr>
          <w:p w14:paraId="2B9AB11E">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建筑专业评分</w:t>
            </w:r>
          </w:p>
        </w:tc>
        <w:tc>
          <w:tcPr>
            <w:tcW w:w="1455" w:type="dxa"/>
            <w:gridSpan w:val="2"/>
            <w:vAlign w:val="center"/>
          </w:tcPr>
          <w:p w14:paraId="667A9B66">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结构专业评分</w:t>
            </w:r>
          </w:p>
        </w:tc>
        <w:tc>
          <w:tcPr>
            <w:tcW w:w="1500" w:type="dxa"/>
            <w:gridSpan w:val="2"/>
            <w:vAlign w:val="center"/>
          </w:tcPr>
          <w:p w14:paraId="58A64643">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电气专业评分</w:t>
            </w:r>
          </w:p>
        </w:tc>
        <w:tc>
          <w:tcPr>
            <w:tcW w:w="1545" w:type="dxa"/>
            <w:gridSpan w:val="2"/>
            <w:vAlign w:val="center"/>
          </w:tcPr>
          <w:p w14:paraId="6F413F9C">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暖动专业评分</w:t>
            </w:r>
          </w:p>
        </w:tc>
        <w:tc>
          <w:tcPr>
            <w:tcW w:w="1725" w:type="dxa"/>
            <w:gridSpan w:val="2"/>
            <w:vAlign w:val="center"/>
          </w:tcPr>
          <w:p w14:paraId="34CA42BB">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给排水专业评分</w:t>
            </w:r>
          </w:p>
        </w:tc>
        <w:tc>
          <w:tcPr>
            <w:tcW w:w="1419" w:type="dxa"/>
            <w:vAlign w:val="center"/>
          </w:tcPr>
          <w:p w14:paraId="6030E66C">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综合得分 Z（满分100）</w:t>
            </w:r>
          </w:p>
        </w:tc>
      </w:tr>
      <w:tr w14:paraId="25BB8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71" w:hRule="atLeast"/>
          <w:jc w:val="center"/>
        </w:trPr>
        <w:tc>
          <w:tcPr>
            <w:tcW w:w="709" w:type="dxa"/>
            <w:vMerge w:val="continue"/>
            <w:vAlign w:val="center"/>
          </w:tcPr>
          <w:p w14:paraId="643DBC1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2745" w:type="dxa"/>
            <w:vMerge w:val="continue"/>
            <w:vAlign w:val="center"/>
          </w:tcPr>
          <w:p w14:paraId="615635C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b/>
                <w:color w:val="auto"/>
                <w:sz w:val="20"/>
                <w:szCs w:val="20"/>
                <w:highlight w:val="none"/>
              </w:rPr>
            </w:pPr>
          </w:p>
        </w:tc>
        <w:tc>
          <w:tcPr>
            <w:tcW w:w="2700" w:type="dxa"/>
            <w:vAlign w:val="center"/>
          </w:tcPr>
          <w:p w14:paraId="28A4A388">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（满分100）</w:t>
            </w:r>
          </w:p>
        </w:tc>
        <w:tc>
          <w:tcPr>
            <w:tcW w:w="960" w:type="dxa"/>
            <w:vAlign w:val="center"/>
          </w:tcPr>
          <w:p w14:paraId="155EC616">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出错数量</w:t>
            </w:r>
          </w:p>
        </w:tc>
        <w:tc>
          <w:tcPr>
            <w:tcW w:w="630" w:type="dxa"/>
            <w:vAlign w:val="center"/>
          </w:tcPr>
          <w:p w14:paraId="56DEE798">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得分A</w:t>
            </w:r>
          </w:p>
        </w:tc>
        <w:tc>
          <w:tcPr>
            <w:tcW w:w="900" w:type="dxa"/>
            <w:vAlign w:val="center"/>
          </w:tcPr>
          <w:p w14:paraId="2BCF50F1">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出错数量</w:t>
            </w:r>
          </w:p>
        </w:tc>
        <w:tc>
          <w:tcPr>
            <w:tcW w:w="555" w:type="dxa"/>
            <w:vAlign w:val="center"/>
          </w:tcPr>
          <w:p w14:paraId="7B6AABBB">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得分B</w:t>
            </w:r>
          </w:p>
        </w:tc>
        <w:tc>
          <w:tcPr>
            <w:tcW w:w="855" w:type="dxa"/>
            <w:vAlign w:val="center"/>
          </w:tcPr>
          <w:p w14:paraId="26E80373">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出错数量</w:t>
            </w:r>
          </w:p>
        </w:tc>
        <w:tc>
          <w:tcPr>
            <w:tcW w:w="645" w:type="dxa"/>
            <w:vAlign w:val="center"/>
          </w:tcPr>
          <w:p w14:paraId="00987BC6">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得分C</w:t>
            </w:r>
          </w:p>
        </w:tc>
        <w:tc>
          <w:tcPr>
            <w:tcW w:w="915" w:type="dxa"/>
            <w:vAlign w:val="center"/>
          </w:tcPr>
          <w:p w14:paraId="27BD680E">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出错数量</w:t>
            </w:r>
          </w:p>
        </w:tc>
        <w:tc>
          <w:tcPr>
            <w:tcW w:w="630" w:type="dxa"/>
            <w:vAlign w:val="center"/>
          </w:tcPr>
          <w:p w14:paraId="4DDA4FB6">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得分D</w:t>
            </w:r>
          </w:p>
        </w:tc>
        <w:tc>
          <w:tcPr>
            <w:tcW w:w="915" w:type="dxa"/>
            <w:vAlign w:val="center"/>
          </w:tcPr>
          <w:p w14:paraId="5779CC77">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出错数量</w:t>
            </w:r>
          </w:p>
        </w:tc>
        <w:tc>
          <w:tcPr>
            <w:tcW w:w="810" w:type="dxa"/>
            <w:vAlign w:val="center"/>
          </w:tcPr>
          <w:p w14:paraId="6FD8931C">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得分E</w:t>
            </w:r>
          </w:p>
        </w:tc>
        <w:tc>
          <w:tcPr>
            <w:tcW w:w="1419" w:type="dxa"/>
            <w:vAlign w:val="center"/>
          </w:tcPr>
          <w:p w14:paraId="26A18AA4">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Z = A*30% +B*25% +(C+D+E)*15%</w:t>
            </w:r>
          </w:p>
        </w:tc>
      </w:tr>
      <w:tr w14:paraId="0D266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jc w:val="center"/>
        </w:trPr>
        <w:tc>
          <w:tcPr>
            <w:tcW w:w="709" w:type="dxa"/>
            <w:vMerge w:val="restart"/>
            <w:vAlign w:val="center"/>
          </w:tcPr>
          <w:p w14:paraId="38BBA89F">
            <w:pPr>
              <w:keepNext w:val="0"/>
              <w:keepLines w:val="0"/>
              <w:widowControl/>
              <w:suppressLineNumbers w:val="0"/>
              <w:spacing w:before="0" w:beforeAutospacing="0" w:after="0" w:afterAutospacing="0" w:line="260" w:lineRule="exact"/>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I类</w:t>
            </w:r>
          </w:p>
        </w:tc>
        <w:tc>
          <w:tcPr>
            <w:tcW w:w="2745" w:type="dxa"/>
            <w:vAlign w:val="center"/>
          </w:tcPr>
          <w:p w14:paraId="262907CA">
            <w:pPr>
              <w:keepNext w:val="0"/>
              <w:keepLines w:val="0"/>
              <w:widowControl/>
              <w:suppressLineNumbers w:val="0"/>
              <w:spacing w:before="0" w:beforeAutospacing="0" w:after="0" w:afterAutospacing="0" w:line="260" w:lineRule="exact"/>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（扣分范围 0～36）</w:t>
            </w:r>
          </w:p>
        </w:tc>
        <w:tc>
          <w:tcPr>
            <w:tcW w:w="2700" w:type="dxa"/>
            <w:vAlign w:val="center"/>
          </w:tcPr>
          <w:p w14:paraId="0F4105BF">
            <w:pPr>
              <w:keepNext w:val="0"/>
              <w:keepLines w:val="0"/>
              <w:suppressLineNumbers w:val="0"/>
              <w:spacing w:before="0" w:beforeAutospacing="0" w:after="0" w:afterAutospacing="0" w:line="260" w:lineRule="exact"/>
              <w:ind w:left="0" w:right="0"/>
              <w:jc w:val="center"/>
              <w:outlineLvl w:val="9"/>
              <w:rPr>
                <w:rFonts w:cs="宋体" w:asciiTheme="minorEastAsia" w:hAnsiTheme="minorEastAsia" w:eastAsiaTheme="minorEastAsia"/>
                <w:color w:val="auto"/>
                <w:sz w:val="20"/>
                <w:szCs w:val="20"/>
                <w:highlight w:val="none"/>
              </w:rPr>
            </w:pPr>
          </w:p>
        </w:tc>
        <w:tc>
          <w:tcPr>
            <w:tcW w:w="960" w:type="dxa"/>
            <w:vMerge w:val="restart"/>
            <w:vAlign w:val="center"/>
          </w:tcPr>
          <w:p w14:paraId="7395F9B1">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630" w:type="dxa"/>
            <w:vMerge w:val="restart"/>
            <w:vAlign w:val="center"/>
          </w:tcPr>
          <w:p w14:paraId="071B5144">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900" w:type="dxa"/>
            <w:vMerge w:val="restart"/>
            <w:vAlign w:val="center"/>
          </w:tcPr>
          <w:p w14:paraId="10406CDB">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555" w:type="dxa"/>
            <w:vMerge w:val="restart"/>
            <w:vAlign w:val="center"/>
          </w:tcPr>
          <w:p w14:paraId="57061402">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855" w:type="dxa"/>
            <w:vMerge w:val="restart"/>
            <w:vAlign w:val="center"/>
          </w:tcPr>
          <w:p w14:paraId="2B75BBAB">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645" w:type="dxa"/>
            <w:vMerge w:val="restart"/>
            <w:vAlign w:val="center"/>
          </w:tcPr>
          <w:p w14:paraId="3AFD91BD">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915" w:type="dxa"/>
            <w:vMerge w:val="restart"/>
            <w:vAlign w:val="center"/>
          </w:tcPr>
          <w:p w14:paraId="7841603B">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630" w:type="dxa"/>
            <w:vMerge w:val="restart"/>
            <w:vAlign w:val="center"/>
          </w:tcPr>
          <w:p w14:paraId="7D856E42">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915" w:type="dxa"/>
            <w:vMerge w:val="restart"/>
            <w:vAlign w:val="center"/>
          </w:tcPr>
          <w:p w14:paraId="390F9566">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810" w:type="dxa"/>
            <w:vMerge w:val="restart"/>
            <w:vAlign w:val="center"/>
          </w:tcPr>
          <w:p w14:paraId="6DDFF371">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1419" w:type="dxa"/>
            <w:vMerge w:val="restart"/>
            <w:vAlign w:val="center"/>
          </w:tcPr>
          <w:p w14:paraId="08A5FA91">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r>
      <w:tr w14:paraId="75559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1946" w:hRule="atLeast"/>
          <w:jc w:val="center"/>
        </w:trPr>
        <w:tc>
          <w:tcPr>
            <w:tcW w:w="709" w:type="dxa"/>
            <w:vMerge w:val="continue"/>
            <w:vAlign w:val="center"/>
          </w:tcPr>
          <w:p w14:paraId="11954A57">
            <w:pPr>
              <w:keepNext w:val="0"/>
              <w:keepLines w:val="0"/>
              <w:suppressLineNumbers w:val="0"/>
              <w:spacing w:before="0" w:beforeAutospacing="0" w:after="0" w:afterAutospacing="0" w:line="260" w:lineRule="exact"/>
              <w:ind w:left="0" w:right="0"/>
              <w:jc w:val="center"/>
              <w:outlineLvl w:val="9"/>
              <w:rPr>
                <w:rFonts w:cs="宋体" w:asciiTheme="minorEastAsia" w:hAnsiTheme="minorEastAsia" w:eastAsiaTheme="minorEastAsia"/>
                <w:color w:val="auto"/>
                <w:sz w:val="20"/>
                <w:szCs w:val="20"/>
                <w:highlight w:val="none"/>
              </w:rPr>
            </w:pPr>
          </w:p>
        </w:tc>
        <w:tc>
          <w:tcPr>
            <w:tcW w:w="2745" w:type="dxa"/>
            <w:vAlign w:val="center"/>
          </w:tcPr>
          <w:p w14:paraId="3CA9479A">
            <w:pPr>
              <w:keepNext w:val="0"/>
              <w:keepLines w:val="0"/>
              <w:widowControl/>
              <w:suppressLineNumbers w:val="0"/>
              <w:spacing w:before="0" w:beforeAutospacing="0" w:after="0" w:afterAutospacing="0" w:line="260" w:lineRule="exact"/>
              <w:ind w:left="0" w:right="0"/>
              <w:jc w:val="left"/>
              <w:textAlignment w:val="center"/>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 xml:space="preserve">1、严重违反规范强制性条文、标准、规定。               </w:t>
            </w:r>
          </w:p>
          <w:p w14:paraId="269ADFFD">
            <w:pPr>
              <w:keepNext w:val="0"/>
              <w:keepLines w:val="0"/>
              <w:widowControl/>
              <w:suppressLineNumbers w:val="0"/>
              <w:spacing w:before="0" w:beforeAutospacing="0" w:after="0" w:afterAutospacing="0" w:line="260" w:lineRule="exact"/>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2、存在严重设计缺项、缺陷，有可能造成严重影响安全和使用的错误。</w:t>
            </w:r>
          </w:p>
          <w:p w14:paraId="305A386E">
            <w:pPr>
              <w:keepNext w:val="0"/>
              <w:keepLines w:val="0"/>
              <w:widowControl/>
              <w:suppressLineNumbers w:val="0"/>
              <w:spacing w:before="0" w:beforeAutospacing="0" w:after="0" w:afterAutospacing="0" w:line="260" w:lineRule="exact"/>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3、擅自对初步设计成果做重要修改，严重偏离设计合同约定重要经济指标及《施工图设计任务书》要求。</w:t>
            </w:r>
          </w:p>
        </w:tc>
        <w:tc>
          <w:tcPr>
            <w:tcW w:w="2700" w:type="dxa"/>
            <w:vAlign w:val="center"/>
          </w:tcPr>
          <w:p w14:paraId="3AFB88A6">
            <w:pPr>
              <w:keepNext w:val="0"/>
              <w:keepLines w:val="0"/>
              <w:widowControl/>
              <w:suppressLineNumbers w:val="0"/>
              <w:spacing w:before="0" w:beforeAutospacing="0" w:after="0" w:afterAutospacing="0" w:line="260" w:lineRule="exact"/>
              <w:ind w:left="0" w:right="0"/>
              <w:jc w:val="left"/>
              <w:textAlignment w:val="center"/>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1、无此类问题，得满分36。</w:t>
            </w:r>
          </w:p>
          <w:p w14:paraId="2644D7B3">
            <w:pPr>
              <w:keepNext w:val="0"/>
              <w:keepLines w:val="0"/>
              <w:widowControl/>
              <w:suppressLineNumbers w:val="0"/>
              <w:spacing w:before="0" w:beforeAutospacing="0" w:after="0" w:afterAutospacing="0" w:line="260" w:lineRule="exact"/>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2、存在此类问题，但及时配合修改，对工程未造成影响时，专业图纸每出现一处扣12分。</w:t>
            </w:r>
          </w:p>
          <w:p w14:paraId="37CF97CE">
            <w:pPr>
              <w:keepNext w:val="0"/>
              <w:keepLines w:val="0"/>
              <w:widowControl/>
              <w:suppressLineNumbers w:val="0"/>
              <w:spacing w:before="0" w:beforeAutospacing="0" w:after="0" w:afterAutospacing="0" w:line="260" w:lineRule="exact"/>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3、存在此类问题，需对图纸做较大返工修改并因此造成工程损失或工期延误，专业图纸每出现一处扣18分。</w:t>
            </w:r>
          </w:p>
        </w:tc>
        <w:tc>
          <w:tcPr>
            <w:tcW w:w="960" w:type="dxa"/>
            <w:vMerge w:val="continue"/>
            <w:vAlign w:val="center"/>
          </w:tcPr>
          <w:p w14:paraId="2A047803">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630" w:type="dxa"/>
            <w:vMerge w:val="continue"/>
            <w:vAlign w:val="center"/>
          </w:tcPr>
          <w:p w14:paraId="55FD7939">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900" w:type="dxa"/>
            <w:vMerge w:val="continue"/>
            <w:vAlign w:val="center"/>
          </w:tcPr>
          <w:p w14:paraId="1506664D">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555" w:type="dxa"/>
            <w:vMerge w:val="continue"/>
            <w:vAlign w:val="center"/>
          </w:tcPr>
          <w:p w14:paraId="590AC58F">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855" w:type="dxa"/>
            <w:vMerge w:val="continue"/>
            <w:vAlign w:val="center"/>
          </w:tcPr>
          <w:p w14:paraId="74C8B505">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645" w:type="dxa"/>
            <w:vMerge w:val="continue"/>
            <w:vAlign w:val="center"/>
          </w:tcPr>
          <w:p w14:paraId="349BBD2C">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915" w:type="dxa"/>
            <w:vMerge w:val="continue"/>
            <w:vAlign w:val="center"/>
          </w:tcPr>
          <w:p w14:paraId="5A6DB8EE">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630" w:type="dxa"/>
            <w:vMerge w:val="continue"/>
            <w:vAlign w:val="center"/>
          </w:tcPr>
          <w:p w14:paraId="217645AD">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915" w:type="dxa"/>
            <w:vMerge w:val="continue"/>
            <w:vAlign w:val="center"/>
          </w:tcPr>
          <w:p w14:paraId="76BF21AD">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810" w:type="dxa"/>
            <w:vMerge w:val="continue"/>
            <w:vAlign w:val="center"/>
          </w:tcPr>
          <w:p w14:paraId="6A6759B4">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c>
          <w:tcPr>
            <w:tcW w:w="1419" w:type="dxa"/>
            <w:vMerge w:val="continue"/>
            <w:vAlign w:val="center"/>
          </w:tcPr>
          <w:p w14:paraId="1A69847B">
            <w:pPr>
              <w:keepNext w:val="0"/>
              <w:keepLines w:val="0"/>
              <w:suppressLineNumbers w:val="0"/>
              <w:spacing w:before="0" w:beforeAutospacing="0" w:after="0" w:afterAutospacing="0" w:line="240" w:lineRule="exact"/>
              <w:ind w:left="0" w:right="0"/>
              <w:jc w:val="center"/>
              <w:outlineLvl w:val="9"/>
              <w:rPr>
                <w:rFonts w:cs="宋体" w:asciiTheme="minorEastAsia" w:hAnsiTheme="minorEastAsia" w:eastAsiaTheme="minorEastAsia"/>
                <w:color w:val="auto"/>
                <w:sz w:val="20"/>
                <w:szCs w:val="20"/>
                <w:highlight w:val="none"/>
              </w:rPr>
            </w:pPr>
          </w:p>
        </w:tc>
      </w:tr>
      <w:tr w14:paraId="7E5F7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jc w:val="center"/>
        </w:trPr>
        <w:tc>
          <w:tcPr>
            <w:tcW w:w="709" w:type="dxa"/>
            <w:vMerge w:val="restart"/>
            <w:vAlign w:val="center"/>
          </w:tcPr>
          <w:p w14:paraId="0638821D">
            <w:pPr>
              <w:keepNext w:val="0"/>
              <w:keepLines w:val="0"/>
              <w:widowControl/>
              <w:suppressLineNumbers w:val="0"/>
              <w:spacing w:before="0" w:beforeAutospacing="0" w:after="0" w:afterAutospacing="0" w:line="260" w:lineRule="exact"/>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II类</w:t>
            </w:r>
          </w:p>
        </w:tc>
        <w:tc>
          <w:tcPr>
            <w:tcW w:w="2745" w:type="dxa"/>
            <w:vAlign w:val="center"/>
          </w:tcPr>
          <w:p w14:paraId="53359D4B">
            <w:pPr>
              <w:keepNext w:val="0"/>
              <w:keepLines w:val="0"/>
              <w:widowControl/>
              <w:suppressLineNumbers w:val="0"/>
              <w:spacing w:before="0" w:beforeAutospacing="0" w:after="0" w:afterAutospacing="0" w:line="260" w:lineRule="exact"/>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（扣分范围 0～36）</w:t>
            </w:r>
          </w:p>
        </w:tc>
        <w:tc>
          <w:tcPr>
            <w:tcW w:w="2700" w:type="dxa"/>
            <w:vAlign w:val="center"/>
          </w:tcPr>
          <w:p w14:paraId="5F141D55">
            <w:pPr>
              <w:keepNext w:val="0"/>
              <w:keepLines w:val="0"/>
              <w:suppressLineNumbers w:val="0"/>
              <w:spacing w:before="0" w:beforeAutospacing="0" w:after="0" w:afterAutospacing="0" w:line="260" w:lineRule="exact"/>
              <w:ind w:left="0" w:right="0"/>
              <w:jc w:val="left"/>
              <w:outlineLvl w:val="9"/>
              <w:rPr>
                <w:rFonts w:cs="宋体" w:asciiTheme="minorEastAsia" w:hAnsiTheme="minorEastAsia" w:eastAsiaTheme="minorEastAsia"/>
                <w:color w:val="auto"/>
                <w:sz w:val="20"/>
                <w:szCs w:val="20"/>
                <w:highlight w:val="none"/>
              </w:rPr>
            </w:pPr>
          </w:p>
        </w:tc>
        <w:tc>
          <w:tcPr>
            <w:tcW w:w="960" w:type="dxa"/>
            <w:vMerge w:val="restart"/>
            <w:vAlign w:val="center"/>
          </w:tcPr>
          <w:p w14:paraId="62FCF5A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630" w:type="dxa"/>
            <w:vMerge w:val="restart"/>
            <w:vAlign w:val="center"/>
          </w:tcPr>
          <w:p w14:paraId="169A0A5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00" w:type="dxa"/>
            <w:vMerge w:val="restart"/>
            <w:vAlign w:val="center"/>
          </w:tcPr>
          <w:p w14:paraId="1045628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55" w:type="dxa"/>
            <w:vMerge w:val="restart"/>
            <w:vAlign w:val="center"/>
          </w:tcPr>
          <w:p w14:paraId="0BF95C6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855" w:type="dxa"/>
            <w:vMerge w:val="restart"/>
            <w:vAlign w:val="center"/>
          </w:tcPr>
          <w:p w14:paraId="675C15A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645" w:type="dxa"/>
            <w:vMerge w:val="restart"/>
            <w:vAlign w:val="center"/>
          </w:tcPr>
          <w:p w14:paraId="25F2169C">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vMerge w:val="restart"/>
            <w:vAlign w:val="center"/>
          </w:tcPr>
          <w:p w14:paraId="58BD962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630" w:type="dxa"/>
            <w:vMerge w:val="restart"/>
            <w:vAlign w:val="center"/>
          </w:tcPr>
          <w:p w14:paraId="412999F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vMerge w:val="restart"/>
            <w:vAlign w:val="center"/>
          </w:tcPr>
          <w:p w14:paraId="4F3BE3B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810" w:type="dxa"/>
            <w:vMerge w:val="restart"/>
            <w:vAlign w:val="center"/>
          </w:tcPr>
          <w:p w14:paraId="26C99F0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1419" w:type="dxa"/>
            <w:vMerge w:val="restart"/>
            <w:vAlign w:val="center"/>
          </w:tcPr>
          <w:p w14:paraId="1F3DEA8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r>
      <w:tr w14:paraId="02394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7" w:hRule="atLeast"/>
          <w:jc w:val="center"/>
        </w:trPr>
        <w:tc>
          <w:tcPr>
            <w:tcW w:w="709" w:type="dxa"/>
            <w:vMerge w:val="continue"/>
            <w:vAlign w:val="center"/>
          </w:tcPr>
          <w:p w14:paraId="724D1212">
            <w:pPr>
              <w:keepNext w:val="0"/>
              <w:keepLines w:val="0"/>
              <w:suppressLineNumbers w:val="0"/>
              <w:spacing w:before="0" w:beforeAutospacing="0" w:after="0" w:afterAutospacing="0" w:line="260" w:lineRule="exact"/>
              <w:ind w:left="0" w:right="0"/>
              <w:jc w:val="center"/>
              <w:outlineLvl w:val="9"/>
              <w:rPr>
                <w:rFonts w:cs="宋体" w:asciiTheme="minorEastAsia" w:hAnsiTheme="minorEastAsia" w:eastAsiaTheme="minorEastAsia"/>
                <w:color w:val="auto"/>
                <w:sz w:val="20"/>
                <w:szCs w:val="20"/>
                <w:highlight w:val="none"/>
              </w:rPr>
            </w:pPr>
          </w:p>
        </w:tc>
        <w:tc>
          <w:tcPr>
            <w:tcW w:w="2745" w:type="dxa"/>
            <w:vAlign w:val="center"/>
          </w:tcPr>
          <w:p w14:paraId="77B1B07F">
            <w:pPr>
              <w:keepNext w:val="0"/>
              <w:keepLines w:val="0"/>
              <w:widowControl/>
              <w:suppressLineNumbers w:val="0"/>
              <w:spacing w:before="0" w:beforeAutospacing="0" w:after="0" w:afterAutospacing="0" w:line="280" w:lineRule="exact"/>
              <w:ind w:left="0" w:right="0"/>
              <w:jc w:val="left"/>
              <w:textAlignment w:val="center"/>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1、局部违反规范一般性条文、标准、规定，易修正、且返工量不大。</w:t>
            </w:r>
          </w:p>
          <w:p w14:paraId="2DC5FF60">
            <w:pPr>
              <w:keepNext w:val="0"/>
              <w:keepLines w:val="0"/>
              <w:widowControl/>
              <w:suppressLineNumbers w:val="0"/>
              <w:spacing w:before="0" w:beforeAutospacing="0" w:after="0" w:afterAutospacing="0" w:line="280" w:lineRule="exact"/>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2、设计不周（含重要计算参数取值不当）、子项内容遗漏、局部构造错误或大宗（型）设备材料选择不当，有可能造成局部无法使用、施工，或重要部位尺寸错误，有可能造成严重后果。</w:t>
            </w:r>
          </w:p>
          <w:p w14:paraId="19D8260F">
            <w:pPr>
              <w:keepNext w:val="0"/>
              <w:keepLines w:val="0"/>
              <w:widowControl/>
              <w:suppressLineNumbers w:val="0"/>
              <w:spacing w:before="0" w:beforeAutospacing="0" w:after="0" w:afterAutospacing="0" w:line="280" w:lineRule="exact"/>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3、擅自对初步设计成果做较大修改，局部内容偏离《施工图设计任务书》要求。</w:t>
            </w:r>
          </w:p>
        </w:tc>
        <w:tc>
          <w:tcPr>
            <w:tcW w:w="2700" w:type="dxa"/>
            <w:vAlign w:val="center"/>
          </w:tcPr>
          <w:p w14:paraId="1D255E86">
            <w:pPr>
              <w:keepNext w:val="0"/>
              <w:keepLines w:val="0"/>
              <w:widowControl/>
              <w:suppressLineNumbers w:val="0"/>
              <w:spacing w:before="0" w:beforeAutospacing="0" w:after="0" w:afterAutospacing="0" w:line="280" w:lineRule="exact"/>
              <w:ind w:left="0" w:right="0"/>
              <w:jc w:val="left"/>
              <w:textAlignment w:val="center"/>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1、无此类问题，得满分36。</w:t>
            </w:r>
          </w:p>
          <w:p w14:paraId="33EE1993">
            <w:pPr>
              <w:keepNext w:val="0"/>
              <w:keepLines w:val="0"/>
              <w:widowControl/>
              <w:suppressLineNumbers w:val="0"/>
              <w:spacing w:before="0" w:beforeAutospacing="0" w:after="0" w:afterAutospacing="0" w:line="280" w:lineRule="exact"/>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2、存在此类问题，但及时配合修改，对工程及工期未造成影响时，专业图纸每出现一处扣9分。</w:t>
            </w:r>
          </w:p>
          <w:p w14:paraId="7FAF94F0">
            <w:pPr>
              <w:keepNext w:val="0"/>
              <w:keepLines w:val="0"/>
              <w:widowControl/>
              <w:suppressLineNumbers w:val="0"/>
              <w:spacing w:before="0" w:beforeAutospacing="0" w:after="0" w:afterAutospacing="0" w:line="280" w:lineRule="exact"/>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3、存在此类问题，需对图纸做较大局部图纸补充或返工修改并因此造成工程损失或工期延误，专业图纸每出现一处扣12分。</w:t>
            </w:r>
          </w:p>
        </w:tc>
        <w:tc>
          <w:tcPr>
            <w:tcW w:w="960" w:type="dxa"/>
            <w:vMerge w:val="continue"/>
            <w:vAlign w:val="center"/>
          </w:tcPr>
          <w:p w14:paraId="2B05B8F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630" w:type="dxa"/>
            <w:vMerge w:val="continue"/>
            <w:vAlign w:val="center"/>
          </w:tcPr>
          <w:p w14:paraId="04EE699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00" w:type="dxa"/>
            <w:vMerge w:val="continue"/>
            <w:vAlign w:val="center"/>
          </w:tcPr>
          <w:p w14:paraId="0E61897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55" w:type="dxa"/>
            <w:vMerge w:val="continue"/>
            <w:vAlign w:val="center"/>
          </w:tcPr>
          <w:p w14:paraId="7905550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855" w:type="dxa"/>
            <w:vMerge w:val="continue"/>
            <w:vAlign w:val="center"/>
          </w:tcPr>
          <w:p w14:paraId="4364CE8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645" w:type="dxa"/>
            <w:vMerge w:val="continue"/>
            <w:vAlign w:val="center"/>
          </w:tcPr>
          <w:p w14:paraId="47FEC3C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vMerge w:val="continue"/>
            <w:vAlign w:val="center"/>
          </w:tcPr>
          <w:p w14:paraId="376ACC6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630" w:type="dxa"/>
            <w:vMerge w:val="continue"/>
            <w:vAlign w:val="center"/>
          </w:tcPr>
          <w:p w14:paraId="0F9F34D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vMerge w:val="continue"/>
            <w:vAlign w:val="center"/>
          </w:tcPr>
          <w:p w14:paraId="6CC16E7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810" w:type="dxa"/>
            <w:vMerge w:val="continue"/>
            <w:vAlign w:val="center"/>
          </w:tcPr>
          <w:p w14:paraId="55A8AA8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1419" w:type="dxa"/>
            <w:vMerge w:val="continue"/>
            <w:vAlign w:val="center"/>
          </w:tcPr>
          <w:p w14:paraId="74F927E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r>
      <w:tr w14:paraId="1C4A6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jc w:val="center"/>
        </w:trPr>
        <w:tc>
          <w:tcPr>
            <w:tcW w:w="709" w:type="dxa"/>
            <w:vMerge w:val="restart"/>
            <w:vAlign w:val="center"/>
          </w:tcPr>
          <w:p w14:paraId="64BDD975">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III类</w:t>
            </w:r>
          </w:p>
        </w:tc>
        <w:tc>
          <w:tcPr>
            <w:tcW w:w="2745" w:type="dxa"/>
            <w:vAlign w:val="center"/>
          </w:tcPr>
          <w:p w14:paraId="322D1E8D">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（扣分范围 0～28）</w:t>
            </w:r>
          </w:p>
        </w:tc>
        <w:tc>
          <w:tcPr>
            <w:tcW w:w="2700" w:type="dxa"/>
            <w:vAlign w:val="center"/>
          </w:tcPr>
          <w:p w14:paraId="75C4DC68">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N:图纸张数  N1:III类错误总数</w:t>
            </w:r>
          </w:p>
        </w:tc>
        <w:tc>
          <w:tcPr>
            <w:tcW w:w="960" w:type="dxa"/>
          </w:tcPr>
          <w:p w14:paraId="2D060B87">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N=</w:t>
            </w:r>
          </w:p>
        </w:tc>
        <w:tc>
          <w:tcPr>
            <w:tcW w:w="630" w:type="dxa"/>
            <w:vMerge w:val="restart"/>
            <w:vAlign w:val="center"/>
          </w:tcPr>
          <w:p w14:paraId="597FB9E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00" w:type="dxa"/>
          </w:tcPr>
          <w:p w14:paraId="40EC6006">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N=</w:t>
            </w:r>
          </w:p>
        </w:tc>
        <w:tc>
          <w:tcPr>
            <w:tcW w:w="555" w:type="dxa"/>
            <w:vMerge w:val="restart"/>
            <w:vAlign w:val="center"/>
          </w:tcPr>
          <w:p w14:paraId="1299BDC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855" w:type="dxa"/>
          </w:tcPr>
          <w:p w14:paraId="7EAB4381">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N=</w:t>
            </w:r>
          </w:p>
        </w:tc>
        <w:tc>
          <w:tcPr>
            <w:tcW w:w="645" w:type="dxa"/>
            <w:vMerge w:val="restart"/>
            <w:vAlign w:val="center"/>
          </w:tcPr>
          <w:p w14:paraId="56814017">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tcPr>
          <w:p w14:paraId="34C1526B">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N=</w:t>
            </w:r>
          </w:p>
        </w:tc>
        <w:tc>
          <w:tcPr>
            <w:tcW w:w="630" w:type="dxa"/>
            <w:vMerge w:val="restart"/>
            <w:vAlign w:val="center"/>
          </w:tcPr>
          <w:p w14:paraId="011B019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tcPr>
          <w:p w14:paraId="175CA1BD">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N=</w:t>
            </w:r>
          </w:p>
        </w:tc>
        <w:tc>
          <w:tcPr>
            <w:tcW w:w="810" w:type="dxa"/>
            <w:vMerge w:val="restart"/>
            <w:vAlign w:val="center"/>
          </w:tcPr>
          <w:p w14:paraId="1F7310CC">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1419" w:type="dxa"/>
            <w:vMerge w:val="restart"/>
            <w:vAlign w:val="center"/>
          </w:tcPr>
          <w:p w14:paraId="3C858337">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r>
      <w:tr w14:paraId="1CBC1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jc w:val="center"/>
        </w:trPr>
        <w:tc>
          <w:tcPr>
            <w:tcW w:w="709" w:type="dxa"/>
            <w:vMerge w:val="continue"/>
            <w:vAlign w:val="center"/>
          </w:tcPr>
          <w:p w14:paraId="791E133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2745" w:type="dxa"/>
            <w:vAlign w:val="center"/>
          </w:tcPr>
          <w:p w14:paraId="23CDB9CE">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1、疏忽性的局部细部标注、图纸名称等的遗漏、错误及前后图纸不一致。</w:t>
            </w:r>
          </w:p>
        </w:tc>
        <w:tc>
          <w:tcPr>
            <w:tcW w:w="2700" w:type="dxa"/>
            <w:vMerge w:val="restart"/>
            <w:vAlign w:val="center"/>
          </w:tcPr>
          <w:p w14:paraId="28EA2B4B">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1、建筑、结构专业：</w:t>
            </w:r>
          </w:p>
          <w:p w14:paraId="39E32BB6">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①N≤5，N1≤2N；N≥6，N1≤N。否则每多出1个，扣2分；</w:t>
            </w:r>
          </w:p>
          <w:p w14:paraId="733C6004">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②各单张图纸出错数量≤8个，否则按不满足要求的图纸张数扣分,扣3分/张；</w:t>
            </w:r>
          </w:p>
          <w:p w14:paraId="7A0655B1">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2、公用专业：</w:t>
            </w:r>
          </w:p>
          <w:p w14:paraId="2D797A28">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①N≤5，N1≤2N；N≥6，N1≤0..8N。否则每多出1个，扣2分；</w:t>
            </w:r>
          </w:p>
          <w:p w14:paraId="13825FBB">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②各单张图纸出错数量≤5个，否则按不满足要求图纸实际张数数扣分,扣3分/张；</w:t>
            </w:r>
          </w:p>
        </w:tc>
        <w:tc>
          <w:tcPr>
            <w:tcW w:w="960" w:type="dxa"/>
            <w:vMerge w:val="restart"/>
          </w:tcPr>
          <w:p w14:paraId="0D8F7345">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①总数</w:t>
            </w:r>
          </w:p>
        </w:tc>
        <w:tc>
          <w:tcPr>
            <w:tcW w:w="630" w:type="dxa"/>
            <w:vMerge w:val="continue"/>
            <w:vAlign w:val="center"/>
          </w:tcPr>
          <w:p w14:paraId="0C8F91BD">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00" w:type="dxa"/>
            <w:vMerge w:val="restart"/>
          </w:tcPr>
          <w:p w14:paraId="038A5F8E">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①总数</w:t>
            </w:r>
          </w:p>
        </w:tc>
        <w:tc>
          <w:tcPr>
            <w:tcW w:w="555" w:type="dxa"/>
            <w:vMerge w:val="continue"/>
            <w:vAlign w:val="center"/>
          </w:tcPr>
          <w:p w14:paraId="1948D8F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855" w:type="dxa"/>
            <w:vMerge w:val="restart"/>
          </w:tcPr>
          <w:p w14:paraId="39E5D4B8">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①总数</w:t>
            </w:r>
          </w:p>
        </w:tc>
        <w:tc>
          <w:tcPr>
            <w:tcW w:w="645" w:type="dxa"/>
            <w:vMerge w:val="continue"/>
            <w:vAlign w:val="center"/>
          </w:tcPr>
          <w:p w14:paraId="542C687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vMerge w:val="restart"/>
          </w:tcPr>
          <w:p w14:paraId="087150C5">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①总数</w:t>
            </w:r>
          </w:p>
        </w:tc>
        <w:tc>
          <w:tcPr>
            <w:tcW w:w="630" w:type="dxa"/>
            <w:vMerge w:val="continue"/>
            <w:vAlign w:val="center"/>
          </w:tcPr>
          <w:p w14:paraId="4A1BD56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vMerge w:val="restart"/>
          </w:tcPr>
          <w:p w14:paraId="40E99709">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①总数</w:t>
            </w:r>
          </w:p>
        </w:tc>
        <w:tc>
          <w:tcPr>
            <w:tcW w:w="810" w:type="dxa"/>
            <w:vMerge w:val="continue"/>
            <w:vAlign w:val="center"/>
          </w:tcPr>
          <w:p w14:paraId="1527024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1419" w:type="dxa"/>
            <w:vMerge w:val="continue"/>
            <w:vAlign w:val="center"/>
          </w:tcPr>
          <w:p w14:paraId="23E92DB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r>
      <w:tr w14:paraId="17978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jc w:val="center"/>
        </w:trPr>
        <w:tc>
          <w:tcPr>
            <w:tcW w:w="709" w:type="dxa"/>
            <w:vMerge w:val="continue"/>
            <w:vAlign w:val="center"/>
          </w:tcPr>
          <w:p w14:paraId="03DC429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2745" w:type="dxa"/>
            <w:vMerge w:val="restart"/>
            <w:vAlign w:val="center"/>
          </w:tcPr>
          <w:p w14:paraId="2E801248">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2、一般性的设备材料选择规格不全、错误或经济性差及局部平面布置不尽合理，经简单补充和调整不会造成严重后果。</w:t>
            </w:r>
          </w:p>
        </w:tc>
        <w:tc>
          <w:tcPr>
            <w:tcW w:w="2700" w:type="dxa"/>
            <w:vMerge w:val="continue"/>
            <w:vAlign w:val="center"/>
          </w:tcPr>
          <w:p w14:paraId="13F3C6A0">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p>
        </w:tc>
        <w:tc>
          <w:tcPr>
            <w:tcW w:w="960" w:type="dxa"/>
            <w:vMerge w:val="continue"/>
          </w:tcPr>
          <w:p w14:paraId="55731D7B">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630" w:type="dxa"/>
            <w:vMerge w:val="continue"/>
            <w:vAlign w:val="center"/>
          </w:tcPr>
          <w:p w14:paraId="6FFD124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00" w:type="dxa"/>
            <w:vMerge w:val="continue"/>
          </w:tcPr>
          <w:p w14:paraId="4D028767">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555" w:type="dxa"/>
            <w:vMerge w:val="continue"/>
            <w:vAlign w:val="center"/>
          </w:tcPr>
          <w:p w14:paraId="2931308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855" w:type="dxa"/>
            <w:vMerge w:val="continue"/>
          </w:tcPr>
          <w:p w14:paraId="7E9F7135">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645" w:type="dxa"/>
            <w:vMerge w:val="continue"/>
            <w:vAlign w:val="center"/>
          </w:tcPr>
          <w:p w14:paraId="386521E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vMerge w:val="continue"/>
          </w:tcPr>
          <w:p w14:paraId="02AD5D74">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630" w:type="dxa"/>
            <w:vMerge w:val="continue"/>
            <w:vAlign w:val="center"/>
          </w:tcPr>
          <w:p w14:paraId="1927054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vMerge w:val="continue"/>
          </w:tcPr>
          <w:p w14:paraId="006B3E18">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810" w:type="dxa"/>
            <w:vMerge w:val="continue"/>
            <w:vAlign w:val="center"/>
          </w:tcPr>
          <w:p w14:paraId="324A8D67">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1419" w:type="dxa"/>
            <w:vMerge w:val="continue"/>
            <w:vAlign w:val="center"/>
          </w:tcPr>
          <w:p w14:paraId="555FA8E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r>
      <w:tr w14:paraId="553EB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jc w:val="center"/>
        </w:trPr>
        <w:tc>
          <w:tcPr>
            <w:tcW w:w="709" w:type="dxa"/>
            <w:vMerge w:val="continue"/>
            <w:vAlign w:val="center"/>
          </w:tcPr>
          <w:p w14:paraId="5D5FD0BC">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2745" w:type="dxa"/>
            <w:vMerge w:val="continue"/>
            <w:vAlign w:val="center"/>
          </w:tcPr>
          <w:p w14:paraId="22047A1E">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2700" w:type="dxa"/>
            <w:vMerge w:val="continue"/>
            <w:vAlign w:val="center"/>
          </w:tcPr>
          <w:p w14:paraId="32E0B017">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960" w:type="dxa"/>
            <w:vMerge w:val="restart"/>
          </w:tcPr>
          <w:p w14:paraId="6A6105EF">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②张数</w:t>
            </w:r>
          </w:p>
        </w:tc>
        <w:tc>
          <w:tcPr>
            <w:tcW w:w="630" w:type="dxa"/>
            <w:vMerge w:val="continue"/>
            <w:vAlign w:val="center"/>
          </w:tcPr>
          <w:p w14:paraId="060FF18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00" w:type="dxa"/>
            <w:vMerge w:val="restart"/>
          </w:tcPr>
          <w:p w14:paraId="108AB690">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②张数</w:t>
            </w:r>
          </w:p>
        </w:tc>
        <w:tc>
          <w:tcPr>
            <w:tcW w:w="555" w:type="dxa"/>
            <w:vMerge w:val="continue"/>
            <w:vAlign w:val="center"/>
          </w:tcPr>
          <w:p w14:paraId="465E686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855" w:type="dxa"/>
            <w:vMerge w:val="restart"/>
          </w:tcPr>
          <w:p w14:paraId="2C7C9432">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②张数</w:t>
            </w:r>
          </w:p>
        </w:tc>
        <w:tc>
          <w:tcPr>
            <w:tcW w:w="645" w:type="dxa"/>
            <w:vMerge w:val="continue"/>
            <w:vAlign w:val="center"/>
          </w:tcPr>
          <w:p w14:paraId="53C9554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vMerge w:val="restart"/>
          </w:tcPr>
          <w:p w14:paraId="5B45FD64">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②张数</w:t>
            </w:r>
          </w:p>
        </w:tc>
        <w:tc>
          <w:tcPr>
            <w:tcW w:w="630" w:type="dxa"/>
            <w:vMerge w:val="continue"/>
            <w:vAlign w:val="center"/>
          </w:tcPr>
          <w:p w14:paraId="4AB362F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vMerge w:val="restart"/>
          </w:tcPr>
          <w:p w14:paraId="671A2118">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②张数</w:t>
            </w:r>
          </w:p>
        </w:tc>
        <w:tc>
          <w:tcPr>
            <w:tcW w:w="810" w:type="dxa"/>
            <w:vMerge w:val="continue"/>
            <w:vAlign w:val="center"/>
          </w:tcPr>
          <w:p w14:paraId="0EBCAEC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1419" w:type="dxa"/>
            <w:vMerge w:val="continue"/>
            <w:vAlign w:val="center"/>
          </w:tcPr>
          <w:p w14:paraId="0F81EA2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r>
      <w:tr w14:paraId="5DBF4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jc w:val="center"/>
        </w:trPr>
        <w:tc>
          <w:tcPr>
            <w:tcW w:w="709" w:type="dxa"/>
            <w:vMerge w:val="continue"/>
            <w:vAlign w:val="center"/>
          </w:tcPr>
          <w:p w14:paraId="0C37EA9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2745" w:type="dxa"/>
            <w:vAlign w:val="center"/>
          </w:tcPr>
          <w:p w14:paraId="60882856">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3、工种配合中的一般性错误，经简单补充和调整，不致造成影响使用效果或安全。</w:t>
            </w:r>
          </w:p>
        </w:tc>
        <w:tc>
          <w:tcPr>
            <w:tcW w:w="2700" w:type="dxa"/>
            <w:vMerge w:val="continue"/>
            <w:vAlign w:val="center"/>
          </w:tcPr>
          <w:p w14:paraId="734D2659">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960" w:type="dxa"/>
            <w:vMerge w:val="continue"/>
          </w:tcPr>
          <w:p w14:paraId="0A0B0D5A">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630" w:type="dxa"/>
            <w:vMerge w:val="continue"/>
            <w:vAlign w:val="center"/>
          </w:tcPr>
          <w:p w14:paraId="46B7EAC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00" w:type="dxa"/>
            <w:vMerge w:val="continue"/>
          </w:tcPr>
          <w:p w14:paraId="3636B345">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555" w:type="dxa"/>
            <w:vMerge w:val="continue"/>
            <w:vAlign w:val="center"/>
          </w:tcPr>
          <w:p w14:paraId="4C18134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855" w:type="dxa"/>
            <w:vMerge w:val="continue"/>
          </w:tcPr>
          <w:p w14:paraId="07F83184">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645" w:type="dxa"/>
            <w:vMerge w:val="continue"/>
            <w:vAlign w:val="center"/>
          </w:tcPr>
          <w:p w14:paraId="391A88E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vMerge w:val="continue"/>
          </w:tcPr>
          <w:p w14:paraId="199DD695">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630" w:type="dxa"/>
            <w:vMerge w:val="continue"/>
            <w:vAlign w:val="center"/>
          </w:tcPr>
          <w:p w14:paraId="766DF6A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15" w:type="dxa"/>
            <w:vMerge w:val="continue"/>
          </w:tcPr>
          <w:p w14:paraId="6DC33385">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810" w:type="dxa"/>
            <w:vMerge w:val="continue"/>
            <w:vAlign w:val="center"/>
          </w:tcPr>
          <w:p w14:paraId="79FFDD3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1419" w:type="dxa"/>
            <w:vMerge w:val="continue"/>
            <w:vAlign w:val="center"/>
          </w:tcPr>
          <w:p w14:paraId="03C0DFAD">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r>
      <w:tr w14:paraId="3EA7E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0" w:hRule="atLeast"/>
          <w:jc w:val="center"/>
        </w:trPr>
        <w:tc>
          <w:tcPr>
            <w:tcW w:w="3454" w:type="dxa"/>
            <w:gridSpan w:val="2"/>
            <w:vAlign w:val="center"/>
          </w:tcPr>
          <w:p w14:paraId="7FE2DAE3">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小计</w:t>
            </w:r>
          </w:p>
        </w:tc>
        <w:tc>
          <w:tcPr>
            <w:tcW w:w="2700" w:type="dxa"/>
            <w:vAlign w:val="center"/>
          </w:tcPr>
          <w:p w14:paraId="03283DB8">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专业图纸得分小计</w:t>
            </w:r>
          </w:p>
        </w:tc>
        <w:tc>
          <w:tcPr>
            <w:tcW w:w="1590" w:type="dxa"/>
            <w:gridSpan w:val="2"/>
            <w:vAlign w:val="center"/>
          </w:tcPr>
          <w:p w14:paraId="5DBA410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1455" w:type="dxa"/>
            <w:gridSpan w:val="2"/>
            <w:vAlign w:val="center"/>
          </w:tcPr>
          <w:p w14:paraId="003F260C">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1500" w:type="dxa"/>
            <w:gridSpan w:val="2"/>
            <w:vAlign w:val="center"/>
          </w:tcPr>
          <w:p w14:paraId="7547915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1545" w:type="dxa"/>
            <w:gridSpan w:val="2"/>
            <w:vAlign w:val="center"/>
          </w:tcPr>
          <w:p w14:paraId="59C9267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1725" w:type="dxa"/>
            <w:gridSpan w:val="2"/>
            <w:vAlign w:val="center"/>
          </w:tcPr>
          <w:p w14:paraId="7552EBA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1419" w:type="dxa"/>
            <w:vAlign w:val="center"/>
          </w:tcPr>
          <w:p w14:paraId="71774783">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综合分总计：</w:t>
            </w:r>
          </w:p>
        </w:tc>
      </w:tr>
      <w:tr w14:paraId="39ABB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0" w:hRule="atLeast"/>
          <w:jc w:val="center"/>
        </w:trPr>
        <w:tc>
          <w:tcPr>
            <w:tcW w:w="3454" w:type="dxa"/>
            <w:gridSpan w:val="2"/>
            <w:vMerge w:val="restart"/>
            <w:vAlign w:val="center"/>
          </w:tcPr>
          <w:p w14:paraId="2BFED2D9">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kern w:val="0"/>
                <w:sz w:val="24"/>
                <w:highlight w:val="none"/>
              </w:rPr>
              <w:t>图纸质量评议结果</w:t>
            </w:r>
          </w:p>
        </w:tc>
        <w:tc>
          <w:tcPr>
            <w:tcW w:w="6600" w:type="dxa"/>
            <w:gridSpan w:val="6"/>
            <w:vAlign w:val="center"/>
          </w:tcPr>
          <w:p w14:paraId="2F765422">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□优：不少于三个专业得分在90分以上，综合得分85分及以上</w:t>
            </w:r>
          </w:p>
        </w:tc>
        <w:tc>
          <w:tcPr>
            <w:tcW w:w="1560" w:type="dxa"/>
            <w:gridSpan w:val="2"/>
            <w:vMerge w:val="restart"/>
            <w:vAlign w:val="center"/>
          </w:tcPr>
          <w:p w14:paraId="68C22C89">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质量奖惩措施</w:t>
            </w:r>
          </w:p>
        </w:tc>
        <w:tc>
          <w:tcPr>
            <w:tcW w:w="3774" w:type="dxa"/>
            <w:gridSpan w:val="4"/>
            <w:vAlign w:val="center"/>
          </w:tcPr>
          <w:p w14:paraId="2FD9A149">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□优：设计质量保证金全额返还，推荐设计单位为优秀合作供方</w:t>
            </w:r>
          </w:p>
        </w:tc>
      </w:tr>
      <w:tr w14:paraId="401E6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0" w:hRule="atLeast"/>
          <w:jc w:val="center"/>
        </w:trPr>
        <w:tc>
          <w:tcPr>
            <w:tcW w:w="3454" w:type="dxa"/>
            <w:gridSpan w:val="2"/>
            <w:vMerge w:val="continue"/>
            <w:vAlign w:val="center"/>
          </w:tcPr>
          <w:p w14:paraId="7A06923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4"/>
                <w:highlight w:val="none"/>
              </w:rPr>
            </w:pPr>
          </w:p>
        </w:tc>
        <w:tc>
          <w:tcPr>
            <w:tcW w:w="6600" w:type="dxa"/>
            <w:gridSpan w:val="6"/>
            <w:vAlign w:val="center"/>
          </w:tcPr>
          <w:p w14:paraId="599406B2">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□良：不少于三个专业得分在85分以上，综合得分80～84分</w:t>
            </w:r>
          </w:p>
        </w:tc>
        <w:tc>
          <w:tcPr>
            <w:tcW w:w="1560" w:type="dxa"/>
            <w:gridSpan w:val="2"/>
            <w:vMerge w:val="continue"/>
            <w:vAlign w:val="center"/>
          </w:tcPr>
          <w:p w14:paraId="0293859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3774" w:type="dxa"/>
            <w:gridSpan w:val="4"/>
            <w:vAlign w:val="center"/>
          </w:tcPr>
          <w:p w14:paraId="66AB85D3">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□良：设计质量保证金全额返还</w:t>
            </w:r>
          </w:p>
        </w:tc>
      </w:tr>
      <w:tr w14:paraId="35026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0" w:hRule="atLeast"/>
          <w:jc w:val="center"/>
        </w:trPr>
        <w:tc>
          <w:tcPr>
            <w:tcW w:w="3454" w:type="dxa"/>
            <w:gridSpan w:val="2"/>
            <w:vMerge w:val="continue"/>
            <w:vAlign w:val="center"/>
          </w:tcPr>
          <w:p w14:paraId="4491064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4"/>
                <w:highlight w:val="none"/>
              </w:rPr>
            </w:pPr>
          </w:p>
        </w:tc>
        <w:tc>
          <w:tcPr>
            <w:tcW w:w="6600" w:type="dxa"/>
            <w:gridSpan w:val="6"/>
            <w:vAlign w:val="center"/>
          </w:tcPr>
          <w:p w14:paraId="47E7F71E">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□合格：综合得分65～79分</w:t>
            </w:r>
          </w:p>
        </w:tc>
        <w:tc>
          <w:tcPr>
            <w:tcW w:w="1560" w:type="dxa"/>
            <w:gridSpan w:val="2"/>
            <w:vMerge w:val="continue"/>
            <w:vAlign w:val="center"/>
          </w:tcPr>
          <w:p w14:paraId="2C5BD62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3774" w:type="dxa"/>
            <w:gridSpan w:val="4"/>
            <w:vAlign w:val="center"/>
          </w:tcPr>
          <w:p w14:paraId="011DBFCF">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□合格、不合格：设计质量保证金按综合得分与80分差值扣款，每低于1分</w:t>
            </w:r>
          </w:p>
        </w:tc>
      </w:tr>
      <w:tr w14:paraId="59EF5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0" w:hRule="atLeast"/>
          <w:jc w:val="center"/>
        </w:trPr>
        <w:tc>
          <w:tcPr>
            <w:tcW w:w="3454" w:type="dxa"/>
            <w:gridSpan w:val="2"/>
            <w:vMerge w:val="continue"/>
            <w:vAlign w:val="center"/>
          </w:tcPr>
          <w:p w14:paraId="7D4EA6D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4"/>
                <w:highlight w:val="none"/>
              </w:rPr>
            </w:pPr>
          </w:p>
        </w:tc>
        <w:tc>
          <w:tcPr>
            <w:tcW w:w="6600" w:type="dxa"/>
            <w:gridSpan w:val="6"/>
            <w:vAlign w:val="center"/>
          </w:tcPr>
          <w:p w14:paraId="34D57961">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□不合格：综合得分在64分以下</w:t>
            </w:r>
          </w:p>
        </w:tc>
        <w:tc>
          <w:tcPr>
            <w:tcW w:w="1560" w:type="dxa"/>
            <w:gridSpan w:val="2"/>
            <w:vMerge w:val="continue"/>
            <w:vAlign w:val="center"/>
          </w:tcPr>
          <w:p w14:paraId="05ACA53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3774" w:type="dxa"/>
            <w:gridSpan w:val="4"/>
            <w:vAlign w:val="center"/>
          </w:tcPr>
          <w:p w14:paraId="3F7F4CA1">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扣取设计质量保证金总额5％</w:t>
            </w:r>
          </w:p>
        </w:tc>
      </w:tr>
    </w:tbl>
    <w:p w14:paraId="0E0A4CFD">
      <w:pPr>
        <w:adjustRightInd w:val="0"/>
        <w:snapToGrid w:val="0"/>
        <w:spacing w:line="360" w:lineRule="auto"/>
        <w:jc w:val="left"/>
        <w:outlineLvl w:val="9"/>
        <w:rPr>
          <w:rFonts w:asciiTheme="minorEastAsia" w:hAnsiTheme="minorEastAsia" w:eastAsiaTheme="minorEastAsia" w:cstheme="minorEastAsia"/>
          <w:color w:val="auto"/>
          <w:sz w:val="24"/>
          <w:highlight w:val="none"/>
        </w:rPr>
      </w:pPr>
    </w:p>
    <w:p w14:paraId="6C004FC9">
      <w:pPr>
        <w:autoSpaceDE w:val="0"/>
        <w:autoSpaceDN w:val="0"/>
        <w:adjustRightInd w:val="0"/>
        <w:spacing w:line="360" w:lineRule="auto"/>
        <w:ind w:right="23"/>
        <w:jc w:val="left"/>
        <w:outlineLvl w:val="9"/>
        <w:rPr>
          <w:rFonts w:cs="黑体" w:asciiTheme="minorEastAsia" w:hAnsiTheme="minorEastAsia" w:eastAsiaTheme="minorEastAsia"/>
          <w:bCs/>
          <w:color w:val="auto"/>
          <w:kern w:val="0"/>
          <w:sz w:val="24"/>
          <w:highlight w:val="none"/>
          <w:lang w:val="zh-CN"/>
        </w:rPr>
      </w:pPr>
    </w:p>
    <w:p w14:paraId="13AAF6A5">
      <w:pPr>
        <w:adjustRightInd w:val="0"/>
        <w:snapToGrid w:val="0"/>
        <w:spacing w:line="360" w:lineRule="auto"/>
        <w:jc w:val="center"/>
        <w:outlineLvl w:val="9"/>
        <w:rPr>
          <w:rFonts w:hint="eastAsia" w:cs="宋体" w:asciiTheme="minorEastAsia" w:hAnsiTheme="minorEastAsia" w:eastAsiaTheme="minorEastAsia"/>
          <w:color w:val="auto"/>
          <w:kern w:val="0"/>
          <w:sz w:val="24"/>
          <w:highlight w:val="none"/>
        </w:rPr>
        <w:sectPr>
          <w:pgSz w:w="16838" w:h="11906" w:orient="landscape"/>
          <w:pgMar w:top="567" w:right="567" w:bottom="567" w:left="567" w:header="851" w:footer="567" w:gutter="0"/>
          <w:pgBorders>
            <w:top w:val="none" w:sz="0" w:space="0"/>
            <w:left w:val="none" w:sz="0" w:space="0"/>
            <w:bottom w:val="none" w:sz="0" w:space="0"/>
            <w:right w:val="none" w:sz="0" w:space="0"/>
          </w:pgBorders>
          <w:cols w:space="720" w:num="1"/>
          <w:docGrid w:linePitch="318" w:charSpace="0"/>
        </w:sectPr>
      </w:pPr>
    </w:p>
    <w:p w14:paraId="52ADDE7F">
      <w:pPr>
        <w:adjustRightInd w:val="0"/>
        <w:snapToGrid w:val="0"/>
        <w:spacing w:line="360" w:lineRule="auto"/>
        <w:jc w:val="center"/>
        <w:outlineLvl w:val="9"/>
        <w:rPr>
          <w:rFonts w:cs="黑体" w:asciiTheme="minorEastAsia" w:hAnsiTheme="minorEastAsia" w:eastAsiaTheme="minorEastAsia"/>
          <w:bCs/>
          <w:color w:val="auto"/>
          <w:kern w:val="0"/>
          <w:sz w:val="24"/>
          <w:highlight w:val="none"/>
          <w:lang w:val="zh-CN"/>
        </w:rPr>
      </w:pPr>
      <w:r>
        <w:rPr>
          <w:rFonts w:hint="eastAsia" w:cs="宋体" w:asciiTheme="minorEastAsia" w:hAnsiTheme="minorEastAsia" w:eastAsiaTheme="minorEastAsia"/>
          <w:color w:val="auto"/>
          <w:kern w:val="0"/>
          <w:sz w:val="24"/>
          <w:highlight w:val="none"/>
        </w:rPr>
        <w:t>室外总体</w:t>
      </w:r>
      <w:r>
        <w:rPr>
          <w:rFonts w:hint="eastAsia" w:cs="黑体" w:asciiTheme="minorEastAsia" w:hAnsiTheme="minorEastAsia" w:eastAsiaTheme="minorEastAsia"/>
          <w:bCs/>
          <w:color w:val="auto"/>
          <w:kern w:val="0"/>
          <w:sz w:val="24"/>
          <w:highlight w:val="none"/>
          <w:lang w:val="zh-CN"/>
        </w:rPr>
        <w:t>设计质量评分表</w:t>
      </w:r>
    </w:p>
    <w:tbl>
      <w:tblPr>
        <w:tblStyle w:val="56"/>
        <w:tblW w:w="15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660"/>
        <w:gridCol w:w="4532"/>
        <w:gridCol w:w="3282"/>
        <w:gridCol w:w="712"/>
        <w:gridCol w:w="413"/>
        <w:gridCol w:w="525"/>
        <w:gridCol w:w="468"/>
        <w:gridCol w:w="563"/>
        <w:gridCol w:w="525"/>
        <w:gridCol w:w="525"/>
        <w:gridCol w:w="474"/>
        <w:gridCol w:w="2643"/>
      </w:tblGrid>
      <w:tr w14:paraId="44F46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15322" w:type="dxa"/>
            <w:gridSpan w:val="12"/>
            <w:vAlign w:val="center"/>
          </w:tcPr>
          <w:p w14:paraId="20BD4442">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kern w:val="0"/>
                <w:sz w:val="20"/>
                <w:szCs w:val="20"/>
                <w:highlight w:val="none"/>
              </w:rPr>
            </w:pPr>
            <w:r>
              <w:rPr>
                <w:rFonts w:hint="eastAsia" w:cs="宋体" w:asciiTheme="minorEastAsia" w:hAnsiTheme="minorEastAsia" w:eastAsiaTheme="minorEastAsia"/>
                <w:b/>
                <w:color w:val="auto"/>
                <w:kern w:val="0"/>
                <w:sz w:val="20"/>
                <w:szCs w:val="20"/>
                <w:highlight w:val="none"/>
              </w:rPr>
              <w:t>室外总体及绿化设计质量评分表</w:t>
            </w:r>
          </w:p>
        </w:tc>
      </w:tr>
      <w:tr w14:paraId="74AE6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95" w:hRule="atLeast"/>
          <w:jc w:val="center"/>
        </w:trPr>
        <w:tc>
          <w:tcPr>
            <w:tcW w:w="660" w:type="dxa"/>
            <w:vMerge w:val="restart"/>
            <w:vAlign w:val="center"/>
          </w:tcPr>
          <w:p w14:paraId="7F6ABB82">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类别</w:t>
            </w:r>
          </w:p>
        </w:tc>
        <w:tc>
          <w:tcPr>
            <w:tcW w:w="4532" w:type="dxa"/>
            <w:vMerge w:val="restart"/>
            <w:vAlign w:val="center"/>
          </w:tcPr>
          <w:p w14:paraId="53939347">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错误类型判定</w:t>
            </w:r>
          </w:p>
        </w:tc>
        <w:tc>
          <w:tcPr>
            <w:tcW w:w="3282" w:type="dxa"/>
            <w:vAlign w:val="center"/>
          </w:tcPr>
          <w:p w14:paraId="340269D4">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评分标准</w:t>
            </w:r>
          </w:p>
        </w:tc>
        <w:tc>
          <w:tcPr>
            <w:tcW w:w="1125" w:type="dxa"/>
            <w:gridSpan w:val="2"/>
            <w:vAlign w:val="center"/>
          </w:tcPr>
          <w:p w14:paraId="7E8982A6">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景观绿化专业评分</w:t>
            </w:r>
          </w:p>
        </w:tc>
        <w:tc>
          <w:tcPr>
            <w:tcW w:w="993" w:type="dxa"/>
            <w:gridSpan w:val="2"/>
            <w:vAlign w:val="center"/>
          </w:tcPr>
          <w:p w14:paraId="3DC01B3E">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结构专业评分</w:t>
            </w:r>
          </w:p>
        </w:tc>
        <w:tc>
          <w:tcPr>
            <w:tcW w:w="1088" w:type="dxa"/>
            <w:gridSpan w:val="2"/>
            <w:vAlign w:val="center"/>
          </w:tcPr>
          <w:p w14:paraId="64934863">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电气专业评分</w:t>
            </w:r>
          </w:p>
        </w:tc>
        <w:tc>
          <w:tcPr>
            <w:tcW w:w="999" w:type="dxa"/>
            <w:gridSpan w:val="2"/>
            <w:vAlign w:val="center"/>
          </w:tcPr>
          <w:p w14:paraId="38CE13EB">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给排水专业评分</w:t>
            </w:r>
          </w:p>
        </w:tc>
        <w:tc>
          <w:tcPr>
            <w:tcW w:w="2643" w:type="dxa"/>
            <w:vAlign w:val="center"/>
          </w:tcPr>
          <w:p w14:paraId="29B06EEF">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综合得分 Z（满分100）</w:t>
            </w:r>
          </w:p>
        </w:tc>
      </w:tr>
      <w:tr w14:paraId="71ED0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0" w:hRule="atLeast"/>
          <w:jc w:val="center"/>
        </w:trPr>
        <w:tc>
          <w:tcPr>
            <w:tcW w:w="660" w:type="dxa"/>
            <w:vMerge w:val="continue"/>
            <w:vAlign w:val="center"/>
          </w:tcPr>
          <w:p w14:paraId="6276E7B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532" w:type="dxa"/>
            <w:vMerge w:val="continue"/>
            <w:vAlign w:val="center"/>
          </w:tcPr>
          <w:p w14:paraId="3B07653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b/>
                <w:color w:val="auto"/>
                <w:sz w:val="20"/>
                <w:szCs w:val="20"/>
                <w:highlight w:val="none"/>
              </w:rPr>
            </w:pPr>
          </w:p>
        </w:tc>
        <w:tc>
          <w:tcPr>
            <w:tcW w:w="3282" w:type="dxa"/>
            <w:vAlign w:val="center"/>
          </w:tcPr>
          <w:p w14:paraId="5BC810EC">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（满分100）</w:t>
            </w:r>
          </w:p>
        </w:tc>
        <w:tc>
          <w:tcPr>
            <w:tcW w:w="712" w:type="dxa"/>
            <w:vAlign w:val="center"/>
          </w:tcPr>
          <w:p w14:paraId="189F5D73">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出错数量</w:t>
            </w:r>
          </w:p>
        </w:tc>
        <w:tc>
          <w:tcPr>
            <w:tcW w:w="413" w:type="dxa"/>
            <w:vAlign w:val="center"/>
          </w:tcPr>
          <w:p w14:paraId="3F1E3406">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得分A</w:t>
            </w:r>
          </w:p>
        </w:tc>
        <w:tc>
          <w:tcPr>
            <w:tcW w:w="525" w:type="dxa"/>
            <w:vAlign w:val="center"/>
          </w:tcPr>
          <w:p w14:paraId="4699BA1F">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出错数量</w:t>
            </w:r>
          </w:p>
        </w:tc>
        <w:tc>
          <w:tcPr>
            <w:tcW w:w="468" w:type="dxa"/>
            <w:vAlign w:val="center"/>
          </w:tcPr>
          <w:p w14:paraId="103EDAF5">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得分B</w:t>
            </w:r>
          </w:p>
        </w:tc>
        <w:tc>
          <w:tcPr>
            <w:tcW w:w="563" w:type="dxa"/>
            <w:vAlign w:val="center"/>
          </w:tcPr>
          <w:p w14:paraId="4A5FBDE9">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出错数量</w:t>
            </w:r>
          </w:p>
        </w:tc>
        <w:tc>
          <w:tcPr>
            <w:tcW w:w="525" w:type="dxa"/>
            <w:vAlign w:val="center"/>
          </w:tcPr>
          <w:p w14:paraId="6BCD77EE">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得分C</w:t>
            </w:r>
          </w:p>
        </w:tc>
        <w:tc>
          <w:tcPr>
            <w:tcW w:w="525" w:type="dxa"/>
            <w:vAlign w:val="center"/>
          </w:tcPr>
          <w:p w14:paraId="500A2154">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出错数量</w:t>
            </w:r>
          </w:p>
        </w:tc>
        <w:tc>
          <w:tcPr>
            <w:tcW w:w="474" w:type="dxa"/>
            <w:vAlign w:val="center"/>
          </w:tcPr>
          <w:p w14:paraId="7790845B">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得分D</w:t>
            </w:r>
          </w:p>
        </w:tc>
        <w:tc>
          <w:tcPr>
            <w:tcW w:w="2643" w:type="dxa"/>
            <w:vAlign w:val="center"/>
          </w:tcPr>
          <w:p w14:paraId="278E7C87">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Z = A*50% +B*10% +C*20%+D*20%</w:t>
            </w:r>
          </w:p>
        </w:tc>
      </w:tr>
      <w:tr w14:paraId="33802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jc w:val="center"/>
        </w:trPr>
        <w:tc>
          <w:tcPr>
            <w:tcW w:w="660" w:type="dxa"/>
            <w:vMerge w:val="restart"/>
            <w:vAlign w:val="center"/>
          </w:tcPr>
          <w:p w14:paraId="2F5D661D">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I类</w:t>
            </w:r>
          </w:p>
        </w:tc>
        <w:tc>
          <w:tcPr>
            <w:tcW w:w="4532" w:type="dxa"/>
            <w:vAlign w:val="center"/>
          </w:tcPr>
          <w:p w14:paraId="64A4AAB9">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（扣分范围 0～40）</w:t>
            </w:r>
          </w:p>
        </w:tc>
        <w:tc>
          <w:tcPr>
            <w:tcW w:w="3282" w:type="dxa"/>
            <w:vAlign w:val="center"/>
          </w:tcPr>
          <w:p w14:paraId="5917065C">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712" w:type="dxa"/>
            <w:vMerge w:val="restart"/>
            <w:vAlign w:val="center"/>
          </w:tcPr>
          <w:p w14:paraId="5A9DF09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13" w:type="dxa"/>
            <w:vMerge w:val="restart"/>
            <w:vAlign w:val="center"/>
          </w:tcPr>
          <w:p w14:paraId="0DF5BDF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vMerge w:val="restart"/>
            <w:vAlign w:val="center"/>
          </w:tcPr>
          <w:p w14:paraId="627AEBB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68" w:type="dxa"/>
            <w:vMerge w:val="restart"/>
            <w:vAlign w:val="center"/>
          </w:tcPr>
          <w:p w14:paraId="79A5D4D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63" w:type="dxa"/>
            <w:vMerge w:val="restart"/>
            <w:vAlign w:val="center"/>
          </w:tcPr>
          <w:p w14:paraId="096AD82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vMerge w:val="restart"/>
            <w:vAlign w:val="center"/>
          </w:tcPr>
          <w:p w14:paraId="50868D1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vMerge w:val="restart"/>
            <w:vAlign w:val="center"/>
          </w:tcPr>
          <w:p w14:paraId="2FD6A17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74" w:type="dxa"/>
            <w:vMerge w:val="restart"/>
            <w:vAlign w:val="center"/>
          </w:tcPr>
          <w:p w14:paraId="0C16B09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2643" w:type="dxa"/>
            <w:vMerge w:val="restart"/>
            <w:vAlign w:val="center"/>
          </w:tcPr>
          <w:p w14:paraId="2950A35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r>
      <w:tr w14:paraId="7A5D2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546" w:hRule="atLeast"/>
          <w:jc w:val="center"/>
        </w:trPr>
        <w:tc>
          <w:tcPr>
            <w:tcW w:w="660" w:type="dxa"/>
            <w:vMerge w:val="continue"/>
            <w:vAlign w:val="center"/>
          </w:tcPr>
          <w:p w14:paraId="35D6BC8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532" w:type="dxa"/>
            <w:vAlign w:val="center"/>
          </w:tcPr>
          <w:p w14:paraId="51F0BBD6">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 xml:space="preserve">1、严重违反规范强制性条文、标准、规定。               </w:t>
            </w:r>
          </w:p>
          <w:p w14:paraId="1463DFB7">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2、存在严重设计缺项、缺陷，有可能造成严重影响安全和使用的错误。</w:t>
            </w:r>
          </w:p>
          <w:p w14:paraId="159B3C8E">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3、严重偏离设计合同约定重要经济指标及《景观设计任务书》要求。</w:t>
            </w:r>
          </w:p>
        </w:tc>
        <w:tc>
          <w:tcPr>
            <w:tcW w:w="3282" w:type="dxa"/>
            <w:vAlign w:val="center"/>
          </w:tcPr>
          <w:p w14:paraId="37D796AD">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1、无此类问题，得满分40。</w:t>
            </w:r>
          </w:p>
          <w:p w14:paraId="4DD4F705">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2、存在此类问题，但及时配合修改，对工程未造成影响时，专业图纸每出现一处扣10分。</w:t>
            </w:r>
          </w:p>
          <w:p w14:paraId="4EE2F35E">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3、存在此类问题，需对图纸做较大返工修改并因此造成工程损失或工期延误，专业图纸每出现一处扣20分。</w:t>
            </w:r>
          </w:p>
        </w:tc>
        <w:tc>
          <w:tcPr>
            <w:tcW w:w="712" w:type="dxa"/>
            <w:vMerge w:val="continue"/>
            <w:vAlign w:val="center"/>
          </w:tcPr>
          <w:p w14:paraId="073C8E0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13" w:type="dxa"/>
            <w:vMerge w:val="continue"/>
            <w:vAlign w:val="center"/>
          </w:tcPr>
          <w:p w14:paraId="303EADC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vMerge w:val="continue"/>
            <w:vAlign w:val="center"/>
          </w:tcPr>
          <w:p w14:paraId="6958E42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68" w:type="dxa"/>
            <w:vMerge w:val="continue"/>
            <w:vAlign w:val="center"/>
          </w:tcPr>
          <w:p w14:paraId="286AAB1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63" w:type="dxa"/>
            <w:vMerge w:val="continue"/>
            <w:vAlign w:val="center"/>
          </w:tcPr>
          <w:p w14:paraId="50D5AD0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vMerge w:val="continue"/>
            <w:vAlign w:val="center"/>
          </w:tcPr>
          <w:p w14:paraId="3DF91DFC">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vMerge w:val="continue"/>
            <w:vAlign w:val="center"/>
          </w:tcPr>
          <w:p w14:paraId="075247E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74" w:type="dxa"/>
            <w:vMerge w:val="continue"/>
            <w:vAlign w:val="center"/>
          </w:tcPr>
          <w:p w14:paraId="3B158BC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2643" w:type="dxa"/>
            <w:vMerge w:val="continue"/>
            <w:vAlign w:val="center"/>
          </w:tcPr>
          <w:p w14:paraId="462AE3F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r>
      <w:tr w14:paraId="6D6A5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jc w:val="center"/>
        </w:trPr>
        <w:tc>
          <w:tcPr>
            <w:tcW w:w="660" w:type="dxa"/>
            <w:vMerge w:val="restart"/>
            <w:vAlign w:val="center"/>
          </w:tcPr>
          <w:p w14:paraId="78A719E2">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II类</w:t>
            </w:r>
          </w:p>
        </w:tc>
        <w:tc>
          <w:tcPr>
            <w:tcW w:w="4532" w:type="dxa"/>
            <w:vAlign w:val="center"/>
          </w:tcPr>
          <w:p w14:paraId="3B836947">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（扣分范围 0～30）</w:t>
            </w:r>
          </w:p>
        </w:tc>
        <w:tc>
          <w:tcPr>
            <w:tcW w:w="3282" w:type="dxa"/>
            <w:vAlign w:val="center"/>
          </w:tcPr>
          <w:p w14:paraId="2F9DC3CB">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c>
          <w:tcPr>
            <w:tcW w:w="712" w:type="dxa"/>
            <w:vMerge w:val="restart"/>
            <w:vAlign w:val="center"/>
          </w:tcPr>
          <w:p w14:paraId="0A55261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13" w:type="dxa"/>
            <w:vMerge w:val="restart"/>
            <w:vAlign w:val="center"/>
          </w:tcPr>
          <w:p w14:paraId="0C4C823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vMerge w:val="restart"/>
            <w:vAlign w:val="center"/>
          </w:tcPr>
          <w:p w14:paraId="7C7F431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68" w:type="dxa"/>
            <w:vMerge w:val="restart"/>
            <w:vAlign w:val="center"/>
          </w:tcPr>
          <w:p w14:paraId="36D321D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63" w:type="dxa"/>
            <w:vMerge w:val="restart"/>
            <w:vAlign w:val="center"/>
          </w:tcPr>
          <w:p w14:paraId="60050F87">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vMerge w:val="restart"/>
            <w:vAlign w:val="center"/>
          </w:tcPr>
          <w:p w14:paraId="0181C56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vMerge w:val="restart"/>
            <w:vAlign w:val="center"/>
          </w:tcPr>
          <w:p w14:paraId="7E3314DD">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74" w:type="dxa"/>
            <w:vMerge w:val="restart"/>
            <w:vAlign w:val="center"/>
          </w:tcPr>
          <w:p w14:paraId="5A5C2C7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2643" w:type="dxa"/>
            <w:vMerge w:val="restart"/>
            <w:vAlign w:val="center"/>
          </w:tcPr>
          <w:p w14:paraId="2D514F33">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r>
      <w:tr w14:paraId="07642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593" w:hRule="atLeast"/>
          <w:jc w:val="center"/>
        </w:trPr>
        <w:tc>
          <w:tcPr>
            <w:tcW w:w="660" w:type="dxa"/>
            <w:vMerge w:val="continue"/>
            <w:vAlign w:val="center"/>
          </w:tcPr>
          <w:p w14:paraId="6338B59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532" w:type="dxa"/>
            <w:vAlign w:val="center"/>
          </w:tcPr>
          <w:p w14:paraId="03CABCE3">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1、局部违反规范一般性条文、标准、规定，易修正、且返工量不大。</w:t>
            </w:r>
          </w:p>
          <w:p w14:paraId="44925B4B">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2、设计不周、重要子项内容遗漏、重要构造错误、大宗（型）设备材料选择不当、红线坐标套用偏差、或重要部位标高处理不合理或不合规、工程做法存在较大错误、大宗苗木设计出现非适生品种等，有可能造成返工、或局部无法使用、无法施工、或实施结果不合规范要求、或渗漏严重、或大面积严重积水、或成活率极低，或重要部位尺寸错误，或覆土严重不满足种植，或覆土超荷载严重，或因之有可能造成其他严重后果的。</w:t>
            </w:r>
          </w:p>
          <w:p w14:paraId="3553E5B1">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3、局部内容偏离《景观设计任务书》要求。</w:t>
            </w:r>
          </w:p>
        </w:tc>
        <w:tc>
          <w:tcPr>
            <w:tcW w:w="3282" w:type="dxa"/>
            <w:vAlign w:val="center"/>
          </w:tcPr>
          <w:p w14:paraId="3DF02D57">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1、无此类问题，得满分30。</w:t>
            </w:r>
          </w:p>
          <w:p w14:paraId="40706078">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2、存在此类问题，但及时配合修改，对工程及工期未造成影响时，专业图纸每出现一处扣5分。</w:t>
            </w:r>
          </w:p>
          <w:p w14:paraId="0FB4D377">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3、存在此类问题，需对图纸做较大局部图纸补充或返工修改并因此造成工程损失或工期延误，专业图纸每出现一处扣10分。</w:t>
            </w:r>
          </w:p>
        </w:tc>
        <w:tc>
          <w:tcPr>
            <w:tcW w:w="712" w:type="dxa"/>
            <w:vMerge w:val="continue"/>
            <w:vAlign w:val="center"/>
          </w:tcPr>
          <w:p w14:paraId="61CD452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13" w:type="dxa"/>
            <w:vMerge w:val="continue"/>
            <w:vAlign w:val="center"/>
          </w:tcPr>
          <w:p w14:paraId="551F757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vMerge w:val="continue"/>
            <w:vAlign w:val="center"/>
          </w:tcPr>
          <w:p w14:paraId="68D6613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68" w:type="dxa"/>
            <w:vMerge w:val="continue"/>
            <w:vAlign w:val="center"/>
          </w:tcPr>
          <w:p w14:paraId="7BB8DCD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63" w:type="dxa"/>
            <w:vMerge w:val="continue"/>
            <w:vAlign w:val="center"/>
          </w:tcPr>
          <w:p w14:paraId="02794C1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vMerge w:val="continue"/>
            <w:vAlign w:val="center"/>
          </w:tcPr>
          <w:p w14:paraId="14B61A3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vMerge w:val="continue"/>
            <w:vAlign w:val="center"/>
          </w:tcPr>
          <w:p w14:paraId="1685701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74" w:type="dxa"/>
            <w:vMerge w:val="continue"/>
            <w:vAlign w:val="center"/>
          </w:tcPr>
          <w:p w14:paraId="695D829B">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2643" w:type="dxa"/>
            <w:vMerge w:val="continue"/>
            <w:vAlign w:val="center"/>
          </w:tcPr>
          <w:p w14:paraId="23637E4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r>
      <w:tr w14:paraId="681F0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jc w:val="center"/>
        </w:trPr>
        <w:tc>
          <w:tcPr>
            <w:tcW w:w="660" w:type="dxa"/>
            <w:vMerge w:val="restart"/>
            <w:vAlign w:val="center"/>
          </w:tcPr>
          <w:p w14:paraId="613A6CAD">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III类</w:t>
            </w:r>
          </w:p>
        </w:tc>
        <w:tc>
          <w:tcPr>
            <w:tcW w:w="4532" w:type="dxa"/>
            <w:vAlign w:val="center"/>
          </w:tcPr>
          <w:p w14:paraId="4D70418D">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（扣分范围 0～30）</w:t>
            </w:r>
          </w:p>
        </w:tc>
        <w:tc>
          <w:tcPr>
            <w:tcW w:w="3282" w:type="dxa"/>
            <w:vAlign w:val="center"/>
          </w:tcPr>
          <w:p w14:paraId="26565BFF">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N:图纸张数  N1:III类错误总数</w:t>
            </w:r>
          </w:p>
        </w:tc>
        <w:tc>
          <w:tcPr>
            <w:tcW w:w="712" w:type="dxa"/>
          </w:tcPr>
          <w:p w14:paraId="0FA44DD4">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N=</w:t>
            </w:r>
          </w:p>
        </w:tc>
        <w:tc>
          <w:tcPr>
            <w:tcW w:w="413" w:type="dxa"/>
            <w:vMerge w:val="restart"/>
            <w:vAlign w:val="center"/>
          </w:tcPr>
          <w:p w14:paraId="35CE39A6">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tcPr>
          <w:p w14:paraId="5476C4D6">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N=</w:t>
            </w:r>
          </w:p>
        </w:tc>
        <w:tc>
          <w:tcPr>
            <w:tcW w:w="468" w:type="dxa"/>
            <w:vMerge w:val="restart"/>
            <w:vAlign w:val="center"/>
          </w:tcPr>
          <w:p w14:paraId="4B44C48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63" w:type="dxa"/>
          </w:tcPr>
          <w:p w14:paraId="06D33242">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N=</w:t>
            </w:r>
          </w:p>
        </w:tc>
        <w:tc>
          <w:tcPr>
            <w:tcW w:w="525" w:type="dxa"/>
            <w:vMerge w:val="restart"/>
            <w:vAlign w:val="center"/>
          </w:tcPr>
          <w:p w14:paraId="3302718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tcPr>
          <w:p w14:paraId="7E90475D">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N=</w:t>
            </w:r>
          </w:p>
        </w:tc>
        <w:tc>
          <w:tcPr>
            <w:tcW w:w="474" w:type="dxa"/>
            <w:vMerge w:val="restart"/>
            <w:vAlign w:val="center"/>
          </w:tcPr>
          <w:p w14:paraId="44A2D1A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2643" w:type="dxa"/>
            <w:vMerge w:val="restart"/>
            <w:vAlign w:val="center"/>
          </w:tcPr>
          <w:p w14:paraId="4A20ABC0">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r>
      <w:tr w14:paraId="0B97A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47" w:hRule="atLeast"/>
          <w:jc w:val="center"/>
        </w:trPr>
        <w:tc>
          <w:tcPr>
            <w:tcW w:w="660" w:type="dxa"/>
            <w:vMerge w:val="continue"/>
            <w:vAlign w:val="center"/>
          </w:tcPr>
          <w:p w14:paraId="061840E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4532" w:type="dxa"/>
            <w:vAlign w:val="center"/>
          </w:tcPr>
          <w:p w14:paraId="74A1F8BF">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1、疏忽性的局部细部标注、图纸名称等的遗漏、错误及前后图纸不一致。</w:t>
            </w:r>
          </w:p>
          <w:p w14:paraId="734AED64">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2、一般性的设备材料选择规格不全、错误或经济性差及局部平面布置不尽合理，经简单补充和调整不会造成严重后果。</w:t>
            </w:r>
          </w:p>
          <w:p w14:paraId="30CDEB27">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3、工种配合中的一般性错误，经简单补充和调整，不致造成影响使用效果或安全。</w:t>
            </w:r>
          </w:p>
        </w:tc>
        <w:tc>
          <w:tcPr>
            <w:tcW w:w="3282" w:type="dxa"/>
            <w:vAlign w:val="center"/>
          </w:tcPr>
          <w:p w14:paraId="3DDF13EB">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1、景观绿化、结构专业：</w:t>
            </w:r>
          </w:p>
          <w:p w14:paraId="3D6D66F5">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①N≤5，N1≤2N；N≥6，N1≤N。否则每多出1个，扣2分；</w:t>
            </w:r>
          </w:p>
          <w:p w14:paraId="1CF1969F">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②各单张图纸出错数量≤8个，否则按不满足要求的图纸张数扣分,扣3分/张；</w:t>
            </w:r>
          </w:p>
          <w:p w14:paraId="273B9B13">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2、电气、给排水专业：</w:t>
            </w:r>
          </w:p>
          <w:p w14:paraId="4D6667C8">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①N≤5，N1≤2N；N≥6，N1≤0.8N。否则每多出1个，扣2分；</w:t>
            </w:r>
          </w:p>
          <w:p w14:paraId="54A939BB">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②各单张图纸出错数量≤5个，否则按不满足要求图纸实际张数数扣分,扣3分/张；</w:t>
            </w:r>
          </w:p>
        </w:tc>
        <w:tc>
          <w:tcPr>
            <w:tcW w:w="712" w:type="dxa"/>
          </w:tcPr>
          <w:p w14:paraId="094699A2">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①总数</w:t>
            </w:r>
          </w:p>
          <w:p w14:paraId="0DE67286">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②张数</w:t>
            </w:r>
          </w:p>
        </w:tc>
        <w:tc>
          <w:tcPr>
            <w:tcW w:w="413" w:type="dxa"/>
            <w:vMerge w:val="continue"/>
            <w:vAlign w:val="center"/>
          </w:tcPr>
          <w:p w14:paraId="120A6854">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tcPr>
          <w:p w14:paraId="3D3FAE87">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①总数</w:t>
            </w:r>
          </w:p>
          <w:p w14:paraId="4F47F1AC">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②张数</w:t>
            </w:r>
          </w:p>
        </w:tc>
        <w:tc>
          <w:tcPr>
            <w:tcW w:w="468" w:type="dxa"/>
            <w:vMerge w:val="continue"/>
            <w:vAlign w:val="center"/>
          </w:tcPr>
          <w:p w14:paraId="77BD48E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63" w:type="dxa"/>
          </w:tcPr>
          <w:p w14:paraId="200C0FD4">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①总数</w:t>
            </w:r>
          </w:p>
          <w:p w14:paraId="1399389B">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②张数</w:t>
            </w:r>
          </w:p>
        </w:tc>
        <w:tc>
          <w:tcPr>
            <w:tcW w:w="525" w:type="dxa"/>
            <w:vMerge w:val="continue"/>
            <w:vAlign w:val="center"/>
          </w:tcPr>
          <w:p w14:paraId="3D36F33E">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525" w:type="dxa"/>
          </w:tcPr>
          <w:p w14:paraId="1DB39DEF">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kern w:val="0"/>
                <w:sz w:val="20"/>
                <w:szCs w:val="20"/>
                <w:highlight w:val="none"/>
              </w:rPr>
            </w:pPr>
            <w:r>
              <w:rPr>
                <w:rFonts w:hint="eastAsia" w:cs="宋体" w:asciiTheme="minorEastAsia" w:hAnsiTheme="minorEastAsia" w:eastAsiaTheme="minorEastAsia"/>
                <w:color w:val="auto"/>
                <w:kern w:val="0"/>
                <w:sz w:val="20"/>
                <w:szCs w:val="20"/>
                <w:highlight w:val="none"/>
              </w:rPr>
              <w:t>①总数</w:t>
            </w:r>
          </w:p>
          <w:p w14:paraId="1C435999">
            <w:pPr>
              <w:keepNext w:val="0"/>
              <w:keepLines w:val="0"/>
              <w:widowControl/>
              <w:suppressLineNumbers w:val="0"/>
              <w:spacing w:before="0" w:beforeAutospacing="0" w:after="0" w:afterAutospacing="0"/>
              <w:ind w:left="0" w:right="0"/>
              <w:jc w:val="left"/>
              <w:textAlignment w:val="top"/>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②张数</w:t>
            </w:r>
          </w:p>
        </w:tc>
        <w:tc>
          <w:tcPr>
            <w:tcW w:w="474" w:type="dxa"/>
            <w:vMerge w:val="continue"/>
            <w:vAlign w:val="center"/>
          </w:tcPr>
          <w:p w14:paraId="5E6C109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2643" w:type="dxa"/>
            <w:vMerge w:val="continue"/>
            <w:vAlign w:val="center"/>
          </w:tcPr>
          <w:p w14:paraId="3E53FBEA">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r>
      <w:tr w14:paraId="7E805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0" w:hRule="atLeast"/>
          <w:jc w:val="center"/>
        </w:trPr>
        <w:tc>
          <w:tcPr>
            <w:tcW w:w="5192" w:type="dxa"/>
            <w:gridSpan w:val="2"/>
            <w:vAlign w:val="center"/>
          </w:tcPr>
          <w:p w14:paraId="6AB54C57">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小计</w:t>
            </w:r>
          </w:p>
        </w:tc>
        <w:tc>
          <w:tcPr>
            <w:tcW w:w="3282" w:type="dxa"/>
            <w:vAlign w:val="center"/>
          </w:tcPr>
          <w:p w14:paraId="5AE51FBB">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专业图纸得分小计</w:t>
            </w:r>
          </w:p>
        </w:tc>
        <w:tc>
          <w:tcPr>
            <w:tcW w:w="1125" w:type="dxa"/>
            <w:gridSpan w:val="2"/>
            <w:vAlign w:val="center"/>
          </w:tcPr>
          <w:p w14:paraId="5726AE4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93" w:type="dxa"/>
            <w:gridSpan w:val="2"/>
            <w:vAlign w:val="center"/>
          </w:tcPr>
          <w:p w14:paraId="2C809782">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1088" w:type="dxa"/>
            <w:gridSpan w:val="2"/>
            <w:vAlign w:val="center"/>
          </w:tcPr>
          <w:p w14:paraId="2798B20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999" w:type="dxa"/>
            <w:gridSpan w:val="2"/>
            <w:vAlign w:val="center"/>
          </w:tcPr>
          <w:p w14:paraId="4B721121">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2643" w:type="dxa"/>
            <w:vAlign w:val="center"/>
          </w:tcPr>
          <w:p w14:paraId="5C51F7AF">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b/>
                <w:color w:val="auto"/>
                <w:sz w:val="20"/>
                <w:szCs w:val="20"/>
                <w:highlight w:val="none"/>
              </w:rPr>
            </w:pPr>
            <w:r>
              <w:rPr>
                <w:rFonts w:hint="eastAsia" w:cs="宋体" w:asciiTheme="minorEastAsia" w:hAnsiTheme="minorEastAsia" w:eastAsiaTheme="minorEastAsia"/>
                <w:b/>
                <w:color w:val="auto"/>
                <w:kern w:val="0"/>
                <w:sz w:val="20"/>
                <w:szCs w:val="20"/>
                <w:highlight w:val="none"/>
              </w:rPr>
              <w:t>综合分总计：</w:t>
            </w:r>
          </w:p>
        </w:tc>
      </w:tr>
      <w:tr w14:paraId="05EE6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1" w:hRule="atLeast"/>
          <w:jc w:val="center"/>
        </w:trPr>
        <w:tc>
          <w:tcPr>
            <w:tcW w:w="5192" w:type="dxa"/>
            <w:gridSpan w:val="2"/>
            <w:vMerge w:val="restart"/>
            <w:vAlign w:val="center"/>
          </w:tcPr>
          <w:p w14:paraId="387E0818">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kern w:val="0"/>
                <w:sz w:val="24"/>
                <w:highlight w:val="none"/>
              </w:rPr>
              <w:t>图纸质量评议结果</w:t>
            </w:r>
          </w:p>
        </w:tc>
        <w:tc>
          <w:tcPr>
            <w:tcW w:w="5963" w:type="dxa"/>
            <w:gridSpan w:val="6"/>
            <w:vAlign w:val="center"/>
          </w:tcPr>
          <w:p w14:paraId="65C0128C">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□优：不少于三个专业得分在90分以上，综合得分85分及以上</w:t>
            </w:r>
          </w:p>
        </w:tc>
        <w:tc>
          <w:tcPr>
            <w:tcW w:w="525" w:type="dxa"/>
            <w:vMerge w:val="restart"/>
            <w:vAlign w:val="center"/>
          </w:tcPr>
          <w:p w14:paraId="2AF380FB">
            <w:pPr>
              <w:keepNext w:val="0"/>
              <w:keepLines w:val="0"/>
              <w:widowControl/>
              <w:suppressLineNumbers w:val="0"/>
              <w:spacing w:before="0" w:beforeAutospacing="0" w:after="0" w:afterAutospacing="0"/>
              <w:ind w:left="0" w:right="0"/>
              <w:jc w:val="center"/>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质量奖惩措施</w:t>
            </w:r>
          </w:p>
        </w:tc>
        <w:tc>
          <w:tcPr>
            <w:tcW w:w="3642" w:type="dxa"/>
            <w:gridSpan w:val="3"/>
            <w:vAlign w:val="center"/>
          </w:tcPr>
          <w:p w14:paraId="514D35CA">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□优：设计质量保证金全额返还，推荐设计单位为优秀合作供方</w:t>
            </w:r>
          </w:p>
        </w:tc>
      </w:tr>
      <w:tr w14:paraId="1159D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1" w:hRule="atLeast"/>
          <w:jc w:val="center"/>
        </w:trPr>
        <w:tc>
          <w:tcPr>
            <w:tcW w:w="5192" w:type="dxa"/>
            <w:gridSpan w:val="2"/>
            <w:vMerge w:val="continue"/>
            <w:vAlign w:val="center"/>
          </w:tcPr>
          <w:p w14:paraId="1E5A56BC">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4"/>
                <w:highlight w:val="none"/>
              </w:rPr>
            </w:pPr>
          </w:p>
        </w:tc>
        <w:tc>
          <w:tcPr>
            <w:tcW w:w="5963" w:type="dxa"/>
            <w:gridSpan w:val="6"/>
            <w:vAlign w:val="center"/>
          </w:tcPr>
          <w:p w14:paraId="2AF8DAF0">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□良：不少于三个专业得分在85分以上，综合得分80～84分</w:t>
            </w:r>
          </w:p>
        </w:tc>
        <w:tc>
          <w:tcPr>
            <w:tcW w:w="525" w:type="dxa"/>
            <w:vMerge w:val="continue"/>
            <w:vAlign w:val="center"/>
          </w:tcPr>
          <w:p w14:paraId="57DD9BD9">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3642" w:type="dxa"/>
            <w:gridSpan w:val="3"/>
            <w:vAlign w:val="center"/>
          </w:tcPr>
          <w:p w14:paraId="11069F45">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□良：设计质量保证金全额返还</w:t>
            </w:r>
          </w:p>
        </w:tc>
      </w:tr>
      <w:tr w14:paraId="7A97A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1" w:hRule="atLeast"/>
          <w:jc w:val="center"/>
        </w:trPr>
        <w:tc>
          <w:tcPr>
            <w:tcW w:w="5192" w:type="dxa"/>
            <w:gridSpan w:val="2"/>
            <w:vMerge w:val="continue"/>
            <w:vAlign w:val="center"/>
          </w:tcPr>
          <w:p w14:paraId="49169B38">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4"/>
                <w:highlight w:val="none"/>
              </w:rPr>
            </w:pPr>
          </w:p>
        </w:tc>
        <w:tc>
          <w:tcPr>
            <w:tcW w:w="5963" w:type="dxa"/>
            <w:gridSpan w:val="6"/>
            <w:vAlign w:val="center"/>
          </w:tcPr>
          <w:p w14:paraId="68E137C8">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□合格：综合得分65～79分</w:t>
            </w:r>
          </w:p>
        </w:tc>
        <w:tc>
          <w:tcPr>
            <w:tcW w:w="525" w:type="dxa"/>
            <w:vMerge w:val="continue"/>
            <w:vAlign w:val="center"/>
          </w:tcPr>
          <w:p w14:paraId="69BC9185">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3642" w:type="dxa"/>
            <w:gridSpan w:val="3"/>
            <w:vMerge w:val="restart"/>
            <w:vAlign w:val="center"/>
          </w:tcPr>
          <w:p w14:paraId="3A4AEB0B">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□合格、不合格：设计质量保证金按综合得分与80分差值扣款，每低于1分扣取设计质量保证金总额5％</w:t>
            </w:r>
          </w:p>
        </w:tc>
      </w:tr>
      <w:tr w14:paraId="3F077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1" w:hRule="atLeast"/>
          <w:jc w:val="center"/>
        </w:trPr>
        <w:tc>
          <w:tcPr>
            <w:tcW w:w="5192" w:type="dxa"/>
            <w:gridSpan w:val="2"/>
            <w:vMerge w:val="continue"/>
            <w:vAlign w:val="center"/>
          </w:tcPr>
          <w:p w14:paraId="518394C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4"/>
                <w:highlight w:val="none"/>
              </w:rPr>
            </w:pPr>
          </w:p>
        </w:tc>
        <w:tc>
          <w:tcPr>
            <w:tcW w:w="5963" w:type="dxa"/>
            <w:gridSpan w:val="6"/>
            <w:vAlign w:val="center"/>
          </w:tcPr>
          <w:p w14:paraId="48AF21E9">
            <w:pPr>
              <w:keepNext w:val="0"/>
              <w:keepLines w:val="0"/>
              <w:widowControl/>
              <w:suppressLineNumbers w:val="0"/>
              <w:spacing w:before="0" w:beforeAutospacing="0" w:after="0" w:afterAutospacing="0"/>
              <w:ind w:left="0" w:right="0"/>
              <w:jc w:val="left"/>
              <w:textAlignment w:val="center"/>
              <w:outlineLvl w:val="9"/>
              <w:rPr>
                <w:rFonts w:cs="宋体" w:asciiTheme="minorEastAsia" w:hAnsiTheme="minorEastAsia" w:eastAsiaTheme="minorEastAsia"/>
                <w:color w:val="auto"/>
                <w:sz w:val="20"/>
                <w:szCs w:val="20"/>
                <w:highlight w:val="none"/>
              </w:rPr>
            </w:pPr>
            <w:r>
              <w:rPr>
                <w:rFonts w:hint="eastAsia" w:cs="宋体" w:asciiTheme="minorEastAsia" w:hAnsiTheme="minorEastAsia" w:eastAsiaTheme="minorEastAsia"/>
                <w:color w:val="auto"/>
                <w:kern w:val="0"/>
                <w:sz w:val="20"/>
                <w:szCs w:val="20"/>
                <w:highlight w:val="none"/>
              </w:rPr>
              <w:t>□不合格：综合得分在64分以下</w:t>
            </w:r>
          </w:p>
        </w:tc>
        <w:tc>
          <w:tcPr>
            <w:tcW w:w="525" w:type="dxa"/>
            <w:vMerge w:val="continue"/>
            <w:vAlign w:val="center"/>
          </w:tcPr>
          <w:p w14:paraId="2A7FE0BF">
            <w:pPr>
              <w:keepNext w:val="0"/>
              <w:keepLines w:val="0"/>
              <w:suppressLineNumbers w:val="0"/>
              <w:spacing w:before="0" w:beforeAutospacing="0" w:after="0" w:afterAutospacing="0"/>
              <w:ind w:left="0" w:right="0"/>
              <w:jc w:val="center"/>
              <w:outlineLvl w:val="9"/>
              <w:rPr>
                <w:rFonts w:cs="宋体" w:asciiTheme="minorEastAsia" w:hAnsiTheme="minorEastAsia" w:eastAsiaTheme="minorEastAsia"/>
                <w:color w:val="auto"/>
                <w:sz w:val="20"/>
                <w:szCs w:val="20"/>
                <w:highlight w:val="none"/>
              </w:rPr>
            </w:pPr>
          </w:p>
        </w:tc>
        <w:tc>
          <w:tcPr>
            <w:tcW w:w="3642" w:type="dxa"/>
            <w:gridSpan w:val="3"/>
            <w:vMerge w:val="continue"/>
            <w:vAlign w:val="center"/>
          </w:tcPr>
          <w:p w14:paraId="5BE17AC5">
            <w:pPr>
              <w:keepNext w:val="0"/>
              <w:keepLines w:val="0"/>
              <w:suppressLineNumbers w:val="0"/>
              <w:spacing w:before="0" w:beforeAutospacing="0" w:after="0" w:afterAutospacing="0"/>
              <w:ind w:left="0" w:right="0"/>
              <w:jc w:val="left"/>
              <w:outlineLvl w:val="9"/>
              <w:rPr>
                <w:rFonts w:cs="宋体" w:asciiTheme="minorEastAsia" w:hAnsiTheme="minorEastAsia" w:eastAsiaTheme="minorEastAsia"/>
                <w:color w:val="auto"/>
                <w:sz w:val="20"/>
                <w:szCs w:val="20"/>
                <w:highlight w:val="none"/>
              </w:rPr>
            </w:pPr>
          </w:p>
        </w:tc>
      </w:tr>
    </w:tbl>
    <w:p w14:paraId="18D1AC88">
      <w:pPr>
        <w:autoSpaceDE w:val="0"/>
        <w:autoSpaceDN w:val="0"/>
        <w:adjustRightInd w:val="0"/>
        <w:spacing w:line="360" w:lineRule="auto"/>
        <w:ind w:right="23"/>
        <w:jc w:val="left"/>
        <w:outlineLvl w:val="9"/>
        <w:rPr>
          <w:rFonts w:cs="黑体" w:asciiTheme="minorEastAsia" w:hAnsiTheme="minorEastAsia" w:eastAsiaTheme="minorEastAsia"/>
          <w:bCs/>
          <w:color w:val="auto"/>
          <w:kern w:val="0"/>
          <w:sz w:val="24"/>
          <w:highlight w:val="none"/>
          <w:lang w:val="zh-CN"/>
        </w:rPr>
      </w:pPr>
    </w:p>
    <w:p w14:paraId="059B5BB6">
      <w:pPr>
        <w:autoSpaceDE w:val="0"/>
        <w:autoSpaceDN w:val="0"/>
        <w:adjustRightInd w:val="0"/>
        <w:spacing w:line="360" w:lineRule="auto"/>
        <w:ind w:right="23"/>
        <w:jc w:val="left"/>
        <w:outlineLvl w:val="9"/>
        <w:rPr>
          <w:rFonts w:cs="黑体" w:asciiTheme="minorEastAsia" w:hAnsiTheme="minorEastAsia" w:eastAsiaTheme="minorEastAsia"/>
          <w:bCs/>
          <w:color w:val="auto"/>
          <w:kern w:val="0"/>
          <w:sz w:val="24"/>
          <w:highlight w:val="none"/>
          <w:lang w:val="zh-CN"/>
        </w:rPr>
        <w:sectPr>
          <w:pgSz w:w="16838" w:h="11906" w:orient="landscape"/>
          <w:pgMar w:top="567" w:right="567" w:bottom="567" w:left="567" w:header="851" w:footer="567" w:gutter="0"/>
          <w:pgBorders>
            <w:top w:val="none" w:sz="0" w:space="0"/>
            <w:left w:val="none" w:sz="0" w:space="0"/>
            <w:bottom w:val="none" w:sz="0" w:space="0"/>
            <w:right w:val="none" w:sz="0" w:space="0"/>
          </w:pgBorders>
          <w:cols w:space="720" w:num="1"/>
          <w:docGrid w:linePitch="318" w:charSpace="0"/>
        </w:sectPr>
      </w:pPr>
    </w:p>
    <w:p w14:paraId="6D76F6B7">
      <w:pPr>
        <w:pStyle w:val="22"/>
        <w:outlineLvl w:val="9"/>
        <w:rPr>
          <w:color w:val="auto"/>
          <w:highlight w:val="none"/>
          <w:lang w:val="zh-CN"/>
        </w:rPr>
      </w:pPr>
    </w:p>
    <w:p w14:paraId="4ED1B9F5">
      <w:pPr>
        <w:widowControl/>
        <w:jc w:val="left"/>
        <w:outlineLvl w:val="9"/>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附件</w:t>
      </w:r>
      <w:r>
        <w:rPr>
          <w:rFonts w:hint="eastAsia" w:asciiTheme="minorEastAsia" w:hAnsiTheme="minorEastAsia" w:eastAsiaTheme="minorEastAsia" w:cstheme="minorEastAsia"/>
          <w:color w:val="auto"/>
          <w:sz w:val="24"/>
          <w:highlight w:val="none"/>
          <w:lang w:val="en-US" w:eastAsia="zh-CN"/>
        </w:rPr>
        <w:t>二十九</w:t>
      </w:r>
      <w:r>
        <w:rPr>
          <w:rFonts w:hint="eastAsia" w:asciiTheme="minorEastAsia" w:hAnsiTheme="minorEastAsia" w:eastAsiaTheme="minorEastAsia" w:cstheme="minorEastAsia"/>
          <w:color w:val="auto"/>
          <w:sz w:val="24"/>
          <w:highlight w:val="none"/>
        </w:rPr>
        <w:t>：</w:t>
      </w:r>
    </w:p>
    <w:p w14:paraId="31A0C30F">
      <w:pPr>
        <w:adjustRightInd w:val="0"/>
        <w:snapToGrid w:val="0"/>
        <w:spacing w:line="360" w:lineRule="auto"/>
        <w:jc w:val="center"/>
        <w:outlineLvl w:val="9"/>
        <w:rPr>
          <w:rFonts w:asciiTheme="minorEastAsia" w:hAnsiTheme="minorEastAsia" w:eastAsiaTheme="minorEastAsia" w:cstheme="minorEastAsia"/>
          <w:b/>
          <w:color w:val="auto"/>
          <w:sz w:val="32"/>
          <w:szCs w:val="32"/>
          <w:highlight w:val="none"/>
        </w:rPr>
      </w:pPr>
      <w:r>
        <w:rPr>
          <w:rFonts w:hint="eastAsia" w:asciiTheme="minorEastAsia" w:hAnsiTheme="minorEastAsia" w:eastAsiaTheme="minorEastAsia" w:cstheme="minorEastAsia"/>
          <w:b/>
          <w:color w:val="auto"/>
          <w:sz w:val="32"/>
          <w:szCs w:val="32"/>
          <w:highlight w:val="none"/>
        </w:rPr>
        <w:t>工作联系单管理要求</w:t>
      </w:r>
    </w:p>
    <w:tbl>
      <w:tblPr>
        <w:tblStyle w:val="56"/>
        <w:tblW w:w="9923"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2268"/>
        <w:gridCol w:w="3260"/>
        <w:gridCol w:w="1701"/>
        <w:gridCol w:w="1984"/>
      </w:tblGrid>
      <w:tr w14:paraId="2B99C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7" w:hRule="atLeast"/>
        </w:trPr>
        <w:tc>
          <w:tcPr>
            <w:tcW w:w="710" w:type="dxa"/>
            <w:vAlign w:val="center"/>
          </w:tcPr>
          <w:p w14:paraId="28A95338">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序号</w:t>
            </w:r>
          </w:p>
        </w:tc>
        <w:tc>
          <w:tcPr>
            <w:tcW w:w="2268" w:type="dxa"/>
            <w:vAlign w:val="center"/>
          </w:tcPr>
          <w:p w14:paraId="38C96E22">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类型</w:t>
            </w:r>
          </w:p>
        </w:tc>
        <w:tc>
          <w:tcPr>
            <w:tcW w:w="3260" w:type="dxa"/>
            <w:vAlign w:val="center"/>
          </w:tcPr>
          <w:p w14:paraId="29B334A8">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项目部意见</w:t>
            </w:r>
          </w:p>
        </w:tc>
        <w:tc>
          <w:tcPr>
            <w:tcW w:w="1701" w:type="dxa"/>
            <w:vAlign w:val="center"/>
          </w:tcPr>
          <w:p w14:paraId="031477E4">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asciiTheme="minorEastAsia" w:hAnsiTheme="minorEastAsia" w:eastAsiaTheme="minorEastAsia"/>
                <w:color w:val="auto"/>
                <w:sz w:val="21"/>
                <w:szCs w:val="21"/>
                <w:highlight w:val="none"/>
              </w:rPr>
              <w:t>决策部门意见及方式</w:t>
            </w:r>
          </w:p>
        </w:tc>
        <w:tc>
          <w:tcPr>
            <w:tcW w:w="1984" w:type="dxa"/>
            <w:vAlign w:val="center"/>
          </w:tcPr>
          <w:p w14:paraId="17C44611">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备注</w:t>
            </w:r>
          </w:p>
        </w:tc>
      </w:tr>
      <w:tr w14:paraId="2B5EF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2" w:hRule="atLeast"/>
        </w:trPr>
        <w:tc>
          <w:tcPr>
            <w:tcW w:w="710" w:type="dxa"/>
            <w:vAlign w:val="center"/>
          </w:tcPr>
          <w:p w14:paraId="0D3AF863">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w:t>
            </w:r>
          </w:p>
        </w:tc>
        <w:tc>
          <w:tcPr>
            <w:tcW w:w="2268" w:type="dxa"/>
            <w:vAlign w:val="center"/>
          </w:tcPr>
          <w:p w14:paraId="23666A13">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项目部内部管理行为</w:t>
            </w:r>
          </w:p>
        </w:tc>
        <w:tc>
          <w:tcPr>
            <w:tcW w:w="3260" w:type="dxa"/>
            <w:vAlign w:val="center"/>
          </w:tcPr>
          <w:p w14:paraId="0B44BC21">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项目部确认</w:t>
            </w:r>
          </w:p>
        </w:tc>
        <w:tc>
          <w:tcPr>
            <w:tcW w:w="1701" w:type="dxa"/>
            <w:vAlign w:val="center"/>
          </w:tcPr>
          <w:p w14:paraId="1C7C57B8">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项目部确认</w:t>
            </w:r>
          </w:p>
        </w:tc>
        <w:tc>
          <w:tcPr>
            <w:tcW w:w="1984" w:type="dxa"/>
            <w:vAlign w:val="center"/>
          </w:tcPr>
          <w:p w14:paraId="0E04183A">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涉及费用时＜2万元，项目部确认，费用≥2万，主管领导确认，费用≥10万，工程管理委员会会议确认</w:t>
            </w:r>
          </w:p>
        </w:tc>
      </w:tr>
      <w:tr w14:paraId="00E9B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3" w:hRule="atLeast"/>
        </w:trPr>
        <w:tc>
          <w:tcPr>
            <w:tcW w:w="710" w:type="dxa"/>
            <w:vMerge w:val="restart"/>
            <w:vAlign w:val="center"/>
          </w:tcPr>
          <w:p w14:paraId="4949341B">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w:t>
            </w:r>
          </w:p>
        </w:tc>
        <w:tc>
          <w:tcPr>
            <w:tcW w:w="2268" w:type="dxa"/>
            <w:vMerge w:val="restart"/>
            <w:vAlign w:val="center"/>
          </w:tcPr>
          <w:p w14:paraId="72699302">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施工单位提出的合理化建议</w:t>
            </w:r>
          </w:p>
        </w:tc>
        <w:tc>
          <w:tcPr>
            <w:tcW w:w="3260" w:type="dxa"/>
            <w:vAlign w:val="center"/>
          </w:tcPr>
          <w:p w14:paraId="2A869236">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不涉及图纸设计做法调整、不涉及费用变化，项目部确认</w:t>
            </w:r>
          </w:p>
        </w:tc>
        <w:tc>
          <w:tcPr>
            <w:tcW w:w="1701" w:type="dxa"/>
            <w:vAlign w:val="center"/>
          </w:tcPr>
          <w:p w14:paraId="2AD1C766">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项目部确认</w:t>
            </w:r>
          </w:p>
        </w:tc>
        <w:tc>
          <w:tcPr>
            <w:tcW w:w="1984" w:type="dxa"/>
            <w:vMerge w:val="restart"/>
            <w:vAlign w:val="center"/>
          </w:tcPr>
          <w:p w14:paraId="4EFCE361">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p>
        </w:tc>
      </w:tr>
      <w:tr w14:paraId="780CA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2" w:hRule="atLeast"/>
        </w:trPr>
        <w:tc>
          <w:tcPr>
            <w:tcW w:w="710" w:type="dxa"/>
            <w:vMerge w:val="continue"/>
            <w:vAlign w:val="center"/>
          </w:tcPr>
          <w:p w14:paraId="0C1C550F">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p>
        </w:tc>
        <w:tc>
          <w:tcPr>
            <w:tcW w:w="2268" w:type="dxa"/>
            <w:vMerge w:val="continue"/>
            <w:vAlign w:val="center"/>
          </w:tcPr>
          <w:p w14:paraId="3DCBAE0C">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p>
        </w:tc>
        <w:tc>
          <w:tcPr>
            <w:tcW w:w="3260" w:type="dxa"/>
            <w:vAlign w:val="center"/>
          </w:tcPr>
          <w:p w14:paraId="45ED2F56">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涉及图纸设计变更、费用变化，项目部转换为公司内部工作联系单并签署初步意见</w:t>
            </w:r>
          </w:p>
        </w:tc>
        <w:tc>
          <w:tcPr>
            <w:tcW w:w="1701" w:type="dxa"/>
            <w:vAlign w:val="center"/>
          </w:tcPr>
          <w:p w14:paraId="481E2368">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总师办确认后出具变更</w:t>
            </w:r>
          </w:p>
        </w:tc>
        <w:tc>
          <w:tcPr>
            <w:tcW w:w="1984" w:type="dxa"/>
            <w:vMerge w:val="continue"/>
            <w:vAlign w:val="center"/>
          </w:tcPr>
          <w:p w14:paraId="428FA0A3">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p>
        </w:tc>
      </w:tr>
      <w:tr w14:paraId="26C36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7" w:hRule="atLeast"/>
        </w:trPr>
        <w:tc>
          <w:tcPr>
            <w:tcW w:w="710" w:type="dxa"/>
            <w:vAlign w:val="center"/>
          </w:tcPr>
          <w:p w14:paraId="72C2D167">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w:t>
            </w:r>
          </w:p>
        </w:tc>
        <w:tc>
          <w:tcPr>
            <w:tcW w:w="2268" w:type="dxa"/>
            <w:vAlign w:val="center"/>
          </w:tcPr>
          <w:p w14:paraId="5E3668BB">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图纸、清单、合同描述不一致或图纸详图与总图描述不一致或图纸不明确，现场无法施工</w:t>
            </w:r>
          </w:p>
        </w:tc>
        <w:tc>
          <w:tcPr>
            <w:tcW w:w="3260" w:type="dxa"/>
            <w:vAlign w:val="center"/>
          </w:tcPr>
          <w:p w14:paraId="7CE7C22E">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项目部转换为公司内部工作联系单并签署初步意见</w:t>
            </w:r>
          </w:p>
        </w:tc>
        <w:tc>
          <w:tcPr>
            <w:tcW w:w="1701" w:type="dxa"/>
            <w:vAlign w:val="center"/>
          </w:tcPr>
          <w:p w14:paraId="49BF9756">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总师办、成本确认后出具变更</w:t>
            </w:r>
          </w:p>
        </w:tc>
        <w:tc>
          <w:tcPr>
            <w:tcW w:w="1984" w:type="dxa"/>
            <w:vAlign w:val="center"/>
          </w:tcPr>
          <w:p w14:paraId="07706E2C">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p>
        </w:tc>
      </w:tr>
      <w:tr w14:paraId="22F5B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7" w:hRule="atLeast"/>
        </w:trPr>
        <w:tc>
          <w:tcPr>
            <w:tcW w:w="710" w:type="dxa"/>
            <w:vAlign w:val="center"/>
          </w:tcPr>
          <w:p w14:paraId="0B51927F">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4</w:t>
            </w:r>
          </w:p>
        </w:tc>
        <w:tc>
          <w:tcPr>
            <w:tcW w:w="2268" w:type="dxa"/>
            <w:vAlign w:val="center"/>
          </w:tcPr>
          <w:p w14:paraId="60B17455">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图纸错、漏、碰问题；现场管道、管线移位调整</w:t>
            </w:r>
          </w:p>
        </w:tc>
        <w:tc>
          <w:tcPr>
            <w:tcW w:w="3260" w:type="dxa"/>
            <w:vAlign w:val="center"/>
          </w:tcPr>
          <w:p w14:paraId="2C1AADCD">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项目部转换为公司内部工作联系单并签署初步意见</w:t>
            </w:r>
          </w:p>
        </w:tc>
        <w:tc>
          <w:tcPr>
            <w:tcW w:w="1701" w:type="dxa"/>
            <w:vAlign w:val="center"/>
          </w:tcPr>
          <w:p w14:paraId="03A81D90">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总师办确认后出具变更</w:t>
            </w:r>
          </w:p>
        </w:tc>
        <w:tc>
          <w:tcPr>
            <w:tcW w:w="1984" w:type="dxa"/>
            <w:vAlign w:val="center"/>
          </w:tcPr>
          <w:p w14:paraId="2AF24D5F">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p>
        </w:tc>
      </w:tr>
      <w:tr w14:paraId="39739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9" w:hRule="atLeast"/>
        </w:trPr>
        <w:tc>
          <w:tcPr>
            <w:tcW w:w="710" w:type="dxa"/>
            <w:vAlign w:val="center"/>
          </w:tcPr>
          <w:p w14:paraId="18AB3D8E">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5</w:t>
            </w:r>
          </w:p>
        </w:tc>
        <w:tc>
          <w:tcPr>
            <w:tcW w:w="2268" w:type="dxa"/>
            <w:vAlign w:val="center"/>
          </w:tcPr>
          <w:p w14:paraId="5767D826">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材料、设备等已进场但与设计图纸不一致</w:t>
            </w:r>
          </w:p>
        </w:tc>
        <w:tc>
          <w:tcPr>
            <w:tcW w:w="3260" w:type="dxa"/>
          </w:tcPr>
          <w:p w14:paraId="36A18F23">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项目部转换为公司内部工作联系单并签署初步意见，招标采供部签署初步意见</w:t>
            </w:r>
          </w:p>
        </w:tc>
        <w:tc>
          <w:tcPr>
            <w:tcW w:w="1701" w:type="dxa"/>
            <w:vAlign w:val="center"/>
          </w:tcPr>
          <w:p w14:paraId="31CA1E89">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总师办确认后出具变更</w:t>
            </w:r>
          </w:p>
        </w:tc>
        <w:tc>
          <w:tcPr>
            <w:tcW w:w="1984" w:type="dxa"/>
            <w:vAlign w:val="center"/>
          </w:tcPr>
          <w:p w14:paraId="6DBD2D40">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p>
        </w:tc>
      </w:tr>
      <w:tr w14:paraId="51065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9" w:hRule="atLeast"/>
        </w:trPr>
        <w:tc>
          <w:tcPr>
            <w:tcW w:w="710" w:type="dxa"/>
            <w:vAlign w:val="center"/>
          </w:tcPr>
          <w:p w14:paraId="779B40F6">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6</w:t>
            </w:r>
          </w:p>
        </w:tc>
        <w:tc>
          <w:tcPr>
            <w:tcW w:w="2268" w:type="dxa"/>
            <w:vAlign w:val="center"/>
          </w:tcPr>
          <w:p w14:paraId="7B952CAD">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施工范围调整</w:t>
            </w:r>
          </w:p>
        </w:tc>
        <w:tc>
          <w:tcPr>
            <w:tcW w:w="3260" w:type="dxa"/>
            <w:vAlign w:val="center"/>
          </w:tcPr>
          <w:p w14:paraId="4472BAC8">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项目部转换为公司内部工作联系单并签署初步意见</w:t>
            </w:r>
          </w:p>
        </w:tc>
        <w:tc>
          <w:tcPr>
            <w:tcW w:w="1701" w:type="dxa"/>
            <w:vAlign w:val="center"/>
          </w:tcPr>
          <w:p w14:paraId="4629D3AE">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招标采供部签补充协议</w:t>
            </w:r>
          </w:p>
        </w:tc>
        <w:tc>
          <w:tcPr>
            <w:tcW w:w="1984" w:type="dxa"/>
            <w:vAlign w:val="center"/>
          </w:tcPr>
          <w:p w14:paraId="2609C71B">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工程管理委员会会议确认</w:t>
            </w:r>
          </w:p>
        </w:tc>
      </w:tr>
      <w:tr w14:paraId="3BCA7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9" w:hRule="atLeast"/>
        </w:trPr>
        <w:tc>
          <w:tcPr>
            <w:tcW w:w="710" w:type="dxa"/>
            <w:vAlign w:val="center"/>
          </w:tcPr>
          <w:p w14:paraId="2E7FFF70">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7</w:t>
            </w:r>
          </w:p>
        </w:tc>
        <w:tc>
          <w:tcPr>
            <w:tcW w:w="2268" w:type="dxa"/>
            <w:vAlign w:val="center"/>
          </w:tcPr>
          <w:p w14:paraId="7A6977D5">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不可抗力影响，施工单位索取费用或工期的</w:t>
            </w:r>
          </w:p>
        </w:tc>
        <w:tc>
          <w:tcPr>
            <w:tcW w:w="3260" w:type="dxa"/>
            <w:vAlign w:val="center"/>
          </w:tcPr>
          <w:p w14:paraId="3EEA7C3A">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项目部转换为公司内部工作联系单并签署初步意见</w:t>
            </w:r>
          </w:p>
        </w:tc>
        <w:tc>
          <w:tcPr>
            <w:tcW w:w="1701" w:type="dxa"/>
            <w:vAlign w:val="center"/>
          </w:tcPr>
          <w:p w14:paraId="13A01453">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招标采供部确认</w:t>
            </w:r>
          </w:p>
        </w:tc>
        <w:tc>
          <w:tcPr>
            <w:tcW w:w="1984" w:type="dxa"/>
            <w:vAlign w:val="center"/>
          </w:tcPr>
          <w:p w14:paraId="12B590B2">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延误工期影响公司一级节点或里程碑节点；延期连续时间大于3天的；索赔费用超过10万元的，工程管理委员会会议确认</w:t>
            </w:r>
          </w:p>
        </w:tc>
      </w:tr>
      <w:tr w14:paraId="243BC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9" w:hRule="atLeast"/>
        </w:trPr>
        <w:tc>
          <w:tcPr>
            <w:tcW w:w="710" w:type="dxa"/>
            <w:vAlign w:val="center"/>
          </w:tcPr>
          <w:p w14:paraId="1AB88698">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8</w:t>
            </w:r>
          </w:p>
        </w:tc>
        <w:tc>
          <w:tcPr>
            <w:tcW w:w="2268" w:type="dxa"/>
            <w:vAlign w:val="center"/>
          </w:tcPr>
          <w:p w14:paraId="70B45F6D">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取费政策调整、清单漏项</w:t>
            </w:r>
          </w:p>
        </w:tc>
        <w:tc>
          <w:tcPr>
            <w:tcW w:w="3260" w:type="dxa"/>
            <w:vAlign w:val="center"/>
          </w:tcPr>
          <w:p w14:paraId="44FF49CA">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项目部转换为公司内部工作联系单并签署初步意见</w:t>
            </w:r>
          </w:p>
        </w:tc>
        <w:tc>
          <w:tcPr>
            <w:tcW w:w="1701" w:type="dxa"/>
            <w:vAlign w:val="center"/>
          </w:tcPr>
          <w:p w14:paraId="4D810B9A">
            <w:pPr>
              <w:keepNext w:val="0"/>
              <w:keepLines w:val="0"/>
              <w:suppressLineNumbers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招标采供部、成本管理部确认</w:t>
            </w:r>
          </w:p>
        </w:tc>
        <w:tc>
          <w:tcPr>
            <w:tcW w:w="1984" w:type="dxa"/>
            <w:vAlign w:val="center"/>
          </w:tcPr>
          <w:p w14:paraId="7461B30D">
            <w:pPr>
              <w:keepNext w:val="0"/>
              <w:keepLines w:val="0"/>
              <w:suppressLineNumbers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p>
        </w:tc>
      </w:tr>
    </w:tbl>
    <w:p w14:paraId="494A8EE3">
      <w:pPr>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备注：</w:t>
      </w:r>
    </w:p>
    <w:p w14:paraId="7F305D70">
      <w:pPr>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1、施工单位报送的工作联系单、技术核定单、方案等如需公司其他部门确认时，由项目部负责将其转换为公司内部工作联系单形式。</w:t>
      </w:r>
    </w:p>
    <w:p w14:paraId="7EFFD027">
      <w:pPr>
        <w:spacing w:line="360" w:lineRule="auto"/>
        <w:outlineLvl w:val="9"/>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olor w:val="auto"/>
          <w:sz w:val="21"/>
          <w:szCs w:val="21"/>
          <w:highlight w:val="none"/>
        </w:rPr>
        <w:t>2、公司部门间工作联系单需经部门负责人确认并经主管领导签字后方可盖部门公章。</w:t>
      </w:r>
      <w:r>
        <w:rPr>
          <w:rFonts w:asciiTheme="minorEastAsia" w:hAnsiTheme="minorEastAsia" w:eastAsiaTheme="minorEastAsia" w:cstheme="minorEastAsia"/>
          <w:color w:val="auto"/>
          <w:sz w:val="21"/>
          <w:szCs w:val="21"/>
          <w:highlight w:val="none"/>
        </w:rPr>
        <w:br w:type="page"/>
      </w:r>
    </w:p>
    <w:p w14:paraId="67BD18E0">
      <w:pPr>
        <w:widowControl/>
        <w:adjustRightInd w:val="0"/>
        <w:snapToGrid w:val="0"/>
        <w:spacing w:line="360" w:lineRule="auto"/>
        <w:jc w:val="left"/>
        <w:outlineLvl w:val="9"/>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附件</w:t>
      </w:r>
      <w:r>
        <w:rPr>
          <w:rFonts w:hint="eastAsia" w:asciiTheme="minorEastAsia" w:hAnsiTheme="minorEastAsia" w:eastAsiaTheme="minorEastAsia" w:cstheme="minorEastAsia"/>
          <w:color w:val="auto"/>
          <w:sz w:val="21"/>
          <w:szCs w:val="21"/>
          <w:highlight w:val="none"/>
          <w:lang w:val="en-US" w:eastAsia="zh-CN"/>
        </w:rPr>
        <w:t>三十</w:t>
      </w:r>
      <w:r>
        <w:rPr>
          <w:rFonts w:hint="eastAsia" w:asciiTheme="minorEastAsia" w:hAnsiTheme="minorEastAsia" w:eastAsiaTheme="minorEastAsia" w:cstheme="minorEastAsia"/>
          <w:color w:val="auto"/>
          <w:sz w:val="21"/>
          <w:szCs w:val="21"/>
          <w:highlight w:val="none"/>
        </w:rPr>
        <w:t>：</w:t>
      </w:r>
    </w:p>
    <w:p w14:paraId="3BA2781A">
      <w:pPr>
        <w:widowControl/>
        <w:adjustRightInd w:val="0"/>
        <w:snapToGrid w:val="0"/>
        <w:spacing w:line="360" w:lineRule="auto"/>
        <w:jc w:val="center"/>
        <w:outlineLvl w:val="9"/>
        <w:rPr>
          <w:rFonts w:asciiTheme="minorEastAsia" w:hAnsiTheme="minorEastAsia" w:eastAsiaTheme="minorEastAsia" w:cstheme="minorEastAsia"/>
          <w:b/>
          <w:bCs/>
          <w:color w:val="auto"/>
          <w:sz w:val="32"/>
          <w:szCs w:val="32"/>
          <w:highlight w:val="none"/>
        </w:rPr>
      </w:pPr>
      <w:r>
        <w:rPr>
          <w:rFonts w:hint="eastAsia" w:asciiTheme="minorEastAsia" w:hAnsiTheme="minorEastAsia" w:eastAsiaTheme="minorEastAsia" w:cstheme="minorEastAsia"/>
          <w:b/>
          <w:color w:val="auto"/>
          <w:sz w:val="32"/>
          <w:szCs w:val="32"/>
          <w:highlight w:val="none"/>
        </w:rPr>
        <w:t>联合体协议书</w:t>
      </w:r>
    </w:p>
    <w:p w14:paraId="0142E36F">
      <w:pPr>
        <w:pStyle w:val="22"/>
        <w:spacing w:before="78" w:line="228" w:lineRule="auto"/>
        <w:ind w:left="53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2"/>
          <w:position w:val="1"/>
          <w:sz w:val="21"/>
          <w:szCs w:val="21"/>
        </w:rPr>
        <w:t>牵头人名称：</w:t>
      </w:r>
      <w:r>
        <w:rPr>
          <w:rFonts w:hint="eastAsia" w:asciiTheme="minorEastAsia" w:hAnsiTheme="minorEastAsia" w:eastAsiaTheme="minorEastAsia" w:cstheme="minorEastAsia"/>
          <w:spacing w:val="-2"/>
          <w:sz w:val="21"/>
          <w:szCs w:val="21"/>
          <w:u w:val="single" w:color="auto"/>
        </w:rPr>
        <w:t>中建八局第二建设有限公司</w:t>
      </w:r>
    </w:p>
    <w:p w14:paraId="4530A835">
      <w:pPr>
        <w:pStyle w:val="22"/>
        <w:spacing w:before="195" w:line="219" w:lineRule="auto"/>
        <w:ind w:left="53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2"/>
          <w:sz w:val="21"/>
          <w:szCs w:val="21"/>
        </w:rPr>
        <w:t>法定代表人：邵俊祥</w:t>
      </w:r>
    </w:p>
    <w:p w14:paraId="133B8C28">
      <w:pPr>
        <w:pStyle w:val="22"/>
        <w:spacing w:before="144" w:line="364" w:lineRule="auto"/>
        <w:ind w:left="74" w:firstLine="46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2"/>
          <w:sz w:val="21"/>
          <w:szCs w:val="21"/>
        </w:rPr>
        <w:t>法</w:t>
      </w:r>
      <w:r>
        <w:rPr>
          <w:rFonts w:hint="eastAsia" w:asciiTheme="minorEastAsia" w:hAnsiTheme="minorEastAsia" w:eastAsiaTheme="minorEastAsia" w:cstheme="minorEastAsia"/>
          <w:spacing w:val="-31"/>
          <w:sz w:val="21"/>
          <w:szCs w:val="21"/>
        </w:rPr>
        <w:t xml:space="preserve"> </w:t>
      </w:r>
      <w:r>
        <w:rPr>
          <w:rFonts w:hint="eastAsia" w:asciiTheme="minorEastAsia" w:hAnsiTheme="minorEastAsia" w:eastAsiaTheme="minorEastAsia" w:cstheme="minorEastAsia"/>
          <w:spacing w:val="-2"/>
          <w:sz w:val="21"/>
          <w:szCs w:val="21"/>
        </w:rPr>
        <w:t>定</w:t>
      </w:r>
      <w:r>
        <w:rPr>
          <w:rFonts w:hint="eastAsia" w:asciiTheme="minorEastAsia" w:hAnsiTheme="minorEastAsia" w:eastAsiaTheme="minorEastAsia" w:cstheme="minorEastAsia"/>
          <w:spacing w:val="-38"/>
          <w:sz w:val="21"/>
          <w:szCs w:val="21"/>
        </w:rPr>
        <w:t xml:space="preserve"> </w:t>
      </w:r>
      <w:r>
        <w:rPr>
          <w:rFonts w:hint="eastAsia" w:asciiTheme="minorEastAsia" w:hAnsiTheme="minorEastAsia" w:eastAsiaTheme="minorEastAsia" w:cstheme="minorEastAsia"/>
          <w:spacing w:val="-2"/>
          <w:sz w:val="21"/>
          <w:szCs w:val="21"/>
        </w:rPr>
        <w:t>住</w:t>
      </w:r>
      <w:r>
        <w:rPr>
          <w:rFonts w:hint="eastAsia" w:asciiTheme="minorEastAsia" w:hAnsiTheme="minorEastAsia" w:eastAsiaTheme="minorEastAsia" w:cstheme="minorEastAsia"/>
          <w:spacing w:val="-37"/>
          <w:sz w:val="21"/>
          <w:szCs w:val="21"/>
        </w:rPr>
        <w:t xml:space="preserve"> </w:t>
      </w:r>
      <w:r>
        <w:rPr>
          <w:rFonts w:hint="eastAsia" w:asciiTheme="minorEastAsia" w:hAnsiTheme="minorEastAsia" w:eastAsiaTheme="minorEastAsia" w:cstheme="minorEastAsia"/>
          <w:spacing w:val="-2"/>
          <w:sz w:val="21"/>
          <w:szCs w:val="21"/>
        </w:rPr>
        <w:t>所</w:t>
      </w:r>
      <w:r>
        <w:rPr>
          <w:rFonts w:hint="eastAsia" w:asciiTheme="minorEastAsia" w:hAnsiTheme="minorEastAsia" w:eastAsiaTheme="minorEastAsia" w:cstheme="minorEastAsia"/>
          <w:spacing w:val="-46"/>
          <w:sz w:val="21"/>
          <w:szCs w:val="21"/>
        </w:rPr>
        <w:t xml:space="preserve"> </w:t>
      </w:r>
      <w:r>
        <w:rPr>
          <w:rFonts w:hint="eastAsia" w:asciiTheme="minorEastAsia" w:hAnsiTheme="minorEastAsia" w:eastAsiaTheme="minorEastAsia" w:cstheme="minorEastAsia"/>
          <w:spacing w:val="-2"/>
          <w:sz w:val="21"/>
          <w:szCs w:val="21"/>
        </w:rPr>
        <w:t>：</w:t>
      </w:r>
      <w:r>
        <w:rPr>
          <w:rFonts w:hint="eastAsia" w:asciiTheme="minorEastAsia" w:hAnsiTheme="minorEastAsia" w:eastAsiaTheme="minorEastAsia" w:cstheme="minorEastAsia"/>
          <w:spacing w:val="-2"/>
          <w:sz w:val="21"/>
          <w:szCs w:val="21"/>
          <w:u w:val="single" w:color="auto"/>
        </w:rPr>
        <w:t>山东省济南市历下区文化东路16</w:t>
      </w:r>
      <w:r>
        <w:rPr>
          <w:rFonts w:hint="eastAsia" w:asciiTheme="minorEastAsia" w:hAnsiTheme="minorEastAsia" w:eastAsiaTheme="minorEastAsia" w:cstheme="minorEastAsia"/>
          <w:spacing w:val="-3"/>
          <w:sz w:val="21"/>
          <w:szCs w:val="21"/>
          <w:u w:val="single" w:color="auto"/>
        </w:rPr>
        <w:t>号中建文化城二期办公楼1单</w:t>
      </w:r>
      <w:r>
        <w:rPr>
          <w:rFonts w:hint="eastAsia" w:asciiTheme="minorEastAsia" w:hAnsiTheme="minorEastAsia" w:eastAsiaTheme="minorEastAsia" w:cstheme="minorEastAsia"/>
          <w:sz w:val="21"/>
          <w:szCs w:val="21"/>
        </w:rPr>
        <w:t xml:space="preserve"> </w:t>
      </w:r>
      <w:r>
        <w:rPr>
          <w:rFonts w:hint="eastAsia" w:asciiTheme="minorEastAsia" w:hAnsiTheme="minorEastAsia" w:eastAsiaTheme="minorEastAsia" w:cstheme="minorEastAsia"/>
          <w:spacing w:val="-2"/>
          <w:sz w:val="21"/>
          <w:szCs w:val="21"/>
          <w:u w:val="single" w:color="auto"/>
        </w:rPr>
        <w:t>元17层</w:t>
      </w:r>
    </w:p>
    <w:p w14:paraId="288C43CC">
      <w:pPr>
        <w:pStyle w:val="22"/>
        <w:spacing w:before="43" w:line="219" w:lineRule="auto"/>
        <w:ind w:left="53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7"/>
          <w:sz w:val="21"/>
          <w:szCs w:val="21"/>
        </w:rPr>
        <w:t>成</w:t>
      </w:r>
      <w:r>
        <w:rPr>
          <w:rFonts w:hint="eastAsia" w:asciiTheme="minorEastAsia" w:hAnsiTheme="minorEastAsia" w:eastAsiaTheme="minorEastAsia" w:cstheme="minorEastAsia"/>
          <w:spacing w:val="-24"/>
          <w:sz w:val="21"/>
          <w:szCs w:val="21"/>
        </w:rPr>
        <w:t xml:space="preserve"> </w:t>
      </w:r>
      <w:r>
        <w:rPr>
          <w:rFonts w:hint="eastAsia" w:asciiTheme="minorEastAsia" w:hAnsiTheme="minorEastAsia" w:eastAsiaTheme="minorEastAsia" w:cstheme="minorEastAsia"/>
          <w:spacing w:val="7"/>
          <w:sz w:val="21"/>
          <w:szCs w:val="21"/>
        </w:rPr>
        <w:t>员</w:t>
      </w:r>
      <w:r>
        <w:rPr>
          <w:rFonts w:hint="eastAsia" w:asciiTheme="minorEastAsia" w:hAnsiTheme="minorEastAsia" w:eastAsiaTheme="minorEastAsia" w:cstheme="minorEastAsia"/>
          <w:spacing w:val="-38"/>
          <w:sz w:val="21"/>
          <w:szCs w:val="21"/>
        </w:rPr>
        <w:t xml:space="preserve"> </w:t>
      </w:r>
      <w:r>
        <w:rPr>
          <w:rFonts w:hint="eastAsia" w:asciiTheme="minorEastAsia" w:hAnsiTheme="minorEastAsia" w:eastAsiaTheme="minorEastAsia" w:cstheme="minorEastAsia"/>
          <w:spacing w:val="7"/>
          <w:sz w:val="21"/>
          <w:szCs w:val="21"/>
        </w:rPr>
        <w:t>名</w:t>
      </w:r>
      <w:r>
        <w:rPr>
          <w:rFonts w:hint="eastAsia" w:asciiTheme="minorEastAsia" w:hAnsiTheme="minorEastAsia" w:eastAsiaTheme="minorEastAsia" w:cstheme="minorEastAsia"/>
          <w:spacing w:val="-43"/>
          <w:sz w:val="21"/>
          <w:szCs w:val="21"/>
        </w:rPr>
        <w:t xml:space="preserve"> </w:t>
      </w:r>
      <w:r>
        <w:rPr>
          <w:rFonts w:hint="eastAsia" w:asciiTheme="minorEastAsia" w:hAnsiTheme="minorEastAsia" w:eastAsiaTheme="minorEastAsia" w:cstheme="minorEastAsia"/>
          <w:spacing w:val="7"/>
          <w:sz w:val="21"/>
          <w:szCs w:val="21"/>
        </w:rPr>
        <w:t>称</w:t>
      </w:r>
      <w:r>
        <w:rPr>
          <w:rFonts w:hint="eastAsia" w:asciiTheme="minorEastAsia" w:hAnsiTheme="minorEastAsia" w:eastAsiaTheme="minorEastAsia" w:cstheme="minorEastAsia"/>
          <w:spacing w:val="-51"/>
          <w:sz w:val="21"/>
          <w:szCs w:val="21"/>
        </w:rPr>
        <w:t xml:space="preserve"> </w:t>
      </w:r>
      <w:r>
        <w:rPr>
          <w:rFonts w:hint="eastAsia" w:asciiTheme="minorEastAsia" w:hAnsiTheme="minorEastAsia" w:eastAsiaTheme="minorEastAsia" w:cstheme="minorEastAsia"/>
          <w:spacing w:val="7"/>
          <w:sz w:val="21"/>
          <w:szCs w:val="21"/>
        </w:rPr>
        <w:t>：</w:t>
      </w:r>
      <w:r>
        <w:rPr>
          <w:rFonts w:hint="eastAsia" w:asciiTheme="minorEastAsia" w:hAnsiTheme="minorEastAsia" w:eastAsiaTheme="minorEastAsia" w:cstheme="minorEastAsia"/>
          <w:spacing w:val="7"/>
          <w:sz w:val="21"/>
          <w:szCs w:val="21"/>
          <w:u w:val="single" w:color="auto"/>
        </w:rPr>
        <w:t>中建八局(陕西)建设科技有限公司</w:t>
      </w:r>
    </w:p>
    <w:p w14:paraId="3F8F1897">
      <w:pPr>
        <w:pStyle w:val="22"/>
        <w:spacing w:before="147" w:line="219" w:lineRule="auto"/>
        <w:ind w:left="53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2"/>
          <w:sz w:val="21"/>
          <w:szCs w:val="21"/>
        </w:rPr>
        <w:t>法定代表人：张刚</w:t>
      </w:r>
    </w:p>
    <w:p w14:paraId="3544C488">
      <w:pPr>
        <w:pStyle w:val="22"/>
        <w:spacing w:before="153" w:line="364" w:lineRule="auto"/>
        <w:ind w:left="74" w:right="1" w:firstLine="46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3"/>
          <w:sz w:val="21"/>
          <w:szCs w:val="21"/>
        </w:rPr>
        <w:t>法</w:t>
      </w:r>
      <w:r>
        <w:rPr>
          <w:rFonts w:hint="eastAsia" w:asciiTheme="minorEastAsia" w:hAnsiTheme="minorEastAsia" w:eastAsiaTheme="minorEastAsia" w:cstheme="minorEastAsia"/>
          <w:spacing w:val="-16"/>
          <w:sz w:val="21"/>
          <w:szCs w:val="21"/>
        </w:rPr>
        <w:t xml:space="preserve"> </w:t>
      </w:r>
      <w:r>
        <w:rPr>
          <w:rFonts w:hint="eastAsia" w:asciiTheme="minorEastAsia" w:hAnsiTheme="minorEastAsia" w:eastAsiaTheme="minorEastAsia" w:cstheme="minorEastAsia"/>
          <w:spacing w:val="-3"/>
          <w:sz w:val="21"/>
          <w:szCs w:val="21"/>
        </w:rPr>
        <w:t>定</w:t>
      </w:r>
      <w:r>
        <w:rPr>
          <w:rFonts w:hint="eastAsia" w:asciiTheme="minorEastAsia" w:hAnsiTheme="minorEastAsia" w:eastAsiaTheme="minorEastAsia" w:cstheme="minorEastAsia"/>
          <w:spacing w:val="-38"/>
          <w:sz w:val="21"/>
          <w:szCs w:val="21"/>
        </w:rPr>
        <w:t xml:space="preserve"> </w:t>
      </w:r>
      <w:r>
        <w:rPr>
          <w:rFonts w:hint="eastAsia" w:asciiTheme="minorEastAsia" w:hAnsiTheme="minorEastAsia" w:eastAsiaTheme="minorEastAsia" w:cstheme="minorEastAsia"/>
          <w:spacing w:val="-3"/>
          <w:sz w:val="21"/>
          <w:szCs w:val="21"/>
        </w:rPr>
        <w:t>住</w:t>
      </w:r>
      <w:r>
        <w:rPr>
          <w:rFonts w:hint="eastAsia" w:asciiTheme="minorEastAsia" w:hAnsiTheme="minorEastAsia" w:eastAsiaTheme="minorEastAsia" w:cstheme="minorEastAsia"/>
          <w:spacing w:val="-37"/>
          <w:sz w:val="21"/>
          <w:szCs w:val="21"/>
        </w:rPr>
        <w:t xml:space="preserve"> </w:t>
      </w:r>
      <w:r>
        <w:rPr>
          <w:rFonts w:hint="eastAsia" w:asciiTheme="minorEastAsia" w:hAnsiTheme="minorEastAsia" w:eastAsiaTheme="minorEastAsia" w:cstheme="minorEastAsia"/>
          <w:spacing w:val="-3"/>
          <w:sz w:val="21"/>
          <w:szCs w:val="21"/>
        </w:rPr>
        <w:t>所</w:t>
      </w:r>
      <w:r>
        <w:rPr>
          <w:rFonts w:hint="eastAsia" w:asciiTheme="minorEastAsia" w:hAnsiTheme="minorEastAsia" w:eastAsiaTheme="minorEastAsia" w:cstheme="minorEastAsia"/>
          <w:spacing w:val="-46"/>
          <w:sz w:val="21"/>
          <w:szCs w:val="21"/>
        </w:rPr>
        <w:t xml:space="preserve"> </w:t>
      </w:r>
      <w:r>
        <w:rPr>
          <w:rFonts w:hint="eastAsia" w:asciiTheme="minorEastAsia" w:hAnsiTheme="minorEastAsia" w:eastAsiaTheme="minorEastAsia" w:cstheme="minorEastAsia"/>
          <w:spacing w:val="-3"/>
          <w:sz w:val="21"/>
          <w:szCs w:val="21"/>
        </w:rPr>
        <w:t>：</w:t>
      </w:r>
      <w:r>
        <w:rPr>
          <w:rFonts w:hint="eastAsia" w:asciiTheme="minorEastAsia" w:hAnsiTheme="minorEastAsia" w:eastAsiaTheme="minorEastAsia" w:cstheme="minorEastAsia"/>
          <w:spacing w:val="-3"/>
          <w:sz w:val="21"/>
          <w:szCs w:val="21"/>
          <w:u w:val="single" w:color="auto"/>
        </w:rPr>
        <w:t>陕西省西安市经济技术开发区凤城二路白桦林金融创新中心D</w:t>
      </w:r>
      <w:r>
        <w:rPr>
          <w:rFonts w:hint="eastAsia" w:asciiTheme="minorEastAsia" w:hAnsiTheme="minorEastAsia" w:eastAsiaTheme="minorEastAsia" w:cstheme="minorEastAsia"/>
          <w:sz w:val="21"/>
          <w:szCs w:val="21"/>
        </w:rPr>
        <w:t xml:space="preserve"> </w:t>
      </w:r>
      <w:r>
        <w:rPr>
          <w:rFonts w:hint="eastAsia" w:asciiTheme="minorEastAsia" w:hAnsiTheme="minorEastAsia" w:eastAsiaTheme="minorEastAsia" w:cstheme="minorEastAsia"/>
          <w:spacing w:val="-2"/>
          <w:sz w:val="21"/>
          <w:szCs w:val="21"/>
          <w:u w:val="single" w:color="auto"/>
        </w:rPr>
        <w:t>座19层</w:t>
      </w:r>
    </w:p>
    <w:p w14:paraId="61729492">
      <w:pPr>
        <w:pStyle w:val="22"/>
        <w:spacing w:before="13" w:line="219" w:lineRule="auto"/>
        <w:ind w:left="53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6"/>
          <w:sz w:val="21"/>
          <w:szCs w:val="21"/>
        </w:rPr>
        <w:t>成</w:t>
      </w:r>
      <w:r>
        <w:rPr>
          <w:rFonts w:hint="eastAsia" w:asciiTheme="minorEastAsia" w:hAnsiTheme="minorEastAsia" w:eastAsiaTheme="minorEastAsia" w:cstheme="minorEastAsia"/>
          <w:spacing w:val="-27"/>
          <w:sz w:val="21"/>
          <w:szCs w:val="21"/>
        </w:rPr>
        <w:t xml:space="preserve"> </w:t>
      </w:r>
      <w:r>
        <w:rPr>
          <w:rFonts w:hint="eastAsia" w:asciiTheme="minorEastAsia" w:hAnsiTheme="minorEastAsia" w:eastAsiaTheme="minorEastAsia" w:cstheme="minorEastAsia"/>
          <w:spacing w:val="-6"/>
          <w:sz w:val="21"/>
          <w:szCs w:val="21"/>
        </w:rPr>
        <w:t>员</w:t>
      </w:r>
      <w:r>
        <w:rPr>
          <w:rFonts w:hint="eastAsia" w:asciiTheme="minorEastAsia" w:hAnsiTheme="minorEastAsia" w:eastAsiaTheme="minorEastAsia" w:cstheme="minorEastAsia"/>
          <w:spacing w:val="-38"/>
          <w:sz w:val="21"/>
          <w:szCs w:val="21"/>
        </w:rPr>
        <w:t xml:space="preserve"> </w:t>
      </w:r>
      <w:r>
        <w:rPr>
          <w:rFonts w:hint="eastAsia" w:asciiTheme="minorEastAsia" w:hAnsiTheme="minorEastAsia" w:eastAsiaTheme="minorEastAsia" w:cstheme="minorEastAsia"/>
          <w:spacing w:val="-6"/>
          <w:sz w:val="21"/>
          <w:szCs w:val="21"/>
        </w:rPr>
        <w:t>名</w:t>
      </w:r>
      <w:r>
        <w:rPr>
          <w:rFonts w:hint="eastAsia" w:asciiTheme="minorEastAsia" w:hAnsiTheme="minorEastAsia" w:eastAsiaTheme="minorEastAsia" w:cstheme="minorEastAsia"/>
          <w:spacing w:val="-43"/>
          <w:sz w:val="21"/>
          <w:szCs w:val="21"/>
        </w:rPr>
        <w:t xml:space="preserve"> </w:t>
      </w:r>
      <w:r>
        <w:rPr>
          <w:rFonts w:hint="eastAsia" w:asciiTheme="minorEastAsia" w:hAnsiTheme="minorEastAsia" w:eastAsiaTheme="minorEastAsia" w:cstheme="minorEastAsia"/>
          <w:spacing w:val="-6"/>
          <w:sz w:val="21"/>
          <w:szCs w:val="21"/>
        </w:rPr>
        <w:t>称</w:t>
      </w:r>
      <w:r>
        <w:rPr>
          <w:rFonts w:hint="eastAsia" w:asciiTheme="minorEastAsia" w:hAnsiTheme="minorEastAsia" w:eastAsiaTheme="minorEastAsia" w:cstheme="minorEastAsia"/>
          <w:spacing w:val="-51"/>
          <w:sz w:val="21"/>
          <w:szCs w:val="21"/>
        </w:rPr>
        <w:t xml:space="preserve"> </w:t>
      </w:r>
      <w:r>
        <w:rPr>
          <w:rFonts w:hint="eastAsia" w:asciiTheme="minorEastAsia" w:hAnsiTheme="minorEastAsia" w:eastAsiaTheme="minorEastAsia" w:cstheme="minorEastAsia"/>
          <w:spacing w:val="-6"/>
          <w:sz w:val="21"/>
          <w:szCs w:val="21"/>
        </w:rPr>
        <w:t>：</w:t>
      </w:r>
      <w:r>
        <w:rPr>
          <w:rFonts w:hint="eastAsia" w:asciiTheme="minorEastAsia" w:hAnsiTheme="minorEastAsia" w:eastAsiaTheme="minorEastAsia" w:cstheme="minorEastAsia"/>
          <w:spacing w:val="-6"/>
          <w:sz w:val="21"/>
          <w:szCs w:val="21"/>
          <w:u w:val="single" w:color="auto"/>
        </w:rPr>
        <w:t>中国建筑西北设计研究院有限公司</w:t>
      </w:r>
    </w:p>
    <w:p w14:paraId="6DB7A0FD">
      <w:pPr>
        <w:pStyle w:val="22"/>
        <w:spacing w:before="196" w:line="219" w:lineRule="auto"/>
        <w:ind w:left="53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2"/>
          <w:sz w:val="21"/>
          <w:szCs w:val="21"/>
        </w:rPr>
        <w:t>法定代表人：王军</w:t>
      </w:r>
    </w:p>
    <w:p w14:paraId="16234C6D">
      <w:pPr>
        <w:pStyle w:val="22"/>
        <w:spacing w:before="187" w:line="219" w:lineRule="auto"/>
        <w:ind w:left="535"/>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6"/>
          <w:sz w:val="21"/>
          <w:szCs w:val="21"/>
        </w:rPr>
        <w:t>法</w:t>
      </w:r>
      <w:r>
        <w:rPr>
          <w:rFonts w:hint="eastAsia" w:asciiTheme="minorEastAsia" w:hAnsiTheme="minorEastAsia" w:eastAsiaTheme="minorEastAsia" w:cstheme="minorEastAsia"/>
          <w:spacing w:val="-14"/>
          <w:sz w:val="21"/>
          <w:szCs w:val="21"/>
        </w:rPr>
        <w:t xml:space="preserve"> </w:t>
      </w:r>
      <w:r>
        <w:rPr>
          <w:rFonts w:hint="eastAsia" w:asciiTheme="minorEastAsia" w:hAnsiTheme="minorEastAsia" w:eastAsiaTheme="minorEastAsia" w:cstheme="minorEastAsia"/>
          <w:spacing w:val="-6"/>
          <w:sz w:val="21"/>
          <w:szCs w:val="21"/>
        </w:rPr>
        <w:t>定</w:t>
      </w:r>
      <w:r>
        <w:rPr>
          <w:rFonts w:hint="eastAsia" w:asciiTheme="minorEastAsia" w:hAnsiTheme="minorEastAsia" w:eastAsiaTheme="minorEastAsia" w:cstheme="minorEastAsia"/>
          <w:spacing w:val="-38"/>
          <w:sz w:val="21"/>
          <w:szCs w:val="21"/>
        </w:rPr>
        <w:t xml:space="preserve"> </w:t>
      </w:r>
      <w:r>
        <w:rPr>
          <w:rFonts w:hint="eastAsia" w:asciiTheme="minorEastAsia" w:hAnsiTheme="minorEastAsia" w:eastAsiaTheme="minorEastAsia" w:cstheme="minorEastAsia"/>
          <w:spacing w:val="-6"/>
          <w:sz w:val="21"/>
          <w:szCs w:val="21"/>
        </w:rPr>
        <w:t>住</w:t>
      </w:r>
      <w:r>
        <w:rPr>
          <w:rFonts w:hint="eastAsia" w:asciiTheme="minorEastAsia" w:hAnsiTheme="minorEastAsia" w:eastAsiaTheme="minorEastAsia" w:cstheme="minorEastAsia"/>
          <w:spacing w:val="-36"/>
          <w:sz w:val="21"/>
          <w:szCs w:val="21"/>
        </w:rPr>
        <w:t xml:space="preserve"> </w:t>
      </w:r>
      <w:r>
        <w:rPr>
          <w:rFonts w:hint="eastAsia" w:asciiTheme="minorEastAsia" w:hAnsiTheme="minorEastAsia" w:eastAsiaTheme="minorEastAsia" w:cstheme="minorEastAsia"/>
          <w:spacing w:val="-6"/>
          <w:sz w:val="21"/>
          <w:szCs w:val="21"/>
        </w:rPr>
        <w:t>所</w:t>
      </w:r>
      <w:r>
        <w:rPr>
          <w:rFonts w:hint="eastAsia" w:asciiTheme="minorEastAsia" w:hAnsiTheme="minorEastAsia" w:eastAsiaTheme="minorEastAsia" w:cstheme="minorEastAsia"/>
          <w:spacing w:val="-46"/>
          <w:sz w:val="21"/>
          <w:szCs w:val="21"/>
        </w:rPr>
        <w:t xml:space="preserve"> </w:t>
      </w:r>
      <w:r>
        <w:rPr>
          <w:rFonts w:hint="eastAsia" w:asciiTheme="minorEastAsia" w:hAnsiTheme="minorEastAsia" w:eastAsiaTheme="minorEastAsia" w:cstheme="minorEastAsia"/>
          <w:spacing w:val="-6"/>
          <w:sz w:val="21"/>
          <w:szCs w:val="21"/>
        </w:rPr>
        <w:t>：</w:t>
      </w:r>
      <w:r>
        <w:rPr>
          <w:rFonts w:hint="eastAsia" w:asciiTheme="minorEastAsia" w:hAnsiTheme="minorEastAsia" w:eastAsiaTheme="minorEastAsia" w:cstheme="minorEastAsia"/>
          <w:spacing w:val="-6"/>
          <w:sz w:val="21"/>
          <w:szCs w:val="21"/>
          <w:u w:val="single" w:color="auto"/>
        </w:rPr>
        <w:t>陕西省西安市经开区文景路中段98号</w:t>
      </w:r>
    </w:p>
    <w:p w14:paraId="3ABAE60E">
      <w:pPr>
        <w:spacing w:line="242" w:lineRule="auto"/>
        <w:rPr>
          <w:rFonts w:hint="eastAsia" w:asciiTheme="minorEastAsia" w:hAnsiTheme="minorEastAsia" w:eastAsiaTheme="minorEastAsia" w:cstheme="minorEastAsia"/>
          <w:sz w:val="21"/>
          <w:szCs w:val="21"/>
        </w:rPr>
      </w:pPr>
    </w:p>
    <w:p w14:paraId="5368D819">
      <w:pPr>
        <w:spacing w:line="242" w:lineRule="auto"/>
        <w:rPr>
          <w:rFonts w:hint="eastAsia" w:asciiTheme="minorEastAsia" w:hAnsiTheme="minorEastAsia" w:eastAsiaTheme="minorEastAsia" w:cstheme="minorEastAsia"/>
          <w:sz w:val="21"/>
          <w:szCs w:val="21"/>
        </w:rPr>
      </w:pPr>
    </w:p>
    <w:p w14:paraId="3B075F92">
      <w:pPr>
        <w:pStyle w:val="22"/>
        <w:keepNext w:val="0"/>
        <w:keepLines w:val="0"/>
        <w:pageBreakBefore w:val="0"/>
        <w:widowControl w:val="0"/>
        <w:kinsoku/>
        <w:wordWrap/>
        <w:overflowPunct/>
        <w:topLinePunct w:val="0"/>
        <w:autoSpaceDE/>
        <w:autoSpaceDN/>
        <w:bidi w:val="0"/>
        <w:adjustRightInd/>
        <w:snapToGrid/>
        <w:spacing w:before="78" w:line="400" w:lineRule="exact"/>
        <w:ind w:left="74" w:right="29" w:firstLine="460"/>
        <w:jc w:val="both"/>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4"/>
          <w:sz w:val="21"/>
          <w:szCs w:val="21"/>
        </w:rPr>
        <w:t>鉴于上述成员单位经过友好协商，自愿组成以一</w:t>
      </w:r>
      <w:r>
        <w:rPr>
          <w:rFonts w:hint="eastAsia" w:asciiTheme="minorEastAsia" w:hAnsiTheme="minorEastAsia" w:eastAsiaTheme="minorEastAsia" w:cstheme="minorEastAsia"/>
          <w:spacing w:val="-4"/>
          <w:sz w:val="21"/>
          <w:szCs w:val="21"/>
          <w:u w:val="single" w:color="auto"/>
        </w:rPr>
        <w:t>个投标人</w:t>
      </w:r>
      <w:r>
        <w:rPr>
          <w:rFonts w:hint="eastAsia" w:asciiTheme="minorEastAsia" w:hAnsiTheme="minorEastAsia" w:eastAsiaTheme="minorEastAsia" w:cstheme="minorEastAsia"/>
          <w:spacing w:val="-5"/>
          <w:sz w:val="21"/>
          <w:szCs w:val="21"/>
          <w:u w:val="single" w:color="auto"/>
        </w:rPr>
        <w:t>身份共同参加白桦</w:t>
      </w:r>
      <w:r>
        <w:rPr>
          <w:rFonts w:hint="eastAsia" w:asciiTheme="minorEastAsia" w:hAnsiTheme="minorEastAsia" w:eastAsiaTheme="minorEastAsia" w:cstheme="minorEastAsia"/>
          <w:sz w:val="21"/>
          <w:szCs w:val="21"/>
        </w:rPr>
        <w:t xml:space="preserve"> </w:t>
      </w:r>
      <w:r>
        <w:rPr>
          <w:rFonts w:hint="eastAsia" w:asciiTheme="minorEastAsia" w:hAnsiTheme="minorEastAsia" w:eastAsiaTheme="minorEastAsia" w:cstheme="minorEastAsia"/>
          <w:spacing w:val="13"/>
          <w:sz w:val="21"/>
          <w:szCs w:val="21"/>
          <w:u w:val="single" w:color="auto"/>
        </w:rPr>
        <w:t>林观澜项目工程总承包(</w:t>
      </w:r>
      <w:r>
        <w:rPr>
          <w:rFonts w:hint="eastAsia" w:asciiTheme="minorEastAsia" w:hAnsiTheme="minorEastAsia" w:eastAsiaTheme="minorEastAsia" w:cstheme="minorEastAsia"/>
          <w:sz w:val="21"/>
          <w:szCs w:val="21"/>
          <w:u w:val="single" w:color="auto"/>
        </w:rPr>
        <w:t>EPC</w:t>
      </w:r>
      <w:r>
        <w:rPr>
          <w:rFonts w:hint="eastAsia" w:asciiTheme="minorEastAsia" w:hAnsiTheme="minorEastAsia" w:eastAsiaTheme="minorEastAsia" w:cstheme="minorEastAsia"/>
          <w:spacing w:val="13"/>
          <w:sz w:val="21"/>
          <w:szCs w:val="21"/>
          <w:u w:val="single" w:color="auto"/>
        </w:rPr>
        <w:t>)(项目名称)投</w:t>
      </w:r>
      <w:r>
        <w:rPr>
          <w:rFonts w:hint="eastAsia" w:asciiTheme="minorEastAsia" w:hAnsiTheme="minorEastAsia" w:eastAsiaTheme="minorEastAsia" w:cstheme="minorEastAsia"/>
          <w:spacing w:val="13"/>
          <w:sz w:val="21"/>
          <w:szCs w:val="21"/>
        </w:rPr>
        <w:t>标。现就联合体投标事宜订立如</w:t>
      </w:r>
      <w:r>
        <w:rPr>
          <w:rFonts w:hint="eastAsia" w:asciiTheme="minorEastAsia" w:hAnsiTheme="minorEastAsia" w:eastAsiaTheme="minorEastAsia" w:cstheme="minorEastAsia"/>
          <w:sz w:val="21"/>
          <w:szCs w:val="21"/>
        </w:rPr>
        <w:t xml:space="preserve"> </w:t>
      </w:r>
      <w:r>
        <w:rPr>
          <w:rFonts w:hint="eastAsia" w:asciiTheme="minorEastAsia" w:hAnsiTheme="minorEastAsia" w:eastAsiaTheme="minorEastAsia" w:cstheme="minorEastAsia"/>
          <w:spacing w:val="-8"/>
          <w:sz w:val="21"/>
          <w:szCs w:val="21"/>
        </w:rPr>
        <w:t>下协议：</w:t>
      </w:r>
    </w:p>
    <w:p w14:paraId="16DFDE68">
      <w:pPr>
        <w:pStyle w:val="22"/>
        <w:keepNext w:val="0"/>
        <w:keepLines w:val="0"/>
        <w:pageBreakBefore w:val="0"/>
        <w:widowControl w:val="0"/>
        <w:kinsoku/>
        <w:wordWrap/>
        <w:overflowPunct/>
        <w:topLinePunct w:val="0"/>
        <w:autoSpaceDE/>
        <w:autoSpaceDN/>
        <w:bidi w:val="0"/>
        <w:adjustRightInd/>
        <w:snapToGrid/>
        <w:spacing w:before="1" w:line="400" w:lineRule="exact"/>
        <w:ind w:left="535"/>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5"/>
          <w:sz w:val="21"/>
          <w:szCs w:val="21"/>
        </w:rPr>
        <w:t>1、</w:t>
      </w:r>
      <w:r>
        <w:rPr>
          <w:rFonts w:hint="eastAsia" w:asciiTheme="minorEastAsia" w:hAnsiTheme="minorEastAsia" w:eastAsiaTheme="minorEastAsia" w:cstheme="minorEastAsia"/>
          <w:spacing w:val="5"/>
          <w:sz w:val="21"/>
          <w:szCs w:val="21"/>
          <w:u w:val="single" w:color="auto"/>
        </w:rPr>
        <w:t>中建八局第二建设有限公司</w:t>
      </w:r>
      <w:r>
        <w:rPr>
          <w:rFonts w:hint="eastAsia" w:asciiTheme="minorEastAsia" w:hAnsiTheme="minorEastAsia" w:eastAsiaTheme="minorEastAsia" w:cstheme="minorEastAsia"/>
          <w:spacing w:val="5"/>
          <w:sz w:val="21"/>
          <w:szCs w:val="21"/>
        </w:rPr>
        <w:t>为本联</w:t>
      </w:r>
      <w:r>
        <w:rPr>
          <w:rFonts w:hint="eastAsia" w:asciiTheme="minorEastAsia" w:hAnsiTheme="minorEastAsia" w:eastAsiaTheme="minorEastAsia" w:cstheme="minorEastAsia"/>
          <w:spacing w:val="4"/>
          <w:sz w:val="21"/>
          <w:szCs w:val="21"/>
        </w:rPr>
        <w:t>合体牵头单位。</w:t>
      </w:r>
    </w:p>
    <w:p w14:paraId="3213A965">
      <w:pPr>
        <w:pStyle w:val="22"/>
        <w:keepNext w:val="0"/>
        <w:keepLines w:val="0"/>
        <w:pageBreakBefore w:val="0"/>
        <w:widowControl w:val="0"/>
        <w:kinsoku/>
        <w:wordWrap/>
        <w:overflowPunct/>
        <w:topLinePunct w:val="0"/>
        <w:autoSpaceDE/>
        <w:autoSpaceDN/>
        <w:bidi w:val="0"/>
        <w:adjustRightInd/>
        <w:snapToGrid/>
        <w:spacing w:before="186" w:line="400" w:lineRule="exact"/>
        <w:ind w:left="74" w:right="22" w:firstLine="46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2、在本工程投标阶段，联合体牵头人合法代表联合体各成员负责本工程资</w:t>
      </w:r>
      <w:r>
        <w:rPr>
          <w:rFonts w:hint="eastAsia" w:asciiTheme="minorEastAsia" w:hAnsiTheme="minorEastAsia" w:eastAsiaTheme="minorEastAsia" w:cstheme="minorEastAsia"/>
          <w:spacing w:val="3"/>
          <w:sz w:val="21"/>
          <w:szCs w:val="21"/>
        </w:rPr>
        <w:t xml:space="preserve"> </w:t>
      </w:r>
      <w:r>
        <w:rPr>
          <w:rFonts w:hint="eastAsia" w:asciiTheme="minorEastAsia" w:hAnsiTheme="minorEastAsia" w:eastAsiaTheme="minorEastAsia" w:cstheme="minorEastAsia"/>
          <w:spacing w:val="-4"/>
          <w:sz w:val="21"/>
          <w:szCs w:val="21"/>
        </w:rPr>
        <w:t>格预审申请文件和投标文件编制活动，代表联合</w:t>
      </w:r>
      <w:r>
        <w:rPr>
          <w:rFonts w:hint="eastAsia" w:asciiTheme="minorEastAsia" w:hAnsiTheme="minorEastAsia" w:eastAsiaTheme="minorEastAsia" w:cstheme="minorEastAsia"/>
          <w:spacing w:val="-5"/>
          <w:sz w:val="21"/>
          <w:szCs w:val="21"/>
        </w:rPr>
        <w:t>体提交和接收相关的资料、信息</w:t>
      </w:r>
      <w:r>
        <w:rPr>
          <w:rFonts w:hint="eastAsia" w:asciiTheme="minorEastAsia" w:hAnsiTheme="minorEastAsia" w:eastAsiaTheme="minorEastAsia" w:cstheme="minorEastAsia"/>
          <w:sz w:val="21"/>
          <w:szCs w:val="21"/>
        </w:rPr>
        <w:t xml:space="preserve"> </w:t>
      </w:r>
      <w:r>
        <w:rPr>
          <w:rFonts w:hint="eastAsia" w:asciiTheme="minorEastAsia" w:hAnsiTheme="minorEastAsia" w:eastAsiaTheme="minorEastAsia" w:cstheme="minorEastAsia"/>
          <w:spacing w:val="-5"/>
          <w:sz w:val="21"/>
          <w:szCs w:val="21"/>
        </w:rPr>
        <w:t>及指示，并处理与资格预审、投标和中标有关的一切事务；联合体中标后，联合</w:t>
      </w:r>
      <w:r>
        <w:rPr>
          <w:rFonts w:hint="eastAsia" w:asciiTheme="minorEastAsia" w:hAnsiTheme="minorEastAsia" w:eastAsiaTheme="minorEastAsia" w:cstheme="minorEastAsia"/>
          <w:spacing w:val="14"/>
          <w:sz w:val="21"/>
          <w:szCs w:val="21"/>
        </w:rPr>
        <w:t xml:space="preserve"> </w:t>
      </w:r>
      <w:r>
        <w:rPr>
          <w:rFonts w:hint="eastAsia" w:asciiTheme="minorEastAsia" w:hAnsiTheme="minorEastAsia" w:eastAsiaTheme="minorEastAsia" w:cstheme="minorEastAsia"/>
          <w:spacing w:val="-3"/>
          <w:sz w:val="21"/>
          <w:szCs w:val="21"/>
        </w:rPr>
        <w:t>体牵头人负责合同订立和合同实施阶段的主办、组织和协调工作。</w:t>
      </w:r>
    </w:p>
    <w:p w14:paraId="7E7F0567">
      <w:pPr>
        <w:pStyle w:val="22"/>
        <w:keepNext w:val="0"/>
        <w:keepLines w:val="0"/>
        <w:pageBreakBefore w:val="0"/>
        <w:widowControl w:val="0"/>
        <w:kinsoku/>
        <w:wordWrap/>
        <w:overflowPunct/>
        <w:topLinePunct w:val="0"/>
        <w:autoSpaceDE/>
        <w:autoSpaceDN/>
        <w:bidi w:val="0"/>
        <w:adjustRightInd/>
        <w:snapToGrid/>
        <w:spacing w:before="195" w:line="400" w:lineRule="exact"/>
        <w:ind w:left="74" w:right="51" w:firstLine="46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3、在本项目招投标活动全过程中，牵头单位和其法</w:t>
      </w:r>
      <w:r>
        <w:rPr>
          <w:rFonts w:hint="eastAsia" w:asciiTheme="minorEastAsia" w:hAnsiTheme="minorEastAsia" w:eastAsiaTheme="minorEastAsia" w:cstheme="minorEastAsia"/>
          <w:spacing w:val="-2"/>
          <w:sz w:val="21"/>
          <w:szCs w:val="21"/>
        </w:rPr>
        <w:t>定代表人或其委托代理</w:t>
      </w:r>
      <w:r>
        <w:rPr>
          <w:rFonts w:hint="eastAsia" w:asciiTheme="minorEastAsia" w:hAnsiTheme="minorEastAsia" w:eastAsiaTheme="minorEastAsia" w:cstheme="minorEastAsia"/>
          <w:sz w:val="21"/>
          <w:szCs w:val="21"/>
        </w:rPr>
        <w:t xml:space="preserve"> </w:t>
      </w:r>
      <w:r>
        <w:rPr>
          <w:rFonts w:hint="eastAsia" w:asciiTheme="minorEastAsia" w:hAnsiTheme="minorEastAsia" w:eastAsiaTheme="minorEastAsia" w:cstheme="minorEastAsia"/>
          <w:spacing w:val="-4"/>
          <w:sz w:val="21"/>
          <w:szCs w:val="21"/>
        </w:rPr>
        <w:t>人的印章或签字代表联合体各成员单位相应的印章或签字。</w:t>
      </w:r>
    </w:p>
    <w:p w14:paraId="5C102F6D">
      <w:pPr>
        <w:pStyle w:val="22"/>
        <w:keepNext w:val="0"/>
        <w:keepLines w:val="0"/>
        <w:pageBreakBefore w:val="0"/>
        <w:widowControl w:val="0"/>
        <w:kinsoku/>
        <w:wordWrap/>
        <w:overflowPunct/>
        <w:topLinePunct w:val="0"/>
        <w:autoSpaceDE/>
        <w:autoSpaceDN/>
        <w:bidi w:val="0"/>
        <w:adjustRightInd/>
        <w:snapToGrid/>
        <w:spacing w:before="185" w:line="400" w:lineRule="exact"/>
        <w:ind w:left="535"/>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3"/>
          <w:sz w:val="21"/>
          <w:szCs w:val="21"/>
        </w:rPr>
        <w:t>4、在本项目招投标活动中，投标保证金由牵头单位提交。</w:t>
      </w:r>
    </w:p>
    <w:p w14:paraId="5ED7310F">
      <w:pPr>
        <w:pStyle w:val="22"/>
        <w:keepNext w:val="0"/>
        <w:keepLines w:val="0"/>
        <w:pageBreakBefore w:val="0"/>
        <w:widowControl w:val="0"/>
        <w:kinsoku/>
        <w:wordWrap/>
        <w:overflowPunct/>
        <w:topLinePunct w:val="0"/>
        <w:autoSpaceDE/>
        <w:autoSpaceDN/>
        <w:bidi w:val="0"/>
        <w:adjustRightInd/>
        <w:snapToGrid/>
        <w:spacing w:before="199" w:line="400" w:lineRule="exact"/>
        <w:ind w:left="74" w:right="22" w:firstLine="46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5、联合体将严格按照资格预审文件和招标文件的各项要求，递交资格预审</w:t>
      </w:r>
      <w:r>
        <w:rPr>
          <w:rFonts w:hint="eastAsia" w:asciiTheme="minorEastAsia" w:hAnsiTheme="minorEastAsia" w:eastAsiaTheme="minorEastAsia" w:cstheme="minorEastAsia"/>
          <w:spacing w:val="1"/>
          <w:sz w:val="21"/>
          <w:szCs w:val="21"/>
        </w:rPr>
        <w:t xml:space="preserve"> </w:t>
      </w:r>
      <w:r>
        <w:rPr>
          <w:rFonts w:hint="eastAsia" w:asciiTheme="minorEastAsia" w:hAnsiTheme="minorEastAsia" w:eastAsiaTheme="minorEastAsia" w:cstheme="minorEastAsia"/>
          <w:spacing w:val="-4"/>
          <w:sz w:val="21"/>
          <w:szCs w:val="21"/>
        </w:rPr>
        <w:t>申请文件和投标文件，履行投标义务和中标后的</w:t>
      </w:r>
      <w:r>
        <w:rPr>
          <w:rFonts w:hint="eastAsia" w:asciiTheme="minorEastAsia" w:hAnsiTheme="minorEastAsia" w:eastAsiaTheme="minorEastAsia" w:cstheme="minorEastAsia"/>
          <w:spacing w:val="-5"/>
          <w:sz w:val="21"/>
          <w:szCs w:val="21"/>
        </w:rPr>
        <w:t>合同，共同承担合同规定的一切</w:t>
      </w:r>
      <w:r>
        <w:rPr>
          <w:rFonts w:hint="eastAsia" w:asciiTheme="minorEastAsia" w:hAnsiTheme="minorEastAsia" w:eastAsiaTheme="minorEastAsia" w:cstheme="minorEastAsia"/>
          <w:sz w:val="21"/>
          <w:szCs w:val="21"/>
        </w:rPr>
        <w:t xml:space="preserve"> </w:t>
      </w:r>
      <w:r>
        <w:rPr>
          <w:rFonts w:hint="eastAsia" w:asciiTheme="minorEastAsia" w:hAnsiTheme="minorEastAsia" w:eastAsiaTheme="minorEastAsia" w:cstheme="minorEastAsia"/>
          <w:spacing w:val="-5"/>
          <w:sz w:val="21"/>
          <w:szCs w:val="21"/>
        </w:rPr>
        <w:t>义务和责任，联合体各成员单位按照内部职责的划分，承担各自所负的责任和风</w:t>
      </w:r>
      <w:r>
        <w:rPr>
          <w:rFonts w:hint="eastAsia" w:asciiTheme="minorEastAsia" w:hAnsiTheme="minorEastAsia" w:eastAsiaTheme="minorEastAsia" w:cstheme="minorEastAsia"/>
          <w:spacing w:val="15"/>
          <w:sz w:val="21"/>
          <w:szCs w:val="21"/>
        </w:rPr>
        <w:t xml:space="preserve"> </w:t>
      </w:r>
      <w:r>
        <w:rPr>
          <w:rFonts w:hint="eastAsia" w:asciiTheme="minorEastAsia" w:hAnsiTheme="minorEastAsia" w:eastAsiaTheme="minorEastAsia" w:cstheme="minorEastAsia"/>
          <w:spacing w:val="-4"/>
          <w:sz w:val="21"/>
          <w:szCs w:val="21"/>
        </w:rPr>
        <w:t>险，并向招标人承担连带责任。</w:t>
      </w:r>
    </w:p>
    <w:p w14:paraId="0919D6D2">
      <w:pPr>
        <w:pStyle w:val="22"/>
        <w:keepNext w:val="0"/>
        <w:keepLines w:val="0"/>
        <w:pageBreakBefore w:val="0"/>
        <w:widowControl w:val="0"/>
        <w:kinsoku/>
        <w:wordWrap/>
        <w:overflowPunct/>
        <w:topLinePunct w:val="0"/>
        <w:autoSpaceDE/>
        <w:autoSpaceDN/>
        <w:bidi w:val="0"/>
        <w:adjustRightInd/>
        <w:snapToGrid/>
        <w:spacing w:before="75" w:line="400" w:lineRule="exact"/>
        <w:ind w:left="54" w:firstLine="46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6"/>
          <w:sz w:val="21"/>
          <w:szCs w:val="21"/>
        </w:rPr>
        <w:t xml:space="preserve">6、联合体各成员单位内部的职责分工如下： </w:t>
      </w:r>
      <w:r>
        <w:rPr>
          <w:rFonts w:hint="eastAsia" w:asciiTheme="minorEastAsia" w:hAnsiTheme="minorEastAsia" w:eastAsiaTheme="minorEastAsia" w:cstheme="minorEastAsia"/>
          <w:spacing w:val="6"/>
          <w:sz w:val="21"/>
          <w:szCs w:val="21"/>
          <w:u w:val="single" w:color="auto"/>
        </w:rPr>
        <w:t>中建八局第二建设有</w:t>
      </w:r>
      <w:r>
        <w:rPr>
          <w:rFonts w:hint="eastAsia" w:asciiTheme="minorEastAsia" w:hAnsiTheme="minorEastAsia" w:eastAsiaTheme="minorEastAsia" w:cstheme="minorEastAsia"/>
          <w:spacing w:val="5"/>
          <w:sz w:val="21"/>
          <w:szCs w:val="21"/>
          <w:u w:val="single" w:color="auto"/>
        </w:rPr>
        <w:t>限公司牵</w:t>
      </w:r>
      <w:r>
        <w:rPr>
          <w:rFonts w:hint="eastAsia" w:asciiTheme="minorEastAsia" w:hAnsiTheme="minorEastAsia" w:eastAsiaTheme="minorEastAsia" w:cstheme="minorEastAsia"/>
          <w:sz w:val="21"/>
          <w:szCs w:val="21"/>
        </w:rPr>
        <w:t xml:space="preserve"> </w:t>
      </w:r>
      <w:r>
        <w:rPr>
          <w:rFonts w:hint="eastAsia" w:asciiTheme="minorEastAsia" w:hAnsiTheme="minorEastAsia" w:eastAsiaTheme="minorEastAsia" w:cstheme="minorEastAsia"/>
          <w:spacing w:val="13"/>
          <w:sz w:val="21"/>
          <w:szCs w:val="21"/>
          <w:u w:val="single" w:color="auto"/>
        </w:rPr>
        <w:t>头、中建八局(陕西)建设科技有限公司共同负责本项目的采购、施工任务；中</w:t>
      </w:r>
      <w:r>
        <w:rPr>
          <w:rFonts w:hint="eastAsia" w:asciiTheme="minorEastAsia" w:hAnsiTheme="minorEastAsia" w:eastAsiaTheme="minorEastAsia" w:cstheme="minorEastAsia"/>
          <w:spacing w:val="18"/>
          <w:sz w:val="21"/>
          <w:szCs w:val="21"/>
        </w:rPr>
        <w:t xml:space="preserve"> </w:t>
      </w:r>
      <w:r>
        <w:rPr>
          <w:rFonts w:hint="eastAsia" w:asciiTheme="minorEastAsia" w:hAnsiTheme="minorEastAsia" w:eastAsiaTheme="minorEastAsia" w:cstheme="minorEastAsia"/>
          <w:spacing w:val="9"/>
          <w:sz w:val="21"/>
          <w:szCs w:val="21"/>
          <w:u w:val="single" w:color="auto"/>
        </w:rPr>
        <w:t>国建筑西北设计研究院有限公司负责本项目的设计任务</w:t>
      </w:r>
      <w:r>
        <w:rPr>
          <w:rFonts w:hint="eastAsia" w:asciiTheme="minorEastAsia" w:hAnsiTheme="minorEastAsia" w:eastAsiaTheme="minorEastAsia" w:cstheme="minorEastAsia"/>
          <w:spacing w:val="9"/>
          <w:sz w:val="21"/>
          <w:szCs w:val="21"/>
        </w:rPr>
        <w:t>。</w:t>
      </w:r>
    </w:p>
    <w:p w14:paraId="6086DA64">
      <w:pPr>
        <w:pStyle w:val="22"/>
        <w:keepNext w:val="0"/>
        <w:keepLines w:val="0"/>
        <w:pageBreakBefore w:val="0"/>
        <w:widowControl w:val="0"/>
        <w:kinsoku/>
        <w:wordWrap/>
        <w:overflowPunct/>
        <w:topLinePunct w:val="0"/>
        <w:autoSpaceDE/>
        <w:autoSpaceDN/>
        <w:bidi w:val="0"/>
        <w:adjustRightInd/>
        <w:snapToGrid/>
        <w:spacing w:before="198" w:line="400" w:lineRule="exact"/>
        <w:ind w:left="54" w:right="72" w:firstLine="460"/>
        <w:textAlignment w:val="auto"/>
        <w:rPr>
          <w:rFonts w:hint="eastAsia" w:asciiTheme="minorEastAsia" w:hAnsiTheme="minorEastAsia" w:eastAsiaTheme="minorEastAsia" w:cstheme="minorEastAsia"/>
          <w:spacing w:val="4"/>
          <w:sz w:val="21"/>
          <w:szCs w:val="21"/>
          <w:lang w:eastAsia="zh-CN"/>
        </w:rPr>
      </w:pPr>
      <w:r>
        <w:rPr>
          <w:rFonts w:hint="eastAsia" w:asciiTheme="minorEastAsia" w:hAnsiTheme="minorEastAsia" w:eastAsiaTheme="minorEastAsia" w:cstheme="minorEastAsia"/>
          <w:spacing w:val="9"/>
          <w:sz w:val="21"/>
          <w:szCs w:val="21"/>
        </w:rPr>
        <w:t>7、资格预审和投标工作以及联合体在中标后工程</w:t>
      </w:r>
      <w:r>
        <w:rPr>
          <w:rFonts w:hint="eastAsia" w:asciiTheme="minorEastAsia" w:hAnsiTheme="minorEastAsia" w:eastAsiaTheme="minorEastAsia" w:cstheme="minorEastAsia"/>
          <w:spacing w:val="8"/>
          <w:sz w:val="21"/>
          <w:szCs w:val="21"/>
        </w:rPr>
        <w:t>实施过程中的有关费用按</w:t>
      </w:r>
      <w:r>
        <w:rPr>
          <w:rFonts w:hint="eastAsia" w:asciiTheme="minorEastAsia" w:hAnsiTheme="minorEastAsia" w:eastAsiaTheme="minorEastAsia" w:cstheme="minorEastAsia"/>
          <w:spacing w:val="4"/>
          <w:sz w:val="21"/>
          <w:szCs w:val="21"/>
        </w:rPr>
        <w:t>各自承担的工作量分摊</w:t>
      </w:r>
      <w:r>
        <w:rPr>
          <w:rFonts w:hint="eastAsia" w:asciiTheme="minorEastAsia" w:hAnsiTheme="minorEastAsia" w:eastAsiaTheme="minorEastAsia" w:cstheme="minorEastAsia"/>
          <w:spacing w:val="4"/>
          <w:sz w:val="21"/>
          <w:szCs w:val="21"/>
          <w:lang w:eastAsia="zh-CN"/>
        </w:rPr>
        <w:t>。费用支付/收取及发票开具：</w:t>
      </w:r>
    </w:p>
    <w:p w14:paraId="54FCC480">
      <w:pPr>
        <w:pStyle w:val="22"/>
        <w:keepNext w:val="0"/>
        <w:keepLines w:val="0"/>
        <w:pageBreakBefore w:val="0"/>
        <w:widowControl w:val="0"/>
        <w:kinsoku/>
        <w:wordWrap/>
        <w:overflowPunct/>
        <w:topLinePunct w:val="0"/>
        <w:autoSpaceDE/>
        <w:autoSpaceDN/>
        <w:bidi w:val="0"/>
        <w:adjustRightInd/>
        <w:snapToGrid/>
        <w:spacing w:before="198" w:line="400" w:lineRule="exact"/>
        <w:ind w:left="54" w:right="72" w:firstLine="460"/>
        <w:textAlignment w:val="auto"/>
        <w:rPr>
          <w:rFonts w:hint="eastAsia" w:asciiTheme="minorEastAsia" w:hAnsiTheme="minorEastAsia" w:eastAsiaTheme="minorEastAsia" w:cstheme="minorEastAsia"/>
          <w:color w:val="FF0000"/>
          <w:spacing w:val="4"/>
          <w:sz w:val="21"/>
          <w:szCs w:val="21"/>
          <w:u w:val="single"/>
          <w:lang w:eastAsia="zh-CN"/>
        </w:rPr>
      </w:pPr>
      <w:r>
        <w:rPr>
          <w:rFonts w:hint="eastAsia" w:asciiTheme="minorEastAsia" w:hAnsiTheme="minorEastAsia" w:eastAsiaTheme="minorEastAsia" w:cstheme="minorEastAsia"/>
          <w:spacing w:val="4"/>
          <w:sz w:val="21"/>
          <w:szCs w:val="21"/>
          <w:u w:val="single"/>
          <w:lang w:eastAsia="zh-CN"/>
        </w:rPr>
        <w:t>A工程费：由联合体成员中建八局(陕西)建设科技有限公司向招标人提起支付申请并向发包人开具符合要求的相应发票，约定中建八局(陕西)建设科技有限公司为本项目收款主体，以中建八局(陕西)建设科技有限公司名义设立账户作为本项目收款账户，负责该项目收款，该银行账户由中建八局(陕西)建设科技有限公司、中建八局第二建设有限公司共同管理。联合体各单位之间的工程费用按照各自承担的工作内容进行结算</w:t>
      </w:r>
      <w:r>
        <w:rPr>
          <w:rFonts w:hint="eastAsia" w:asciiTheme="minorEastAsia" w:hAnsiTheme="minorEastAsia" w:eastAsiaTheme="minorEastAsia" w:cstheme="minorEastAsia"/>
          <w:color w:val="auto"/>
          <w:spacing w:val="4"/>
          <w:sz w:val="21"/>
          <w:szCs w:val="21"/>
          <w:u w:val="single"/>
          <w:lang w:eastAsia="zh-CN"/>
        </w:rPr>
        <w:t>。</w:t>
      </w:r>
    </w:p>
    <w:p w14:paraId="7217DA0D">
      <w:pPr>
        <w:pStyle w:val="22"/>
        <w:keepNext w:val="0"/>
        <w:keepLines w:val="0"/>
        <w:pageBreakBefore w:val="0"/>
        <w:widowControl w:val="0"/>
        <w:kinsoku/>
        <w:wordWrap/>
        <w:overflowPunct/>
        <w:topLinePunct w:val="0"/>
        <w:autoSpaceDE/>
        <w:autoSpaceDN/>
        <w:bidi w:val="0"/>
        <w:adjustRightInd/>
        <w:snapToGrid/>
        <w:spacing w:before="198" w:line="400" w:lineRule="exact"/>
        <w:ind w:left="54" w:right="72" w:firstLine="46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4"/>
          <w:sz w:val="21"/>
          <w:szCs w:val="21"/>
          <w:u w:val="single"/>
          <w:lang w:eastAsia="zh-CN"/>
        </w:rPr>
        <w:t>B 设计费：按照主合同约定付款节点，由中国建筑西北设计研究院有限公司向发包人建设主体开具发票，由发包人建设主体直接向中国建筑西北设计研究院有限公司进行付款。</w:t>
      </w:r>
    </w:p>
    <w:p w14:paraId="6AE3FEAA">
      <w:pPr>
        <w:pStyle w:val="22"/>
        <w:keepNext w:val="0"/>
        <w:keepLines w:val="0"/>
        <w:pageBreakBefore w:val="0"/>
        <w:widowControl w:val="0"/>
        <w:kinsoku/>
        <w:wordWrap/>
        <w:overflowPunct/>
        <w:topLinePunct w:val="0"/>
        <w:autoSpaceDE/>
        <w:autoSpaceDN/>
        <w:bidi w:val="0"/>
        <w:adjustRightInd/>
        <w:snapToGrid/>
        <w:spacing w:before="224" w:line="400" w:lineRule="exact"/>
        <w:ind w:left="54" w:right="74" w:firstLine="46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9"/>
          <w:sz w:val="21"/>
          <w:szCs w:val="21"/>
        </w:rPr>
        <w:t>8、联合体中标后，本联合体协议是合同的附</w:t>
      </w:r>
      <w:r>
        <w:rPr>
          <w:rFonts w:hint="eastAsia" w:asciiTheme="minorEastAsia" w:hAnsiTheme="minorEastAsia" w:eastAsiaTheme="minorEastAsia" w:cstheme="minorEastAsia"/>
          <w:spacing w:val="8"/>
          <w:sz w:val="21"/>
          <w:szCs w:val="21"/>
        </w:rPr>
        <w:t>件，对联合体各成员单位有合</w:t>
      </w:r>
      <w:r>
        <w:rPr>
          <w:rFonts w:hint="eastAsia" w:asciiTheme="minorEastAsia" w:hAnsiTheme="minorEastAsia" w:eastAsiaTheme="minorEastAsia" w:cstheme="minorEastAsia"/>
          <w:sz w:val="21"/>
          <w:szCs w:val="21"/>
        </w:rPr>
        <w:t xml:space="preserve"> </w:t>
      </w:r>
      <w:r>
        <w:rPr>
          <w:rFonts w:hint="eastAsia" w:asciiTheme="minorEastAsia" w:hAnsiTheme="minorEastAsia" w:eastAsiaTheme="minorEastAsia" w:cstheme="minorEastAsia"/>
          <w:spacing w:val="1"/>
          <w:sz w:val="21"/>
          <w:szCs w:val="21"/>
        </w:rPr>
        <w:t>同约束力。</w:t>
      </w:r>
    </w:p>
    <w:p w14:paraId="24F82F29">
      <w:pPr>
        <w:pStyle w:val="22"/>
        <w:keepNext w:val="0"/>
        <w:keepLines w:val="0"/>
        <w:pageBreakBefore w:val="0"/>
        <w:widowControl w:val="0"/>
        <w:kinsoku/>
        <w:wordWrap/>
        <w:overflowPunct/>
        <w:topLinePunct w:val="0"/>
        <w:autoSpaceDE/>
        <w:autoSpaceDN/>
        <w:bidi w:val="0"/>
        <w:adjustRightInd/>
        <w:snapToGrid/>
        <w:spacing w:before="215" w:line="400" w:lineRule="exact"/>
        <w:ind w:left="54" w:right="46" w:firstLine="46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9"/>
          <w:sz w:val="21"/>
          <w:szCs w:val="21"/>
        </w:rPr>
        <w:t>9、本协议书自签署之日起生效，联合体未通过资格预审、未中标或者中标</w:t>
      </w:r>
      <w:r>
        <w:rPr>
          <w:rFonts w:hint="eastAsia" w:asciiTheme="minorEastAsia" w:hAnsiTheme="minorEastAsia" w:eastAsiaTheme="minorEastAsia" w:cstheme="minorEastAsia"/>
          <w:spacing w:val="15"/>
          <w:sz w:val="21"/>
          <w:szCs w:val="21"/>
        </w:rPr>
        <w:t xml:space="preserve"> </w:t>
      </w:r>
      <w:r>
        <w:rPr>
          <w:rFonts w:hint="eastAsia" w:asciiTheme="minorEastAsia" w:hAnsiTheme="minorEastAsia" w:eastAsiaTheme="minorEastAsia" w:cstheme="minorEastAsia"/>
          <w:spacing w:val="7"/>
          <w:sz w:val="21"/>
          <w:szCs w:val="21"/>
        </w:rPr>
        <w:t>时合同履行完毕后自动失效。</w:t>
      </w:r>
    </w:p>
    <w:p w14:paraId="5DD1D3F7">
      <w:pPr>
        <w:pStyle w:val="22"/>
        <w:keepNext w:val="0"/>
        <w:keepLines w:val="0"/>
        <w:pageBreakBefore w:val="0"/>
        <w:widowControl w:val="0"/>
        <w:kinsoku/>
        <w:wordWrap/>
        <w:overflowPunct/>
        <w:topLinePunct w:val="0"/>
        <w:autoSpaceDE/>
        <w:autoSpaceDN/>
        <w:bidi w:val="0"/>
        <w:adjustRightInd/>
        <w:snapToGrid/>
        <w:spacing w:before="205" w:line="400" w:lineRule="exact"/>
        <w:ind w:left="515"/>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11"/>
          <w:sz w:val="21"/>
          <w:szCs w:val="21"/>
        </w:rPr>
        <w:t>10、本协议书一式</w:t>
      </w:r>
      <w:r>
        <w:rPr>
          <w:rFonts w:hint="eastAsia" w:asciiTheme="minorEastAsia" w:hAnsiTheme="minorEastAsia" w:eastAsiaTheme="minorEastAsia" w:cstheme="minorEastAsia"/>
          <w:spacing w:val="11"/>
          <w:sz w:val="21"/>
          <w:szCs w:val="21"/>
          <w:u w:val="single" w:color="auto"/>
        </w:rPr>
        <w:t>肆</w:t>
      </w:r>
      <w:r>
        <w:rPr>
          <w:rFonts w:hint="eastAsia" w:asciiTheme="minorEastAsia" w:hAnsiTheme="minorEastAsia" w:eastAsiaTheme="minorEastAsia" w:cstheme="minorEastAsia"/>
          <w:spacing w:val="-5"/>
          <w:sz w:val="21"/>
          <w:szCs w:val="21"/>
        </w:rPr>
        <w:t xml:space="preserve"> </w:t>
      </w:r>
      <w:r>
        <w:rPr>
          <w:rFonts w:hint="eastAsia" w:asciiTheme="minorEastAsia" w:hAnsiTheme="minorEastAsia" w:eastAsiaTheme="minorEastAsia" w:cstheme="minorEastAsia"/>
          <w:spacing w:val="11"/>
          <w:sz w:val="21"/>
          <w:szCs w:val="21"/>
        </w:rPr>
        <w:t>份，联合体成员和招标人各执一份。</w:t>
      </w:r>
    </w:p>
    <w:p w14:paraId="4496DCC3">
      <w:pPr>
        <w:adjustRightInd w:val="0"/>
        <w:snapToGrid w:val="0"/>
        <w:spacing w:line="360" w:lineRule="auto"/>
        <w:ind w:firstLine="2658" w:firstLineChars="1266"/>
        <w:outlineLvl w:val="9"/>
        <w:rPr>
          <w:rFonts w:hint="eastAsia" w:asciiTheme="minorEastAsia" w:hAnsiTheme="minorEastAsia" w:eastAsiaTheme="minorEastAsia" w:cstheme="minorEastAsia"/>
          <w:color w:val="auto"/>
          <w:sz w:val="21"/>
          <w:szCs w:val="21"/>
          <w:highlight w:val="none"/>
        </w:rPr>
      </w:pPr>
    </w:p>
    <w:p w14:paraId="60F5C7FE">
      <w:pPr>
        <w:adjustRightInd w:val="0"/>
        <w:snapToGrid w:val="0"/>
        <w:spacing w:line="360" w:lineRule="auto"/>
        <w:ind w:firstLine="2658" w:firstLineChars="1266"/>
        <w:outlineLvl w:val="9"/>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 xml:space="preserve">      牵头人名称：</w:t>
      </w:r>
      <w:r>
        <w:rPr>
          <w:rFonts w:hint="eastAsia" w:asciiTheme="minorEastAsia" w:hAnsiTheme="minorEastAsia" w:eastAsiaTheme="minorEastAsia" w:cstheme="minorEastAsia"/>
          <w:color w:val="auto"/>
          <w:sz w:val="21"/>
          <w:szCs w:val="21"/>
          <w:highlight w:val="none"/>
          <w:u w:val="single"/>
        </w:rPr>
        <w:t>中建八局第二建设有限公司（盖单位公章）</w:t>
      </w:r>
    </w:p>
    <w:p w14:paraId="42CBA428">
      <w:pPr>
        <w:adjustRightInd w:val="0"/>
        <w:snapToGrid w:val="0"/>
        <w:spacing w:line="360" w:lineRule="auto"/>
        <w:ind w:firstLine="2658" w:firstLineChars="1266"/>
        <w:outlineLvl w:val="9"/>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 xml:space="preserve">      法定代表人：（签字或盖章）</w:t>
      </w:r>
    </w:p>
    <w:p w14:paraId="31BD90EE">
      <w:pPr>
        <w:adjustRightInd w:val="0"/>
        <w:snapToGrid w:val="0"/>
        <w:spacing w:line="360" w:lineRule="auto"/>
        <w:ind w:firstLine="2658" w:firstLineChars="1266"/>
        <w:outlineLvl w:val="9"/>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 xml:space="preserve">      成员名称：</w:t>
      </w:r>
      <w:r>
        <w:rPr>
          <w:rFonts w:hint="eastAsia" w:asciiTheme="minorEastAsia" w:hAnsiTheme="minorEastAsia" w:eastAsiaTheme="minorEastAsia" w:cstheme="minorEastAsia"/>
          <w:color w:val="auto"/>
          <w:sz w:val="21"/>
          <w:szCs w:val="21"/>
          <w:highlight w:val="none"/>
          <w:u w:val="single"/>
        </w:rPr>
        <w:t>中建八局(陕西)建设科技有限公司（盖单位公章）</w:t>
      </w:r>
    </w:p>
    <w:p w14:paraId="02A093AC">
      <w:pPr>
        <w:adjustRightInd w:val="0"/>
        <w:snapToGrid w:val="0"/>
        <w:spacing w:line="360" w:lineRule="auto"/>
        <w:ind w:firstLine="2658" w:firstLineChars="1266"/>
        <w:outlineLvl w:val="9"/>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 xml:space="preserve">      法定代表人：（签字或盖章）</w:t>
      </w:r>
    </w:p>
    <w:p w14:paraId="523C47C0">
      <w:pPr>
        <w:adjustRightInd w:val="0"/>
        <w:snapToGrid w:val="0"/>
        <w:spacing w:line="360" w:lineRule="auto"/>
        <w:ind w:firstLine="2658" w:firstLineChars="1266"/>
        <w:outlineLvl w:val="9"/>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 xml:space="preserve">      成员名称：</w:t>
      </w:r>
      <w:r>
        <w:rPr>
          <w:rFonts w:hint="eastAsia" w:asciiTheme="minorEastAsia" w:hAnsiTheme="minorEastAsia" w:eastAsiaTheme="minorEastAsia" w:cstheme="minorEastAsia"/>
          <w:color w:val="auto"/>
          <w:sz w:val="21"/>
          <w:szCs w:val="21"/>
          <w:highlight w:val="none"/>
          <w:u w:val="single"/>
        </w:rPr>
        <w:t>中国建筑西北设计研究院有限公司（盖单位公章）</w:t>
      </w:r>
    </w:p>
    <w:p w14:paraId="6176A88F">
      <w:pPr>
        <w:adjustRightInd w:val="0"/>
        <w:snapToGrid w:val="0"/>
        <w:spacing w:line="360" w:lineRule="auto"/>
        <w:ind w:firstLine="2658" w:firstLineChars="1266"/>
        <w:outlineLvl w:val="9"/>
        <w:rPr>
          <w:rFonts w:hint="eastAsia"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 xml:space="preserve">      法定代表人：（签字或盖章）</w:t>
      </w:r>
    </w:p>
    <w:p w14:paraId="364EDC78">
      <w:pPr>
        <w:adjustRightInd w:val="0"/>
        <w:snapToGrid w:val="0"/>
        <w:spacing w:line="360" w:lineRule="auto"/>
        <w:ind w:firstLine="2658" w:firstLineChars="1266"/>
        <w:outlineLvl w:val="9"/>
        <w:rPr>
          <w:rFonts w:hint="eastAsia" w:asciiTheme="minorEastAsia" w:hAnsiTheme="minorEastAsia" w:eastAsiaTheme="minorEastAsia" w:cstheme="minorEastAsia"/>
          <w:b/>
          <w:bCs/>
          <w:color w:val="auto"/>
          <w:sz w:val="21"/>
          <w:szCs w:val="21"/>
          <w:highlight w:val="none"/>
        </w:rPr>
      </w:pPr>
      <w:r>
        <w:rPr>
          <w:rFonts w:hint="eastAsia" w:asciiTheme="minorEastAsia" w:hAnsiTheme="minorEastAsia" w:eastAsiaTheme="minorEastAsia" w:cstheme="minorEastAsia"/>
          <w:color w:val="auto"/>
          <w:sz w:val="21"/>
          <w:szCs w:val="21"/>
          <w:highlight w:val="none"/>
        </w:rPr>
        <w:t xml:space="preserve">      日期：    年  月  日</w:t>
      </w:r>
    </w:p>
    <w:p w14:paraId="19B82D3E">
      <w:pPr>
        <w:ind w:firstLine="643"/>
        <w:jc w:val="center"/>
        <w:outlineLvl w:val="9"/>
        <w:rPr>
          <w:rFonts w:hint="eastAsia" w:asciiTheme="minorEastAsia" w:hAnsiTheme="minorEastAsia" w:eastAsiaTheme="minorEastAsia" w:cstheme="minorEastAsia"/>
          <w:b/>
          <w:color w:val="auto"/>
          <w:sz w:val="21"/>
          <w:szCs w:val="21"/>
          <w:highlight w:val="none"/>
        </w:rPr>
        <w:sectPr>
          <w:footerReference r:id="rId13" w:type="first"/>
          <w:footerReference r:id="rId12" w:type="default"/>
          <w:pgSz w:w="11900" w:h="16838"/>
          <w:pgMar w:top="1134" w:right="1361" w:bottom="1134" w:left="1361" w:header="510" w:footer="510" w:gutter="0"/>
          <w:pgBorders>
            <w:top w:val="none" w:sz="0" w:space="0"/>
            <w:left w:val="none" w:sz="0" w:space="0"/>
            <w:bottom w:val="none" w:sz="0" w:space="0"/>
            <w:right w:val="none" w:sz="0" w:space="0"/>
          </w:pgBorders>
          <w:cols w:space="0" w:num="1"/>
          <w:titlePg/>
          <w:docGrid w:linePitch="312" w:charSpace="0"/>
        </w:sectPr>
      </w:pPr>
    </w:p>
    <w:p w14:paraId="3DCCEA7F">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附件三十</w:t>
      </w:r>
      <w:r>
        <w:rPr>
          <w:rFonts w:hint="eastAsia" w:cs="宋体" w:asciiTheme="minorEastAsia" w:hAnsiTheme="minorEastAsia" w:eastAsiaTheme="minorEastAsia"/>
          <w:color w:val="auto"/>
          <w:szCs w:val="21"/>
          <w:highlight w:val="none"/>
          <w:lang w:val="en-US" w:eastAsia="zh-CN"/>
        </w:rPr>
        <w:t>一</w:t>
      </w:r>
      <w:r>
        <w:rPr>
          <w:rFonts w:hint="eastAsia" w:cs="宋体" w:asciiTheme="minorEastAsia" w:hAnsiTheme="minorEastAsia" w:eastAsiaTheme="minorEastAsia"/>
          <w:color w:val="auto"/>
          <w:szCs w:val="21"/>
          <w:highlight w:val="none"/>
        </w:rPr>
        <w:t>：</w:t>
      </w:r>
      <w:bookmarkStart w:id="742" w:name="_Toc26626"/>
      <w:bookmarkStart w:id="743" w:name="_Toc116745826"/>
      <w:bookmarkStart w:id="744" w:name="_Toc116745825"/>
    </w:p>
    <w:p w14:paraId="399AC2C0">
      <w:pPr>
        <w:spacing w:line="360" w:lineRule="auto"/>
        <w:ind w:firstLine="482"/>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设计工作履约评价考核表</w:t>
      </w:r>
    </w:p>
    <w:p w14:paraId="0CA1586C">
      <w:pPr>
        <w:spacing w:line="360" w:lineRule="auto"/>
        <w:ind w:firstLine="482"/>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b/>
          <w:color w:val="auto"/>
          <w:szCs w:val="21"/>
          <w:highlight w:val="none"/>
        </w:rPr>
        <w:t>表</w:t>
      </w:r>
      <w:r>
        <w:rPr>
          <w:rFonts w:cs="宋体" w:asciiTheme="minorEastAsia" w:hAnsiTheme="minorEastAsia" w:eastAsiaTheme="minorEastAsia"/>
          <w:b/>
          <w:color w:val="auto"/>
          <w:szCs w:val="21"/>
          <w:highlight w:val="none"/>
        </w:rPr>
        <w:t xml:space="preserve">1 </w:t>
      </w:r>
      <w:r>
        <w:rPr>
          <w:rFonts w:hint="eastAsia" w:cs="宋体" w:asciiTheme="minorEastAsia" w:hAnsiTheme="minorEastAsia" w:eastAsiaTheme="minorEastAsia"/>
          <w:b/>
          <w:color w:val="auto"/>
          <w:szCs w:val="21"/>
          <w:highlight w:val="none"/>
        </w:rPr>
        <w:t>：总师办对设计工作履约评价考核表（方案深化设计阶段）</w:t>
      </w:r>
    </w:p>
    <w:tbl>
      <w:tblPr>
        <w:tblStyle w:val="5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3"/>
        <w:gridCol w:w="4614"/>
        <w:gridCol w:w="1499"/>
        <w:gridCol w:w="1831"/>
      </w:tblGrid>
      <w:tr w14:paraId="7CA49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33" w:type="dxa"/>
          </w:tcPr>
          <w:p w14:paraId="7C99D019">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序号</w:t>
            </w:r>
          </w:p>
        </w:tc>
        <w:tc>
          <w:tcPr>
            <w:tcW w:w="4614" w:type="dxa"/>
          </w:tcPr>
          <w:p w14:paraId="66386960">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w:t>
            </w:r>
          </w:p>
        </w:tc>
        <w:tc>
          <w:tcPr>
            <w:tcW w:w="1499" w:type="dxa"/>
          </w:tcPr>
          <w:p w14:paraId="2D291AF3">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标准分值</w:t>
            </w:r>
          </w:p>
        </w:tc>
        <w:tc>
          <w:tcPr>
            <w:tcW w:w="1831" w:type="dxa"/>
          </w:tcPr>
          <w:p w14:paraId="701E1F49">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实际得分</w:t>
            </w:r>
          </w:p>
        </w:tc>
      </w:tr>
      <w:tr w14:paraId="79FD7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Pr>
          <w:p w14:paraId="10A19679">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w:t>
            </w:r>
          </w:p>
        </w:tc>
        <w:tc>
          <w:tcPr>
            <w:tcW w:w="4614" w:type="dxa"/>
          </w:tcPr>
          <w:p w14:paraId="6E30E7B3">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承接人员的资质、经验、专业满足设计工作需要</w:t>
            </w:r>
          </w:p>
        </w:tc>
        <w:tc>
          <w:tcPr>
            <w:tcW w:w="1499" w:type="dxa"/>
          </w:tcPr>
          <w:p w14:paraId="7CCAA3BD">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31" w:type="dxa"/>
          </w:tcPr>
          <w:p w14:paraId="3E2582E3">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0F1E7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Pr>
          <w:p w14:paraId="12988708">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w:t>
            </w:r>
          </w:p>
        </w:tc>
        <w:tc>
          <w:tcPr>
            <w:tcW w:w="4614" w:type="dxa"/>
          </w:tcPr>
          <w:p w14:paraId="40A1AD89">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设计成果文件的提交进度</w:t>
            </w:r>
          </w:p>
        </w:tc>
        <w:tc>
          <w:tcPr>
            <w:tcW w:w="1499" w:type="dxa"/>
          </w:tcPr>
          <w:p w14:paraId="382D2DAA">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Pr>
          <w:p w14:paraId="1F7936A6">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49069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Pr>
          <w:p w14:paraId="215DE95D">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w:t>
            </w:r>
          </w:p>
        </w:tc>
        <w:tc>
          <w:tcPr>
            <w:tcW w:w="4614" w:type="dxa"/>
          </w:tcPr>
          <w:p w14:paraId="75116FF9">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设计计划的完成情况</w:t>
            </w:r>
          </w:p>
        </w:tc>
        <w:tc>
          <w:tcPr>
            <w:tcW w:w="1499" w:type="dxa"/>
          </w:tcPr>
          <w:p w14:paraId="0A202D26">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31" w:type="dxa"/>
          </w:tcPr>
          <w:p w14:paraId="70660818">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1BC9E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Pr>
          <w:p w14:paraId="60F1402E">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w:t>
            </w:r>
          </w:p>
        </w:tc>
        <w:tc>
          <w:tcPr>
            <w:tcW w:w="4614" w:type="dxa"/>
          </w:tcPr>
          <w:p w14:paraId="6CC3D199">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设计成果文件的质量</w:t>
            </w:r>
          </w:p>
        </w:tc>
        <w:tc>
          <w:tcPr>
            <w:tcW w:w="1499" w:type="dxa"/>
          </w:tcPr>
          <w:p w14:paraId="3858E06E">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31" w:type="dxa"/>
          </w:tcPr>
          <w:p w14:paraId="59941E9E">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57B30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Pr>
          <w:p w14:paraId="38E2F020">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4614" w:type="dxa"/>
          </w:tcPr>
          <w:p w14:paraId="7082AF2A">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设计文件的限额设计要求</w:t>
            </w:r>
          </w:p>
        </w:tc>
        <w:tc>
          <w:tcPr>
            <w:tcW w:w="1499" w:type="dxa"/>
          </w:tcPr>
          <w:p w14:paraId="527B5400">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31" w:type="dxa"/>
          </w:tcPr>
          <w:p w14:paraId="66FB4FB8">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0ACFE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Pr>
          <w:p w14:paraId="32BC8045">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6</w:t>
            </w:r>
          </w:p>
        </w:tc>
        <w:tc>
          <w:tcPr>
            <w:tcW w:w="4614" w:type="dxa"/>
          </w:tcPr>
          <w:p w14:paraId="58E8FE5A">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设计文件对委托方的响应要求</w:t>
            </w:r>
          </w:p>
        </w:tc>
        <w:tc>
          <w:tcPr>
            <w:tcW w:w="1499" w:type="dxa"/>
          </w:tcPr>
          <w:p w14:paraId="465D486E">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31" w:type="dxa"/>
          </w:tcPr>
          <w:p w14:paraId="6EE3DB97">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6FF8D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Pr>
          <w:p w14:paraId="6B005BD4">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7</w:t>
            </w:r>
          </w:p>
        </w:tc>
        <w:tc>
          <w:tcPr>
            <w:tcW w:w="4614" w:type="dxa"/>
          </w:tcPr>
          <w:p w14:paraId="37C21FF5">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方案报建阶段的配合情况</w:t>
            </w:r>
          </w:p>
        </w:tc>
        <w:tc>
          <w:tcPr>
            <w:tcW w:w="1499" w:type="dxa"/>
          </w:tcPr>
          <w:p w14:paraId="374CF2CB">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31" w:type="dxa"/>
          </w:tcPr>
          <w:p w14:paraId="51EB5EC5">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15A5B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33" w:type="dxa"/>
          </w:tcPr>
          <w:p w14:paraId="55ADB684">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8</w:t>
            </w:r>
          </w:p>
        </w:tc>
        <w:tc>
          <w:tcPr>
            <w:tcW w:w="4614" w:type="dxa"/>
          </w:tcPr>
          <w:p w14:paraId="03DF10D8">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设计文件和基础资料的保密情况</w:t>
            </w:r>
          </w:p>
        </w:tc>
        <w:tc>
          <w:tcPr>
            <w:tcW w:w="1499" w:type="dxa"/>
          </w:tcPr>
          <w:p w14:paraId="6002B7D1">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31" w:type="dxa"/>
          </w:tcPr>
          <w:p w14:paraId="69323029">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65DEB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Pr>
          <w:p w14:paraId="3157D253">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9</w:t>
            </w:r>
          </w:p>
        </w:tc>
        <w:tc>
          <w:tcPr>
            <w:tcW w:w="4614" w:type="dxa"/>
          </w:tcPr>
          <w:p w14:paraId="1D489FD6">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承接人员有无违反职业道德的不良行为</w:t>
            </w:r>
          </w:p>
        </w:tc>
        <w:tc>
          <w:tcPr>
            <w:tcW w:w="1499" w:type="dxa"/>
          </w:tcPr>
          <w:p w14:paraId="130E7790">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31" w:type="dxa"/>
          </w:tcPr>
          <w:p w14:paraId="57638CC0">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319C1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547" w:type="dxa"/>
            <w:gridSpan w:val="2"/>
          </w:tcPr>
          <w:p w14:paraId="1672C8A5">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合计</w:t>
            </w:r>
          </w:p>
        </w:tc>
        <w:tc>
          <w:tcPr>
            <w:tcW w:w="1499" w:type="dxa"/>
          </w:tcPr>
          <w:p w14:paraId="21A55F03">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100</w:t>
            </w:r>
          </w:p>
        </w:tc>
        <w:tc>
          <w:tcPr>
            <w:tcW w:w="1831" w:type="dxa"/>
          </w:tcPr>
          <w:p w14:paraId="5DD6195A">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5E0F5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7" w:type="dxa"/>
            <w:gridSpan w:val="4"/>
          </w:tcPr>
          <w:p w14:paraId="3B34DFA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评定等级</w:t>
            </w:r>
            <w:r>
              <w:rPr>
                <w:rFonts w:cs="宋体" w:asciiTheme="minorEastAsia" w:hAnsiTheme="minorEastAsia" w:eastAsiaTheme="minorEastAsia"/>
                <w:color w:val="auto"/>
                <w:szCs w:val="21"/>
                <w:highlight w:val="none"/>
              </w:rPr>
              <w:t>:</w:t>
            </w:r>
          </w:p>
        </w:tc>
      </w:tr>
      <w:tr w14:paraId="0284D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7" w:type="dxa"/>
            <w:gridSpan w:val="2"/>
          </w:tcPr>
          <w:p w14:paraId="057DAD4B">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填表人：</w:t>
            </w:r>
          </w:p>
        </w:tc>
        <w:tc>
          <w:tcPr>
            <w:tcW w:w="3330" w:type="dxa"/>
            <w:gridSpan w:val="2"/>
          </w:tcPr>
          <w:p w14:paraId="3F237C29">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复核</w:t>
            </w:r>
          </w:p>
        </w:tc>
      </w:tr>
    </w:tbl>
    <w:p w14:paraId="50DDBA87">
      <w:pPr>
        <w:spacing w:line="360" w:lineRule="auto"/>
        <w:ind w:firstLine="422"/>
        <w:outlineLvl w:val="9"/>
        <w:rPr>
          <w:rFonts w:cs="宋体" w:asciiTheme="minorEastAsia" w:hAnsiTheme="minorEastAsia" w:eastAsiaTheme="minorEastAsia"/>
          <w:b/>
          <w:color w:val="auto"/>
          <w:szCs w:val="21"/>
          <w:highlight w:val="none"/>
        </w:rPr>
        <w:sectPr>
          <w:headerReference r:id="rId15" w:type="first"/>
          <w:footerReference r:id="rId18" w:type="first"/>
          <w:headerReference r:id="rId14" w:type="default"/>
          <w:footerReference r:id="rId16" w:type="default"/>
          <w:footerReference r:id="rId17" w:type="even"/>
          <w:pgSz w:w="11906" w:h="16838"/>
          <w:pgMar w:top="851" w:right="1361" w:bottom="851" w:left="1361" w:header="567" w:footer="567" w:gutter="0"/>
          <w:pgBorders>
            <w:top w:val="none" w:sz="0" w:space="0"/>
            <w:left w:val="none" w:sz="0" w:space="0"/>
            <w:bottom w:val="none" w:sz="0" w:space="0"/>
            <w:right w:val="none" w:sz="0" w:space="0"/>
          </w:pgBorders>
          <w:cols w:space="720" w:num="1"/>
          <w:titlePg/>
          <w:docGrid w:linePitch="312" w:charSpace="0"/>
        </w:sectPr>
      </w:pPr>
    </w:p>
    <w:p w14:paraId="0741AC63">
      <w:pPr>
        <w:pStyle w:val="22"/>
        <w:outlineLvl w:val="9"/>
        <w:rPr>
          <w:color w:val="auto"/>
          <w:highlight w:val="none"/>
        </w:rPr>
      </w:pPr>
    </w:p>
    <w:p w14:paraId="017ED51A">
      <w:pPr>
        <w:spacing w:line="360" w:lineRule="auto"/>
        <w:jc w:val="center"/>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项目部对设计工作履约评价考核表（方案深化设计阶段）</w:t>
      </w:r>
    </w:p>
    <w:tbl>
      <w:tblPr>
        <w:tblStyle w:val="5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3"/>
        <w:gridCol w:w="4614"/>
        <w:gridCol w:w="1499"/>
        <w:gridCol w:w="1831"/>
      </w:tblGrid>
      <w:tr w14:paraId="491EE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7039BD2D">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序号</w:t>
            </w:r>
          </w:p>
        </w:tc>
        <w:tc>
          <w:tcPr>
            <w:tcW w:w="4614" w:type="dxa"/>
            <w:tcBorders>
              <w:top w:val="single" w:color="auto" w:sz="4" w:space="0"/>
              <w:left w:val="single" w:color="auto" w:sz="4" w:space="0"/>
              <w:bottom w:val="single" w:color="auto" w:sz="4" w:space="0"/>
              <w:right w:val="single" w:color="auto" w:sz="4" w:space="0"/>
            </w:tcBorders>
          </w:tcPr>
          <w:p w14:paraId="5447A6A0">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w:t>
            </w:r>
          </w:p>
        </w:tc>
        <w:tc>
          <w:tcPr>
            <w:tcW w:w="1499" w:type="dxa"/>
            <w:tcBorders>
              <w:top w:val="single" w:color="auto" w:sz="4" w:space="0"/>
              <w:left w:val="single" w:color="auto" w:sz="4" w:space="0"/>
              <w:bottom w:val="single" w:color="auto" w:sz="4" w:space="0"/>
              <w:right w:val="single" w:color="auto" w:sz="4" w:space="0"/>
            </w:tcBorders>
          </w:tcPr>
          <w:p w14:paraId="04A33577">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标准分值</w:t>
            </w:r>
          </w:p>
        </w:tc>
        <w:tc>
          <w:tcPr>
            <w:tcW w:w="1831" w:type="dxa"/>
            <w:tcBorders>
              <w:top w:val="single" w:color="auto" w:sz="4" w:space="0"/>
              <w:left w:val="single" w:color="auto" w:sz="4" w:space="0"/>
              <w:bottom w:val="single" w:color="auto" w:sz="4" w:space="0"/>
              <w:right w:val="single" w:color="auto" w:sz="4" w:space="0"/>
            </w:tcBorders>
          </w:tcPr>
          <w:p w14:paraId="523978B0">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实际得分</w:t>
            </w:r>
          </w:p>
        </w:tc>
      </w:tr>
      <w:tr w14:paraId="2AEA8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70D0CE0B">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w:t>
            </w:r>
          </w:p>
        </w:tc>
        <w:tc>
          <w:tcPr>
            <w:tcW w:w="4614" w:type="dxa"/>
            <w:tcBorders>
              <w:top w:val="single" w:color="auto" w:sz="4" w:space="0"/>
              <w:left w:val="single" w:color="auto" w:sz="4" w:space="0"/>
              <w:bottom w:val="single" w:color="auto" w:sz="4" w:space="0"/>
              <w:right w:val="single" w:color="auto" w:sz="4" w:space="0"/>
            </w:tcBorders>
          </w:tcPr>
          <w:p w14:paraId="35EA397A">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设计成果文件的提交进度</w:t>
            </w:r>
          </w:p>
        </w:tc>
        <w:tc>
          <w:tcPr>
            <w:tcW w:w="1499" w:type="dxa"/>
            <w:tcBorders>
              <w:top w:val="single" w:color="auto" w:sz="4" w:space="0"/>
              <w:left w:val="single" w:color="auto" w:sz="4" w:space="0"/>
              <w:bottom w:val="single" w:color="auto" w:sz="4" w:space="0"/>
              <w:right w:val="single" w:color="auto" w:sz="4" w:space="0"/>
            </w:tcBorders>
          </w:tcPr>
          <w:p w14:paraId="535F830A">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1FA10733">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01FAC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3A6B3188">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w:t>
            </w:r>
          </w:p>
        </w:tc>
        <w:tc>
          <w:tcPr>
            <w:tcW w:w="4614" w:type="dxa"/>
            <w:tcBorders>
              <w:top w:val="single" w:color="auto" w:sz="4" w:space="0"/>
              <w:left w:val="single" w:color="auto" w:sz="4" w:space="0"/>
              <w:bottom w:val="single" w:color="auto" w:sz="4" w:space="0"/>
              <w:right w:val="single" w:color="auto" w:sz="4" w:space="0"/>
            </w:tcBorders>
          </w:tcPr>
          <w:p w14:paraId="086251DD">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设计成果文件的质量</w:t>
            </w:r>
          </w:p>
        </w:tc>
        <w:tc>
          <w:tcPr>
            <w:tcW w:w="1499" w:type="dxa"/>
            <w:tcBorders>
              <w:top w:val="single" w:color="auto" w:sz="4" w:space="0"/>
              <w:left w:val="single" w:color="auto" w:sz="4" w:space="0"/>
              <w:bottom w:val="single" w:color="auto" w:sz="4" w:space="0"/>
              <w:right w:val="single" w:color="auto" w:sz="4" w:space="0"/>
            </w:tcBorders>
          </w:tcPr>
          <w:p w14:paraId="4BE9C67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432AD54E">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05DCC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627E98D0">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w:t>
            </w:r>
          </w:p>
        </w:tc>
        <w:tc>
          <w:tcPr>
            <w:tcW w:w="4614" w:type="dxa"/>
            <w:tcBorders>
              <w:top w:val="single" w:color="auto" w:sz="4" w:space="0"/>
              <w:left w:val="single" w:color="auto" w:sz="4" w:space="0"/>
              <w:bottom w:val="single" w:color="auto" w:sz="4" w:space="0"/>
              <w:right w:val="single" w:color="auto" w:sz="4" w:space="0"/>
            </w:tcBorders>
          </w:tcPr>
          <w:p w14:paraId="1D7E2D55">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设计文件对委托方的要求响应</w:t>
            </w:r>
          </w:p>
        </w:tc>
        <w:tc>
          <w:tcPr>
            <w:tcW w:w="1499" w:type="dxa"/>
            <w:tcBorders>
              <w:top w:val="single" w:color="auto" w:sz="4" w:space="0"/>
              <w:left w:val="single" w:color="auto" w:sz="4" w:space="0"/>
              <w:bottom w:val="single" w:color="auto" w:sz="4" w:space="0"/>
              <w:right w:val="single" w:color="auto" w:sz="4" w:space="0"/>
            </w:tcBorders>
          </w:tcPr>
          <w:p w14:paraId="7898789C">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0AB4DD9C">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45DC9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1FBBADC3">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w:t>
            </w:r>
          </w:p>
        </w:tc>
        <w:tc>
          <w:tcPr>
            <w:tcW w:w="4614" w:type="dxa"/>
            <w:tcBorders>
              <w:top w:val="single" w:color="auto" w:sz="4" w:space="0"/>
              <w:left w:val="single" w:color="auto" w:sz="4" w:space="0"/>
              <w:bottom w:val="single" w:color="auto" w:sz="4" w:space="0"/>
              <w:right w:val="single" w:color="auto" w:sz="4" w:space="0"/>
            </w:tcBorders>
          </w:tcPr>
          <w:p w14:paraId="5937D76F">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对问题修改的响应速度及质量</w:t>
            </w:r>
          </w:p>
        </w:tc>
        <w:tc>
          <w:tcPr>
            <w:tcW w:w="1499" w:type="dxa"/>
            <w:tcBorders>
              <w:top w:val="single" w:color="auto" w:sz="4" w:space="0"/>
              <w:left w:val="single" w:color="auto" w:sz="4" w:space="0"/>
              <w:bottom w:val="single" w:color="auto" w:sz="4" w:space="0"/>
              <w:right w:val="single" w:color="auto" w:sz="4" w:space="0"/>
            </w:tcBorders>
          </w:tcPr>
          <w:p w14:paraId="74A46A51">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2CCD2F80">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3E665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5FD11630">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4614" w:type="dxa"/>
            <w:tcBorders>
              <w:top w:val="single" w:color="auto" w:sz="4" w:space="0"/>
              <w:left w:val="single" w:color="auto" w:sz="4" w:space="0"/>
              <w:bottom w:val="single" w:color="auto" w:sz="4" w:space="0"/>
              <w:right w:val="single" w:color="auto" w:sz="4" w:space="0"/>
            </w:tcBorders>
          </w:tcPr>
          <w:p w14:paraId="4D2A7F84">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方案报建阶段的配合情况</w:t>
            </w:r>
          </w:p>
        </w:tc>
        <w:tc>
          <w:tcPr>
            <w:tcW w:w="1499" w:type="dxa"/>
            <w:tcBorders>
              <w:top w:val="single" w:color="auto" w:sz="4" w:space="0"/>
              <w:left w:val="single" w:color="auto" w:sz="4" w:space="0"/>
              <w:bottom w:val="single" w:color="auto" w:sz="4" w:space="0"/>
              <w:right w:val="single" w:color="auto" w:sz="4" w:space="0"/>
            </w:tcBorders>
          </w:tcPr>
          <w:p w14:paraId="1E76707E">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121125DC">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7FF1E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547" w:type="dxa"/>
            <w:gridSpan w:val="2"/>
            <w:tcBorders>
              <w:top w:val="single" w:color="auto" w:sz="4" w:space="0"/>
              <w:left w:val="single" w:color="auto" w:sz="4" w:space="0"/>
              <w:bottom w:val="single" w:color="auto" w:sz="4" w:space="0"/>
              <w:right w:val="single" w:color="auto" w:sz="4" w:space="0"/>
            </w:tcBorders>
          </w:tcPr>
          <w:p w14:paraId="608A06A4">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合计</w:t>
            </w:r>
          </w:p>
        </w:tc>
        <w:tc>
          <w:tcPr>
            <w:tcW w:w="1499" w:type="dxa"/>
            <w:tcBorders>
              <w:top w:val="single" w:color="auto" w:sz="4" w:space="0"/>
              <w:left w:val="single" w:color="auto" w:sz="4" w:space="0"/>
              <w:bottom w:val="single" w:color="auto" w:sz="4" w:space="0"/>
              <w:right w:val="single" w:color="auto" w:sz="4" w:space="0"/>
            </w:tcBorders>
          </w:tcPr>
          <w:p w14:paraId="38AC400C">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100</w:t>
            </w:r>
          </w:p>
        </w:tc>
        <w:tc>
          <w:tcPr>
            <w:tcW w:w="1831" w:type="dxa"/>
            <w:tcBorders>
              <w:top w:val="single" w:color="auto" w:sz="4" w:space="0"/>
              <w:left w:val="single" w:color="auto" w:sz="4" w:space="0"/>
              <w:bottom w:val="single" w:color="auto" w:sz="4" w:space="0"/>
              <w:right w:val="single" w:color="auto" w:sz="4" w:space="0"/>
            </w:tcBorders>
          </w:tcPr>
          <w:p w14:paraId="09E9DEB6">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6A84A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7" w:type="dxa"/>
            <w:gridSpan w:val="4"/>
            <w:tcBorders>
              <w:top w:val="single" w:color="auto" w:sz="4" w:space="0"/>
              <w:left w:val="single" w:color="auto" w:sz="4" w:space="0"/>
              <w:bottom w:val="single" w:color="auto" w:sz="4" w:space="0"/>
              <w:right w:val="single" w:color="auto" w:sz="4" w:space="0"/>
            </w:tcBorders>
          </w:tcPr>
          <w:p w14:paraId="64ED5DA4">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评定等级</w:t>
            </w:r>
            <w:r>
              <w:rPr>
                <w:rFonts w:cs="宋体" w:asciiTheme="minorEastAsia" w:hAnsiTheme="minorEastAsia" w:eastAsiaTheme="minorEastAsia"/>
                <w:color w:val="auto"/>
                <w:szCs w:val="21"/>
                <w:highlight w:val="none"/>
              </w:rPr>
              <w:t>:</w:t>
            </w:r>
          </w:p>
        </w:tc>
      </w:tr>
      <w:tr w14:paraId="43B36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7" w:type="dxa"/>
            <w:gridSpan w:val="2"/>
            <w:tcBorders>
              <w:top w:val="single" w:color="auto" w:sz="4" w:space="0"/>
              <w:left w:val="single" w:color="auto" w:sz="4" w:space="0"/>
              <w:bottom w:val="single" w:color="auto" w:sz="4" w:space="0"/>
              <w:right w:val="single" w:color="auto" w:sz="4" w:space="0"/>
            </w:tcBorders>
          </w:tcPr>
          <w:p w14:paraId="098F0BFD">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填表人：</w:t>
            </w:r>
          </w:p>
        </w:tc>
        <w:tc>
          <w:tcPr>
            <w:tcW w:w="3330" w:type="dxa"/>
            <w:gridSpan w:val="2"/>
            <w:tcBorders>
              <w:top w:val="single" w:color="auto" w:sz="4" w:space="0"/>
              <w:left w:val="single" w:color="auto" w:sz="4" w:space="0"/>
              <w:bottom w:val="single" w:color="auto" w:sz="4" w:space="0"/>
              <w:right w:val="single" w:color="auto" w:sz="4" w:space="0"/>
            </w:tcBorders>
          </w:tcPr>
          <w:p w14:paraId="33938E9C">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复核</w:t>
            </w:r>
          </w:p>
        </w:tc>
      </w:tr>
    </w:tbl>
    <w:p w14:paraId="16AFC69E">
      <w:pPr>
        <w:spacing w:line="360" w:lineRule="auto"/>
        <w:ind w:firstLine="422"/>
        <w:outlineLvl w:val="9"/>
        <w:rPr>
          <w:rFonts w:cs="宋体" w:asciiTheme="minorEastAsia" w:hAnsiTheme="minorEastAsia" w:eastAsiaTheme="minorEastAsia"/>
          <w:b/>
          <w:color w:val="auto"/>
          <w:szCs w:val="21"/>
          <w:highlight w:val="none"/>
        </w:rPr>
        <w:sectPr>
          <w:pgSz w:w="11906" w:h="16838"/>
          <w:pgMar w:top="851" w:right="1361" w:bottom="851" w:left="1361" w:header="567" w:footer="567" w:gutter="0"/>
          <w:pgBorders>
            <w:top w:val="none" w:sz="0" w:space="0"/>
            <w:left w:val="none" w:sz="0" w:space="0"/>
            <w:bottom w:val="none" w:sz="0" w:space="0"/>
            <w:right w:val="none" w:sz="0" w:space="0"/>
          </w:pgBorders>
          <w:cols w:space="720" w:num="1"/>
          <w:titlePg/>
          <w:docGrid w:linePitch="312" w:charSpace="0"/>
        </w:sectPr>
      </w:pPr>
    </w:p>
    <w:p w14:paraId="79ADB138">
      <w:pPr>
        <w:pStyle w:val="22"/>
        <w:outlineLvl w:val="9"/>
        <w:rPr>
          <w:color w:val="auto"/>
          <w:highlight w:val="none"/>
        </w:rPr>
      </w:pPr>
    </w:p>
    <w:p w14:paraId="3FD694A6">
      <w:pPr>
        <w:spacing w:line="360" w:lineRule="auto"/>
        <w:ind w:firstLine="422"/>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b/>
          <w:color w:val="auto"/>
          <w:szCs w:val="21"/>
          <w:highlight w:val="none"/>
        </w:rPr>
        <w:t>表2</w:t>
      </w:r>
      <w:r>
        <w:rPr>
          <w:rFonts w:cs="宋体" w:asciiTheme="minorEastAsia" w:hAnsiTheme="minorEastAsia" w:eastAsiaTheme="minorEastAsia"/>
          <w:b/>
          <w:color w:val="auto"/>
          <w:szCs w:val="21"/>
          <w:highlight w:val="none"/>
        </w:rPr>
        <w:t xml:space="preserve">：   </w:t>
      </w:r>
      <w:r>
        <w:rPr>
          <w:rFonts w:hint="eastAsia" w:cs="宋体" w:asciiTheme="minorEastAsia" w:hAnsiTheme="minorEastAsia" w:eastAsiaTheme="minorEastAsia"/>
          <w:b/>
          <w:color w:val="auto"/>
          <w:szCs w:val="21"/>
          <w:highlight w:val="none"/>
        </w:rPr>
        <w:t>总师办对设计工作履约评价考核表（施工图设计阶段）</w:t>
      </w:r>
    </w:p>
    <w:tbl>
      <w:tblPr>
        <w:tblStyle w:val="5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5085"/>
        <w:gridCol w:w="1332"/>
        <w:gridCol w:w="1481"/>
      </w:tblGrid>
      <w:tr w14:paraId="42B53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tcPr>
          <w:p w14:paraId="4E605098">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序号</w:t>
            </w:r>
          </w:p>
        </w:tc>
        <w:tc>
          <w:tcPr>
            <w:tcW w:w="5085" w:type="dxa"/>
          </w:tcPr>
          <w:p w14:paraId="70CFBB03">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w:t>
            </w:r>
          </w:p>
        </w:tc>
        <w:tc>
          <w:tcPr>
            <w:tcW w:w="1332" w:type="dxa"/>
          </w:tcPr>
          <w:p w14:paraId="41D676E7">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标准分值</w:t>
            </w:r>
          </w:p>
        </w:tc>
        <w:tc>
          <w:tcPr>
            <w:tcW w:w="1481" w:type="dxa"/>
          </w:tcPr>
          <w:p w14:paraId="01BCB154">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实际得分</w:t>
            </w:r>
          </w:p>
        </w:tc>
      </w:tr>
      <w:tr w14:paraId="04EAD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tcPr>
          <w:p w14:paraId="0EEA4DF4">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w:t>
            </w:r>
          </w:p>
        </w:tc>
        <w:tc>
          <w:tcPr>
            <w:tcW w:w="5085" w:type="dxa"/>
          </w:tcPr>
          <w:p w14:paraId="704DE77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承接人员的资质、经验、专业满足设计工作需要</w:t>
            </w:r>
          </w:p>
        </w:tc>
        <w:tc>
          <w:tcPr>
            <w:tcW w:w="1332" w:type="dxa"/>
          </w:tcPr>
          <w:p w14:paraId="7FEB4614">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tcPr>
          <w:p w14:paraId="22234567">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41018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tcPr>
          <w:p w14:paraId="66CEF350">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w:t>
            </w:r>
          </w:p>
        </w:tc>
        <w:tc>
          <w:tcPr>
            <w:tcW w:w="5085" w:type="dxa"/>
          </w:tcPr>
          <w:p w14:paraId="5AA33B36">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设计成果文件的提交进度</w:t>
            </w:r>
          </w:p>
        </w:tc>
        <w:tc>
          <w:tcPr>
            <w:tcW w:w="1332" w:type="dxa"/>
          </w:tcPr>
          <w:p w14:paraId="27D3FB04">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tcPr>
          <w:p w14:paraId="6FDFFC48">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0EFDB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tcPr>
          <w:p w14:paraId="1294332A">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w:t>
            </w:r>
          </w:p>
        </w:tc>
        <w:tc>
          <w:tcPr>
            <w:tcW w:w="5085" w:type="dxa"/>
          </w:tcPr>
          <w:p w14:paraId="53A2A4FB">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设计计划的完成情况</w:t>
            </w:r>
          </w:p>
        </w:tc>
        <w:tc>
          <w:tcPr>
            <w:tcW w:w="1332" w:type="dxa"/>
          </w:tcPr>
          <w:p w14:paraId="32F470CB">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tcPr>
          <w:p w14:paraId="72715961">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2DB90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tcPr>
          <w:p w14:paraId="029F6363">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w:t>
            </w:r>
          </w:p>
        </w:tc>
        <w:tc>
          <w:tcPr>
            <w:tcW w:w="5085" w:type="dxa"/>
          </w:tcPr>
          <w:p w14:paraId="7AFC7860">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设计成果文件的质量</w:t>
            </w:r>
          </w:p>
        </w:tc>
        <w:tc>
          <w:tcPr>
            <w:tcW w:w="1332" w:type="dxa"/>
          </w:tcPr>
          <w:p w14:paraId="7CCD7B9A">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tcPr>
          <w:p w14:paraId="7CE5D8A6">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74AC4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tcPr>
          <w:p w14:paraId="54ED5167">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5085" w:type="dxa"/>
          </w:tcPr>
          <w:p w14:paraId="515EBD1C">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设计文件的限额设计要求</w:t>
            </w:r>
          </w:p>
        </w:tc>
        <w:tc>
          <w:tcPr>
            <w:tcW w:w="1332" w:type="dxa"/>
          </w:tcPr>
          <w:p w14:paraId="12FF6A0D">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tcPr>
          <w:p w14:paraId="73D52BBF">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737D4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tcPr>
          <w:p w14:paraId="2CA7D611">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6</w:t>
            </w:r>
          </w:p>
        </w:tc>
        <w:tc>
          <w:tcPr>
            <w:tcW w:w="5085" w:type="dxa"/>
          </w:tcPr>
          <w:p w14:paraId="662C33EA">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设计文件对委托方方的响应要求</w:t>
            </w:r>
          </w:p>
        </w:tc>
        <w:tc>
          <w:tcPr>
            <w:tcW w:w="1332" w:type="dxa"/>
          </w:tcPr>
          <w:p w14:paraId="2592E730">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tcPr>
          <w:p w14:paraId="4CABC87F">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4A71C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tcPr>
          <w:p w14:paraId="3EFE2E94">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7</w:t>
            </w:r>
          </w:p>
        </w:tc>
        <w:tc>
          <w:tcPr>
            <w:tcW w:w="5085" w:type="dxa"/>
          </w:tcPr>
          <w:p w14:paraId="4C6F4C8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施工图报审阶段的配合情况</w:t>
            </w:r>
          </w:p>
        </w:tc>
        <w:tc>
          <w:tcPr>
            <w:tcW w:w="1332" w:type="dxa"/>
          </w:tcPr>
          <w:p w14:paraId="77ADFFB4">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tcPr>
          <w:p w14:paraId="7EE1EB45">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4B9D6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tcPr>
          <w:p w14:paraId="6792FB8E">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8</w:t>
            </w:r>
          </w:p>
        </w:tc>
        <w:tc>
          <w:tcPr>
            <w:tcW w:w="5085" w:type="dxa"/>
          </w:tcPr>
          <w:p w14:paraId="0F7EBF65">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施工图审查通过情况</w:t>
            </w:r>
          </w:p>
        </w:tc>
        <w:tc>
          <w:tcPr>
            <w:tcW w:w="1332" w:type="dxa"/>
          </w:tcPr>
          <w:p w14:paraId="6F2EAFF3">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tcPr>
          <w:p w14:paraId="5AE98F14">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16466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48" w:type="dxa"/>
          </w:tcPr>
          <w:p w14:paraId="4B721686">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9</w:t>
            </w:r>
          </w:p>
        </w:tc>
        <w:tc>
          <w:tcPr>
            <w:tcW w:w="5085" w:type="dxa"/>
          </w:tcPr>
          <w:p w14:paraId="3FFAC4FE">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设计文件和基础资料的保密情况</w:t>
            </w:r>
          </w:p>
        </w:tc>
        <w:tc>
          <w:tcPr>
            <w:tcW w:w="1332" w:type="dxa"/>
          </w:tcPr>
          <w:p w14:paraId="2D27768C">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1481" w:type="dxa"/>
          </w:tcPr>
          <w:p w14:paraId="42AE49B9">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4D981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tcPr>
          <w:p w14:paraId="6D0DE0C7">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5085" w:type="dxa"/>
          </w:tcPr>
          <w:p w14:paraId="77D349B8">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对专业设计单位的协调、组织情况</w:t>
            </w:r>
          </w:p>
        </w:tc>
        <w:tc>
          <w:tcPr>
            <w:tcW w:w="1332" w:type="dxa"/>
          </w:tcPr>
          <w:p w14:paraId="626EF3DB">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1481" w:type="dxa"/>
          </w:tcPr>
          <w:p w14:paraId="0B488D2B">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1D1DB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tcPr>
          <w:p w14:paraId="0E4D7377">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11</w:t>
            </w:r>
          </w:p>
        </w:tc>
        <w:tc>
          <w:tcPr>
            <w:tcW w:w="5085" w:type="dxa"/>
          </w:tcPr>
          <w:p w14:paraId="55898DB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承接人员有无违反职业道德的不良行为</w:t>
            </w:r>
          </w:p>
        </w:tc>
        <w:tc>
          <w:tcPr>
            <w:tcW w:w="1332" w:type="dxa"/>
          </w:tcPr>
          <w:p w14:paraId="03448218">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tcPr>
          <w:p w14:paraId="41639C73">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1ACE1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3" w:type="dxa"/>
            <w:gridSpan w:val="2"/>
          </w:tcPr>
          <w:p w14:paraId="759971D7">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合计</w:t>
            </w:r>
          </w:p>
        </w:tc>
        <w:tc>
          <w:tcPr>
            <w:tcW w:w="1332" w:type="dxa"/>
          </w:tcPr>
          <w:p w14:paraId="7039904C">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100</w:t>
            </w:r>
          </w:p>
        </w:tc>
        <w:tc>
          <w:tcPr>
            <w:tcW w:w="1481" w:type="dxa"/>
          </w:tcPr>
          <w:p w14:paraId="2EEC9AAE">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25A65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46" w:type="dxa"/>
            <w:gridSpan w:val="4"/>
          </w:tcPr>
          <w:p w14:paraId="6B134556">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评定等级</w:t>
            </w:r>
            <w:r>
              <w:rPr>
                <w:rFonts w:cs="宋体" w:asciiTheme="minorEastAsia" w:hAnsiTheme="minorEastAsia" w:eastAsiaTheme="minorEastAsia"/>
                <w:color w:val="auto"/>
                <w:szCs w:val="21"/>
                <w:highlight w:val="none"/>
              </w:rPr>
              <w:t>:</w:t>
            </w:r>
          </w:p>
        </w:tc>
      </w:tr>
      <w:tr w14:paraId="7F71B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33" w:type="dxa"/>
            <w:gridSpan w:val="2"/>
          </w:tcPr>
          <w:p w14:paraId="7490592A">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填表人：</w:t>
            </w:r>
          </w:p>
        </w:tc>
        <w:tc>
          <w:tcPr>
            <w:tcW w:w="2813" w:type="dxa"/>
            <w:gridSpan w:val="2"/>
          </w:tcPr>
          <w:p w14:paraId="4228D40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复核</w:t>
            </w:r>
          </w:p>
        </w:tc>
      </w:tr>
    </w:tbl>
    <w:p w14:paraId="78572D60">
      <w:pPr>
        <w:spacing w:line="360" w:lineRule="auto"/>
        <w:ind w:firstLine="422"/>
        <w:outlineLvl w:val="9"/>
        <w:rPr>
          <w:rFonts w:cs="宋体" w:asciiTheme="minorEastAsia" w:hAnsiTheme="minorEastAsia" w:eastAsiaTheme="minorEastAsia"/>
          <w:b/>
          <w:color w:val="auto"/>
          <w:szCs w:val="21"/>
          <w:highlight w:val="none"/>
        </w:rPr>
      </w:pPr>
    </w:p>
    <w:p w14:paraId="0D708201">
      <w:pPr>
        <w:spacing w:line="360" w:lineRule="auto"/>
        <w:jc w:val="center"/>
        <w:outlineLvl w:val="9"/>
        <w:rPr>
          <w:rFonts w:hint="eastAsia" w:cs="宋体" w:asciiTheme="minorEastAsia" w:hAnsiTheme="minorEastAsia" w:eastAsiaTheme="minorEastAsia"/>
          <w:b/>
          <w:color w:val="auto"/>
          <w:szCs w:val="21"/>
          <w:highlight w:val="none"/>
        </w:rPr>
        <w:sectPr>
          <w:pgSz w:w="11906" w:h="16838"/>
          <w:pgMar w:top="851" w:right="1361" w:bottom="851" w:left="1361" w:header="567" w:footer="567" w:gutter="0"/>
          <w:pgBorders>
            <w:top w:val="none" w:sz="0" w:space="0"/>
            <w:left w:val="none" w:sz="0" w:space="0"/>
            <w:bottom w:val="none" w:sz="0" w:space="0"/>
            <w:right w:val="none" w:sz="0" w:space="0"/>
          </w:pgBorders>
          <w:cols w:space="720" w:num="1"/>
          <w:titlePg/>
          <w:docGrid w:linePitch="312" w:charSpace="0"/>
        </w:sectPr>
      </w:pPr>
    </w:p>
    <w:p w14:paraId="020B8DDD">
      <w:pPr>
        <w:spacing w:line="360" w:lineRule="auto"/>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b/>
          <w:color w:val="auto"/>
          <w:szCs w:val="21"/>
          <w:highlight w:val="none"/>
        </w:rPr>
        <w:t>项目部对设计工作履约评价考核表（施工图设计阶段）</w:t>
      </w:r>
    </w:p>
    <w:tbl>
      <w:tblPr>
        <w:tblStyle w:val="5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3"/>
        <w:gridCol w:w="4614"/>
        <w:gridCol w:w="1499"/>
        <w:gridCol w:w="1831"/>
      </w:tblGrid>
      <w:tr w14:paraId="13875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35FA6C06">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序号</w:t>
            </w:r>
          </w:p>
        </w:tc>
        <w:tc>
          <w:tcPr>
            <w:tcW w:w="4614" w:type="dxa"/>
            <w:tcBorders>
              <w:top w:val="single" w:color="auto" w:sz="4" w:space="0"/>
              <w:left w:val="single" w:color="auto" w:sz="4" w:space="0"/>
              <w:bottom w:val="single" w:color="auto" w:sz="4" w:space="0"/>
              <w:right w:val="single" w:color="auto" w:sz="4" w:space="0"/>
            </w:tcBorders>
          </w:tcPr>
          <w:p w14:paraId="644CC04A">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w:t>
            </w:r>
          </w:p>
        </w:tc>
        <w:tc>
          <w:tcPr>
            <w:tcW w:w="1499" w:type="dxa"/>
            <w:tcBorders>
              <w:top w:val="single" w:color="auto" w:sz="4" w:space="0"/>
              <w:left w:val="single" w:color="auto" w:sz="4" w:space="0"/>
              <w:bottom w:val="single" w:color="auto" w:sz="4" w:space="0"/>
              <w:right w:val="single" w:color="auto" w:sz="4" w:space="0"/>
            </w:tcBorders>
          </w:tcPr>
          <w:p w14:paraId="5EDED184">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标准分值</w:t>
            </w:r>
          </w:p>
        </w:tc>
        <w:tc>
          <w:tcPr>
            <w:tcW w:w="1831" w:type="dxa"/>
            <w:tcBorders>
              <w:top w:val="single" w:color="auto" w:sz="4" w:space="0"/>
              <w:left w:val="single" w:color="auto" w:sz="4" w:space="0"/>
              <w:bottom w:val="single" w:color="auto" w:sz="4" w:space="0"/>
              <w:right w:val="single" w:color="auto" w:sz="4" w:space="0"/>
            </w:tcBorders>
          </w:tcPr>
          <w:p w14:paraId="3F47F56F">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实际得分</w:t>
            </w:r>
          </w:p>
        </w:tc>
      </w:tr>
      <w:tr w14:paraId="67485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1B9FA1A2">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w:t>
            </w:r>
          </w:p>
        </w:tc>
        <w:tc>
          <w:tcPr>
            <w:tcW w:w="4614" w:type="dxa"/>
            <w:tcBorders>
              <w:top w:val="single" w:color="auto" w:sz="4" w:space="0"/>
              <w:left w:val="single" w:color="auto" w:sz="4" w:space="0"/>
              <w:bottom w:val="single" w:color="auto" w:sz="4" w:space="0"/>
              <w:right w:val="single" w:color="auto" w:sz="4" w:space="0"/>
            </w:tcBorders>
          </w:tcPr>
          <w:p w14:paraId="68D9A5AF">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设计成果文件的提交进度</w:t>
            </w:r>
          </w:p>
        </w:tc>
        <w:tc>
          <w:tcPr>
            <w:tcW w:w="1499" w:type="dxa"/>
            <w:tcBorders>
              <w:top w:val="single" w:color="auto" w:sz="4" w:space="0"/>
              <w:left w:val="single" w:color="auto" w:sz="4" w:space="0"/>
              <w:bottom w:val="single" w:color="auto" w:sz="4" w:space="0"/>
              <w:right w:val="single" w:color="auto" w:sz="4" w:space="0"/>
            </w:tcBorders>
          </w:tcPr>
          <w:p w14:paraId="606B0CA6">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63145E39">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4A095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44BDA503">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w:t>
            </w:r>
          </w:p>
        </w:tc>
        <w:tc>
          <w:tcPr>
            <w:tcW w:w="4614" w:type="dxa"/>
            <w:tcBorders>
              <w:top w:val="single" w:color="auto" w:sz="4" w:space="0"/>
              <w:left w:val="single" w:color="auto" w:sz="4" w:space="0"/>
              <w:bottom w:val="single" w:color="auto" w:sz="4" w:space="0"/>
              <w:right w:val="single" w:color="auto" w:sz="4" w:space="0"/>
            </w:tcBorders>
          </w:tcPr>
          <w:p w14:paraId="786F769C">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设计成果文件的质量</w:t>
            </w:r>
          </w:p>
        </w:tc>
        <w:tc>
          <w:tcPr>
            <w:tcW w:w="1499" w:type="dxa"/>
            <w:tcBorders>
              <w:top w:val="single" w:color="auto" w:sz="4" w:space="0"/>
              <w:left w:val="single" w:color="auto" w:sz="4" w:space="0"/>
              <w:bottom w:val="single" w:color="auto" w:sz="4" w:space="0"/>
              <w:right w:val="single" w:color="auto" w:sz="4" w:space="0"/>
            </w:tcBorders>
          </w:tcPr>
          <w:p w14:paraId="60924DD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077FCE92">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1C2BF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3B0EAEC3">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w:t>
            </w:r>
          </w:p>
        </w:tc>
        <w:tc>
          <w:tcPr>
            <w:tcW w:w="4614" w:type="dxa"/>
            <w:tcBorders>
              <w:top w:val="single" w:color="auto" w:sz="4" w:space="0"/>
              <w:left w:val="single" w:color="auto" w:sz="4" w:space="0"/>
              <w:bottom w:val="single" w:color="auto" w:sz="4" w:space="0"/>
              <w:right w:val="single" w:color="auto" w:sz="4" w:space="0"/>
            </w:tcBorders>
          </w:tcPr>
          <w:p w14:paraId="7864DBBB">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对问题修改的响应速度及质量</w:t>
            </w:r>
          </w:p>
        </w:tc>
        <w:tc>
          <w:tcPr>
            <w:tcW w:w="1499" w:type="dxa"/>
            <w:tcBorders>
              <w:top w:val="single" w:color="auto" w:sz="4" w:space="0"/>
              <w:left w:val="single" w:color="auto" w:sz="4" w:space="0"/>
              <w:bottom w:val="single" w:color="auto" w:sz="4" w:space="0"/>
              <w:right w:val="single" w:color="auto" w:sz="4" w:space="0"/>
            </w:tcBorders>
          </w:tcPr>
          <w:p w14:paraId="5671A8C4">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w:t>
            </w:r>
          </w:p>
        </w:tc>
        <w:tc>
          <w:tcPr>
            <w:tcW w:w="1831" w:type="dxa"/>
            <w:tcBorders>
              <w:top w:val="single" w:color="auto" w:sz="4" w:space="0"/>
              <w:left w:val="single" w:color="auto" w:sz="4" w:space="0"/>
              <w:bottom w:val="single" w:color="auto" w:sz="4" w:space="0"/>
              <w:right w:val="single" w:color="auto" w:sz="4" w:space="0"/>
            </w:tcBorders>
          </w:tcPr>
          <w:p w14:paraId="1D0FD815">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00337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138988C1">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w:t>
            </w:r>
          </w:p>
        </w:tc>
        <w:tc>
          <w:tcPr>
            <w:tcW w:w="4614" w:type="dxa"/>
            <w:tcBorders>
              <w:top w:val="single" w:color="auto" w:sz="4" w:space="0"/>
              <w:left w:val="single" w:color="auto" w:sz="4" w:space="0"/>
              <w:bottom w:val="single" w:color="auto" w:sz="4" w:space="0"/>
              <w:right w:val="single" w:color="auto" w:sz="4" w:space="0"/>
            </w:tcBorders>
          </w:tcPr>
          <w:p w14:paraId="009FF506">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驻场人员专业能力及驻场天数</w:t>
            </w:r>
          </w:p>
        </w:tc>
        <w:tc>
          <w:tcPr>
            <w:tcW w:w="1499" w:type="dxa"/>
            <w:tcBorders>
              <w:top w:val="single" w:color="auto" w:sz="4" w:space="0"/>
              <w:left w:val="single" w:color="auto" w:sz="4" w:space="0"/>
              <w:bottom w:val="single" w:color="auto" w:sz="4" w:space="0"/>
              <w:right w:val="single" w:color="auto" w:sz="4" w:space="0"/>
            </w:tcBorders>
          </w:tcPr>
          <w:p w14:paraId="32605D6E">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w:t>
            </w:r>
          </w:p>
        </w:tc>
        <w:tc>
          <w:tcPr>
            <w:tcW w:w="1831" w:type="dxa"/>
            <w:tcBorders>
              <w:top w:val="single" w:color="auto" w:sz="4" w:space="0"/>
              <w:left w:val="single" w:color="auto" w:sz="4" w:space="0"/>
              <w:bottom w:val="single" w:color="auto" w:sz="4" w:space="0"/>
              <w:right w:val="single" w:color="auto" w:sz="4" w:space="0"/>
            </w:tcBorders>
          </w:tcPr>
          <w:p w14:paraId="0D6C8133">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7529A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75BBC3B8">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4614" w:type="dxa"/>
            <w:tcBorders>
              <w:top w:val="single" w:color="auto" w:sz="4" w:space="0"/>
              <w:left w:val="single" w:color="auto" w:sz="4" w:space="0"/>
              <w:bottom w:val="single" w:color="auto" w:sz="4" w:space="0"/>
              <w:right w:val="single" w:color="auto" w:sz="4" w:space="0"/>
            </w:tcBorders>
          </w:tcPr>
          <w:p w14:paraId="652E661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现场配合情况（包含专项会议的参加，变更及时性，现场问题回复，特殊工艺材料的指导等）</w:t>
            </w:r>
          </w:p>
        </w:tc>
        <w:tc>
          <w:tcPr>
            <w:tcW w:w="1499" w:type="dxa"/>
            <w:tcBorders>
              <w:top w:val="single" w:color="auto" w:sz="4" w:space="0"/>
              <w:left w:val="single" w:color="auto" w:sz="4" w:space="0"/>
              <w:bottom w:val="single" w:color="auto" w:sz="4" w:space="0"/>
              <w:right w:val="single" w:color="auto" w:sz="4" w:space="0"/>
            </w:tcBorders>
          </w:tcPr>
          <w:p w14:paraId="5690C34F">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309F5C59">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22A0D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517D798E">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6</w:t>
            </w:r>
          </w:p>
        </w:tc>
        <w:tc>
          <w:tcPr>
            <w:tcW w:w="4614" w:type="dxa"/>
            <w:tcBorders>
              <w:top w:val="single" w:color="auto" w:sz="4" w:space="0"/>
              <w:left w:val="single" w:color="auto" w:sz="4" w:space="0"/>
              <w:bottom w:val="single" w:color="auto" w:sz="4" w:space="0"/>
              <w:right w:val="single" w:color="auto" w:sz="4" w:space="0"/>
            </w:tcBorders>
          </w:tcPr>
          <w:p w14:paraId="75468496">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验收配合情况</w:t>
            </w:r>
          </w:p>
        </w:tc>
        <w:tc>
          <w:tcPr>
            <w:tcW w:w="1499" w:type="dxa"/>
            <w:tcBorders>
              <w:top w:val="single" w:color="auto" w:sz="4" w:space="0"/>
              <w:left w:val="single" w:color="auto" w:sz="4" w:space="0"/>
              <w:bottom w:val="single" w:color="auto" w:sz="4" w:space="0"/>
              <w:right w:val="single" w:color="auto" w:sz="4" w:space="0"/>
            </w:tcBorders>
          </w:tcPr>
          <w:p w14:paraId="126E8B04">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31" w:type="dxa"/>
            <w:tcBorders>
              <w:top w:val="single" w:color="auto" w:sz="4" w:space="0"/>
              <w:left w:val="single" w:color="auto" w:sz="4" w:space="0"/>
              <w:bottom w:val="single" w:color="auto" w:sz="4" w:space="0"/>
              <w:right w:val="single" w:color="auto" w:sz="4" w:space="0"/>
            </w:tcBorders>
          </w:tcPr>
          <w:p w14:paraId="066BBE83">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14AA9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547" w:type="dxa"/>
            <w:gridSpan w:val="2"/>
            <w:tcBorders>
              <w:top w:val="single" w:color="auto" w:sz="4" w:space="0"/>
              <w:left w:val="single" w:color="auto" w:sz="4" w:space="0"/>
              <w:bottom w:val="single" w:color="auto" w:sz="4" w:space="0"/>
              <w:right w:val="single" w:color="auto" w:sz="4" w:space="0"/>
            </w:tcBorders>
          </w:tcPr>
          <w:p w14:paraId="7641EBFE">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合计</w:t>
            </w:r>
          </w:p>
        </w:tc>
        <w:tc>
          <w:tcPr>
            <w:tcW w:w="1499" w:type="dxa"/>
            <w:tcBorders>
              <w:top w:val="single" w:color="auto" w:sz="4" w:space="0"/>
              <w:left w:val="single" w:color="auto" w:sz="4" w:space="0"/>
              <w:bottom w:val="single" w:color="auto" w:sz="4" w:space="0"/>
              <w:right w:val="single" w:color="auto" w:sz="4" w:space="0"/>
            </w:tcBorders>
          </w:tcPr>
          <w:p w14:paraId="45DF797D">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100</w:t>
            </w:r>
          </w:p>
        </w:tc>
        <w:tc>
          <w:tcPr>
            <w:tcW w:w="1831" w:type="dxa"/>
            <w:tcBorders>
              <w:top w:val="single" w:color="auto" w:sz="4" w:space="0"/>
              <w:left w:val="single" w:color="auto" w:sz="4" w:space="0"/>
              <w:bottom w:val="single" w:color="auto" w:sz="4" w:space="0"/>
              <w:right w:val="single" w:color="auto" w:sz="4" w:space="0"/>
            </w:tcBorders>
          </w:tcPr>
          <w:p w14:paraId="6B726140">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6F090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7" w:type="dxa"/>
            <w:gridSpan w:val="4"/>
            <w:tcBorders>
              <w:top w:val="single" w:color="auto" w:sz="4" w:space="0"/>
              <w:left w:val="single" w:color="auto" w:sz="4" w:space="0"/>
              <w:bottom w:val="single" w:color="auto" w:sz="4" w:space="0"/>
              <w:right w:val="single" w:color="auto" w:sz="4" w:space="0"/>
            </w:tcBorders>
          </w:tcPr>
          <w:p w14:paraId="5FBBFCC9">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评定等级</w:t>
            </w:r>
            <w:r>
              <w:rPr>
                <w:rFonts w:cs="宋体" w:asciiTheme="minorEastAsia" w:hAnsiTheme="minorEastAsia" w:eastAsiaTheme="minorEastAsia"/>
                <w:color w:val="auto"/>
                <w:szCs w:val="21"/>
                <w:highlight w:val="none"/>
              </w:rPr>
              <w:t>:</w:t>
            </w:r>
          </w:p>
        </w:tc>
      </w:tr>
      <w:tr w14:paraId="0EE80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7" w:type="dxa"/>
            <w:gridSpan w:val="2"/>
            <w:tcBorders>
              <w:top w:val="single" w:color="auto" w:sz="4" w:space="0"/>
              <w:left w:val="single" w:color="auto" w:sz="4" w:space="0"/>
              <w:bottom w:val="single" w:color="auto" w:sz="4" w:space="0"/>
              <w:right w:val="single" w:color="auto" w:sz="4" w:space="0"/>
            </w:tcBorders>
          </w:tcPr>
          <w:p w14:paraId="2DA98128">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填表人：</w:t>
            </w:r>
          </w:p>
        </w:tc>
        <w:tc>
          <w:tcPr>
            <w:tcW w:w="3330" w:type="dxa"/>
            <w:gridSpan w:val="2"/>
            <w:tcBorders>
              <w:top w:val="single" w:color="auto" w:sz="4" w:space="0"/>
              <w:left w:val="single" w:color="auto" w:sz="4" w:space="0"/>
              <w:bottom w:val="single" w:color="auto" w:sz="4" w:space="0"/>
              <w:right w:val="single" w:color="auto" w:sz="4" w:space="0"/>
            </w:tcBorders>
          </w:tcPr>
          <w:p w14:paraId="66A20345">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复核</w:t>
            </w:r>
          </w:p>
        </w:tc>
      </w:tr>
    </w:tbl>
    <w:p w14:paraId="64DF1FBB">
      <w:pPr>
        <w:spacing w:line="360" w:lineRule="auto"/>
        <w:ind w:firstLine="211" w:firstLineChars="100"/>
        <w:outlineLvl w:val="9"/>
        <w:rPr>
          <w:rFonts w:cs="宋体" w:asciiTheme="minorEastAsia" w:hAnsiTheme="minorEastAsia" w:eastAsiaTheme="minorEastAsia"/>
          <w:b/>
          <w:color w:val="auto"/>
          <w:szCs w:val="21"/>
          <w:highlight w:val="none"/>
        </w:rPr>
        <w:sectPr>
          <w:pgSz w:w="11906" w:h="16838"/>
          <w:pgMar w:top="851" w:right="1361" w:bottom="851" w:left="1361" w:header="567" w:footer="567" w:gutter="0"/>
          <w:pgBorders>
            <w:top w:val="none" w:sz="0" w:space="0"/>
            <w:left w:val="none" w:sz="0" w:space="0"/>
            <w:bottom w:val="none" w:sz="0" w:space="0"/>
            <w:right w:val="none" w:sz="0" w:space="0"/>
          </w:pgBorders>
          <w:cols w:space="720" w:num="1"/>
          <w:titlePg/>
          <w:docGrid w:linePitch="312" w:charSpace="0"/>
        </w:sectPr>
      </w:pPr>
    </w:p>
    <w:p w14:paraId="050111C8">
      <w:pPr>
        <w:pStyle w:val="22"/>
        <w:outlineLvl w:val="9"/>
        <w:rPr>
          <w:color w:val="auto"/>
          <w:highlight w:val="none"/>
        </w:rPr>
      </w:pPr>
    </w:p>
    <w:p w14:paraId="25BAEE3C">
      <w:pPr>
        <w:spacing w:line="360" w:lineRule="auto"/>
        <w:ind w:firstLine="211" w:firstLineChars="100"/>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表3</w:t>
      </w:r>
      <w:r>
        <w:rPr>
          <w:rFonts w:cs="宋体" w:asciiTheme="minorEastAsia" w:hAnsiTheme="minorEastAsia" w:eastAsiaTheme="minorEastAsia"/>
          <w:b/>
          <w:color w:val="auto"/>
          <w:szCs w:val="21"/>
          <w:highlight w:val="none"/>
        </w:rPr>
        <w:t xml:space="preserve">：   </w:t>
      </w:r>
      <w:r>
        <w:rPr>
          <w:rFonts w:hint="eastAsia" w:cs="宋体" w:asciiTheme="minorEastAsia" w:hAnsiTheme="minorEastAsia" w:eastAsiaTheme="minorEastAsia"/>
          <w:b/>
          <w:color w:val="auto"/>
          <w:szCs w:val="21"/>
          <w:highlight w:val="none"/>
        </w:rPr>
        <w:t>总师办对设计工作履约评价考核表（专项设计配合阶段）</w:t>
      </w:r>
    </w:p>
    <w:tbl>
      <w:tblPr>
        <w:tblStyle w:val="56"/>
        <w:tblW w:w="85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7"/>
        <w:gridCol w:w="5096"/>
        <w:gridCol w:w="1332"/>
        <w:gridCol w:w="1481"/>
      </w:tblGrid>
      <w:tr w14:paraId="102F6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7" w:type="dxa"/>
            <w:noWrap/>
          </w:tcPr>
          <w:p w14:paraId="77E37860">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序号</w:t>
            </w:r>
          </w:p>
        </w:tc>
        <w:tc>
          <w:tcPr>
            <w:tcW w:w="5096" w:type="dxa"/>
            <w:noWrap/>
          </w:tcPr>
          <w:p w14:paraId="770C1C61">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w:t>
            </w:r>
          </w:p>
        </w:tc>
        <w:tc>
          <w:tcPr>
            <w:tcW w:w="1332" w:type="dxa"/>
            <w:noWrap/>
          </w:tcPr>
          <w:p w14:paraId="65193BB6">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标准分值</w:t>
            </w:r>
          </w:p>
        </w:tc>
        <w:tc>
          <w:tcPr>
            <w:tcW w:w="1481" w:type="dxa"/>
            <w:noWrap/>
          </w:tcPr>
          <w:p w14:paraId="07654AF3">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实际得分</w:t>
            </w:r>
          </w:p>
        </w:tc>
      </w:tr>
      <w:tr w14:paraId="69BB1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7" w:type="dxa"/>
            <w:noWrap/>
          </w:tcPr>
          <w:p w14:paraId="6EB5415C">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w:t>
            </w:r>
          </w:p>
        </w:tc>
        <w:tc>
          <w:tcPr>
            <w:tcW w:w="5096" w:type="dxa"/>
            <w:noWrap/>
          </w:tcPr>
          <w:p w14:paraId="2AFC38A5">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承接人员的资质、经验、专业满足设计工作需要</w:t>
            </w:r>
          </w:p>
        </w:tc>
        <w:tc>
          <w:tcPr>
            <w:tcW w:w="1332" w:type="dxa"/>
            <w:noWrap/>
          </w:tcPr>
          <w:p w14:paraId="7D1A86F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noWrap/>
          </w:tcPr>
          <w:p w14:paraId="76D5B5E2">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2B883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7" w:type="dxa"/>
            <w:noWrap/>
          </w:tcPr>
          <w:p w14:paraId="43036965">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w:t>
            </w:r>
          </w:p>
        </w:tc>
        <w:tc>
          <w:tcPr>
            <w:tcW w:w="5096" w:type="dxa"/>
            <w:noWrap/>
          </w:tcPr>
          <w:p w14:paraId="5EBEB640">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设计成果文件的提交进度</w:t>
            </w:r>
          </w:p>
        </w:tc>
        <w:tc>
          <w:tcPr>
            <w:tcW w:w="1332" w:type="dxa"/>
            <w:noWrap/>
          </w:tcPr>
          <w:p w14:paraId="145D2C36">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w:t>
            </w:r>
          </w:p>
        </w:tc>
        <w:tc>
          <w:tcPr>
            <w:tcW w:w="1481" w:type="dxa"/>
            <w:noWrap/>
          </w:tcPr>
          <w:p w14:paraId="19683065">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6E8C5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7" w:type="dxa"/>
            <w:noWrap/>
          </w:tcPr>
          <w:p w14:paraId="46E453A1">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w:t>
            </w:r>
          </w:p>
        </w:tc>
        <w:tc>
          <w:tcPr>
            <w:tcW w:w="5096" w:type="dxa"/>
            <w:noWrap/>
          </w:tcPr>
          <w:p w14:paraId="68EB75D7">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设计计划的完成情况</w:t>
            </w:r>
          </w:p>
        </w:tc>
        <w:tc>
          <w:tcPr>
            <w:tcW w:w="1332" w:type="dxa"/>
            <w:noWrap/>
          </w:tcPr>
          <w:p w14:paraId="3951AAEC">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noWrap/>
          </w:tcPr>
          <w:p w14:paraId="149DEA36">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7CF92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7" w:type="dxa"/>
            <w:noWrap/>
          </w:tcPr>
          <w:p w14:paraId="358EFD11">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w:t>
            </w:r>
          </w:p>
        </w:tc>
        <w:tc>
          <w:tcPr>
            <w:tcW w:w="5096" w:type="dxa"/>
            <w:noWrap/>
          </w:tcPr>
          <w:p w14:paraId="2ED63308">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设计成果文件的质量</w:t>
            </w:r>
          </w:p>
        </w:tc>
        <w:tc>
          <w:tcPr>
            <w:tcW w:w="1332" w:type="dxa"/>
            <w:noWrap/>
          </w:tcPr>
          <w:p w14:paraId="7B641346">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481" w:type="dxa"/>
            <w:noWrap/>
          </w:tcPr>
          <w:p w14:paraId="018A5DB0">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79CDF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7" w:type="dxa"/>
            <w:noWrap/>
          </w:tcPr>
          <w:p w14:paraId="70E15A5E">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5096" w:type="dxa"/>
            <w:noWrap/>
          </w:tcPr>
          <w:p w14:paraId="02233C71">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设计文件的限额设计要求</w:t>
            </w:r>
          </w:p>
        </w:tc>
        <w:tc>
          <w:tcPr>
            <w:tcW w:w="1332" w:type="dxa"/>
            <w:noWrap/>
          </w:tcPr>
          <w:p w14:paraId="07FA18B7">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noWrap/>
          </w:tcPr>
          <w:p w14:paraId="4FCFF447">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4B3E2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7" w:type="dxa"/>
            <w:noWrap/>
          </w:tcPr>
          <w:p w14:paraId="6468D46A">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6</w:t>
            </w:r>
          </w:p>
        </w:tc>
        <w:tc>
          <w:tcPr>
            <w:tcW w:w="5096" w:type="dxa"/>
            <w:noWrap/>
          </w:tcPr>
          <w:p w14:paraId="37AA0140">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设计文件对发包人的响应要求</w:t>
            </w:r>
          </w:p>
        </w:tc>
        <w:tc>
          <w:tcPr>
            <w:tcW w:w="1332" w:type="dxa"/>
            <w:noWrap/>
          </w:tcPr>
          <w:p w14:paraId="11BEFE79">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noWrap/>
          </w:tcPr>
          <w:p w14:paraId="7B39DFBE">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55470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7" w:type="dxa"/>
            <w:noWrap/>
          </w:tcPr>
          <w:p w14:paraId="1638F2A9">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7</w:t>
            </w:r>
          </w:p>
        </w:tc>
        <w:tc>
          <w:tcPr>
            <w:tcW w:w="5096" w:type="dxa"/>
            <w:noWrap/>
          </w:tcPr>
          <w:p w14:paraId="5010BECB">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专项设计阶段的配合情况</w:t>
            </w:r>
          </w:p>
        </w:tc>
        <w:tc>
          <w:tcPr>
            <w:tcW w:w="1332" w:type="dxa"/>
            <w:noWrap/>
          </w:tcPr>
          <w:p w14:paraId="12308CCC">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w:t>
            </w:r>
          </w:p>
        </w:tc>
        <w:tc>
          <w:tcPr>
            <w:tcW w:w="1481" w:type="dxa"/>
            <w:noWrap/>
          </w:tcPr>
          <w:p w14:paraId="082C8526">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5481F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7" w:type="dxa"/>
            <w:noWrap/>
          </w:tcPr>
          <w:p w14:paraId="5B822FEF">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8</w:t>
            </w:r>
          </w:p>
        </w:tc>
        <w:tc>
          <w:tcPr>
            <w:tcW w:w="5096" w:type="dxa"/>
            <w:noWrap/>
          </w:tcPr>
          <w:p w14:paraId="0928D03F">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设计文件和基础资料的保密情况</w:t>
            </w:r>
          </w:p>
        </w:tc>
        <w:tc>
          <w:tcPr>
            <w:tcW w:w="1332" w:type="dxa"/>
            <w:noWrap/>
          </w:tcPr>
          <w:p w14:paraId="7F61C041">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481" w:type="dxa"/>
            <w:noWrap/>
          </w:tcPr>
          <w:p w14:paraId="2EC032D7">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3ABAC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33" w:type="dxa"/>
            <w:gridSpan w:val="2"/>
            <w:noWrap/>
          </w:tcPr>
          <w:p w14:paraId="361CD7EE">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合计</w:t>
            </w:r>
          </w:p>
        </w:tc>
        <w:tc>
          <w:tcPr>
            <w:tcW w:w="1332" w:type="dxa"/>
            <w:noWrap/>
          </w:tcPr>
          <w:p w14:paraId="189CC766">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100</w:t>
            </w:r>
          </w:p>
        </w:tc>
        <w:tc>
          <w:tcPr>
            <w:tcW w:w="1481" w:type="dxa"/>
            <w:noWrap/>
          </w:tcPr>
          <w:p w14:paraId="267938A7">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5CA4D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46" w:type="dxa"/>
            <w:gridSpan w:val="4"/>
            <w:noWrap/>
          </w:tcPr>
          <w:p w14:paraId="757F89D0">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评定等级</w:t>
            </w:r>
            <w:r>
              <w:rPr>
                <w:rFonts w:cs="宋体" w:asciiTheme="minorEastAsia" w:hAnsiTheme="minorEastAsia" w:eastAsiaTheme="minorEastAsia"/>
                <w:color w:val="auto"/>
                <w:szCs w:val="21"/>
                <w:highlight w:val="none"/>
              </w:rPr>
              <w:t>:</w:t>
            </w:r>
          </w:p>
        </w:tc>
      </w:tr>
      <w:tr w14:paraId="2EC92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33" w:type="dxa"/>
            <w:gridSpan w:val="2"/>
            <w:noWrap/>
          </w:tcPr>
          <w:p w14:paraId="62FBB70E">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填表人：</w:t>
            </w:r>
          </w:p>
        </w:tc>
        <w:tc>
          <w:tcPr>
            <w:tcW w:w="2813" w:type="dxa"/>
            <w:gridSpan w:val="2"/>
            <w:noWrap/>
          </w:tcPr>
          <w:p w14:paraId="50A8A283">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复核</w:t>
            </w:r>
          </w:p>
        </w:tc>
      </w:tr>
    </w:tbl>
    <w:p w14:paraId="1FA48C12">
      <w:pPr>
        <w:spacing w:line="360" w:lineRule="auto"/>
        <w:ind w:firstLine="422"/>
        <w:outlineLvl w:val="9"/>
        <w:rPr>
          <w:rFonts w:cs="宋体" w:asciiTheme="minorEastAsia" w:hAnsiTheme="minorEastAsia" w:eastAsiaTheme="minorEastAsia"/>
          <w:b/>
          <w:color w:val="auto"/>
          <w:szCs w:val="21"/>
          <w:highlight w:val="none"/>
        </w:rPr>
      </w:pPr>
    </w:p>
    <w:p w14:paraId="6620A0D2">
      <w:pPr>
        <w:spacing w:line="360" w:lineRule="auto"/>
        <w:jc w:val="center"/>
        <w:outlineLvl w:val="9"/>
        <w:rPr>
          <w:rFonts w:hint="eastAsia" w:cs="宋体" w:asciiTheme="minorEastAsia" w:hAnsiTheme="minorEastAsia" w:eastAsiaTheme="minorEastAsia"/>
          <w:b/>
          <w:color w:val="auto"/>
          <w:szCs w:val="21"/>
          <w:highlight w:val="none"/>
        </w:rPr>
        <w:sectPr>
          <w:pgSz w:w="11906" w:h="16838"/>
          <w:pgMar w:top="851" w:right="1361" w:bottom="851" w:left="1361" w:header="567" w:footer="567" w:gutter="0"/>
          <w:pgBorders>
            <w:top w:val="none" w:sz="0" w:space="0"/>
            <w:left w:val="none" w:sz="0" w:space="0"/>
            <w:bottom w:val="none" w:sz="0" w:space="0"/>
            <w:right w:val="none" w:sz="0" w:space="0"/>
          </w:pgBorders>
          <w:cols w:space="720" w:num="1"/>
          <w:titlePg/>
          <w:docGrid w:linePitch="312" w:charSpace="0"/>
        </w:sectPr>
      </w:pPr>
    </w:p>
    <w:p w14:paraId="6AC1F342">
      <w:pPr>
        <w:spacing w:line="360" w:lineRule="auto"/>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
          <w:color w:val="auto"/>
          <w:szCs w:val="21"/>
          <w:highlight w:val="none"/>
        </w:rPr>
        <w:t>项目部对设计工作履约评价考核表（专项设计配合阶段）</w:t>
      </w:r>
    </w:p>
    <w:tbl>
      <w:tblPr>
        <w:tblStyle w:val="5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3"/>
        <w:gridCol w:w="4614"/>
        <w:gridCol w:w="1499"/>
        <w:gridCol w:w="1831"/>
      </w:tblGrid>
      <w:tr w14:paraId="03F5D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33" w:type="dxa"/>
            <w:tcBorders>
              <w:top w:val="single" w:color="auto" w:sz="4" w:space="0"/>
              <w:left w:val="single" w:color="auto" w:sz="4" w:space="0"/>
              <w:bottom w:val="single" w:color="auto" w:sz="4" w:space="0"/>
              <w:right w:val="single" w:color="auto" w:sz="4" w:space="0"/>
            </w:tcBorders>
          </w:tcPr>
          <w:p w14:paraId="2474D237">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序号</w:t>
            </w:r>
          </w:p>
        </w:tc>
        <w:tc>
          <w:tcPr>
            <w:tcW w:w="4614" w:type="dxa"/>
            <w:tcBorders>
              <w:top w:val="single" w:color="auto" w:sz="4" w:space="0"/>
              <w:left w:val="single" w:color="auto" w:sz="4" w:space="0"/>
              <w:bottom w:val="single" w:color="auto" w:sz="4" w:space="0"/>
              <w:right w:val="single" w:color="auto" w:sz="4" w:space="0"/>
            </w:tcBorders>
          </w:tcPr>
          <w:p w14:paraId="591BEFAF">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w:t>
            </w:r>
          </w:p>
        </w:tc>
        <w:tc>
          <w:tcPr>
            <w:tcW w:w="1499" w:type="dxa"/>
            <w:tcBorders>
              <w:top w:val="single" w:color="auto" w:sz="4" w:space="0"/>
              <w:left w:val="single" w:color="auto" w:sz="4" w:space="0"/>
              <w:bottom w:val="single" w:color="auto" w:sz="4" w:space="0"/>
              <w:right w:val="single" w:color="auto" w:sz="4" w:space="0"/>
            </w:tcBorders>
          </w:tcPr>
          <w:p w14:paraId="055FC879">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标准分值</w:t>
            </w:r>
          </w:p>
        </w:tc>
        <w:tc>
          <w:tcPr>
            <w:tcW w:w="1831" w:type="dxa"/>
            <w:tcBorders>
              <w:top w:val="single" w:color="auto" w:sz="4" w:space="0"/>
              <w:left w:val="single" w:color="auto" w:sz="4" w:space="0"/>
              <w:bottom w:val="single" w:color="auto" w:sz="4" w:space="0"/>
              <w:right w:val="single" w:color="auto" w:sz="4" w:space="0"/>
            </w:tcBorders>
          </w:tcPr>
          <w:p w14:paraId="1B2FB32D">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实际得分</w:t>
            </w:r>
          </w:p>
        </w:tc>
      </w:tr>
      <w:tr w14:paraId="29912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534ED33D">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w:t>
            </w:r>
          </w:p>
        </w:tc>
        <w:tc>
          <w:tcPr>
            <w:tcW w:w="4614" w:type="dxa"/>
            <w:tcBorders>
              <w:top w:val="single" w:color="auto" w:sz="4" w:space="0"/>
              <w:left w:val="single" w:color="auto" w:sz="4" w:space="0"/>
              <w:bottom w:val="single" w:color="auto" w:sz="4" w:space="0"/>
              <w:right w:val="single" w:color="auto" w:sz="4" w:space="0"/>
            </w:tcBorders>
          </w:tcPr>
          <w:p w14:paraId="001BAF44">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设计成果文件的提交进度</w:t>
            </w:r>
          </w:p>
        </w:tc>
        <w:tc>
          <w:tcPr>
            <w:tcW w:w="1499" w:type="dxa"/>
            <w:tcBorders>
              <w:top w:val="single" w:color="auto" w:sz="4" w:space="0"/>
              <w:left w:val="single" w:color="auto" w:sz="4" w:space="0"/>
              <w:bottom w:val="single" w:color="auto" w:sz="4" w:space="0"/>
              <w:right w:val="single" w:color="auto" w:sz="4" w:space="0"/>
            </w:tcBorders>
          </w:tcPr>
          <w:p w14:paraId="016497CF">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2B449051">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4AE7F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3B2CEF85">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w:t>
            </w:r>
          </w:p>
        </w:tc>
        <w:tc>
          <w:tcPr>
            <w:tcW w:w="4614" w:type="dxa"/>
            <w:tcBorders>
              <w:top w:val="single" w:color="auto" w:sz="4" w:space="0"/>
              <w:left w:val="single" w:color="auto" w:sz="4" w:space="0"/>
              <w:bottom w:val="single" w:color="auto" w:sz="4" w:space="0"/>
              <w:right w:val="single" w:color="auto" w:sz="4" w:space="0"/>
            </w:tcBorders>
          </w:tcPr>
          <w:p w14:paraId="63B0DAE8">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设计成果文件的质量</w:t>
            </w:r>
          </w:p>
        </w:tc>
        <w:tc>
          <w:tcPr>
            <w:tcW w:w="1499" w:type="dxa"/>
            <w:tcBorders>
              <w:top w:val="single" w:color="auto" w:sz="4" w:space="0"/>
              <w:left w:val="single" w:color="auto" w:sz="4" w:space="0"/>
              <w:bottom w:val="single" w:color="auto" w:sz="4" w:space="0"/>
              <w:right w:val="single" w:color="auto" w:sz="4" w:space="0"/>
            </w:tcBorders>
          </w:tcPr>
          <w:p w14:paraId="2852262C">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6D247A30">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55872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1137E1BF">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w:t>
            </w:r>
          </w:p>
        </w:tc>
        <w:tc>
          <w:tcPr>
            <w:tcW w:w="4614" w:type="dxa"/>
            <w:tcBorders>
              <w:top w:val="single" w:color="auto" w:sz="4" w:space="0"/>
              <w:left w:val="single" w:color="auto" w:sz="4" w:space="0"/>
              <w:bottom w:val="single" w:color="auto" w:sz="4" w:space="0"/>
              <w:right w:val="single" w:color="auto" w:sz="4" w:space="0"/>
            </w:tcBorders>
          </w:tcPr>
          <w:p w14:paraId="39B9EB2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对问题修改的响应速度及质量</w:t>
            </w:r>
          </w:p>
        </w:tc>
        <w:tc>
          <w:tcPr>
            <w:tcW w:w="1499" w:type="dxa"/>
            <w:tcBorders>
              <w:top w:val="single" w:color="auto" w:sz="4" w:space="0"/>
              <w:left w:val="single" w:color="auto" w:sz="4" w:space="0"/>
              <w:bottom w:val="single" w:color="auto" w:sz="4" w:space="0"/>
              <w:right w:val="single" w:color="auto" w:sz="4" w:space="0"/>
            </w:tcBorders>
          </w:tcPr>
          <w:p w14:paraId="618566E6">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w:t>
            </w:r>
          </w:p>
        </w:tc>
        <w:tc>
          <w:tcPr>
            <w:tcW w:w="1831" w:type="dxa"/>
            <w:tcBorders>
              <w:top w:val="single" w:color="auto" w:sz="4" w:space="0"/>
              <w:left w:val="single" w:color="auto" w:sz="4" w:space="0"/>
              <w:bottom w:val="single" w:color="auto" w:sz="4" w:space="0"/>
              <w:right w:val="single" w:color="auto" w:sz="4" w:space="0"/>
            </w:tcBorders>
          </w:tcPr>
          <w:p w14:paraId="1957A92D">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7ACC6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0EDF1702">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w:t>
            </w:r>
          </w:p>
        </w:tc>
        <w:tc>
          <w:tcPr>
            <w:tcW w:w="4614" w:type="dxa"/>
            <w:tcBorders>
              <w:top w:val="single" w:color="auto" w:sz="4" w:space="0"/>
              <w:left w:val="single" w:color="auto" w:sz="4" w:space="0"/>
              <w:bottom w:val="single" w:color="auto" w:sz="4" w:space="0"/>
              <w:right w:val="single" w:color="auto" w:sz="4" w:space="0"/>
            </w:tcBorders>
          </w:tcPr>
          <w:p w14:paraId="34F110A3">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驻场人员专业能力及驻场天数</w:t>
            </w:r>
          </w:p>
        </w:tc>
        <w:tc>
          <w:tcPr>
            <w:tcW w:w="1499" w:type="dxa"/>
            <w:tcBorders>
              <w:top w:val="single" w:color="auto" w:sz="4" w:space="0"/>
              <w:left w:val="single" w:color="auto" w:sz="4" w:space="0"/>
              <w:bottom w:val="single" w:color="auto" w:sz="4" w:space="0"/>
              <w:right w:val="single" w:color="auto" w:sz="4" w:space="0"/>
            </w:tcBorders>
          </w:tcPr>
          <w:p w14:paraId="476C71E3">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w:t>
            </w:r>
          </w:p>
        </w:tc>
        <w:tc>
          <w:tcPr>
            <w:tcW w:w="1831" w:type="dxa"/>
            <w:tcBorders>
              <w:top w:val="single" w:color="auto" w:sz="4" w:space="0"/>
              <w:left w:val="single" w:color="auto" w:sz="4" w:space="0"/>
              <w:bottom w:val="single" w:color="auto" w:sz="4" w:space="0"/>
              <w:right w:val="single" w:color="auto" w:sz="4" w:space="0"/>
            </w:tcBorders>
          </w:tcPr>
          <w:p w14:paraId="35898FE8">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4890C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4A00C48F">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4614" w:type="dxa"/>
            <w:tcBorders>
              <w:top w:val="single" w:color="auto" w:sz="4" w:space="0"/>
              <w:left w:val="single" w:color="auto" w:sz="4" w:space="0"/>
              <w:bottom w:val="single" w:color="auto" w:sz="4" w:space="0"/>
              <w:right w:val="single" w:color="auto" w:sz="4" w:space="0"/>
            </w:tcBorders>
          </w:tcPr>
          <w:p w14:paraId="77EAD307">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现场配合情况（包含专项会议的参加，变更及时性，现场问题回复，特殊工艺材料的指导等）</w:t>
            </w:r>
          </w:p>
        </w:tc>
        <w:tc>
          <w:tcPr>
            <w:tcW w:w="1499" w:type="dxa"/>
            <w:tcBorders>
              <w:top w:val="single" w:color="auto" w:sz="4" w:space="0"/>
              <w:left w:val="single" w:color="auto" w:sz="4" w:space="0"/>
              <w:bottom w:val="single" w:color="auto" w:sz="4" w:space="0"/>
              <w:right w:val="single" w:color="auto" w:sz="4" w:space="0"/>
            </w:tcBorders>
          </w:tcPr>
          <w:p w14:paraId="11B3A23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1A805458">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414C7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2F12836A">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6</w:t>
            </w:r>
          </w:p>
        </w:tc>
        <w:tc>
          <w:tcPr>
            <w:tcW w:w="4614" w:type="dxa"/>
            <w:tcBorders>
              <w:top w:val="single" w:color="auto" w:sz="4" w:space="0"/>
              <w:left w:val="single" w:color="auto" w:sz="4" w:space="0"/>
              <w:bottom w:val="single" w:color="auto" w:sz="4" w:space="0"/>
              <w:right w:val="single" w:color="auto" w:sz="4" w:space="0"/>
            </w:tcBorders>
          </w:tcPr>
          <w:p w14:paraId="3629446E">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验收配合情况</w:t>
            </w:r>
          </w:p>
        </w:tc>
        <w:tc>
          <w:tcPr>
            <w:tcW w:w="1499" w:type="dxa"/>
            <w:tcBorders>
              <w:top w:val="single" w:color="auto" w:sz="4" w:space="0"/>
              <w:left w:val="single" w:color="auto" w:sz="4" w:space="0"/>
              <w:bottom w:val="single" w:color="auto" w:sz="4" w:space="0"/>
              <w:right w:val="single" w:color="auto" w:sz="4" w:space="0"/>
            </w:tcBorders>
          </w:tcPr>
          <w:p w14:paraId="7AD7A575">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31" w:type="dxa"/>
            <w:tcBorders>
              <w:top w:val="single" w:color="auto" w:sz="4" w:space="0"/>
              <w:left w:val="single" w:color="auto" w:sz="4" w:space="0"/>
              <w:bottom w:val="single" w:color="auto" w:sz="4" w:space="0"/>
              <w:right w:val="single" w:color="auto" w:sz="4" w:space="0"/>
            </w:tcBorders>
          </w:tcPr>
          <w:p w14:paraId="1AC70B9B">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5C8E3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547" w:type="dxa"/>
            <w:gridSpan w:val="2"/>
            <w:tcBorders>
              <w:top w:val="single" w:color="auto" w:sz="4" w:space="0"/>
              <w:left w:val="single" w:color="auto" w:sz="4" w:space="0"/>
              <w:bottom w:val="single" w:color="auto" w:sz="4" w:space="0"/>
              <w:right w:val="single" w:color="auto" w:sz="4" w:space="0"/>
            </w:tcBorders>
          </w:tcPr>
          <w:p w14:paraId="4EF4F5DE">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合计</w:t>
            </w:r>
          </w:p>
        </w:tc>
        <w:tc>
          <w:tcPr>
            <w:tcW w:w="1499" w:type="dxa"/>
            <w:tcBorders>
              <w:top w:val="single" w:color="auto" w:sz="4" w:space="0"/>
              <w:left w:val="single" w:color="auto" w:sz="4" w:space="0"/>
              <w:bottom w:val="single" w:color="auto" w:sz="4" w:space="0"/>
              <w:right w:val="single" w:color="auto" w:sz="4" w:space="0"/>
            </w:tcBorders>
          </w:tcPr>
          <w:p w14:paraId="7C424BE6">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100</w:t>
            </w:r>
          </w:p>
        </w:tc>
        <w:tc>
          <w:tcPr>
            <w:tcW w:w="1831" w:type="dxa"/>
            <w:tcBorders>
              <w:top w:val="single" w:color="auto" w:sz="4" w:space="0"/>
              <w:left w:val="single" w:color="auto" w:sz="4" w:space="0"/>
              <w:bottom w:val="single" w:color="auto" w:sz="4" w:space="0"/>
              <w:right w:val="single" w:color="auto" w:sz="4" w:space="0"/>
            </w:tcBorders>
          </w:tcPr>
          <w:p w14:paraId="3F951D57">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74386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7" w:type="dxa"/>
            <w:gridSpan w:val="4"/>
            <w:tcBorders>
              <w:top w:val="single" w:color="auto" w:sz="4" w:space="0"/>
              <w:left w:val="single" w:color="auto" w:sz="4" w:space="0"/>
              <w:bottom w:val="single" w:color="auto" w:sz="4" w:space="0"/>
              <w:right w:val="single" w:color="auto" w:sz="4" w:space="0"/>
            </w:tcBorders>
          </w:tcPr>
          <w:p w14:paraId="5C25B2ED">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评定等级</w:t>
            </w:r>
            <w:r>
              <w:rPr>
                <w:rFonts w:cs="宋体" w:asciiTheme="minorEastAsia" w:hAnsiTheme="minorEastAsia" w:eastAsiaTheme="minorEastAsia"/>
                <w:color w:val="auto"/>
                <w:szCs w:val="21"/>
                <w:highlight w:val="none"/>
              </w:rPr>
              <w:t>:</w:t>
            </w:r>
          </w:p>
        </w:tc>
      </w:tr>
      <w:tr w14:paraId="64FC9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7" w:type="dxa"/>
            <w:gridSpan w:val="2"/>
            <w:tcBorders>
              <w:top w:val="single" w:color="auto" w:sz="4" w:space="0"/>
              <w:left w:val="single" w:color="auto" w:sz="4" w:space="0"/>
              <w:bottom w:val="single" w:color="auto" w:sz="4" w:space="0"/>
              <w:right w:val="single" w:color="auto" w:sz="4" w:space="0"/>
            </w:tcBorders>
          </w:tcPr>
          <w:p w14:paraId="7805A259">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填表人：</w:t>
            </w:r>
          </w:p>
        </w:tc>
        <w:tc>
          <w:tcPr>
            <w:tcW w:w="3330" w:type="dxa"/>
            <w:gridSpan w:val="2"/>
            <w:tcBorders>
              <w:top w:val="single" w:color="auto" w:sz="4" w:space="0"/>
              <w:left w:val="single" w:color="auto" w:sz="4" w:space="0"/>
              <w:bottom w:val="single" w:color="auto" w:sz="4" w:space="0"/>
              <w:right w:val="single" w:color="auto" w:sz="4" w:space="0"/>
            </w:tcBorders>
          </w:tcPr>
          <w:p w14:paraId="6B05E62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复核</w:t>
            </w:r>
          </w:p>
        </w:tc>
      </w:tr>
    </w:tbl>
    <w:p w14:paraId="0674889C">
      <w:pPr>
        <w:spacing w:line="360" w:lineRule="auto"/>
        <w:ind w:firstLine="422"/>
        <w:outlineLvl w:val="9"/>
        <w:rPr>
          <w:rFonts w:cs="宋体" w:asciiTheme="minorEastAsia" w:hAnsiTheme="minorEastAsia" w:eastAsiaTheme="minorEastAsia"/>
          <w:b/>
          <w:color w:val="auto"/>
          <w:szCs w:val="21"/>
          <w:highlight w:val="none"/>
        </w:rPr>
      </w:pPr>
    </w:p>
    <w:p w14:paraId="25D74F2C">
      <w:pPr>
        <w:spacing w:line="360" w:lineRule="auto"/>
        <w:ind w:firstLine="422"/>
        <w:outlineLvl w:val="9"/>
        <w:rPr>
          <w:rFonts w:cs="宋体" w:asciiTheme="minorEastAsia" w:hAnsiTheme="minorEastAsia" w:eastAsiaTheme="minorEastAsia"/>
          <w:b/>
          <w:color w:val="auto"/>
          <w:szCs w:val="21"/>
          <w:highlight w:val="none"/>
        </w:rPr>
        <w:sectPr>
          <w:pgSz w:w="11906" w:h="16838"/>
          <w:pgMar w:top="851" w:right="1361" w:bottom="851" w:left="1361" w:header="567" w:footer="567" w:gutter="0"/>
          <w:pgBorders>
            <w:top w:val="none" w:sz="0" w:space="0"/>
            <w:left w:val="none" w:sz="0" w:space="0"/>
            <w:bottom w:val="none" w:sz="0" w:space="0"/>
            <w:right w:val="none" w:sz="0" w:space="0"/>
          </w:pgBorders>
          <w:cols w:space="720" w:num="1"/>
          <w:titlePg/>
          <w:docGrid w:linePitch="312" w:charSpace="0"/>
        </w:sectPr>
      </w:pPr>
    </w:p>
    <w:p w14:paraId="5B819463">
      <w:pPr>
        <w:spacing w:line="360" w:lineRule="auto"/>
        <w:outlineLvl w:val="9"/>
        <w:rPr>
          <w:rFonts w:cs="宋体" w:asciiTheme="minorEastAsia" w:hAnsiTheme="minorEastAsia" w:eastAsiaTheme="minorEastAsia"/>
          <w:b/>
          <w:color w:val="auto"/>
          <w:szCs w:val="21"/>
          <w:highlight w:val="none"/>
        </w:rPr>
      </w:pPr>
      <w:r>
        <w:rPr>
          <w:rFonts w:hint="eastAsia" w:cs="宋体" w:asciiTheme="minorEastAsia" w:hAnsiTheme="minorEastAsia" w:eastAsiaTheme="minorEastAsia"/>
          <w:b/>
          <w:color w:val="auto"/>
          <w:szCs w:val="21"/>
          <w:highlight w:val="none"/>
        </w:rPr>
        <w:t>表4</w:t>
      </w:r>
      <w:r>
        <w:rPr>
          <w:rFonts w:cs="宋体" w:asciiTheme="minorEastAsia" w:hAnsiTheme="minorEastAsia" w:eastAsiaTheme="minorEastAsia"/>
          <w:b/>
          <w:color w:val="auto"/>
          <w:szCs w:val="21"/>
          <w:highlight w:val="none"/>
        </w:rPr>
        <w:t xml:space="preserve">：         </w:t>
      </w:r>
      <w:r>
        <w:rPr>
          <w:rFonts w:hint="eastAsia" w:cs="宋体" w:asciiTheme="minorEastAsia" w:hAnsiTheme="minorEastAsia" w:eastAsiaTheme="minorEastAsia"/>
          <w:b/>
          <w:color w:val="auto"/>
          <w:szCs w:val="21"/>
          <w:highlight w:val="none"/>
        </w:rPr>
        <w:t>总师办对设计工作履约评价考核表（施工及报建阶段）</w:t>
      </w:r>
    </w:p>
    <w:tbl>
      <w:tblPr>
        <w:tblStyle w:val="56"/>
        <w:tblW w:w="87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4565"/>
        <w:gridCol w:w="1522"/>
        <w:gridCol w:w="1815"/>
      </w:tblGrid>
      <w:tr w14:paraId="18369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14:paraId="2D781F9B">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序号</w:t>
            </w:r>
          </w:p>
        </w:tc>
        <w:tc>
          <w:tcPr>
            <w:tcW w:w="4565" w:type="dxa"/>
          </w:tcPr>
          <w:p w14:paraId="03956F39">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w:t>
            </w:r>
          </w:p>
        </w:tc>
        <w:tc>
          <w:tcPr>
            <w:tcW w:w="1522" w:type="dxa"/>
          </w:tcPr>
          <w:p w14:paraId="581F5599">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标准分值</w:t>
            </w:r>
          </w:p>
        </w:tc>
        <w:tc>
          <w:tcPr>
            <w:tcW w:w="1815" w:type="dxa"/>
          </w:tcPr>
          <w:p w14:paraId="05D372C0">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实际得分</w:t>
            </w:r>
          </w:p>
        </w:tc>
      </w:tr>
      <w:tr w14:paraId="4EACF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trPr>
        <w:tc>
          <w:tcPr>
            <w:tcW w:w="846" w:type="dxa"/>
          </w:tcPr>
          <w:p w14:paraId="4460130B">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w:t>
            </w:r>
          </w:p>
        </w:tc>
        <w:tc>
          <w:tcPr>
            <w:tcW w:w="4565" w:type="dxa"/>
          </w:tcPr>
          <w:p w14:paraId="6BB8F2D7">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现场服务组的资质、经验、专业满足施工需要</w:t>
            </w:r>
          </w:p>
        </w:tc>
        <w:tc>
          <w:tcPr>
            <w:tcW w:w="1522" w:type="dxa"/>
          </w:tcPr>
          <w:p w14:paraId="06022BAD">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15" w:type="dxa"/>
          </w:tcPr>
          <w:p w14:paraId="0AB6BF08">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611F1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46" w:type="dxa"/>
          </w:tcPr>
          <w:p w14:paraId="6585150B">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w:t>
            </w:r>
          </w:p>
        </w:tc>
        <w:tc>
          <w:tcPr>
            <w:tcW w:w="4565" w:type="dxa"/>
          </w:tcPr>
          <w:p w14:paraId="2AC60912">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设计变更的及时处理（接到变更指令后</w:t>
            </w:r>
            <w:r>
              <w:rPr>
                <w:rFonts w:cs="宋体" w:asciiTheme="minorEastAsia" w:hAnsiTheme="minorEastAsia" w:eastAsiaTheme="minorEastAsia"/>
                <w:color w:val="auto"/>
                <w:szCs w:val="21"/>
                <w:highlight w:val="none"/>
              </w:rPr>
              <w:t>3日内出具）并认真做好事前控制投资的工作</w:t>
            </w:r>
          </w:p>
        </w:tc>
        <w:tc>
          <w:tcPr>
            <w:tcW w:w="1522" w:type="dxa"/>
          </w:tcPr>
          <w:p w14:paraId="22AC9EF0">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15" w:type="dxa"/>
          </w:tcPr>
          <w:p w14:paraId="3DCF494B">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3DFBE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14:paraId="2B62F7D3">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w:t>
            </w:r>
          </w:p>
        </w:tc>
        <w:tc>
          <w:tcPr>
            <w:tcW w:w="4565" w:type="dxa"/>
          </w:tcPr>
          <w:p w14:paraId="4C8D2C19">
            <w:pPr>
              <w:keepNext w:val="0"/>
              <w:keepLines w:val="0"/>
              <w:suppressLineNumbers w:val="0"/>
              <w:spacing w:before="0" w:beforeAutospacing="0" w:after="0" w:afterAutospacing="0" w:line="360" w:lineRule="auto"/>
              <w:ind w:left="0" w:right="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设计图纸的深度是否满足施工需要</w:t>
            </w:r>
          </w:p>
        </w:tc>
        <w:tc>
          <w:tcPr>
            <w:tcW w:w="1522" w:type="dxa"/>
          </w:tcPr>
          <w:p w14:paraId="7905D2A7">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1815" w:type="dxa"/>
          </w:tcPr>
          <w:p w14:paraId="388F5097">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2C6FE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14:paraId="4CA927B8">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w:t>
            </w:r>
          </w:p>
        </w:tc>
        <w:tc>
          <w:tcPr>
            <w:tcW w:w="4565" w:type="dxa"/>
          </w:tcPr>
          <w:p w14:paraId="15F649F7">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参加工程各项会议情况、配合委托方处理各种技术问题</w:t>
            </w:r>
          </w:p>
        </w:tc>
        <w:tc>
          <w:tcPr>
            <w:tcW w:w="1522" w:type="dxa"/>
          </w:tcPr>
          <w:p w14:paraId="70B809F1">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15" w:type="dxa"/>
          </w:tcPr>
          <w:p w14:paraId="7BB4AEF7">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53B80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14:paraId="0CB310A5">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4565" w:type="dxa"/>
          </w:tcPr>
          <w:p w14:paraId="4385B3C0">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指导现场施工、技术交底情况、协调专业单位配合施工情况</w:t>
            </w:r>
          </w:p>
        </w:tc>
        <w:tc>
          <w:tcPr>
            <w:tcW w:w="1522" w:type="dxa"/>
          </w:tcPr>
          <w:p w14:paraId="62B65E6E">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15" w:type="dxa"/>
          </w:tcPr>
          <w:p w14:paraId="43DB84CE">
            <w:pPr>
              <w:keepNext/>
              <w:keepLines/>
              <w:suppressLineNumbers w:val="0"/>
              <w:spacing w:before="260" w:beforeAutospacing="0" w:after="260" w:afterAutospacing="0" w:line="360" w:lineRule="auto"/>
              <w:ind w:left="0" w:right="0" w:firstLine="420"/>
              <w:outlineLvl w:val="9"/>
              <w:rPr>
                <w:rFonts w:cs="宋体" w:asciiTheme="minorEastAsia" w:hAnsiTheme="minorEastAsia" w:eastAsiaTheme="minorEastAsia"/>
                <w:color w:val="auto"/>
                <w:szCs w:val="21"/>
                <w:highlight w:val="none"/>
              </w:rPr>
            </w:pPr>
          </w:p>
        </w:tc>
      </w:tr>
      <w:tr w14:paraId="2A583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14:paraId="13CB3F23">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6</w:t>
            </w:r>
          </w:p>
        </w:tc>
        <w:tc>
          <w:tcPr>
            <w:tcW w:w="4565" w:type="dxa"/>
          </w:tcPr>
          <w:p w14:paraId="65917817">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对工程质量事故的调查和处理</w:t>
            </w:r>
          </w:p>
        </w:tc>
        <w:tc>
          <w:tcPr>
            <w:tcW w:w="1522" w:type="dxa"/>
          </w:tcPr>
          <w:p w14:paraId="2FAFCEAB">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1815" w:type="dxa"/>
          </w:tcPr>
          <w:p w14:paraId="5EF9FD7D">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234AD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14:paraId="60CA749A">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7</w:t>
            </w:r>
          </w:p>
        </w:tc>
        <w:tc>
          <w:tcPr>
            <w:tcW w:w="4565" w:type="dxa"/>
          </w:tcPr>
          <w:p w14:paraId="62119C6C">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对关键工序、特殊工序的控制</w:t>
            </w:r>
          </w:p>
        </w:tc>
        <w:tc>
          <w:tcPr>
            <w:tcW w:w="1522" w:type="dxa"/>
          </w:tcPr>
          <w:p w14:paraId="64F9F1F0">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10</w:t>
            </w:r>
          </w:p>
        </w:tc>
        <w:tc>
          <w:tcPr>
            <w:tcW w:w="1815" w:type="dxa"/>
          </w:tcPr>
          <w:p w14:paraId="05DDDA79">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7469B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14:paraId="6BB5A23E">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8</w:t>
            </w:r>
          </w:p>
        </w:tc>
        <w:tc>
          <w:tcPr>
            <w:tcW w:w="4565" w:type="dxa"/>
          </w:tcPr>
          <w:p w14:paraId="711128A4">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验收分项、分部、单位工程质量</w:t>
            </w:r>
          </w:p>
        </w:tc>
        <w:tc>
          <w:tcPr>
            <w:tcW w:w="1522" w:type="dxa"/>
          </w:tcPr>
          <w:p w14:paraId="2AD2CEA1">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1815" w:type="dxa"/>
          </w:tcPr>
          <w:p w14:paraId="7CD9BD2D">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49A8D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14:paraId="61BC4A54">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9</w:t>
            </w:r>
          </w:p>
        </w:tc>
        <w:tc>
          <w:tcPr>
            <w:tcW w:w="4565" w:type="dxa"/>
          </w:tcPr>
          <w:p w14:paraId="5479B4C4">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督促承包商对验收中提出的遗留问题整改</w:t>
            </w:r>
          </w:p>
        </w:tc>
        <w:tc>
          <w:tcPr>
            <w:tcW w:w="1522" w:type="dxa"/>
          </w:tcPr>
          <w:p w14:paraId="7471D65A">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1815" w:type="dxa"/>
          </w:tcPr>
          <w:p w14:paraId="352F8D7B">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13832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846" w:type="dxa"/>
          </w:tcPr>
          <w:p w14:paraId="37F0BD5C">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rPr>
              <w:t>0</w:t>
            </w:r>
          </w:p>
        </w:tc>
        <w:tc>
          <w:tcPr>
            <w:tcW w:w="4565" w:type="dxa"/>
          </w:tcPr>
          <w:p w14:paraId="2BB6441A">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承接人员有无违反职业道德的不良行为</w:t>
            </w:r>
          </w:p>
        </w:tc>
        <w:tc>
          <w:tcPr>
            <w:tcW w:w="1522" w:type="dxa"/>
          </w:tcPr>
          <w:p w14:paraId="1095CDA6">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15" w:type="dxa"/>
          </w:tcPr>
          <w:p w14:paraId="47E53035">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05128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14:paraId="43F8866E">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rPr>
              <w:t>1</w:t>
            </w:r>
          </w:p>
        </w:tc>
        <w:tc>
          <w:tcPr>
            <w:tcW w:w="4565" w:type="dxa"/>
          </w:tcPr>
          <w:p w14:paraId="01962217">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报建成果资料提交的及时性及正确性</w:t>
            </w:r>
          </w:p>
        </w:tc>
        <w:tc>
          <w:tcPr>
            <w:tcW w:w="1522" w:type="dxa"/>
          </w:tcPr>
          <w:p w14:paraId="161CA55C">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15" w:type="dxa"/>
          </w:tcPr>
          <w:p w14:paraId="7764B908">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680EF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14:paraId="55C09833">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w:t>
            </w:r>
            <w:r>
              <w:rPr>
                <w:rFonts w:hint="eastAsia" w:cs="宋体" w:asciiTheme="minorEastAsia" w:hAnsiTheme="minorEastAsia" w:eastAsiaTheme="minorEastAsia"/>
                <w:color w:val="auto"/>
                <w:szCs w:val="21"/>
                <w:highlight w:val="none"/>
              </w:rPr>
              <w:t>2</w:t>
            </w:r>
          </w:p>
        </w:tc>
        <w:tc>
          <w:tcPr>
            <w:tcW w:w="4565" w:type="dxa"/>
          </w:tcPr>
          <w:p w14:paraId="174DF10F">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报建过程中与各部门的沟通及相关问题的处理是否及时、有效</w:t>
            </w:r>
          </w:p>
        </w:tc>
        <w:tc>
          <w:tcPr>
            <w:tcW w:w="1522" w:type="dxa"/>
          </w:tcPr>
          <w:p w14:paraId="27AEB209">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15" w:type="dxa"/>
          </w:tcPr>
          <w:p w14:paraId="423ABFCE">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3471D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11" w:type="dxa"/>
            <w:gridSpan w:val="2"/>
          </w:tcPr>
          <w:p w14:paraId="3852D951">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合计</w:t>
            </w:r>
          </w:p>
        </w:tc>
        <w:tc>
          <w:tcPr>
            <w:tcW w:w="1522" w:type="dxa"/>
          </w:tcPr>
          <w:p w14:paraId="4B435F74">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100</w:t>
            </w:r>
          </w:p>
        </w:tc>
        <w:tc>
          <w:tcPr>
            <w:tcW w:w="1815" w:type="dxa"/>
          </w:tcPr>
          <w:p w14:paraId="5833B1FD">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6772D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48" w:type="dxa"/>
            <w:gridSpan w:val="4"/>
          </w:tcPr>
          <w:p w14:paraId="39FFE08D">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评定等级</w:t>
            </w:r>
            <w:r>
              <w:rPr>
                <w:rFonts w:cs="宋体" w:asciiTheme="minorEastAsia" w:hAnsiTheme="minorEastAsia" w:eastAsiaTheme="minorEastAsia"/>
                <w:color w:val="auto"/>
                <w:szCs w:val="21"/>
                <w:highlight w:val="none"/>
              </w:rPr>
              <w:t>:</w:t>
            </w:r>
          </w:p>
        </w:tc>
      </w:tr>
      <w:tr w14:paraId="14DFC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11" w:type="dxa"/>
            <w:gridSpan w:val="2"/>
          </w:tcPr>
          <w:p w14:paraId="3CF91E4C">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填表人：</w:t>
            </w:r>
          </w:p>
        </w:tc>
        <w:tc>
          <w:tcPr>
            <w:tcW w:w="3337" w:type="dxa"/>
            <w:gridSpan w:val="2"/>
          </w:tcPr>
          <w:p w14:paraId="18FA1BFD">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复核</w:t>
            </w:r>
          </w:p>
        </w:tc>
      </w:tr>
    </w:tbl>
    <w:p w14:paraId="64614B24">
      <w:pPr>
        <w:spacing w:line="360" w:lineRule="auto"/>
        <w:ind w:firstLine="420"/>
        <w:jc w:val="center"/>
        <w:outlineLvl w:val="9"/>
        <w:rPr>
          <w:rFonts w:cs="宋体" w:asciiTheme="minorEastAsia" w:hAnsiTheme="minorEastAsia" w:eastAsiaTheme="minorEastAsia"/>
          <w:color w:val="auto"/>
          <w:szCs w:val="21"/>
          <w:highlight w:val="none"/>
        </w:rPr>
      </w:pPr>
    </w:p>
    <w:p w14:paraId="0C4E5115">
      <w:pPr>
        <w:spacing w:line="360" w:lineRule="auto"/>
        <w:ind w:firstLine="420"/>
        <w:jc w:val="center"/>
        <w:outlineLvl w:val="9"/>
        <w:rPr>
          <w:rFonts w:hint="eastAsia" w:cs="宋体" w:asciiTheme="minorEastAsia" w:hAnsiTheme="minorEastAsia" w:eastAsiaTheme="minorEastAsia"/>
          <w:color w:val="auto"/>
          <w:szCs w:val="21"/>
          <w:highlight w:val="none"/>
        </w:rPr>
        <w:sectPr>
          <w:pgSz w:w="11906" w:h="16838"/>
          <w:pgMar w:top="851" w:right="1361" w:bottom="851" w:left="1361" w:header="567" w:footer="567" w:gutter="0"/>
          <w:pgBorders>
            <w:top w:val="none" w:sz="0" w:space="0"/>
            <w:left w:val="none" w:sz="0" w:space="0"/>
            <w:bottom w:val="none" w:sz="0" w:space="0"/>
            <w:right w:val="none" w:sz="0" w:space="0"/>
          </w:pgBorders>
          <w:cols w:space="720" w:num="1"/>
          <w:titlePg/>
          <w:docGrid w:linePitch="312" w:charSpace="0"/>
        </w:sectPr>
      </w:pPr>
    </w:p>
    <w:p w14:paraId="24FD07D8">
      <w:pPr>
        <w:spacing w:line="360" w:lineRule="auto"/>
        <w:ind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项目部对设计工作履约评价考核表（施工及装修配合阶段）</w:t>
      </w:r>
    </w:p>
    <w:tbl>
      <w:tblPr>
        <w:tblStyle w:val="5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3"/>
        <w:gridCol w:w="4614"/>
        <w:gridCol w:w="1499"/>
        <w:gridCol w:w="1831"/>
      </w:tblGrid>
      <w:tr w14:paraId="43ED8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3462FB05">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序号</w:t>
            </w:r>
          </w:p>
        </w:tc>
        <w:tc>
          <w:tcPr>
            <w:tcW w:w="4614" w:type="dxa"/>
            <w:tcBorders>
              <w:top w:val="single" w:color="auto" w:sz="4" w:space="0"/>
              <w:left w:val="single" w:color="auto" w:sz="4" w:space="0"/>
              <w:bottom w:val="single" w:color="auto" w:sz="4" w:space="0"/>
              <w:right w:val="single" w:color="auto" w:sz="4" w:space="0"/>
            </w:tcBorders>
          </w:tcPr>
          <w:p w14:paraId="52E59127">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w:t>
            </w:r>
          </w:p>
        </w:tc>
        <w:tc>
          <w:tcPr>
            <w:tcW w:w="1499" w:type="dxa"/>
            <w:tcBorders>
              <w:top w:val="single" w:color="auto" w:sz="4" w:space="0"/>
              <w:left w:val="single" w:color="auto" w:sz="4" w:space="0"/>
              <w:bottom w:val="single" w:color="auto" w:sz="4" w:space="0"/>
              <w:right w:val="single" w:color="auto" w:sz="4" w:space="0"/>
            </w:tcBorders>
          </w:tcPr>
          <w:p w14:paraId="1BAABC36">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标准分值</w:t>
            </w:r>
          </w:p>
        </w:tc>
        <w:tc>
          <w:tcPr>
            <w:tcW w:w="1831" w:type="dxa"/>
            <w:tcBorders>
              <w:top w:val="single" w:color="auto" w:sz="4" w:space="0"/>
              <w:left w:val="single" w:color="auto" w:sz="4" w:space="0"/>
              <w:bottom w:val="single" w:color="auto" w:sz="4" w:space="0"/>
              <w:right w:val="single" w:color="auto" w:sz="4" w:space="0"/>
            </w:tcBorders>
          </w:tcPr>
          <w:p w14:paraId="2745D4DB">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实际得分</w:t>
            </w:r>
          </w:p>
        </w:tc>
      </w:tr>
      <w:tr w14:paraId="0FEF2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6B0BD141">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w:t>
            </w:r>
          </w:p>
        </w:tc>
        <w:tc>
          <w:tcPr>
            <w:tcW w:w="4614" w:type="dxa"/>
            <w:tcBorders>
              <w:top w:val="single" w:color="auto" w:sz="4" w:space="0"/>
              <w:left w:val="single" w:color="auto" w:sz="4" w:space="0"/>
              <w:bottom w:val="single" w:color="auto" w:sz="4" w:space="0"/>
              <w:right w:val="single" w:color="auto" w:sz="4" w:space="0"/>
            </w:tcBorders>
          </w:tcPr>
          <w:p w14:paraId="0CA6A823">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设计成果文件的提交进度</w:t>
            </w:r>
          </w:p>
        </w:tc>
        <w:tc>
          <w:tcPr>
            <w:tcW w:w="1499" w:type="dxa"/>
            <w:tcBorders>
              <w:top w:val="single" w:color="auto" w:sz="4" w:space="0"/>
              <w:left w:val="single" w:color="auto" w:sz="4" w:space="0"/>
              <w:bottom w:val="single" w:color="auto" w:sz="4" w:space="0"/>
              <w:right w:val="single" w:color="auto" w:sz="4" w:space="0"/>
            </w:tcBorders>
          </w:tcPr>
          <w:p w14:paraId="735EF5B4">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6BE2E5DD">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43058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75F4F596">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w:t>
            </w:r>
          </w:p>
        </w:tc>
        <w:tc>
          <w:tcPr>
            <w:tcW w:w="4614" w:type="dxa"/>
            <w:tcBorders>
              <w:top w:val="single" w:color="auto" w:sz="4" w:space="0"/>
              <w:left w:val="single" w:color="auto" w:sz="4" w:space="0"/>
              <w:bottom w:val="single" w:color="auto" w:sz="4" w:space="0"/>
              <w:right w:val="single" w:color="auto" w:sz="4" w:space="0"/>
            </w:tcBorders>
          </w:tcPr>
          <w:p w14:paraId="0EECD765">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设计成果文件的质量</w:t>
            </w:r>
          </w:p>
        </w:tc>
        <w:tc>
          <w:tcPr>
            <w:tcW w:w="1499" w:type="dxa"/>
            <w:tcBorders>
              <w:top w:val="single" w:color="auto" w:sz="4" w:space="0"/>
              <w:left w:val="single" w:color="auto" w:sz="4" w:space="0"/>
              <w:bottom w:val="single" w:color="auto" w:sz="4" w:space="0"/>
              <w:right w:val="single" w:color="auto" w:sz="4" w:space="0"/>
            </w:tcBorders>
          </w:tcPr>
          <w:p w14:paraId="1A8672B9">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75BCE6E0">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27D7F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1B8C1A61">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3</w:t>
            </w:r>
          </w:p>
        </w:tc>
        <w:tc>
          <w:tcPr>
            <w:tcW w:w="4614" w:type="dxa"/>
            <w:tcBorders>
              <w:top w:val="single" w:color="auto" w:sz="4" w:space="0"/>
              <w:left w:val="single" w:color="auto" w:sz="4" w:space="0"/>
              <w:bottom w:val="single" w:color="auto" w:sz="4" w:space="0"/>
              <w:right w:val="single" w:color="auto" w:sz="4" w:space="0"/>
            </w:tcBorders>
          </w:tcPr>
          <w:p w14:paraId="4BC5F731">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对问题修改的响应速度及质量</w:t>
            </w:r>
          </w:p>
        </w:tc>
        <w:tc>
          <w:tcPr>
            <w:tcW w:w="1499" w:type="dxa"/>
            <w:tcBorders>
              <w:top w:val="single" w:color="auto" w:sz="4" w:space="0"/>
              <w:left w:val="single" w:color="auto" w:sz="4" w:space="0"/>
              <w:bottom w:val="single" w:color="auto" w:sz="4" w:space="0"/>
              <w:right w:val="single" w:color="auto" w:sz="4" w:space="0"/>
            </w:tcBorders>
          </w:tcPr>
          <w:p w14:paraId="443F74A0">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w:t>
            </w:r>
          </w:p>
        </w:tc>
        <w:tc>
          <w:tcPr>
            <w:tcW w:w="1831" w:type="dxa"/>
            <w:tcBorders>
              <w:top w:val="single" w:color="auto" w:sz="4" w:space="0"/>
              <w:left w:val="single" w:color="auto" w:sz="4" w:space="0"/>
              <w:bottom w:val="single" w:color="auto" w:sz="4" w:space="0"/>
              <w:right w:val="single" w:color="auto" w:sz="4" w:space="0"/>
            </w:tcBorders>
          </w:tcPr>
          <w:p w14:paraId="54658C54">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3162A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651F8383">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4</w:t>
            </w:r>
          </w:p>
        </w:tc>
        <w:tc>
          <w:tcPr>
            <w:tcW w:w="4614" w:type="dxa"/>
            <w:tcBorders>
              <w:top w:val="single" w:color="auto" w:sz="4" w:space="0"/>
              <w:left w:val="single" w:color="auto" w:sz="4" w:space="0"/>
              <w:bottom w:val="single" w:color="auto" w:sz="4" w:space="0"/>
              <w:right w:val="single" w:color="auto" w:sz="4" w:space="0"/>
            </w:tcBorders>
          </w:tcPr>
          <w:p w14:paraId="3749B855">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驻场人员专业能力及驻场天数</w:t>
            </w:r>
          </w:p>
        </w:tc>
        <w:tc>
          <w:tcPr>
            <w:tcW w:w="1499" w:type="dxa"/>
            <w:tcBorders>
              <w:top w:val="single" w:color="auto" w:sz="4" w:space="0"/>
              <w:left w:val="single" w:color="auto" w:sz="4" w:space="0"/>
              <w:bottom w:val="single" w:color="auto" w:sz="4" w:space="0"/>
              <w:right w:val="single" w:color="auto" w:sz="4" w:space="0"/>
            </w:tcBorders>
          </w:tcPr>
          <w:p w14:paraId="0D77122D">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15</w:t>
            </w:r>
          </w:p>
        </w:tc>
        <w:tc>
          <w:tcPr>
            <w:tcW w:w="1831" w:type="dxa"/>
            <w:tcBorders>
              <w:top w:val="single" w:color="auto" w:sz="4" w:space="0"/>
              <w:left w:val="single" w:color="auto" w:sz="4" w:space="0"/>
              <w:bottom w:val="single" w:color="auto" w:sz="4" w:space="0"/>
              <w:right w:val="single" w:color="auto" w:sz="4" w:space="0"/>
            </w:tcBorders>
          </w:tcPr>
          <w:p w14:paraId="083687DE">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6C6F8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53C47C95">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5</w:t>
            </w:r>
          </w:p>
        </w:tc>
        <w:tc>
          <w:tcPr>
            <w:tcW w:w="4614" w:type="dxa"/>
            <w:tcBorders>
              <w:top w:val="single" w:color="auto" w:sz="4" w:space="0"/>
              <w:left w:val="single" w:color="auto" w:sz="4" w:space="0"/>
              <w:bottom w:val="single" w:color="auto" w:sz="4" w:space="0"/>
              <w:right w:val="single" w:color="auto" w:sz="4" w:space="0"/>
            </w:tcBorders>
          </w:tcPr>
          <w:p w14:paraId="519D9E56">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现场配合情况（包含专项会议的参加，变更及时性，现场问题回复，特殊工艺材料的指导等）</w:t>
            </w:r>
          </w:p>
        </w:tc>
        <w:tc>
          <w:tcPr>
            <w:tcW w:w="1499" w:type="dxa"/>
            <w:tcBorders>
              <w:top w:val="single" w:color="auto" w:sz="4" w:space="0"/>
              <w:left w:val="single" w:color="auto" w:sz="4" w:space="0"/>
              <w:bottom w:val="single" w:color="auto" w:sz="4" w:space="0"/>
              <w:right w:val="single" w:color="auto" w:sz="4" w:space="0"/>
            </w:tcBorders>
          </w:tcPr>
          <w:p w14:paraId="7197ED68">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20</w:t>
            </w:r>
          </w:p>
        </w:tc>
        <w:tc>
          <w:tcPr>
            <w:tcW w:w="1831" w:type="dxa"/>
            <w:tcBorders>
              <w:top w:val="single" w:color="auto" w:sz="4" w:space="0"/>
              <w:left w:val="single" w:color="auto" w:sz="4" w:space="0"/>
              <w:bottom w:val="single" w:color="auto" w:sz="4" w:space="0"/>
              <w:right w:val="single" w:color="auto" w:sz="4" w:space="0"/>
            </w:tcBorders>
          </w:tcPr>
          <w:p w14:paraId="3AB303E0">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6EB46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20F0C347">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6</w:t>
            </w:r>
          </w:p>
        </w:tc>
        <w:tc>
          <w:tcPr>
            <w:tcW w:w="4614" w:type="dxa"/>
            <w:tcBorders>
              <w:top w:val="single" w:color="auto" w:sz="4" w:space="0"/>
              <w:left w:val="single" w:color="auto" w:sz="4" w:space="0"/>
              <w:bottom w:val="single" w:color="auto" w:sz="4" w:space="0"/>
              <w:right w:val="single" w:color="auto" w:sz="4" w:space="0"/>
            </w:tcBorders>
          </w:tcPr>
          <w:p w14:paraId="18101D9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验收配合情况</w:t>
            </w:r>
          </w:p>
        </w:tc>
        <w:tc>
          <w:tcPr>
            <w:tcW w:w="1499" w:type="dxa"/>
            <w:tcBorders>
              <w:top w:val="single" w:color="auto" w:sz="4" w:space="0"/>
              <w:left w:val="single" w:color="auto" w:sz="4" w:space="0"/>
              <w:bottom w:val="single" w:color="auto" w:sz="4" w:space="0"/>
              <w:right w:val="single" w:color="auto" w:sz="4" w:space="0"/>
            </w:tcBorders>
          </w:tcPr>
          <w:p w14:paraId="411647BA">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w:t>
            </w:r>
          </w:p>
        </w:tc>
        <w:tc>
          <w:tcPr>
            <w:tcW w:w="1831" w:type="dxa"/>
            <w:tcBorders>
              <w:top w:val="single" w:color="auto" w:sz="4" w:space="0"/>
              <w:left w:val="single" w:color="auto" w:sz="4" w:space="0"/>
              <w:bottom w:val="single" w:color="auto" w:sz="4" w:space="0"/>
              <w:right w:val="single" w:color="auto" w:sz="4" w:space="0"/>
            </w:tcBorders>
          </w:tcPr>
          <w:p w14:paraId="6EA210BD">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4647D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547" w:type="dxa"/>
            <w:gridSpan w:val="2"/>
            <w:tcBorders>
              <w:top w:val="single" w:color="auto" w:sz="4" w:space="0"/>
              <w:left w:val="single" w:color="auto" w:sz="4" w:space="0"/>
              <w:bottom w:val="single" w:color="auto" w:sz="4" w:space="0"/>
              <w:right w:val="single" w:color="auto" w:sz="4" w:space="0"/>
            </w:tcBorders>
          </w:tcPr>
          <w:p w14:paraId="38F826BF">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合计</w:t>
            </w:r>
          </w:p>
        </w:tc>
        <w:tc>
          <w:tcPr>
            <w:tcW w:w="1499" w:type="dxa"/>
            <w:tcBorders>
              <w:top w:val="single" w:color="auto" w:sz="4" w:space="0"/>
              <w:left w:val="single" w:color="auto" w:sz="4" w:space="0"/>
              <w:bottom w:val="single" w:color="auto" w:sz="4" w:space="0"/>
              <w:right w:val="single" w:color="auto" w:sz="4" w:space="0"/>
            </w:tcBorders>
          </w:tcPr>
          <w:p w14:paraId="5E22356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100</w:t>
            </w:r>
          </w:p>
        </w:tc>
        <w:tc>
          <w:tcPr>
            <w:tcW w:w="1831" w:type="dxa"/>
            <w:tcBorders>
              <w:top w:val="single" w:color="auto" w:sz="4" w:space="0"/>
              <w:left w:val="single" w:color="auto" w:sz="4" w:space="0"/>
              <w:bottom w:val="single" w:color="auto" w:sz="4" w:space="0"/>
              <w:right w:val="single" w:color="auto" w:sz="4" w:space="0"/>
            </w:tcBorders>
          </w:tcPr>
          <w:p w14:paraId="48F0ABCD">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3B339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7" w:type="dxa"/>
            <w:gridSpan w:val="4"/>
            <w:tcBorders>
              <w:top w:val="single" w:color="auto" w:sz="4" w:space="0"/>
              <w:left w:val="single" w:color="auto" w:sz="4" w:space="0"/>
              <w:bottom w:val="single" w:color="auto" w:sz="4" w:space="0"/>
              <w:right w:val="single" w:color="auto" w:sz="4" w:space="0"/>
            </w:tcBorders>
          </w:tcPr>
          <w:p w14:paraId="62C8856E">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评定等级</w:t>
            </w:r>
            <w:r>
              <w:rPr>
                <w:rFonts w:cs="宋体" w:asciiTheme="minorEastAsia" w:hAnsiTheme="minorEastAsia" w:eastAsiaTheme="minorEastAsia"/>
                <w:color w:val="auto"/>
                <w:szCs w:val="21"/>
                <w:highlight w:val="none"/>
              </w:rPr>
              <w:t>:</w:t>
            </w:r>
          </w:p>
        </w:tc>
      </w:tr>
      <w:tr w14:paraId="2FF57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7" w:type="dxa"/>
            <w:gridSpan w:val="2"/>
            <w:tcBorders>
              <w:top w:val="single" w:color="auto" w:sz="4" w:space="0"/>
              <w:left w:val="single" w:color="auto" w:sz="4" w:space="0"/>
              <w:bottom w:val="single" w:color="auto" w:sz="4" w:space="0"/>
              <w:right w:val="single" w:color="auto" w:sz="4" w:space="0"/>
            </w:tcBorders>
          </w:tcPr>
          <w:p w14:paraId="484EABF2">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填表人：</w:t>
            </w:r>
          </w:p>
        </w:tc>
        <w:tc>
          <w:tcPr>
            <w:tcW w:w="3330" w:type="dxa"/>
            <w:gridSpan w:val="2"/>
            <w:tcBorders>
              <w:top w:val="single" w:color="auto" w:sz="4" w:space="0"/>
              <w:left w:val="single" w:color="auto" w:sz="4" w:space="0"/>
              <w:bottom w:val="single" w:color="auto" w:sz="4" w:space="0"/>
              <w:right w:val="single" w:color="auto" w:sz="4" w:space="0"/>
            </w:tcBorders>
          </w:tcPr>
          <w:p w14:paraId="6962B07C">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复核</w:t>
            </w:r>
          </w:p>
        </w:tc>
      </w:tr>
    </w:tbl>
    <w:p w14:paraId="103515E9">
      <w:pPr>
        <w:spacing w:line="360" w:lineRule="auto"/>
        <w:jc w:val="center"/>
        <w:outlineLvl w:val="9"/>
        <w:rPr>
          <w:rFonts w:cs="宋体" w:asciiTheme="minorEastAsia" w:hAnsiTheme="minorEastAsia" w:eastAsiaTheme="minorEastAsia"/>
          <w:bCs/>
          <w:color w:val="auto"/>
          <w:szCs w:val="21"/>
          <w:highlight w:val="none"/>
        </w:rPr>
      </w:pPr>
      <w:r>
        <w:rPr>
          <w:rFonts w:hint="eastAsia" w:cs="宋体" w:asciiTheme="minorEastAsia" w:hAnsiTheme="minorEastAsia" w:eastAsiaTheme="minorEastAsia"/>
          <w:b/>
          <w:color w:val="auto"/>
          <w:szCs w:val="21"/>
          <w:highlight w:val="none"/>
        </w:rPr>
        <w:t>项目部对设计工作履约评价考核表（竣工备案阶段）</w:t>
      </w:r>
    </w:p>
    <w:tbl>
      <w:tblPr>
        <w:tblStyle w:val="56"/>
        <w:tblW w:w="88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3"/>
        <w:gridCol w:w="4614"/>
        <w:gridCol w:w="1499"/>
        <w:gridCol w:w="1831"/>
      </w:tblGrid>
      <w:tr w14:paraId="28BBE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691F2C2B">
            <w:pPr>
              <w:keepNext w:val="0"/>
              <w:keepLines w:val="0"/>
              <w:suppressLineNumbers w:val="0"/>
              <w:spacing w:before="0" w:beforeAutospacing="0" w:after="0" w:afterAutospacing="0" w:line="360" w:lineRule="auto"/>
              <w:ind w:left="0" w:right="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序号</w:t>
            </w:r>
          </w:p>
        </w:tc>
        <w:tc>
          <w:tcPr>
            <w:tcW w:w="4614" w:type="dxa"/>
            <w:tcBorders>
              <w:top w:val="single" w:color="auto" w:sz="4" w:space="0"/>
              <w:left w:val="single" w:color="auto" w:sz="4" w:space="0"/>
              <w:bottom w:val="single" w:color="auto" w:sz="4" w:space="0"/>
              <w:right w:val="single" w:color="auto" w:sz="4" w:space="0"/>
            </w:tcBorders>
          </w:tcPr>
          <w:p w14:paraId="1017921C">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w:t>
            </w:r>
          </w:p>
        </w:tc>
        <w:tc>
          <w:tcPr>
            <w:tcW w:w="1499" w:type="dxa"/>
            <w:tcBorders>
              <w:top w:val="single" w:color="auto" w:sz="4" w:space="0"/>
              <w:left w:val="single" w:color="auto" w:sz="4" w:space="0"/>
              <w:bottom w:val="single" w:color="auto" w:sz="4" w:space="0"/>
              <w:right w:val="single" w:color="auto" w:sz="4" w:space="0"/>
            </w:tcBorders>
          </w:tcPr>
          <w:p w14:paraId="61318694">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标准分值</w:t>
            </w:r>
          </w:p>
        </w:tc>
        <w:tc>
          <w:tcPr>
            <w:tcW w:w="1831" w:type="dxa"/>
            <w:tcBorders>
              <w:top w:val="single" w:color="auto" w:sz="4" w:space="0"/>
              <w:left w:val="single" w:color="auto" w:sz="4" w:space="0"/>
              <w:bottom w:val="single" w:color="auto" w:sz="4" w:space="0"/>
              <w:right w:val="single" w:color="auto" w:sz="4" w:space="0"/>
            </w:tcBorders>
          </w:tcPr>
          <w:p w14:paraId="64D32206">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实际得分</w:t>
            </w:r>
          </w:p>
        </w:tc>
      </w:tr>
      <w:tr w14:paraId="4544E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0CA5C169">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w:t>
            </w:r>
          </w:p>
        </w:tc>
        <w:tc>
          <w:tcPr>
            <w:tcW w:w="4614" w:type="dxa"/>
            <w:tcBorders>
              <w:top w:val="single" w:color="auto" w:sz="4" w:space="0"/>
              <w:left w:val="single" w:color="auto" w:sz="4" w:space="0"/>
              <w:bottom w:val="single" w:color="auto" w:sz="4" w:space="0"/>
              <w:right w:val="single" w:color="auto" w:sz="4" w:space="0"/>
            </w:tcBorders>
          </w:tcPr>
          <w:p w14:paraId="17B70483">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对现场遗留的设计问题处理</w:t>
            </w:r>
          </w:p>
        </w:tc>
        <w:tc>
          <w:tcPr>
            <w:tcW w:w="1499" w:type="dxa"/>
            <w:tcBorders>
              <w:top w:val="single" w:color="auto" w:sz="4" w:space="0"/>
              <w:left w:val="single" w:color="auto" w:sz="4" w:space="0"/>
              <w:bottom w:val="single" w:color="auto" w:sz="4" w:space="0"/>
              <w:right w:val="single" w:color="auto" w:sz="4" w:space="0"/>
            </w:tcBorders>
          </w:tcPr>
          <w:p w14:paraId="062F5259">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4</w:t>
            </w:r>
            <w:r>
              <w:rPr>
                <w:rFonts w:cs="宋体" w:asciiTheme="minorEastAsia" w:hAnsiTheme="minorEastAsia" w:eastAsiaTheme="minorEastAsia"/>
                <w:color w:val="auto"/>
                <w:szCs w:val="21"/>
                <w:highlight w:val="none"/>
              </w:rPr>
              <w:t>0</w:t>
            </w:r>
          </w:p>
        </w:tc>
        <w:tc>
          <w:tcPr>
            <w:tcW w:w="1831" w:type="dxa"/>
            <w:tcBorders>
              <w:top w:val="single" w:color="auto" w:sz="4" w:space="0"/>
              <w:left w:val="single" w:color="auto" w:sz="4" w:space="0"/>
              <w:bottom w:val="single" w:color="auto" w:sz="4" w:space="0"/>
              <w:right w:val="single" w:color="auto" w:sz="4" w:space="0"/>
            </w:tcBorders>
          </w:tcPr>
          <w:p w14:paraId="21065AA9">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60D41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48D3FEAC">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2</w:t>
            </w:r>
          </w:p>
        </w:tc>
        <w:tc>
          <w:tcPr>
            <w:tcW w:w="4614" w:type="dxa"/>
            <w:tcBorders>
              <w:top w:val="single" w:color="auto" w:sz="4" w:space="0"/>
              <w:left w:val="single" w:color="auto" w:sz="4" w:space="0"/>
              <w:bottom w:val="single" w:color="auto" w:sz="4" w:space="0"/>
              <w:right w:val="single" w:color="auto" w:sz="4" w:space="0"/>
            </w:tcBorders>
          </w:tcPr>
          <w:p w14:paraId="6A2107A9">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设计资料整理</w:t>
            </w:r>
          </w:p>
        </w:tc>
        <w:tc>
          <w:tcPr>
            <w:tcW w:w="1499" w:type="dxa"/>
            <w:tcBorders>
              <w:top w:val="single" w:color="auto" w:sz="4" w:space="0"/>
              <w:left w:val="single" w:color="auto" w:sz="4" w:space="0"/>
              <w:bottom w:val="single" w:color="auto" w:sz="4" w:space="0"/>
              <w:right w:val="single" w:color="auto" w:sz="4" w:space="0"/>
            </w:tcBorders>
          </w:tcPr>
          <w:p w14:paraId="301C8863">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3</w:t>
            </w:r>
            <w:r>
              <w:rPr>
                <w:rFonts w:cs="宋体" w:asciiTheme="minorEastAsia" w:hAnsiTheme="minorEastAsia" w:eastAsiaTheme="minorEastAsia"/>
                <w:color w:val="auto"/>
                <w:szCs w:val="21"/>
                <w:highlight w:val="none"/>
              </w:rPr>
              <w:t>0</w:t>
            </w:r>
          </w:p>
        </w:tc>
        <w:tc>
          <w:tcPr>
            <w:tcW w:w="1831" w:type="dxa"/>
            <w:tcBorders>
              <w:top w:val="single" w:color="auto" w:sz="4" w:space="0"/>
              <w:left w:val="single" w:color="auto" w:sz="4" w:space="0"/>
              <w:bottom w:val="single" w:color="auto" w:sz="4" w:space="0"/>
              <w:right w:val="single" w:color="auto" w:sz="4" w:space="0"/>
            </w:tcBorders>
          </w:tcPr>
          <w:p w14:paraId="7DE416A7">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6CFD2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dxa"/>
            <w:tcBorders>
              <w:top w:val="single" w:color="auto" w:sz="4" w:space="0"/>
              <w:left w:val="single" w:color="auto" w:sz="4" w:space="0"/>
              <w:bottom w:val="single" w:color="auto" w:sz="4" w:space="0"/>
              <w:right w:val="single" w:color="auto" w:sz="4" w:space="0"/>
            </w:tcBorders>
          </w:tcPr>
          <w:p w14:paraId="4A576FBB">
            <w:pPr>
              <w:keepNext w:val="0"/>
              <w:keepLines w:val="0"/>
              <w:suppressLineNumbers w:val="0"/>
              <w:spacing w:before="0" w:beforeAutospacing="0" w:after="0" w:afterAutospacing="0" w:line="360" w:lineRule="auto"/>
              <w:ind w:left="0" w:right="0" w:firstLine="42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3</w:t>
            </w:r>
          </w:p>
        </w:tc>
        <w:tc>
          <w:tcPr>
            <w:tcW w:w="4614" w:type="dxa"/>
            <w:tcBorders>
              <w:top w:val="single" w:color="auto" w:sz="4" w:space="0"/>
              <w:left w:val="single" w:color="auto" w:sz="4" w:space="0"/>
              <w:bottom w:val="single" w:color="auto" w:sz="4" w:space="0"/>
              <w:right w:val="single" w:color="auto" w:sz="4" w:space="0"/>
            </w:tcBorders>
          </w:tcPr>
          <w:p w14:paraId="575BEB5B">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验收配合情况</w:t>
            </w:r>
          </w:p>
        </w:tc>
        <w:tc>
          <w:tcPr>
            <w:tcW w:w="1499" w:type="dxa"/>
            <w:tcBorders>
              <w:top w:val="single" w:color="auto" w:sz="4" w:space="0"/>
              <w:left w:val="single" w:color="auto" w:sz="4" w:space="0"/>
              <w:bottom w:val="single" w:color="auto" w:sz="4" w:space="0"/>
              <w:right w:val="single" w:color="auto" w:sz="4" w:space="0"/>
            </w:tcBorders>
          </w:tcPr>
          <w:p w14:paraId="516D2868">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3</w:t>
            </w:r>
            <w:r>
              <w:rPr>
                <w:rFonts w:cs="宋体" w:asciiTheme="minorEastAsia" w:hAnsiTheme="minorEastAsia" w:eastAsiaTheme="minorEastAsia"/>
                <w:color w:val="auto"/>
                <w:szCs w:val="21"/>
                <w:highlight w:val="none"/>
              </w:rPr>
              <w:t>0</w:t>
            </w:r>
          </w:p>
        </w:tc>
        <w:tc>
          <w:tcPr>
            <w:tcW w:w="1831" w:type="dxa"/>
            <w:tcBorders>
              <w:top w:val="single" w:color="auto" w:sz="4" w:space="0"/>
              <w:left w:val="single" w:color="auto" w:sz="4" w:space="0"/>
              <w:bottom w:val="single" w:color="auto" w:sz="4" w:space="0"/>
              <w:right w:val="single" w:color="auto" w:sz="4" w:space="0"/>
            </w:tcBorders>
          </w:tcPr>
          <w:p w14:paraId="32EEBC59">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482E9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547" w:type="dxa"/>
            <w:gridSpan w:val="2"/>
            <w:tcBorders>
              <w:top w:val="single" w:color="auto" w:sz="4" w:space="0"/>
              <w:left w:val="single" w:color="auto" w:sz="4" w:space="0"/>
              <w:bottom w:val="single" w:color="auto" w:sz="4" w:space="0"/>
              <w:right w:val="single" w:color="auto" w:sz="4" w:space="0"/>
            </w:tcBorders>
          </w:tcPr>
          <w:p w14:paraId="313BB83C">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合计</w:t>
            </w:r>
          </w:p>
        </w:tc>
        <w:tc>
          <w:tcPr>
            <w:tcW w:w="1499" w:type="dxa"/>
            <w:tcBorders>
              <w:top w:val="single" w:color="auto" w:sz="4" w:space="0"/>
              <w:left w:val="single" w:color="auto" w:sz="4" w:space="0"/>
              <w:bottom w:val="single" w:color="auto" w:sz="4" w:space="0"/>
              <w:right w:val="single" w:color="auto" w:sz="4" w:space="0"/>
            </w:tcBorders>
          </w:tcPr>
          <w:p w14:paraId="639DBF5E">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100</w:t>
            </w:r>
          </w:p>
        </w:tc>
        <w:tc>
          <w:tcPr>
            <w:tcW w:w="1831" w:type="dxa"/>
            <w:tcBorders>
              <w:top w:val="single" w:color="auto" w:sz="4" w:space="0"/>
              <w:left w:val="single" w:color="auto" w:sz="4" w:space="0"/>
              <w:bottom w:val="single" w:color="auto" w:sz="4" w:space="0"/>
              <w:right w:val="single" w:color="auto" w:sz="4" w:space="0"/>
            </w:tcBorders>
          </w:tcPr>
          <w:p w14:paraId="1D62D1D7">
            <w:pPr>
              <w:keepNext/>
              <w:keepLines/>
              <w:suppressLineNumbers w:val="0"/>
              <w:spacing w:before="260" w:beforeAutospacing="0" w:after="260" w:afterAutospacing="0" w:line="360" w:lineRule="auto"/>
              <w:ind w:left="0" w:right="0" w:firstLine="420"/>
              <w:jc w:val="center"/>
              <w:outlineLvl w:val="9"/>
              <w:rPr>
                <w:rFonts w:cs="宋体" w:asciiTheme="minorEastAsia" w:hAnsiTheme="minorEastAsia" w:eastAsiaTheme="minorEastAsia"/>
                <w:color w:val="auto"/>
                <w:szCs w:val="21"/>
                <w:highlight w:val="none"/>
              </w:rPr>
            </w:pPr>
          </w:p>
        </w:tc>
      </w:tr>
      <w:tr w14:paraId="55928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7" w:type="dxa"/>
            <w:gridSpan w:val="4"/>
            <w:tcBorders>
              <w:top w:val="single" w:color="auto" w:sz="4" w:space="0"/>
              <w:left w:val="single" w:color="auto" w:sz="4" w:space="0"/>
              <w:bottom w:val="single" w:color="auto" w:sz="4" w:space="0"/>
              <w:right w:val="single" w:color="auto" w:sz="4" w:space="0"/>
            </w:tcBorders>
          </w:tcPr>
          <w:p w14:paraId="6AE5B51A">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评定等级</w:t>
            </w:r>
            <w:r>
              <w:rPr>
                <w:rFonts w:cs="宋体" w:asciiTheme="minorEastAsia" w:hAnsiTheme="minorEastAsia" w:eastAsiaTheme="minorEastAsia"/>
                <w:color w:val="auto"/>
                <w:szCs w:val="21"/>
                <w:highlight w:val="none"/>
              </w:rPr>
              <w:t>:</w:t>
            </w:r>
          </w:p>
        </w:tc>
      </w:tr>
      <w:tr w14:paraId="640CD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7" w:type="dxa"/>
            <w:gridSpan w:val="2"/>
            <w:tcBorders>
              <w:top w:val="single" w:color="auto" w:sz="4" w:space="0"/>
              <w:left w:val="single" w:color="auto" w:sz="4" w:space="0"/>
              <w:bottom w:val="single" w:color="auto" w:sz="4" w:space="0"/>
              <w:right w:val="single" w:color="auto" w:sz="4" w:space="0"/>
            </w:tcBorders>
          </w:tcPr>
          <w:p w14:paraId="77093AAC">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填表人：</w:t>
            </w:r>
          </w:p>
        </w:tc>
        <w:tc>
          <w:tcPr>
            <w:tcW w:w="3330" w:type="dxa"/>
            <w:gridSpan w:val="2"/>
            <w:tcBorders>
              <w:top w:val="single" w:color="auto" w:sz="4" w:space="0"/>
              <w:left w:val="single" w:color="auto" w:sz="4" w:space="0"/>
              <w:bottom w:val="single" w:color="auto" w:sz="4" w:space="0"/>
              <w:right w:val="single" w:color="auto" w:sz="4" w:space="0"/>
            </w:tcBorders>
          </w:tcPr>
          <w:p w14:paraId="59C2A2E8">
            <w:pPr>
              <w:keepNext w:val="0"/>
              <w:keepLines w:val="0"/>
              <w:suppressLineNumbers w:val="0"/>
              <w:spacing w:before="0" w:beforeAutospacing="0" w:after="0" w:afterAutospacing="0" w:line="360" w:lineRule="auto"/>
              <w:ind w:left="0" w:right="0" w:firstLine="42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复核</w:t>
            </w:r>
          </w:p>
        </w:tc>
      </w:tr>
    </w:tbl>
    <w:p w14:paraId="6D5F579F">
      <w:pPr>
        <w:spacing w:line="360" w:lineRule="auto"/>
        <w:ind w:firstLine="480"/>
        <w:outlineLvl w:val="9"/>
        <w:rPr>
          <w:rFonts w:cs="宋体" w:asciiTheme="minorEastAsia" w:hAnsiTheme="minorEastAsia" w:eastAsiaTheme="minorEastAsia"/>
          <w:color w:val="auto"/>
          <w:szCs w:val="21"/>
          <w:highlight w:val="none"/>
        </w:rPr>
      </w:pPr>
    </w:p>
    <w:p w14:paraId="521696DE">
      <w:pPr>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备注：</w:t>
      </w:r>
    </w:p>
    <w:p w14:paraId="138C9D53">
      <w:pPr>
        <w:numPr>
          <w:ilvl w:val="0"/>
          <w:numId w:val="13"/>
        </w:numPr>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发包人发出的公函三日内不回复的，履约评价不能评为优秀；</w:t>
      </w:r>
    </w:p>
    <w:p w14:paraId="7B3E403F">
      <w:pPr>
        <w:numPr>
          <w:ilvl w:val="0"/>
          <w:numId w:val="13"/>
        </w:numPr>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工程例会设计项目负责人无故缺席</w:t>
      </w:r>
      <w:r>
        <w:rPr>
          <w:rFonts w:cs="宋体" w:asciiTheme="minorEastAsia" w:hAnsiTheme="minorEastAsia" w:eastAsiaTheme="minorEastAsia"/>
          <w:color w:val="auto"/>
          <w:szCs w:val="21"/>
          <w:highlight w:val="none"/>
        </w:rPr>
        <w:t>3次以上的（含3次），履约评价不能评优秀；</w:t>
      </w:r>
    </w:p>
    <w:p w14:paraId="0E8DA047">
      <w:pPr>
        <w:numPr>
          <w:ilvl w:val="0"/>
          <w:numId w:val="13"/>
        </w:numPr>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设计变更出现在</w:t>
      </w:r>
      <w:r>
        <w:rPr>
          <w:rFonts w:cs="宋体" w:asciiTheme="minorEastAsia" w:hAnsiTheme="minorEastAsia" w:eastAsiaTheme="minorEastAsia"/>
          <w:color w:val="auto"/>
          <w:szCs w:val="21"/>
          <w:highlight w:val="none"/>
        </w:rPr>
        <w:t>3次以上的（含3次）没及时出具的，履约评价不能评优秀；</w:t>
      </w:r>
    </w:p>
    <w:p w14:paraId="50A7E7F3">
      <w:pPr>
        <w:numPr>
          <w:ilvl w:val="0"/>
          <w:numId w:val="13"/>
        </w:numPr>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项目部及总师办打分权重各占</w:t>
      </w:r>
      <w:r>
        <w:rPr>
          <w:rFonts w:cs="宋体" w:asciiTheme="minorEastAsia" w:hAnsiTheme="minorEastAsia" w:eastAsiaTheme="minorEastAsia"/>
          <w:color w:val="auto"/>
          <w:szCs w:val="21"/>
          <w:highlight w:val="none"/>
        </w:rPr>
        <w:t>50%。</w:t>
      </w:r>
    </w:p>
    <w:p w14:paraId="0599E3D0">
      <w:pPr>
        <w:autoSpaceDE w:val="0"/>
        <w:autoSpaceDN w:val="0"/>
        <w:adjustRightInd w:val="0"/>
        <w:spacing w:line="360" w:lineRule="auto"/>
        <w:ind w:right="23"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上述履约评价考核只对总包设计单位，不对专业设计单位考核。</w:t>
      </w:r>
    </w:p>
    <w:p w14:paraId="190CE7F1">
      <w:pPr>
        <w:outlineLvl w:val="9"/>
        <w:rPr>
          <w:rFonts w:asciiTheme="minorEastAsia" w:hAnsiTheme="minorEastAsia" w:eastAsiaTheme="minorEastAsia"/>
          <w:color w:val="auto"/>
          <w:highlight w:val="none"/>
        </w:rPr>
      </w:pPr>
    </w:p>
    <w:p w14:paraId="496528BD">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附件三十</w:t>
      </w:r>
      <w:r>
        <w:rPr>
          <w:rFonts w:hint="eastAsia" w:cs="宋体" w:asciiTheme="minorEastAsia" w:hAnsiTheme="minorEastAsia" w:eastAsiaTheme="minorEastAsia"/>
          <w:color w:val="auto"/>
          <w:sz w:val="21"/>
          <w:szCs w:val="21"/>
          <w:highlight w:val="none"/>
          <w:lang w:val="en-US" w:eastAsia="zh-CN"/>
        </w:rPr>
        <w:t>二</w:t>
      </w:r>
      <w:r>
        <w:rPr>
          <w:rFonts w:hint="eastAsia" w:cs="宋体" w:asciiTheme="minorEastAsia" w:hAnsiTheme="minorEastAsia" w:eastAsiaTheme="minorEastAsia"/>
          <w:color w:val="auto"/>
          <w:sz w:val="21"/>
          <w:szCs w:val="21"/>
          <w:highlight w:val="none"/>
        </w:rPr>
        <w:t>：</w:t>
      </w:r>
    </w:p>
    <w:p w14:paraId="20DB8854">
      <w:pPr>
        <w:adjustRightInd w:val="0"/>
        <w:snapToGrid w:val="0"/>
        <w:spacing w:line="360" w:lineRule="auto"/>
        <w:jc w:val="center"/>
        <w:outlineLvl w:val="9"/>
        <w:rPr>
          <w:rFonts w:cs="宋体" w:asciiTheme="minorEastAsia" w:hAnsiTheme="minorEastAsia" w:eastAsiaTheme="minorEastAsia"/>
          <w:b/>
          <w:color w:val="auto"/>
          <w:sz w:val="32"/>
          <w:szCs w:val="32"/>
          <w:highlight w:val="none"/>
        </w:rPr>
      </w:pPr>
      <w:r>
        <w:rPr>
          <w:rFonts w:hint="eastAsia" w:cs="宋体" w:asciiTheme="minorEastAsia" w:hAnsiTheme="minorEastAsia" w:eastAsiaTheme="minorEastAsia"/>
          <w:b/>
          <w:color w:val="auto"/>
          <w:sz w:val="32"/>
          <w:szCs w:val="32"/>
          <w:highlight w:val="none"/>
        </w:rPr>
        <w:t>样板评审与分户验收管理控制规程</w:t>
      </w:r>
    </w:p>
    <w:p w14:paraId="4DC8BBCC">
      <w:pPr>
        <w:adjustRightInd w:val="0"/>
        <w:snapToGrid w:val="0"/>
        <w:spacing w:line="360" w:lineRule="auto"/>
        <w:outlineLvl w:val="9"/>
        <w:rPr>
          <w:rFonts w:cs="宋体" w:asciiTheme="minorEastAsia" w:hAnsiTheme="minorEastAsia" w:eastAsiaTheme="minorEastAsia"/>
          <w:b/>
          <w:color w:val="auto"/>
          <w:sz w:val="24"/>
          <w:highlight w:val="none"/>
        </w:rPr>
      </w:pPr>
      <w:bookmarkStart w:id="745" w:name="_Toc501705072"/>
      <w:r>
        <w:rPr>
          <w:rFonts w:hint="eastAsia" w:cs="宋体" w:asciiTheme="minorEastAsia" w:hAnsiTheme="minorEastAsia" w:eastAsiaTheme="minorEastAsia"/>
          <w:b/>
          <w:color w:val="auto"/>
          <w:sz w:val="24"/>
          <w:highlight w:val="none"/>
        </w:rPr>
        <w:t>1、样板评审工作流程图</w:t>
      </w:r>
    </w:p>
    <w:p w14:paraId="44C7CCFA">
      <w:pPr>
        <w:pStyle w:val="109"/>
        <w:adjustRightInd w:val="0"/>
        <w:snapToGrid w:val="0"/>
        <w:spacing w:line="360" w:lineRule="auto"/>
        <w:outlineLvl w:val="9"/>
        <w:rPr>
          <w:rFonts w:asciiTheme="minorEastAsia" w:hAnsiTheme="minorEastAsia" w:eastAsiaTheme="minorEastAsia"/>
          <w:color w:val="auto"/>
          <w:highlight w:val="none"/>
        </w:rPr>
      </w:pPr>
      <w:r>
        <w:rPr>
          <w:rFonts w:cs="宋体" w:asciiTheme="minorEastAsia" w:hAnsiTheme="minorEastAsia" w:eastAsiaTheme="minorEastAsia"/>
          <w:color w:val="auto"/>
          <w:sz w:val="28"/>
          <w:szCs w:val="22"/>
          <w:highlight w:val="none"/>
        </w:rPr>
        <mc:AlternateContent>
          <mc:Choice Requires="wpg">
            <w:drawing>
              <wp:inline distT="0" distB="0" distL="114300" distR="114300">
                <wp:extent cx="5872480" cy="8011795"/>
                <wp:effectExtent l="4445" t="4445" r="9525" b="22860"/>
                <wp:docPr id="145" name="组合 382"/>
                <wp:cNvGraphicFramePr/>
                <a:graphic xmlns:a="http://schemas.openxmlformats.org/drawingml/2006/main">
                  <a:graphicData uri="http://schemas.microsoft.com/office/word/2010/wordprocessingGroup">
                    <wpg:wgp>
                      <wpg:cNvGrpSpPr/>
                      <wpg:grpSpPr>
                        <a:xfrm>
                          <a:off x="0" y="0"/>
                          <a:ext cx="5872480" cy="8011795"/>
                          <a:chOff x="3180" y="2285"/>
                          <a:chExt cx="6530" cy="12505"/>
                        </a:xfrm>
                      </wpg:grpSpPr>
                      <wps:wsp>
                        <wps:cNvPr id="120" name="直接箭头连接符 1"/>
                        <wps:cNvCnPr/>
                        <wps:spPr>
                          <a:xfrm>
                            <a:off x="7989" y="7395"/>
                            <a:ext cx="0" cy="2853"/>
                          </a:xfrm>
                          <a:prstGeom prst="straightConnector1">
                            <a:avLst/>
                          </a:prstGeom>
                          <a:ln w="9525" cap="flat" cmpd="sng">
                            <a:solidFill>
                              <a:srgbClr val="000000"/>
                            </a:solidFill>
                            <a:prstDash val="solid"/>
                            <a:headEnd type="none" w="med" len="med"/>
                            <a:tailEnd type="none" w="med" len="med"/>
                          </a:ln>
                        </wps:spPr>
                        <wps:bodyPr/>
                      </wps:wsp>
                      <wpg:grpSp>
                        <wpg:cNvPr id="144" name="组合 28"/>
                        <wpg:cNvGrpSpPr/>
                        <wpg:grpSpPr>
                          <a:xfrm>
                            <a:off x="3180" y="2285"/>
                            <a:ext cx="6530" cy="12505"/>
                            <a:chOff x="3420" y="2105"/>
                            <a:chExt cx="6530" cy="12505"/>
                          </a:xfrm>
                        </wpg:grpSpPr>
                        <wps:wsp>
                          <wps:cNvPr id="121" name="流程图: 决策 2"/>
                          <wps:cNvSpPr/>
                          <wps:spPr>
                            <a:xfrm>
                              <a:off x="4077" y="6500"/>
                              <a:ext cx="3681" cy="1435"/>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14:paraId="3086D9F2">
                                <w:pPr>
                                  <w:jc w:val="center"/>
                                </w:pPr>
                                <w:r>
                                  <w:rPr>
                                    <w:rFonts w:hint="eastAsia"/>
                                  </w:rPr>
                                  <w:t>监理单位组织验收</w:t>
                                </w:r>
                              </w:p>
                            </w:txbxContent>
                          </wps:txbx>
                          <wps:bodyPr anchor="ctr" anchorCtr="0" upright="1"/>
                        </wps:wsp>
                        <wps:wsp>
                          <wps:cNvPr id="122" name="流程图: 决策 3"/>
                          <wps:cNvSpPr/>
                          <wps:spPr>
                            <a:xfrm>
                              <a:off x="4134" y="9252"/>
                              <a:ext cx="3561" cy="1626"/>
                            </a:xfrm>
                            <a:prstGeom prst="flowChartDecision">
                              <a:avLst/>
                            </a:prstGeom>
                            <a:solidFill>
                              <a:srgbClr val="FFFFFF"/>
                            </a:solidFill>
                            <a:ln w="9525" cap="flat" cmpd="sng">
                              <a:solidFill>
                                <a:srgbClr val="000000"/>
                              </a:solidFill>
                              <a:prstDash val="solid"/>
                              <a:miter/>
                              <a:headEnd type="none" w="med" len="med"/>
                              <a:tailEnd type="none" w="med" len="med"/>
                            </a:ln>
                          </wps:spPr>
                          <wps:txbx>
                            <w:txbxContent>
                              <w:p w14:paraId="1C651AF1">
                                <w:r>
                                  <w:rPr>
                                    <w:rFonts w:hint="eastAsia"/>
                                  </w:rPr>
                                  <w:t>项目部组织各相关部门评审验收</w:t>
                                </w:r>
                              </w:p>
                            </w:txbxContent>
                          </wps:txbx>
                          <wps:bodyPr anchor="ctr" anchorCtr="0" upright="1"/>
                        </wps:wsp>
                        <wps:wsp>
                          <wps:cNvPr id="123" name="流程图: 终止 4"/>
                          <wps:cNvSpPr/>
                          <wps:spPr>
                            <a:xfrm>
                              <a:off x="4404" y="2129"/>
                              <a:ext cx="3021" cy="1025"/>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32354E88">
                                <w:pPr>
                                  <w:jc w:val="center"/>
                                  <w:rPr>
                                    <w:rFonts w:ascii="宋体" w:hAnsi="宋体"/>
                                    <w:color w:val="000000"/>
                                    <w:sz w:val="24"/>
                                  </w:rPr>
                                </w:pPr>
                                <w:r>
                                  <w:rPr>
                                    <w:rFonts w:hint="eastAsia" w:ascii="宋体" w:hAnsi="宋体"/>
                                    <w:color w:val="000000"/>
                                    <w:sz w:val="24"/>
                                  </w:rPr>
                                  <w:t>施工单位施工</w:t>
                                </w:r>
                              </w:p>
                              <w:p w14:paraId="70841C84">
                                <w:pPr>
                                  <w:jc w:val="center"/>
                                  <w:rPr>
                                    <w:sz w:val="24"/>
                                  </w:rPr>
                                </w:pPr>
                                <w:r>
                                  <w:rPr>
                                    <w:rFonts w:hint="eastAsia" w:ascii="宋体" w:hAnsi="宋体"/>
                                    <w:color w:val="000000"/>
                                    <w:sz w:val="24"/>
                                  </w:rPr>
                                  <w:t>（分项、分户）样板</w:t>
                                </w:r>
                              </w:p>
                            </w:txbxContent>
                          </wps:txbx>
                          <wps:bodyPr upright="1"/>
                        </wps:wsp>
                        <wps:wsp>
                          <wps:cNvPr id="124" name="直接连接符 5"/>
                          <wps:cNvCnPr/>
                          <wps:spPr>
                            <a:xfrm flipH="1" flipV="1">
                              <a:off x="7757" y="7220"/>
                              <a:ext cx="458" cy="0"/>
                            </a:xfrm>
                            <a:prstGeom prst="line">
                              <a:avLst/>
                            </a:prstGeom>
                            <a:ln w="9525" cap="flat" cmpd="sng">
                              <a:solidFill>
                                <a:srgbClr val="000000"/>
                              </a:solidFill>
                              <a:prstDash val="solid"/>
                              <a:headEnd type="none" w="med" len="med"/>
                              <a:tailEnd type="triangle" w="med" len="med"/>
                            </a:ln>
                          </wps:spPr>
                          <wps:bodyPr upright="1"/>
                        </wps:wsp>
                        <wps:wsp>
                          <wps:cNvPr id="125" name="矩形 6"/>
                          <wps:cNvSpPr/>
                          <wps:spPr>
                            <a:xfrm>
                              <a:off x="4764" y="4413"/>
                              <a:ext cx="2331" cy="76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F294846">
                                <w:pPr>
                                  <w:jc w:val="center"/>
                                  <w:rPr>
                                    <w:sz w:val="24"/>
                                  </w:rPr>
                                </w:pPr>
                                <w:r>
                                  <w:rPr>
                                    <w:rFonts w:hint="eastAsia"/>
                                    <w:sz w:val="24"/>
                                  </w:rPr>
                                  <w:t>施工单位自检合格</w:t>
                                </w:r>
                              </w:p>
                            </w:txbxContent>
                          </wps:txbx>
                          <wps:bodyPr anchor="ctr" anchorCtr="0" upright="1"/>
                        </wps:wsp>
                        <wps:wsp>
                          <wps:cNvPr id="126" name="直接连接符 7"/>
                          <wps:cNvCnPr/>
                          <wps:spPr>
                            <a:xfrm flipH="1" flipV="1">
                              <a:off x="3420" y="4808"/>
                              <a:ext cx="0" cy="2397"/>
                            </a:xfrm>
                            <a:prstGeom prst="line">
                              <a:avLst/>
                            </a:prstGeom>
                            <a:ln w="9525" cap="flat" cmpd="sng">
                              <a:solidFill>
                                <a:srgbClr val="000000"/>
                              </a:solidFill>
                              <a:prstDash val="solid"/>
                              <a:headEnd type="none" w="med" len="med"/>
                              <a:tailEnd type="none" w="med" len="med"/>
                            </a:ln>
                          </wps:spPr>
                          <wps:bodyPr upright="1"/>
                        </wps:wsp>
                        <wps:wsp>
                          <wps:cNvPr id="127" name="直接连接符 8"/>
                          <wps:cNvCnPr/>
                          <wps:spPr>
                            <a:xfrm flipH="1">
                              <a:off x="8205" y="8448"/>
                              <a:ext cx="458" cy="3"/>
                            </a:xfrm>
                            <a:prstGeom prst="line">
                              <a:avLst/>
                            </a:prstGeom>
                            <a:ln w="9525" cap="flat" cmpd="sng">
                              <a:solidFill>
                                <a:srgbClr val="000000"/>
                              </a:solidFill>
                              <a:prstDash val="solid"/>
                              <a:headEnd type="none" w="med" len="med"/>
                              <a:tailEnd type="triangle" w="med" len="med"/>
                            </a:ln>
                          </wps:spPr>
                          <wps:bodyPr upright="1"/>
                        </wps:wsp>
                        <wps:wsp>
                          <wps:cNvPr id="128" name="矩形 10"/>
                          <wps:cNvSpPr/>
                          <wps:spPr>
                            <a:xfrm>
                              <a:off x="8663" y="7733"/>
                              <a:ext cx="1287" cy="142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50A88C4">
                                <w:pPr>
                                  <w:rPr>
                                    <w:szCs w:val="21"/>
                                  </w:rPr>
                                </w:pPr>
                                <w:r>
                                  <w:rPr>
                                    <w:rFonts w:hint="eastAsia" w:ascii="宋体" w:cs="宋体"/>
                                    <w:kern w:val="0"/>
                                    <w:szCs w:val="21"/>
                                  </w:rPr>
                                  <w:t>材料及功能需要更改，由总师办发设计变更单</w:t>
                                </w:r>
                              </w:p>
                            </w:txbxContent>
                          </wps:txbx>
                          <wps:bodyPr anchor="ctr" anchorCtr="0" upright="1"/>
                        </wps:wsp>
                        <wps:wsp>
                          <wps:cNvPr id="129" name="流程图: 终止 11"/>
                          <wps:cNvSpPr/>
                          <wps:spPr>
                            <a:xfrm>
                              <a:off x="4194" y="13863"/>
                              <a:ext cx="3426" cy="747"/>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12F763A6">
                                <w:pPr>
                                  <w:jc w:val="center"/>
                                </w:pPr>
                                <w:r>
                                  <w:rPr>
                                    <w:rFonts w:hint="eastAsia" w:ascii="宋体" w:hAnsi="宋体"/>
                                    <w:color w:val="000000"/>
                                    <w:szCs w:val="21"/>
                                  </w:rPr>
                                  <w:t>项目部按计划组织大面积施工</w:t>
                                </w:r>
                              </w:p>
                            </w:txbxContent>
                          </wps:txbx>
                          <wps:bodyPr anchor="ctr" anchorCtr="0" upright="1"/>
                        </wps:wsp>
                        <wps:wsp>
                          <wps:cNvPr id="130" name="矩形 12"/>
                          <wps:cNvSpPr/>
                          <wps:spPr>
                            <a:xfrm>
                              <a:off x="4359" y="12126"/>
                              <a:ext cx="3091" cy="89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30257C0">
                                <w:r>
                                  <w:rPr>
                                    <w:rFonts w:hint="eastAsia"/>
                                  </w:rPr>
                                  <w:t>项目部填写样板间评审记录表</w:t>
                                </w:r>
                                <w:r>
                                  <w:rPr>
                                    <w:rFonts w:hint="eastAsia"/>
                                    <w:b/>
                                    <w:i/>
                                  </w:rPr>
                                  <w:t>/</w:t>
                                </w:r>
                                <w:r>
                                  <w:rPr>
                                    <w:rFonts w:hint="eastAsia"/>
                                  </w:rPr>
                                  <w:t>整理评审纪要，评审人员会签</w:t>
                                </w:r>
                              </w:p>
                            </w:txbxContent>
                          </wps:txbx>
                          <wps:bodyPr anchor="ctr" anchorCtr="0" upright="1"/>
                        </wps:wsp>
                        <wps:wsp>
                          <wps:cNvPr id="131" name="直接连接符 13"/>
                          <wps:cNvCnPr/>
                          <wps:spPr>
                            <a:xfrm>
                              <a:off x="5910" y="13013"/>
                              <a:ext cx="9" cy="855"/>
                            </a:xfrm>
                            <a:prstGeom prst="line">
                              <a:avLst/>
                            </a:prstGeom>
                            <a:ln w="9525" cap="flat" cmpd="sng">
                              <a:solidFill>
                                <a:srgbClr val="000000"/>
                              </a:solidFill>
                              <a:prstDash val="solid"/>
                              <a:headEnd type="none" w="med" len="med"/>
                              <a:tailEnd type="triangle" w="med" len="med"/>
                            </a:ln>
                          </wps:spPr>
                          <wps:bodyPr upright="1"/>
                        </wps:wsp>
                        <wps:wsp>
                          <wps:cNvPr id="132" name="直接连接符 15"/>
                          <wps:cNvCnPr/>
                          <wps:spPr>
                            <a:xfrm>
                              <a:off x="7687" y="10068"/>
                              <a:ext cx="538" cy="0"/>
                            </a:xfrm>
                            <a:prstGeom prst="line">
                              <a:avLst/>
                            </a:prstGeom>
                            <a:ln w="9525" cap="flat" cmpd="sng">
                              <a:solidFill>
                                <a:srgbClr val="000000"/>
                              </a:solidFill>
                              <a:prstDash val="solid"/>
                              <a:headEnd type="none" w="med" len="med"/>
                              <a:tailEnd type="none" w="med" len="med"/>
                            </a:ln>
                          </wps:spPr>
                          <wps:bodyPr upright="1"/>
                        </wps:wsp>
                        <wps:wsp>
                          <wps:cNvPr id="133" name="矩形 16"/>
                          <wps:cNvSpPr/>
                          <wps:spPr>
                            <a:xfrm>
                              <a:off x="3494" y="5406"/>
                              <a:ext cx="450" cy="1092"/>
                            </a:xfrm>
                            <a:prstGeom prst="rect">
                              <a:avLst/>
                            </a:prstGeom>
                            <a:noFill/>
                            <a:ln>
                              <a:noFill/>
                            </a:ln>
                          </wps:spPr>
                          <wps:txbx>
                            <w:txbxContent>
                              <w:p w14:paraId="36C95044">
                                <w:r>
                                  <w:rPr>
                                    <w:rFonts w:hint="eastAsia"/>
                                  </w:rPr>
                                  <w:t>有问题</w:t>
                                </w:r>
                              </w:p>
                            </w:txbxContent>
                          </wps:txbx>
                          <wps:bodyPr upright="1"/>
                        </wps:wsp>
                        <wps:wsp>
                          <wps:cNvPr id="134" name="直接连接符 17"/>
                          <wps:cNvCnPr/>
                          <wps:spPr>
                            <a:xfrm flipH="1">
                              <a:off x="5910" y="5178"/>
                              <a:ext cx="9" cy="1334"/>
                            </a:xfrm>
                            <a:prstGeom prst="line">
                              <a:avLst/>
                            </a:prstGeom>
                            <a:ln w="9525" cap="flat" cmpd="sng">
                              <a:solidFill>
                                <a:srgbClr val="000000"/>
                              </a:solidFill>
                              <a:prstDash val="solid"/>
                              <a:headEnd type="none" w="med" len="med"/>
                              <a:tailEnd type="triangle" w="med" len="med"/>
                            </a:ln>
                          </wps:spPr>
                          <wps:bodyPr upright="1"/>
                        </wps:wsp>
                        <wps:wsp>
                          <wps:cNvPr id="135" name="直接箭头连接符 18"/>
                          <wps:cNvCnPr>
                            <a:stCxn id="128" idx="1"/>
                          </wps:cNvCnPr>
                          <wps:spPr>
                            <a:xfrm>
                              <a:off x="3420" y="4803"/>
                              <a:ext cx="1344" cy="0"/>
                            </a:xfrm>
                            <a:prstGeom prst="straightConnector1">
                              <a:avLst/>
                            </a:prstGeom>
                            <a:ln w="9525" cap="flat" cmpd="sng">
                              <a:solidFill>
                                <a:srgbClr val="000000"/>
                              </a:solidFill>
                              <a:prstDash val="solid"/>
                              <a:headEnd type="none" w="med" len="med"/>
                              <a:tailEnd type="triangle" w="med" len="med"/>
                            </a:ln>
                          </wps:spPr>
                          <wps:bodyPr/>
                        </wps:wsp>
                        <wps:wsp>
                          <wps:cNvPr id="136" name="直接箭头连接符 19"/>
                          <wps:cNvCnPr>
                            <a:stCxn id="128" idx="1"/>
                          </wps:cNvCnPr>
                          <wps:spPr>
                            <a:xfrm flipH="1">
                              <a:off x="3420" y="7215"/>
                              <a:ext cx="654" cy="0"/>
                            </a:xfrm>
                            <a:prstGeom prst="straightConnector1">
                              <a:avLst/>
                            </a:prstGeom>
                            <a:ln w="9525" cap="flat" cmpd="sng">
                              <a:solidFill>
                                <a:srgbClr val="000000"/>
                              </a:solidFill>
                              <a:prstDash val="solid"/>
                              <a:headEnd type="none" w="med" len="med"/>
                              <a:tailEnd type="none" w="med" len="med"/>
                            </a:ln>
                          </wps:spPr>
                          <wps:bodyPr/>
                        </wps:wsp>
                        <wps:wsp>
                          <wps:cNvPr id="137" name="矩形 20"/>
                          <wps:cNvSpPr/>
                          <wps:spPr>
                            <a:xfrm>
                              <a:off x="7622" y="8070"/>
                              <a:ext cx="450" cy="1092"/>
                            </a:xfrm>
                            <a:prstGeom prst="rect">
                              <a:avLst/>
                            </a:prstGeom>
                            <a:noFill/>
                            <a:ln>
                              <a:noFill/>
                            </a:ln>
                          </wps:spPr>
                          <wps:txbx>
                            <w:txbxContent>
                              <w:p w14:paraId="4A178E05">
                                <w:r>
                                  <w:rPr>
                                    <w:rFonts w:hint="eastAsia"/>
                                  </w:rPr>
                                  <w:t>有问题</w:t>
                                </w:r>
                              </w:p>
                            </w:txbxContent>
                          </wps:txbx>
                          <wps:bodyPr upright="1"/>
                        </wps:wsp>
                        <wps:wsp>
                          <wps:cNvPr id="138" name="直接连接符 22"/>
                          <wps:cNvCnPr/>
                          <wps:spPr>
                            <a:xfrm>
                              <a:off x="5919" y="3164"/>
                              <a:ext cx="0" cy="1244"/>
                            </a:xfrm>
                            <a:prstGeom prst="line">
                              <a:avLst/>
                            </a:prstGeom>
                            <a:ln w="9525" cap="flat" cmpd="sng">
                              <a:solidFill>
                                <a:srgbClr val="000000"/>
                              </a:solidFill>
                              <a:prstDash val="solid"/>
                              <a:headEnd type="none" w="med" len="med"/>
                              <a:tailEnd type="triangle" w="med" len="med"/>
                            </a:ln>
                          </wps:spPr>
                          <wps:bodyPr upright="1"/>
                        </wps:wsp>
                        <wps:wsp>
                          <wps:cNvPr id="139" name="矩形 23"/>
                          <wps:cNvSpPr/>
                          <wps:spPr>
                            <a:xfrm>
                              <a:off x="5424" y="8008"/>
                              <a:ext cx="450" cy="1171"/>
                            </a:xfrm>
                            <a:prstGeom prst="rect">
                              <a:avLst/>
                            </a:prstGeom>
                            <a:noFill/>
                            <a:ln>
                              <a:noFill/>
                            </a:ln>
                          </wps:spPr>
                          <wps:txbx>
                            <w:txbxContent>
                              <w:p w14:paraId="333DF87A">
                                <w:r>
                                  <w:rPr>
                                    <w:rFonts w:hint="eastAsia"/>
                                  </w:rPr>
                                  <w:t>无问题</w:t>
                                </w:r>
                              </w:p>
                            </w:txbxContent>
                          </wps:txbx>
                          <wps:bodyPr upright="1"/>
                        </wps:wsp>
                        <wps:wsp>
                          <wps:cNvPr id="140" name="直接连接符 24"/>
                          <wps:cNvCnPr/>
                          <wps:spPr>
                            <a:xfrm>
                              <a:off x="5919" y="7918"/>
                              <a:ext cx="0" cy="1334"/>
                            </a:xfrm>
                            <a:prstGeom prst="line">
                              <a:avLst/>
                            </a:prstGeom>
                            <a:ln w="9525" cap="flat" cmpd="sng">
                              <a:solidFill>
                                <a:srgbClr val="000000"/>
                              </a:solidFill>
                              <a:prstDash val="solid"/>
                              <a:headEnd type="none" w="med" len="med"/>
                              <a:tailEnd type="triangle" w="med" len="med"/>
                            </a:ln>
                          </wps:spPr>
                          <wps:bodyPr upright="1"/>
                        </wps:wsp>
                        <wps:wsp>
                          <wps:cNvPr id="141" name="矩形 25"/>
                          <wps:cNvSpPr/>
                          <wps:spPr>
                            <a:xfrm>
                              <a:off x="5413" y="10919"/>
                              <a:ext cx="450" cy="1092"/>
                            </a:xfrm>
                            <a:prstGeom prst="rect">
                              <a:avLst/>
                            </a:prstGeom>
                            <a:noFill/>
                            <a:ln>
                              <a:noFill/>
                            </a:ln>
                          </wps:spPr>
                          <wps:txbx>
                            <w:txbxContent>
                              <w:p w14:paraId="5D5B4AF7">
                                <w:r>
                                  <w:rPr>
                                    <w:rFonts w:hint="eastAsia"/>
                                  </w:rPr>
                                  <w:t>无问题</w:t>
                                </w:r>
                              </w:p>
                            </w:txbxContent>
                          </wps:txbx>
                          <wps:bodyPr upright="1"/>
                        </wps:wsp>
                        <wps:wsp>
                          <wps:cNvPr id="142" name="直接连接符 26"/>
                          <wps:cNvCnPr/>
                          <wps:spPr>
                            <a:xfrm>
                              <a:off x="5911" y="10879"/>
                              <a:ext cx="0" cy="1244"/>
                            </a:xfrm>
                            <a:prstGeom prst="line">
                              <a:avLst/>
                            </a:prstGeom>
                            <a:ln w="9525" cap="flat" cmpd="sng">
                              <a:solidFill>
                                <a:srgbClr val="000000"/>
                              </a:solidFill>
                              <a:prstDash val="solid"/>
                              <a:headEnd type="none" w="med" len="med"/>
                              <a:tailEnd type="triangle" w="med" len="med"/>
                            </a:ln>
                          </wps:spPr>
                          <wps:bodyPr upright="1"/>
                        </wps:wsp>
                        <wps:wsp>
                          <wps:cNvPr id="143" name="流程图: 终止 83"/>
                          <wps:cNvSpPr/>
                          <wps:spPr>
                            <a:xfrm>
                              <a:off x="4404" y="2105"/>
                              <a:ext cx="3021" cy="1025"/>
                            </a:xfrm>
                            <a:prstGeom prst="flowChartTerminator">
                              <a:avLst/>
                            </a:prstGeom>
                            <a:solidFill>
                              <a:srgbClr val="FFFFFF"/>
                            </a:solidFill>
                            <a:ln w="9525" cap="flat" cmpd="sng">
                              <a:solidFill>
                                <a:srgbClr val="000000"/>
                              </a:solidFill>
                              <a:prstDash val="solid"/>
                              <a:miter/>
                              <a:headEnd type="none" w="med" len="med"/>
                              <a:tailEnd type="none" w="med" len="med"/>
                            </a:ln>
                          </wps:spPr>
                          <wps:txbx>
                            <w:txbxContent>
                              <w:p w14:paraId="76CA48A0">
                                <w:pPr>
                                  <w:jc w:val="center"/>
                                  <w:rPr>
                                    <w:rFonts w:ascii="宋体" w:hAnsi="宋体"/>
                                    <w:color w:val="000000"/>
                                    <w:sz w:val="24"/>
                                  </w:rPr>
                                </w:pPr>
                                <w:r>
                                  <w:rPr>
                                    <w:rFonts w:hint="eastAsia" w:ascii="宋体" w:hAnsi="宋体"/>
                                    <w:color w:val="000000"/>
                                    <w:sz w:val="24"/>
                                  </w:rPr>
                                  <w:t>施工单位施工</w:t>
                                </w:r>
                              </w:p>
                              <w:p w14:paraId="2B51B2BE">
                                <w:pPr>
                                  <w:jc w:val="center"/>
                                  <w:rPr>
                                    <w:sz w:val="24"/>
                                  </w:rPr>
                                </w:pPr>
                                <w:r>
                                  <w:rPr>
                                    <w:rFonts w:hint="eastAsia" w:ascii="宋体" w:hAnsi="宋体"/>
                                    <w:color w:val="000000"/>
                                    <w:sz w:val="24"/>
                                  </w:rPr>
                                  <w:t>（分项、分户）样板</w:t>
                                </w:r>
                              </w:p>
                            </w:txbxContent>
                          </wps:txbx>
                          <wps:bodyPr upright="1"/>
                        </wps:wsp>
                      </wpg:grpSp>
                    </wpg:wgp>
                  </a:graphicData>
                </a:graphic>
              </wp:inline>
            </w:drawing>
          </mc:Choice>
          <mc:Fallback>
            <w:pict>
              <v:group id="组合 382" o:spid="_x0000_s1026" o:spt="203" style="height:630.85pt;width:462.4pt;" coordorigin="3180,2285" coordsize="6530,12505" o:gfxdata="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">
                <o:lock v:ext="edit" aspectratio="f"/>
                <v:shape id="直接箭头连接符 1" o:spid="_x0000_s1026" o:spt="32" type="#_x0000_t32" style="position:absolute;left:7989;top:7395;height:2853;width:0;" filled="f" stroked="t" coordsize="21600,21600" o:gfxdata="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Ztn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group id="组合 28" o:spid="_x0000_s1026" o:spt="203" style="position:absolute;left:3180;top:2285;height:12505;width:6530;" coordorigin="3420,2105" coordsize="6530,12505" o:gfxdata="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kyyISvAAAANwAAAAPAAAAAAAAAAEAIAAAACIAAABkcnMvZG93bnJldi54bWxQ&#10;SwECFAAUAAAACACHTuJAMy8FnjsAAAA5AAAAFQAAAAAAAAABACAAAAALAQAAZHJzL2dyb3Vwc2hh&#10;cGV4bWwueG1sUEsFBgAAAAAGAAYAYAEAAMgDAAAAAA==&#10;">
                  <o:lock v:ext="edit" aspectratio="f"/>
                  <v:shape id="流程图: 决策 2" o:spid="_x0000_s1026" o:spt="110" type="#_x0000_t110" style="position:absolute;left:4077;top:6500;height:1435;width:3681;v-text-anchor:middle;" fillcolor="#FFFFFF" filled="t" stroked="t" coordsize="21600,21600" o:gfxdata="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FHk4u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3086D9F2">
                          <w:pPr>
                            <w:jc w:val="center"/>
                          </w:pPr>
                          <w:r>
                            <w:rPr>
                              <w:rFonts w:hint="eastAsia"/>
                            </w:rPr>
                            <w:t>监理单位组织验收</w:t>
                          </w:r>
                        </w:p>
                      </w:txbxContent>
                    </v:textbox>
                  </v:shape>
                  <v:shape id="流程图: 决策 3" o:spid="_x0000_s1026" o:spt="110" type="#_x0000_t110" style="position:absolute;left:4134;top:9252;height:1626;width:3561;v-text-anchor:middle;" fillcolor="#FFFFFF" filled="t" stroked="t" coordsize="21600,21600" o:gfxdata="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lQ38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C651AF1">
                          <w:r>
                            <w:rPr>
                              <w:rFonts w:hint="eastAsia"/>
                            </w:rPr>
                            <w:t>项目部组织各相关部门评审验收</w:t>
                          </w:r>
                        </w:p>
                      </w:txbxContent>
                    </v:textbox>
                  </v:shape>
                  <v:shape id="流程图: 终止 4" o:spid="_x0000_s1026" o:spt="116" type="#_x0000_t116" style="position:absolute;left:4404;top:2129;height:1025;width:3021;" fillcolor="#FFFFFF" filled="t" stroked="t" coordsize="21600,21600" o:gfxdata="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nsmK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32354E88">
                          <w:pPr>
                            <w:jc w:val="center"/>
                            <w:rPr>
                              <w:rFonts w:ascii="宋体" w:hAnsi="宋体"/>
                              <w:color w:val="000000"/>
                              <w:sz w:val="24"/>
                            </w:rPr>
                          </w:pPr>
                          <w:r>
                            <w:rPr>
                              <w:rFonts w:hint="eastAsia" w:ascii="宋体" w:hAnsi="宋体"/>
                              <w:color w:val="000000"/>
                              <w:sz w:val="24"/>
                            </w:rPr>
                            <w:t>施工单位施工</w:t>
                          </w:r>
                        </w:p>
                        <w:p w14:paraId="70841C84">
                          <w:pPr>
                            <w:jc w:val="center"/>
                            <w:rPr>
                              <w:sz w:val="24"/>
                            </w:rPr>
                          </w:pPr>
                          <w:r>
                            <w:rPr>
                              <w:rFonts w:hint="eastAsia" w:ascii="宋体" w:hAnsi="宋体"/>
                              <w:color w:val="000000"/>
                              <w:sz w:val="24"/>
                            </w:rPr>
                            <w:t>（分项、分户）样板</w:t>
                          </w:r>
                        </w:p>
                      </w:txbxContent>
                    </v:textbox>
                  </v:shape>
                  <v:line id="直接连接符 5" o:spid="_x0000_s1026" o:spt="20" style="position:absolute;left:7757;top:7220;flip:x y;height:0;width:458;" filled="f" stroked="t" coordsize="21600,21600" o:gfxdata="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gJX4ugAAANwA&#10;AAAPAAAAAAAAAAEAIAAAACIAAABkcnMvZG93bnJldi54bWxQSwECFAAUAAAACACHTuJAMy8FnjsA&#10;AAA5AAAAEAAAAAAAAAABACAAAAAJAQAAZHJzL3NoYXBleG1sLnhtbFBLBQYAAAAABgAGAFsBAACz&#10;AwAAAAA=&#10;">
                    <v:fill on="f" focussize="0,0"/>
                    <v:stroke color="#000000" joinstyle="round" endarrow="block"/>
                    <v:imagedata o:title=""/>
                    <o:lock v:ext="edit" aspectratio="f"/>
                  </v:line>
                  <v:rect id="矩形 6" o:spid="_x0000_s1026" o:spt="1" style="position:absolute;left:4764;top:4413;height:765;width:2331;v-text-anchor:middle;" fillcolor="#FFFFFF" filled="t" stroked="t" coordsize="21600,21600" o:gfxdata="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UKE4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4F294846">
                          <w:pPr>
                            <w:jc w:val="center"/>
                            <w:rPr>
                              <w:sz w:val="24"/>
                            </w:rPr>
                          </w:pPr>
                          <w:r>
                            <w:rPr>
                              <w:rFonts w:hint="eastAsia"/>
                              <w:sz w:val="24"/>
                            </w:rPr>
                            <w:t>施工单位自检合格</w:t>
                          </w:r>
                        </w:p>
                      </w:txbxContent>
                    </v:textbox>
                  </v:rect>
                  <v:line id="直接连接符 7" o:spid="_x0000_s1026" o:spt="20" style="position:absolute;left:3420;top:4808;flip:x y;height:2397;width:0;" filled="f" stroked="t" coordsize="21600,21600" o:gfxdata="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H7jDE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接连接符 8" o:spid="_x0000_s1026" o:spt="20" style="position:absolute;left:8205;top:8448;flip:x;height:3;width:458;" filled="f" stroked="t" coordsize="21600,21600" o:gfxdata="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XzYS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10" o:spid="_x0000_s1026" o:spt="1" style="position:absolute;left:8663;top:7733;height:1429;width:1287;v-text-anchor:middle;" fillcolor="#FFFFFF" filled="t" stroked="t" coordsize="21600,21600" o:gfxdata="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tRDqa/&#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350A88C4">
                          <w:pPr>
                            <w:rPr>
                              <w:szCs w:val="21"/>
                            </w:rPr>
                          </w:pPr>
                          <w:r>
                            <w:rPr>
                              <w:rFonts w:hint="eastAsia" w:ascii="宋体" w:cs="宋体"/>
                              <w:kern w:val="0"/>
                              <w:szCs w:val="21"/>
                            </w:rPr>
                            <w:t>材料及功能需要更改，由总师办发设计变更单</w:t>
                          </w:r>
                        </w:p>
                      </w:txbxContent>
                    </v:textbox>
                  </v:rect>
                  <v:shape id="流程图: 终止 11" o:spid="_x0000_s1026" o:spt="116" type="#_x0000_t116" style="position:absolute;left:4194;top:13863;height:747;width:3426;v-text-anchor:middle;" fillcolor="#FFFFFF" filled="t" stroked="t" coordsize="21600,21600" o:gfxdata="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tnCm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2F763A6">
                          <w:pPr>
                            <w:jc w:val="center"/>
                          </w:pPr>
                          <w:r>
                            <w:rPr>
                              <w:rFonts w:hint="eastAsia" w:ascii="宋体" w:hAnsi="宋体"/>
                              <w:color w:val="000000"/>
                              <w:szCs w:val="21"/>
                            </w:rPr>
                            <w:t>项目部按计划组织大面积施工</w:t>
                          </w:r>
                        </w:p>
                      </w:txbxContent>
                    </v:textbox>
                  </v:shape>
                  <v:rect id="矩形 12" o:spid="_x0000_s1026" o:spt="1" style="position:absolute;left:4359;top:12126;height:891;width:3091;v-text-anchor:middle;" fillcolor="#FFFFFF" filled="t" stroked="t" coordsize="21600,21600" o:gfxdata="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pR9&#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14:paraId="530257C0">
                          <w:r>
                            <w:rPr>
                              <w:rFonts w:hint="eastAsia"/>
                            </w:rPr>
                            <w:t>项目部填写样板间评审记录表</w:t>
                          </w:r>
                          <w:r>
                            <w:rPr>
                              <w:rFonts w:hint="eastAsia"/>
                              <w:b/>
                              <w:i/>
                            </w:rPr>
                            <w:t>/</w:t>
                          </w:r>
                          <w:r>
                            <w:rPr>
                              <w:rFonts w:hint="eastAsia"/>
                            </w:rPr>
                            <w:t>整理评审纪要，评审人员会签</w:t>
                          </w:r>
                        </w:p>
                      </w:txbxContent>
                    </v:textbox>
                  </v:rect>
                  <v:line id="直接连接符 13" o:spid="_x0000_s1026" o:spt="20" style="position:absolute;left:5910;top:13013;height:855;width:9;" filled="f" stroked="t" coordsize="21600,21600" o:gfxdata="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nZGQ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15" o:spid="_x0000_s1026" o:spt="20" style="position:absolute;left:7687;top:10068;height:0;width:538;" filled="f" stroked="t" coordsize="21600,21600" o:gfxdata="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D2h2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rect id="矩形 16" o:spid="_x0000_s1026" o:spt="1" style="position:absolute;left:3494;top:5406;height:1092;width:450;" filled="f" stroked="f" coordsize="21600,21600" o:gfxdata="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pLIV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36C95044">
                          <w:r>
                            <w:rPr>
                              <w:rFonts w:hint="eastAsia"/>
                            </w:rPr>
                            <w:t>有问题</w:t>
                          </w:r>
                        </w:p>
                      </w:txbxContent>
                    </v:textbox>
                  </v:rect>
                  <v:line id="直接连接符 17" o:spid="_x0000_s1026" o:spt="20" style="position:absolute;left:5910;top:5178;flip:x;height:1334;width:9;" filled="f" stroked="t" coordsize="21600,21600" o:gfxdata="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VD64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直接箭头连接符 18" o:spid="_x0000_s1026" o:spt="32" type="#_x0000_t32" style="position:absolute;left:3420;top:4803;height:0;width:1344;" filled="f" stroked="t" coordsize="21600,21600" o:gfxdata="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Z6Aq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直接箭头连接符 19" o:spid="_x0000_s1026" o:spt="32" type="#_x0000_t32" style="position:absolute;left:3420;top:7215;flip:x;height:0;width:654;" filled="f" stroked="t" coordsize="21600,21600" o:gfxdata="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Xop09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shape>
                  <v:rect id="矩形 20" o:spid="_x0000_s1026" o:spt="1" style="position:absolute;left:7622;top:8070;height:1092;width:450;" filled="f" stroked="f" coordsize="21600,21600" o:gfxdata="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anOV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4A178E05">
                          <w:r>
                            <w:rPr>
                              <w:rFonts w:hint="eastAsia"/>
                            </w:rPr>
                            <w:t>有问题</w:t>
                          </w:r>
                        </w:p>
                      </w:txbxContent>
                    </v:textbox>
                  </v:rect>
                  <v:line id="直接连接符 22" o:spid="_x0000_s1026" o:spt="20" style="position:absolute;left:5919;top:3164;height:1244;width:0;" filled="f" stroked="t" coordsize="21600,21600" o:gfxdata="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pzgN&#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23" o:spid="_x0000_s1026" o:spt="1" style="position:absolute;left:5424;top:8008;height:1171;width:450;" filled="f" stroked="f" coordsize="21600,21600" o:gfxdata="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3r/v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333DF87A">
                          <w:r>
                            <w:rPr>
                              <w:rFonts w:hint="eastAsia"/>
                            </w:rPr>
                            <w:t>无问题</w:t>
                          </w:r>
                        </w:p>
                      </w:txbxContent>
                    </v:textbox>
                  </v:rect>
                  <v:line id="直接连接符 24" o:spid="_x0000_s1026" o:spt="20" style="position:absolute;left:5919;top:7918;height:1334;width:0;" filled="f" stroked="t" coordsize="21600,21600" o:gfxdata="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10d2&#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25" o:spid="_x0000_s1026" o:spt="1" style="position:absolute;left:5413;top:10919;height:1092;width:450;" filled="f" stroked="f" coordsize="21600,21600" o:gfxdata="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QqAx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5D5B4AF7">
                          <w:r>
                            <w:rPr>
                              <w:rFonts w:hint="eastAsia"/>
                            </w:rPr>
                            <w:t>无问题</w:t>
                          </w:r>
                        </w:p>
                      </w:txbxContent>
                    </v:textbox>
                  </v:rect>
                  <v:line id="直接连接符 26" o:spid="_x0000_s1026" o:spt="20" style="position:absolute;left:5911;top:10879;height:1244;width:0;" filled="f" stroked="t" coordsize="21600,21600" o:gfxdata="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0l8m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流程图: 终止 83" o:spid="_x0000_s1026" o:spt="116" type="#_x0000_t116" style="position:absolute;left:4404;top:2105;height:1025;width:3021;" fillcolor="#FFFFFF" filled="t" stroked="t" coordsize="21600,21600" o:gfxdata="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6TDi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76CA48A0">
                          <w:pPr>
                            <w:jc w:val="center"/>
                            <w:rPr>
                              <w:rFonts w:ascii="宋体" w:hAnsi="宋体"/>
                              <w:color w:val="000000"/>
                              <w:sz w:val="24"/>
                            </w:rPr>
                          </w:pPr>
                          <w:r>
                            <w:rPr>
                              <w:rFonts w:hint="eastAsia" w:ascii="宋体" w:hAnsi="宋体"/>
                              <w:color w:val="000000"/>
                              <w:sz w:val="24"/>
                            </w:rPr>
                            <w:t>施工单位施工</w:t>
                          </w:r>
                        </w:p>
                        <w:p w14:paraId="2B51B2BE">
                          <w:pPr>
                            <w:jc w:val="center"/>
                            <w:rPr>
                              <w:sz w:val="24"/>
                            </w:rPr>
                          </w:pPr>
                          <w:r>
                            <w:rPr>
                              <w:rFonts w:hint="eastAsia" w:ascii="宋体" w:hAnsi="宋体"/>
                              <w:color w:val="000000"/>
                              <w:sz w:val="24"/>
                            </w:rPr>
                            <w:t>（分项、分户）样板</w:t>
                          </w:r>
                        </w:p>
                      </w:txbxContent>
                    </v:textbox>
                  </v:shape>
                </v:group>
                <w10:wrap type="none"/>
                <w10:anchorlock/>
              </v:group>
            </w:pict>
          </mc:Fallback>
        </mc:AlternateContent>
      </w:r>
    </w:p>
    <w:p w14:paraId="1317A4A8">
      <w:pPr>
        <w:adjustRightInd w:val="0"/>
        <w:snapToGrid w:val="0"/>
        <w:spacing w:line="360" w:lineRule="auto"/>
        <w:outlineLvl w:val="9"/>
        <w:rPr>
          <w:rFonts w:cs="宋体" w:asciiTheme="minorEastAsia" w:hAnsiTheme="minorEastAsia" w:eastAsiaTheme="minorEastAsia"/>
          <w:b/>
          <w:color w:val="auto"/>
          <w:sz w:val="24"/>
          <w:highlight w:val="none"/>
        </w:rPr>
      </w:pPr>
      <w:r>
        <w:rPr>
          <w:rFonts w:hint="eastAsia" w:cs="宋体" w:asciiTheme="minorEastAsia" w:hAnsiTheme="minorEastAsia" w:eastAsiaTheme="minorEastAsia"/>
          <w:b/>
          <w:color w:val="auto"/>
          <w:sz w:val="24"/>
          <w:highlight w:val="none"/>
        </w:rPr>
        <w:t>2、住宅房屋工程质量分户验收工作流程</w:t>
      </w:r>
      <w:bookmarkEnd w:id="745"/>
    </w:p>
    <w:p w14:paraId="0A012CB4">
      <w:pPr>
        <w:adjustRightInd w:val="0"/>
        <w:snapToGrid w:val="0"/>
        <w:spacing w:line="360" w:lineRule="auto"/>
        <w:outlineLvl w:val="9"/>
        <w:rPr>
          <w:rFonts w:cs="宋体" w:asciiTheme="minorEastAsia" w:hAnsiTheme="minorEastAsia" w:eastAsiaTheme="minorEastAsia"/>
          <w:bCs/>
          <w:color w:val="auto"/>
          <w:sz w:val="28"/>
          <w:szCs w:val="28"/>
          <w:highlight w:val="none"/>
        </w:rPr>
      </w:pPr>
    </w:p>
    <w:p w14:paraId="55369707">
      <w:pPr>
        <w:outlineLvl w:val="9"/>
      </w:pPr>
      <w:bookmarkStart w:id="746" w:name="_Toc501705073"/>
      <w:r>
        <w:drawing>
          <wp:inline distT="0" distB="0" distL="114300" distR="114300">
            <wp:extent cx="5619750" cy="7783195"/>
            <wp:effectExtent l="0" t="0" r="0" b="8255"/>
            <wp:docPr id="4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3"/>
                    <pic:cNvPicPr>
                      <a:picLocks noChangeAspect="1"/>
                    </pic:cNvPicPr>
                  </pic:nvPicPr>
                  <pic:blipFill>
                    <a:blip r:embed="rId44"/>
                    <a:stretch>
                      <a:fillRect/>
                    </a:stretch>
                  </pic:blipFill>
                  <pic:spPr>
                    <a:xfrm>
                      <a:off x="0" y="0"/>
                      <a:ext cx="5619750" cy="7783195"/>
                    </a:xfrm>
                    <a:prstGeom prst="rect">
                      <a:avLst/>
                    </a:prstGeom>
                    <a:noFill/>
                    <a:ln>
                      <a:noFill/>
                    </a:ln>
                  </pic:spPr>
                </pic:pic>
              </a:graphicData>
            </a:graphic>
          </wp:inline>
        </w:drawing>
      </w:r>
    </w:p>
    <w:p w14:paraId="640E1F7C">
      <w:pPr>
        <w:outlineLvl w:val="9"/>
      </w:pPr>
    </w:p>
    <w:p w14:paraId="3F569E35">
      <w:pPr>
        <w:outlineLvl w:val="9"/>
      </w:pPr>
    </w:p>
    <w:p w14:paraId="5A0E4E8C">
      <w:pPr>
        <w:outlineLvl w:val="9"/>
      </w:pPr>
    </w:p>
    <w:p w14:paraId="0E71A6FE">
      <w:pPr>
        <w:outlineLvl w:val="9"/>
        <w:rPr>
          <w:rFonts w:asciiTheme="minorEastAsia" w:hAnsiTheme="minorEastAsia" w:eastAsiaTheme="minorEastAsia"/>
          <w:color w:val="auto"/>
          <w:highlight w:val="none"/>
        </w:rPr>
      </w:pPr>
      <w:r>
        <w:rPr>
          <w:rFonts w:hint="eastAsia" w:cs="宋体" w:asciiTheme="minorEastAsia" w:hAnsiTheme="minorEastAsia" w:eastAsiaTheme="minorEastAsia"/>
          <w:b/>
          <w:bCs/>
          <w:color w:val="auto"/>
          <w:sz w:val="24"/>
          <w:highlight w:val="none"/>
        </w:rPr>
        <w:t>3、</w:t>
      </w:r>
      <w:bookmarkEnd w:id="746"/>
      <w:r>
        <w:rPr>
          <w:rFonts w:hint="eastAsia" w:asciiTheme="minorEastAsia" w:hAnsiTheme="minorEastAsia" w:eastAsiaTheme="minorEastAsia"/>
          <w:color w:val="auto"/>
          <w:highlight w:val="none"/>
        </w:rPr>
        <w:t>住宅房屋分项工程施工标准</w:t>
      </w:r>
    </w:p>
    <w:tbl>
      <w:tblPr>
        <w:tblStyle w:val="56"/>
        <w:tblW w:w="5203" w:type="pct"/>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8"/>
        <w:gridCol w:w="4911"/>
        <w:gridCol w:w="4163"/>
      </w:tblGrid>
      <w:tr w14:paraId="355FC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700F761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分项</w:t>
            </w:r>
          </w:p>
          <w:p w14:paraId="33C2D9A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名称</w:t>
            </w:r>
          </w:p>
        </w:tc>
        <w:tc>
          <w:tcPr>
            <w:tcW w:w="2509" w:type="pct"/>
            <w:vAlign w:val="center"/>
          </w:tcPr>
          <w:p w14:paraId="26F9F8B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施工要点</w:t>
            </w:r>
          </w:p>
        </w:tc>
        <w:tc>
          <w:tcPr>
            <w:tcW w:w="2127" w:type="pct"/>
            <w:vAlign w:val="center"/>
          </w:tcPr>
          <w:p w14:paraId="4D47EDE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质量标准</w:t>
            </w:r>
          </w:p>
        </w:tc>
      </w:tr>
      <w:tr w14:paraId="661BC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6BD3B18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w:t>
            </w:r>
          </w:p>
          <w:p w14:paraId="5D5A38E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面</w:t>
            </w:r>
          </w:p>
          <w:p w14:paraId="5FB9AF3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垫</w:t>
            </w:r>
          </w:p>
          <w:p w14:paraId="6E2B3CE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层</w:t>
            </w:r>
          </w:p>
        </w:tc>
        <w:tc>
          <w:tcPr>
            <w:tcW w:w="2509" w:type="pct"/>
            <w:vAlign w:val="center"/>
          </w:tcPr>
          <w:p w14:paraId="1AB195F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在垫层  1、施工前检查电气配管是否到位，板面是否有渗漏现象，检查合格后方可进行垫层施工。</w:t>
            </w:r>
          </w:p>
          <w:p w14:paraId="7BC1D43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检查基层标高，保证垫层厚度，基层标高允许偏差±5mm。</w:t>
            </w:r>
          </w:p>
          <w:p w14:paraId="1FCEE01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根据垫层设计标高在楼面上每隔一米见方贴基准灰饼。</w:t>
            </w:r>
          </w:p>
          <w:p w14:paraId="4782442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收面时先用木抹子搓平再用铁抹子收光，最后用刷子细拉毛。</w:t>
            </w:r>
          </w:p>
          <w:p w14:paraId="30BF741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施工完成后要养护到位，注意成品保护。</w:t>
            </w:r>
          </w:p>
        </w:tc>
        <w:tc>
          <w:tcPr>
            <w:tcW w:w="2127" w:type="pct"/>
            <w:vAlign w:val="center"/>
          </w:tcPr>
          <w:p w14:paraId="2700A85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砼应浇筑密实无蜂窝、孔洞、裂缝、空鼓、起砂现象。</w:t>
            </w:r>
          </w:p>
          <w:p w14:paraId="0F778DA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细拉毛方向一致，砼表面干净无污染。</w:t>
            </w:r>
          </w:p>
          <w:p w14:paraId="20AA518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允许偏差：平整度5mm，标高5mm。</w:t>
            </w:r>
          </w:p>
          <w:p w14:paraId="59E65CB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所有地埋管不能出现外漏。</w:t>
            </w:r>
          </w:p>
          <w:p w14:paraId="6E23371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生活阳台处洗衣机台子表面细拉毛。</w:t>
            </w:r>
          </w:p>
          <w:p w14:paraId="15F4EE6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931D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5D347A9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砌</w:t>
            </w:r>
          </w:p>
          <w:p w14:paraId="73CFABC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体</w:t>
            </w:r>
          </w:p>
        </w:tc>
        <w:tc>
          <w:tcPr>
            <w:tcW w:w="2509" w:type="pct"/>
            <w:vAlign w:val="center"/>
          </w:tcPr>
          <w:p w14:paraId="3A83807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砌体材料在施工前1-2天，应浇水湿润。</w:t>
            </w:r>
          </w:p>
          <w:p w14:paraId="31B98C3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现浇砼过梁，拆除梁底模时砼强度不得低于75%。砼过梁应伸入砌体两边不少于240 mm</w:t>
            </w:r>
          </w:p>
          <w:p w14:paraId="1DF0F23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砼墙与砖墙的连结处、墙体的拐角处及预留洞口的处理应严格按规范施工。</w:t>
            </w:r>
          </w:p>
          <w:p w14:paraId="52E2507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在散热器、管道支架等安装位置要提前预埋预埋件。</w:t>
            </w:r>
          </w:p>
          <w:p w14:paraId="692BFF6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在预埋管线密集处（配电箱、多媒体箱）不砌砖，在周边砌体完成后管线密集处用细石砼浇筑。</w:t>
            </w:r>
          </w:p>
          <w:p w14:paraId="2A95EB3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墙身底部砌筑3皮高实心粘土砖，多水房间砌体底部做240mm（结构标高）高砼带。</w:t>
            </w:r>
          </w:p>
          <w:p w14:paraId="26479F9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窗台砌体顶部均做砼压顶，压顶深入两侧墙体长度不得低于200mm。</w:t>
            </w:r>
          </w:p>
          <w:p w14:paraId="4BF5703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砌体的最上一层砖完成后7天，再砌筑斜插砖。</w:t>
            </w:r>
          </w:p>
          <w:p w14:paraId="491C19A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多水房间泛水高度范围内不能采用带PVC套管的穿墙螺杆；</w:t>
            </w:r>
          </w:p>
          <w:p w14:paraId="69546B3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10、砌体墙面后开槽应机械开槽，严禁人工开槽；严禁水平开槽；挂网、抹灰前应用细石混凝土灌实；</w:t>
            </w:r>
          </w:p>
        </w:tc>
        <w:tc>
          <w:tcPr>
            <w:tcW w:w="2127" w:type="pct"/>
            <w:vAlign w:val="center"/>
          </w:tcPr>
          <w:p w14:paraId="05805DE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墙体拉结筋必须在检查合格后方可进行砌体分项施工。</w:t>
            </w:r>
          </w:p>
          <w:p w14:paraId="773D2ED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不同材质接缝处不得出现明缝、假缝和瞎缝。</w:t>
            </w:r>
          </w:p>
          <w:p w14:paraId="7BF209A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大于300 mm的洞口应设置过梁。</w:t>
            </w:r>
          </w:p>
          <w:p w14:paraId="2EF2AF1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墙体轴线位移允许偏差5mm平整度5 mm、垂直度5mm、门窗洞口宽度5mm</w:t>
            </w:r>
          </w:p>
          <w:p w14:paraId="1ADDDF1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窗台标高同样板评审一致。</w:t>
            </w:r>
          </w:p>
          <w:p w14:paraId="4FA69A3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8CDD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6ABC0E5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抹灰</w:t>
            </w:r>
          </w:p>
        </w:tc>
        <w:tc>
          <w:tcPr>
            <w:tcW w:w="2509" w:type="pct"/>
            <w:vAlign w:val="center"/>
          </w:tcPr>
          <w:p w14:paraId="1D539C3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1、先对砌体质量进行验收，加气块产品龄期得达到28天。</w:t>
            </w:r>
          </w:p>
          <w:p w14:paraId="6051CAF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2、对进场材料（水泥、外加剂等）严格检查，应合规、楼层上堆放砂浆应设垫板、现场不得加水、砂浆初凝后不得使用。</w:t>
            </w:r>
          </w:p>
          <w:p w14:paraId="00C0FDB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3、抹灰至少两遍成活，每遍厚度不超过1cm，超过35mm的抹灰层应增加抗裂钢丝网。</w:t>
            </w:r>
          </w:p>
          <w:p w14:paraId="7E703E3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4、砼墙面抹灰须刷界面剂一道。</w:t>
            </w:r>
          </w:p>
          <w:p w14:paraId="5B9D5E9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5、对洞口、接槎部位等特殊部位处理要符合要求（加设钢丝网片）</w:t>
            </w:r>
          </w:p>
          <w:p w14:paraId="58261BF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6、抹灰厚度小于5mm的须用聚合物砂浆；</w:t>
            </w:r>
          </w:p>
          <w:p w14:paraId="5FEB08E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7、铝合金内窗口两侧及顶部抹灰不允许吃框；</w:t>
            </w:r>
          </w:p>
          <w:p w14:paraId="17A5EA3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8、外墙对螺杆孔可以采用了多道防水。措施：在结构施工时，螺杆孔留设可里高外低。</w:t>
            </w:r>
          </w:p>
          <w:p w14:paraId="4113AA9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9、对悬挑脚手架等预留洞，用细石混凝士内掺膨胀水泥两次堵实，局部用3厚双面自粘性沥青防水卷材或1.2厚JS防水涂料增加一道防水</w:t>
            </w:r>
          </w:p>
          <w:p w14:paraId="030FFAF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10、对于预留洞口边抹灰留直茬。</w:t>
            </w:r>
          </w:p>
          <w:p w14:paraId="7E3FF72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11、抹灰层应达到设计需要的强度，不得出现起砂、起粉、手扣出洞的情况。</w:t>
            </w:r>
          </w:p>
        </w:tc>
        <w:tc>
          <w:tcPr>
            <w:tcW w:w="2127" w:type="pct"/>
          </w:tcPr>
          <w:p w14:paraId="082D986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1、抹灰层与基层粘结牢固，无裂缝、脱落。</w:t>
            </w:r>
          </w:p>
          <w:p w14:paraId="0745B92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2、孔洞、槽、盒、尺寸正确，边缘整齐，光滑平整。</w:t>
            </w:r>
          </w:p>
          <w:p w14:paraId="065FDA2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3、允许偏差：垂直度3mm，平整度3mm，阴阳角顺直3 mm，踢角线上口直线度3 mm。</w:t>
            </w:r>
          </w:p>
          <w:p w14:paraId="2BEDB64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xml:space="preserve">4、在粉刷前，用发泡剂封堵5厘米以上，外侧留出5厘米左右的孔洞用膨胀水泥或者1:1石棉绒水泥堵实；最后对螺杆洞部位局部外墙用3厚双面自粘性沥青防水卷材或1.2厚JS防水涂料增加一道防水。 </w:t>
            </w:r>
          </w:p>
        </w:tc>
      </w:tr>
      <w:tr w14:paraId="17751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tcBorders>
              <w:top w:val="single" w:color="auto" w:sz="4" w:space="0"/>
              <w:left w:val="single" w:color="auto" w:sz="4" w:space="0"/>
              <w:bottom w:val="single" w:color="auto" w:sz="4" w:space="0"/>
              <w:right w:val="single" w:color="auto" w:sz="4" w:space="0"/>
            </w:tcBorders>
            <w:vAlign w:val="center"/>
          </w:tcPr>
          <w:p w14:paraId="3E63570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w:t>
            </w:r>
          </w:p>
          <w:p w14:paraId="2439315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面</w:t>
            </w:r>
          </w:p>
          <w:p w14:paraId="6093DFC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及</w:t>
            </w:r>
          </w:p>
          <w:p w14:paraId="7FFA232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顶</w:t>
            </w:r>
          </w:p>
          <w:p w14:paraId="2CF2B6D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棚</w:t>
            </w:r>
          </w:p>
          <w:p w14:paraId="2A7533F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腻</w:t>
            </w:r>
          </w:p>
          <w:p w14:paraId="7DBD477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子</w:t>
            </w:r>
          </w:p>
        </w:tc>
        <w:tc>
          <w:tcPr>
            <w:tcW w:w="2509" w:type="pct"/>
            <w:tcBorders>
              <w:top w:val="single" w:color="auto" w:sz="4" w:space="0"/>
              <w:left w:val="single" w:color="auto" w:sz="4" w:space="0"/>
              <w:bottom w:val="single" w:color="auto" w:sz="4" w:space="0"/>
              <w:right w:val="single" w:color="auto" w:sz="4" w:space="0"/>
            </w:tcBorders>
            <w:vAlign w:val="center"/>
          </w:tcPr>
          <w:p w14:paraId="218329E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先对上道工序质量进行验收，要求砼墙及抹灰墙面达到质量标准</w:t>
            </w:r>
          </w:p>
          <w:p w14:paraId="3E5988A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先补平基层凹凸不平，及阴阳角处，干透后用砂纸磨平然后再大面积刮腻子，至少两遍成活</w:t>
            </w:r>
          </w:p>
          <w:p w14:paraId="3216DA0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施工原材料为白水泥</w:t>
            </w:r>
          </w:p>
          <w:p w14:paraId="1B0012F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对于不同材质的接茬处要用弹性腻子密实后，再用嵌缝纸带盖缝后刮腻子</w:t>
            </w:r>
          </w:p>
        </w:tc>
        <w:tc>
          <w:tcPr>
            <w:tcW w:w="2127" w:type="pct"/>
            <w:tcBorders>
              <w:top w:val="single" w:color="auto" w:sz="4" w:space="0"/>
              <w:left w:val="single" w:color="auto" w:sz="4" w:space="0"/>
              <w:bottom w:val="single" w:color="auto" w:sz="4" w:space="0"/>
              <w:right w:val="single" w:color="auto" w:sz="4" w:space="0"/>
            </w:tcBorders>
          </w:tcPr>
          <w:p w14:paraId="7B25EC7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腻子施工前，基层的开间尺寸、进深尺寸允许偏差：5mm；</w:t>
            </w:r>
          </w:p>
          <w:p w14:paraId="13763BB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腻子施工前，基层的板底标高、板面标高允许偏差：5mm。</w:t>
            </w:r>
          </w:p>
          <w:p w14:paraId="7717171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墙面允许偏差：垂直度3mm，平整度3mm</w:t>
            </w:r>
          </w:p>
          <w:p w14:paraId="0A64B56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墙面腻子应压光、颜色一致无色差、无抹纹。</w:t>
            </w:r>
          </w:p>
          <w:p w14:paraId="221F8D2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开关面板、空调洞周围应收平，收光滑，无瞎缝。</w:t>
            </w:r>
          </w:p>
          <w:p w14:paraId="4368615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踢脚线高度10cm，颜色为铁青色，材料选用黑水泥加墨汁，根部顺直，上口平直（允许偏差3mm）。</w:t>
            </w:r>
          </w:p>
          <w:p w14:paraId="7D1EE35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刮完腻子后墙面、顶棚质量允许偏差：垂直度2mm平整度2mm阴阳角顺直2mm阴阳角方正2mm。</w:t>
            </w:r>
          </w:p>
          <w:p w14:paraId="22FE675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保证腻子干透后不起皮、不掉粉。</w:t>
            </w:r>
          </w:p>
        </w:tc>
      </w:tr>
      <w:tr w14:paraId="17C2A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tcBorders>
              <w:top w:val="single" w:color="auto" w:sz="4" w:space="0"/>
              <w:left w:val="single" w:color="auto" w:sz="4" w:space="0"/>
              <w:bottom w:val="single" w:color="auto" w:sz="4" w:space="0"/>
              <w:right w:val="single" w:color="auto" w:sz="4" w:space="0"/>
            </w:tcBorders>
            <w:vAlign w:val="center"/>
          </w:tcPr>
          <w:p w14:paraId="39B865B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厨</w:t>
            </w:r>
          </w:p>
          <w:p w14:paraId="527EE11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卫</w:t>
            </w:r>
          </w:p>
          <w:p w14:paraId="1B79B47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间</w:t>
            </w:r>
          </w:p>
          <w:p w14:paraId="4EF71C3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w:t>
            </w:r>
          </w:p>
          <w:p w14:paraId="36FE6A1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面</w:t>
            </w:r>
          </w:p>
          <w:p w14:paraId="43100BD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细</w:t>
            </w:r>
          </w:p>
          <w:p w14:paraId="5B1D8B6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拉</w:t>
            </w:r>
          </w:p>
          <w:p w14:paraId="0419D4D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毛</w:t>
            </w:r>
          </w:p>
        </w:tc>
        <w:tc>
          <w:tcPr>
            <w:tcW w:w="2509" w:type="pct"/>
            <w:tcBorders>
              <w:top w:val="single" w:color="auto" w:sz="4" w:space="0"/>
              <w:left w:val="single" w:color="auto" w:sz="4" w:space="0"/>
              <w:bottom w:val="single" w:color="auto" w:sz="4" w:space="0"/>
              <w:right w:val="single" w:color="auto" w:sz="4" w:space="0"/>
            </w:tcBorders>
            <w:vAlign w:val="center"/>
          </w:tcPr>
          <w:p w14:paraId="4C16ADB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施工前先对基层检查验收。</w:t>
            </w:r>
          </w:p>
          <w:p w14:paraId="28B88A9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对洞口，烟道，接槎部位处理到位。（阴角处加设钢丝网片）</w:t>
            </w:r>
          </w:p>
          <w:p w14:paraId="1B2D731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粉刷至少两遍成活，每遍厚度不超过1cm。</w:t>
            </w:r>
          </w:p>
          <w:p w14:paraId="7264D06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xml:space="preserve">施工完成后要养护到位，注意成品保护。   </w:t>
            </w:r>
          </w:p>
          <w:p w14:paraId="6AAA331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泛水高度以下压光。</w:t>
            </w:r>
          </w:p>
        </w:tc>
        <w:tc>
          <w:tcPr>
            <w:tcW w:w="2127" w:type="pct"/>
            <w:tcBorders>
              <w:top w:val="single" w:color="auto" w:sz="4" w:space="0"/>
              <w:left w:val="single" w:color="auto" w:sz="4" w:space="0"/>
              <w:bottom w:val="single" w:color="auto" w:sz="4" w:space="0"/>
              <w:right w:val="single" w:color="auto" w:sz="4" w:space="0"/>
            </w:tcBorders>
          </w:tcPr>
          <w:p w14:paraId="5662A3B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各抹灰层之间必须粘结牢固，无脱层、空鼓，面层无爆灰和裂缝。</w:t>
            </w:r>
          </w:p>
          <w:p w14:paraId="7868802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表面应密实、线条清晰，拉毛纹理应顺直、方向一致、深浅一致</w:t>
            </w:r>
          </w:p>
          <w:p w14:paraId="1274DB7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孔洞、槽、盒、管道后面的抹灰表面尺寸正确，边缘整齐，表面光滑，管道后面平整。</w:t>
            </w:r>
          </w:p>
          <w:p w14:paraId="05DFEFA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允许偏差：垂直度3mm；平整度3mm；阴阳角顺直3mm；阴阳角方正3mm。</w:t>
            </w:r>
          </w:p>
        </w:tc>
      </w:tr>
      <w:tr w14:paraId="3D2A4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tcBorders>
              <w:top w:val="single" w:color="auto" w:sz="4" w:space="0"/>
              <w:left w:val="single" w:color="auto" w:sz="4" w:space="0"/>
              <w:bottom w:val="single" w:color="auto" w:sz="4" w:space="0"/>
              <w:right w:val="single" w:color="auto" w:sz="4" w:space="0"/>
            </w:tcBorders>
            <w:vAlign w:val="center"/>
          </w:tcPr>
          <w:p w14:paraId="07F4E41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卫生间及生活阳台防水</w:t>
            </w:r>
          </w:p>
        </w:tc>
        <w:tc>
          <w:tcPr>
            <w:tcW w:w="2509" w:type="pct"/>
            <w:tcBorders>
              <w:top w:val="single" w:color="auto" w:sz="4" w:space="0"/>
              <w:left w:val="single" w:color="auto" w:sz="4" w:space="0"/>
              <w:bottom w:val="single" w:color="auto" w:sz="4" w:space="0"/>
              <w:right w:val="single" w:color="auto" w:sz="4" w:space="0"/>
            </w:tcBorders>
            <w:vAlign w:val="center"/>
          </w:tcPr>
          <w:p w14:paraId="13E977F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基层验收合格、表面干燥后开始施工。</w:t>
            </w:r>
          </w:p>
          <w:p w14:paraId="58B601F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先在立管、烟道根部做砼保护墩，然后大面积施工。</w:t>
            </w:r>
          </w:p>
          <w:p w14:paraId="1057087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防水层必须两遍成活。</w:t>
            </w:r>
          </w:p>
          <w:p w14:paraId="69FCB94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施工中应注意成品保护</w:t>
            </w:r>
          </w:p>
          <w:p w14:paraId="3693B4A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泛水高度内不能采用带PVC套管的穿墙螺杆；</w:t>
            </w:r>
          </w:p>
          <w:p w14:paraId="1832A87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当泛水高度范围存在砖砌体时，应先抹灰再做防水。</w:t>
            </w:r>
          </w:p>
        </w:tc>
        <w:tc>
          <w:tcPr>
            <w:tcW w:w="2127" w:type="pct"/>
            <w:tcBorders>
              <w:top w:val="single" w:color="auto" w:sz="4" w:space="0"/>
              <w:left w:val="single" w:color="auto" w:sz="4" w:space="0"/>
              <w:bottom w:val="single" w:color="auto" w:sz="4" w:space="0"/>
              <w:right w:val="single" w:color="auto" w:sz="4" w:space="0"/>
            </w:tcBorders>
            <w:vAlign w:val="center"/>
          </w:tcPr>
          <w:p w14:paraId="32D4686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泛水高度从50线向下25cm并保证上口平直（允许偏差5mm）。</w:t>
            </w:r>
          </w:p>
          <w:p w14:paraId="4B65BCE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xml:space="preserve">防水层厚度：卫生间、生活阳台均为1.5mm. </w:t>
            </w:r>
          </w:p>
          <w:p w14:paraId="1C8594B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应做两次蓄水试验（防水层完成后一次，防水保护层完成后一次）。</w:t>
            </w:r>
          </w:p>
          <w:p w14:paraId="7EB4119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除泛水外，其他防水层均做保护层。</w:t>
            </w:r>
          </w:p>
        </w:tc>
      </w:tr>
      <w:tr w14:paraId="15574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tcBorders>
              <w:top w:val="single" w:color="auto" w:sz="4" w:space="0"/>
              <w:left w:val="single" w:color="auto" w:sz="4" w:space="0"/>
              <w:bottom w:val="single" w:color="auto" w:sz="4" w:space="0"/>
              <w:right w:val="single" w:color="auto" w:sz="4" w:space="0"/>
            </w:tcBorders>
            <w:vAlign w:val="center"/>
          </w:tcPr>
          <w:p w14:paraId="70329AF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烟道及止回阀</w:t>
            </w:r>
          </w:p>
        </w:tc>
        <w:tc>
          <w:tcPr>
            <w:tcW w:w="2509" w:type="pct"/>
            <w:tcBorders>
              <w:top w:val="single" w:color="auto" w:sz="4" w:space="0"/>
              <w:left w:val="single" w:color="auto" w:sz="4" w:space="0"/>
              <w:bottom w:val="single" w:color="auto" w:sz="4" w:space="0"/>
              <w:right w:val="single" w:color="auto" w:sz="4" w:space="0"/>
            </w:tcBorders>
            <w:vAlign w:val="center"/>
          </w:tcPr>
          <w:p w14:paraId="7C1D4DD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烟道表面和卫生间或厨房墙面做法一致。</w:t>
            </w:r>
          </w:p>
          <w:p w14:paraId="6BB5C7A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等户内其他工序完成后再安装烟道止回阀。</w:t>
            </w:r>
          </w:p>
        </w:tc>
        <w:tc>
          <w:tcPr>
            <w:tcW w:w="2127" w:type="pct"/>
            <w:tcBorders>
              <w:top w:val="single" w:color="auto" w:sz="4" w:space="0"/>
              <w:left w:val="single" w:color="auto" w:sz="4" w:space="0"/>
              <w:bottom w:val="single" w:color="auto" w:sz="4" w:space="0"/>
              <w:right w:val="single" w:color="auto" w:sz="4" w:space="0"/>
            </w:tcBorders>
            <w:vAlign w:val="center"/>
          </w:tcPr>
          <w:p w14:paraId="112E48E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厨房止回阀直径150mm，安装位置，中心距顶板150mm.；卫生间止回阀直径100mm，安装位置，中心距顶板100mm.</w:t>
            </w:r>
          </w:p>
          <w:p w14:paraId="6D5BB12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烟道上下中心线一致，背侧应堵塞密实。</w:t>
            </w:r>
          </w:p>
        </w:tc>
      </w:tr>
      <w:tr w14:paraId="25780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tcBorders>
              <w:top w:val="single" w:color="auto" w:sz="4" w:space="0"/>
              <w:left w:val="single" w:color="auto" w:sz="4" w:space="0"/>
              <w:bottom w:val="single" w:color="auto" w:sz="4" w:space="0"/>
              <w:right w:val="single" w:color="auto" w:sz="4" w:space="0"/>
            </w:tcBorders>
            <w:vAlign w:val="center"/>
          </w:tcPr>
          <w:p w14:paraId="28A7FC8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空调洞</w:t>
            </w:r>
          </w:p>
        </w:tc>
        <w:tc>
          <w:tcPr>
            <w:tcW w:w="2509" w:type="pct"/>
            <w:tcBorders>
              <w:top w:val="single" w:color="auto" w:sz="4" w:space="0"/>
              <w:left w:val="single" w:color="auto" w:sz="4" w:space="0"/>
              <w:bottom w:val="single" w:color="auto" w:sz="4" w:space="0"/>
              <w:right w:val="single" w:color="auto" w:sz="4" w:space="0"/>
            </w:tcBorders>
          </w:tcPr>
          <w:p w14:paraId="1001A7F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1、空调洞应内高外低，内外孔均安装PVC护圈。</w:t>
            </w:r>
          </w:p>
          <w:p w14:paraId="1C69ABD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2、空调洞内侧加套管，长度与成活墙面平齐，防止雨水沿保温层与结构结合部位渗水</w:t>
            </w:r>
          </w:p>
        </w:tc>
        <w:tc>
          <w:tcPr>
            <w:tcW w:w="2127" w:type="pct"/>
            <w:tcBorders>
              <w:top w:val="single" w:color="auto" w:sz="4" w:space="0"/>
              <w:left w:val="single" w:color="auto" w:sz="4" w:space="0"/>
              <w:bottom w:val="single" w:color="auto" w:sz="4" w:space="0"/>
              <w:right w:val="single" w:color="auto" w:sz="4" w:space="0"/>
            </w:tcBorders>
          </w:tcPr>
          <w:p w14:paraId="3C5D939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1、空调洞高度为客厅洞中心距建筑成活地面150mm；卧室及书房洞中心距建筑成活2200mm。空调洞直径：80mm。</w:t>
            </w:r>
          </w:p>
        </w:tc>
      </w:tr>
      <w:tr w14:paraId="6B366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21587A3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外</w:t>
            </w:r>
          </w:p>
          <w:p w14:paraId="31B701F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w:t>
            </w:r>
          </w:p>
          <w:p w14:paraId="76424F8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外</w:t>
            </w:r>
          </w:p>
          <w:p w14:paraId="675A3D5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保</w:t>
            </w:r>
          </w:p>
          <w:p w14:paraId="2356485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温</w:t>
            </w:r>
          </w:p>
        </w:tc>
        <w:tc>
          <w:tcPr>
            <w:tcW w:w="2509" w:type="pct"/>
            <w:vAlign w:val="center"/>
          </w:tcPr>
          <w:p w14:paraId="45BA25A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外墙面上的雨水管卡、预埋件、支架和设备穿墙管道等安装就位，同时预留出保温层厚度</w:t>
            </w:r>
          </w:p>
          <w:p w14:paraId="7BB0CE7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主体质量验收合格</w:t>
            </w:r>
          </w:p>
          <w:p w14:paraId="2531EE1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外墙保温板需待外墙砌体部位防水砂浆抹灰完成后方可进行施工</w:t>
            </w:r>
          </w:p>
          <w:p w14:paraId="1EB8645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4、为增强基层的粘结力，砼墙面刷界面剂一道</w:t>
            </w:r>
          </w:p>
          <w:p w14:paraId="0840981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5、采用点粘法和条粘法，且粘结面积不小于保温板面积的40%，保温板拼缝处不得粘有胶粘剂。</w:t>
            </w:r>
          </w:p>
          <w:p w14:paraId="53233E2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6、应迅速粘贴，防止表面结皮</w:t>
            </w:r>
          </w:p>
          <w:p w14:paraId="770037D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7、保温板应自下而上水平安装，每排板应错缝1/2板长，局部最小错缝不得小于200mm</w:t>
            </w:r>
          </w:p>
          <w:p w14:paraId="3AE7B34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8、门窗洞口、变形缝两侧等处的保温板四周玻纤网翻包，且底部应加贴一块加强网（网宽200，翻包部分宽度为80）</w:t>
            </w:r>
          </w:p>
          <w:p w14:paraId="31DE19D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9、网格布应满挂，水平方向搭接宽度不小于100 mm垂直方向不小于80mm</w:t>
            </w:r>
          </w:p>
          <w:p w14:paraId="372B591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10、在第一遍抗裂砂浆强度达到要求后，开始用锚固件固定，每平米不得少于7个。</w:t>
            </w:r>
          </w:p>
          <w:p w14:paraId="6C2D2C1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11、保温板两面刷界面剂一道，每5层做一钢托架。</w:t>
            </w:r>
          </w:p>
        </w:tc>
        <w:tc>
          <w:tcPr>
            <w:tcW w:w="2127" w:type="pct"/>
            <w:vAlign w:val="center"/>
          </w:tcPr>
          <w:p w14:paraId="135418E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保温板应与基层粘结牢固，无空鼓、松动。面层与保温板粘结牢固，无裂缝、脱落</w:t>
            </w:r>
          </w:p>
          <w:p w14:paraId="1C780B1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玻纤网在窗洞口、阴角及保温板与其他材料接槎部位应压入框底不小于10cm宽。</w:t>
            </w:r>
          </w:p>
          <w:p w14:paraId="34FCDD2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固定件使用前应对长度检查，保证入墙深度50 mm。锚固件间距500mm</w:t>
            </w:r>
          </w:p>
          <w:p w14:paraId="59BA434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允许偏差：垂直度3mm，平整度3mm。阴阳角顺直3mm</w:t>
            </w:r>
          </w:p>
          <w:p w14:paraId="0FCC183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空心砖墙处用自打结锚固螺栓</w:t>
            </w:r>
          </w:p>
          <w:p w14:paraId="7240298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女儿墙收口符合规范要求</w:t>
            </w:r>
          </w:p>
        </w:tc>
      </w:tr>
      <w:tr w14:paraId="633B4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0F66DEA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屋</w:t>
            </w:r>
          </w:p>
          <w:p w14:paraId="6708F74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面</w:t>
            </w:r>
          </w:p>
          <w:p w14:paraId="7D953BE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工</w:t>
            </w:r>
          </w:p>
          <w:p w14:paraId="1FDA348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程</w:t>
            </w:r>
          </w:p>
        </w:tc>
        <w:tc>
          <w:tcPr>
            <w:tcW w:w="2509" w:type="pct"/>
            <w:vAlign w:val="center"/>
          </w:tcPr>
          <w:p w14:paraId="5D41B1A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先对上道工序质量进行验收，烟筒、出屋面立管、落水管等预留洞口二次的吊洞质量符合要求；</w:t>
            </w:r>
          </w:p>
          <w:p w14:paraId="315FCC4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出屋面楼梯间、烟风道、屋面周边填充墙底部、女儿墙底部不低于建筑完成面200mm高的混凝土反坎，反坎范围内不得出现预留套管洞；</w:t>
            </w:r>
          </w:p>
          <w:p w14:paraId="1EEBE60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出屋面、地下室顶板和露台管道必须设刚性防水套管，刚性防水套管高度得高于建筑完成面150mm；</w:t>
            </w:r>
          </w:p>
          <w:p w14:paraId="4AA786F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卷材防水屋面基层与突出屋面结构的交接处，以及基层的转角处均应做成圆弧。</w:t>
            </w:r>
          </w:p>
          <w:p w14:paraId="5C6C162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严格进场材料的质量控制，（SBS改性沥青防水卷材、挤塑聚苯板）</w:t>
            </w:r>
          </w:p>
          <w:p w14:paraId="7563AA9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4、水泥炉渣找坡要求拉通线施工，控制好找坡层的坡度；确定排气孔的位置，按设计要求加工、安装好排气孔；</w:t>
            </w:r>
          </w:p>
          <w:p w14:paraId="1D887D1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5、控制好间隔时间，等找坡层干透后再做找平层；找平层干燥后，刷一道冷底子油，油干后，开始铺卷材；（阴角、烟道、立管、落水管口等根部先做防水附加层一道）泛水高度不低于成活面250mm</w:t>
            </w:r>
          </w:p>
          <w:p w14:paraId="0CB48DC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6、对防水层清扫干净后，从四周开始向中心铺设保温板；保温板铺设要错缝，错缝应顺排水方向；</w:t>
            </w:r>
          </w:p>
          <w:p w14:paraId="653184A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7、隔离层采用干铺沥青卷材，要保证平行于屋脊铺设，搭接80-100㎜；</w:t>
            </w:r>
          </w:p>
          <w:p w14:paraId="6D0B676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xml:space="preserve">8、保护层采用40㎜厚C20细石砼压光，内配双向￠4冷拔钢筋，间距150mm； </w:t>
            </w:r>
          </w:p>
          <w:p w14:paraId="59766B7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9、地砖施工时采用3㎜厚1：1水泥砂浆粘贴；地砖留缝宽为10㎜，最后统一用1：1水泥砂浆勾缝并压光。</w:t>
            </w:r>
          </w:p>
          <w:p w14:paraId="05E225F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10、地漏完成面需低于建筑完成面10-20mm。</w:t>
            </w:r>
          </w:p>
        </w:tc>
        <w:tc>
          <w:tcPr>
            <w:tcW w:w="2127" w:type="pct"/>
            <w:vAlign w:val="center"/>
          </w:tcPr>
          <w:p w14:paraId="0296091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1、子分项工程的实施过程要符合设计要求</w:t>
            </w:r>
          </w:p>
          <w:p w14:paraId="0CF468D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2、铺设防水层前基层必须干净、干燥</w:t>
            </w:r>
          </w:p>
          <w:p w14:paraId="5D9E24A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3、防水材料为2道3mm厚SBS改性沥青防水卷材，搭接80-100㎜，上下不得相互垂直，错缝为半幅卷材的宽度；</w:t>
            </w:r>
          </w:p>
          <w:p w14:paraId="1F3BF07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4、防水卷材施工完成后，先进行外观质量检查，要求粘贴牢固、无空鼓、无翘边；外观质量合格后，进行48小时蓄水实验（合格后，方可进入下道工序施工）</w:t>
            </w:r>
          </w:p>
          <w:p w14:paraId="5F0ABC9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5、保温板应采用水泥砂浆与防水层进行点粘，粘结面积控制在10﹪左右；</w:t>
            </w:r>
          </w:p>
          <w:p w14:paraId="4506FED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6、保护层应按纵横＜6米设置分割缝，缝中钢筋断开，缝宽10㎜，与女儿墙留缝30㎜，缝内用密封材料填实密封；</w:t>
            </w:r>
          </w:p>
          <w:p w14:paraId="6EECA5D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7、女儿墙压顶外高内地；</w:t>
            </w:r>
          </w:p>
          <w:p w14:paraId="712CE0B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8、地砖铺贴无空鼓、无污染、勾缝密实。</w:t>
            </w:r>
          </w:p>
        </w:tc>
      </w:tr>
      <w:tr w14:paraId="7678B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5C133E0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p w14:paraId="737086A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铁</w:t>
            </w:r>
          </w:p>
          <w:p w14:paraId="0041004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艺</w:t>
            </w:r>
          </w:p>
          <w:p w14:paraId="6EEE274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栏</w:t>
            </w:r>
          </w:p>
          <w:p w14:paraId="1CB9F2A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杆</w:t>
            </w:r>
          </w:p>
        </w:tc>
        <w:tc>
          <w:tcPr>
            <w:tcW w:w="2509" w:type="pct"/>
            <w:vAlign w:val="center"/>
          </w:tcPr>
          <w:p w14:paraId="629E981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等窗边找平后再开始安装铁艺栏杆。</w:t>
            </w:r>
          </w:p>
          <w:p w14:paraId="0CB3A8C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栏杆与墙连接点开口尺寸不大于4cm×6cm。</w:t>
            </w:r>
          </w:p>
          <w:p w14:paraId="57A30C7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栏杆扶手上平面比窗的中档固定横框料上平低10㎜；栏杆两侧垂直杆件外皮，离窗侧边抹灰面为40㎜；栏杆下档下平面比窗台高50mm。</w:t>
            </w:r>
          </w:p>
          <w:p w14:paraId="5587F55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临空栏杆高度：多层不小于1050mm，高层不小于1100mm；临空栏杆竖向构件内空尺寸：不大于110mm。</w:t>
            </w:r>
          </w:p>
          <w:p w14:paraId="583C65D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127" w:type="pct"/>
            <w:vAlign w:val="center"/>
          </w:tcPr>
          <w:p w14:paraId="1C431B8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铁艺栏杆安装应牢固，无松动。表面油漆应涂刷均匀、色泽一致，无皱皮和流坠，油漆膜厚度符合要求。</w:t>
            </w:r>
          </w:p>
          <w:p w14:paraId="69A7E06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栏杆两边立杆应与窗洞口边距离一致，偏差不超过3mm.</w:t>
            </w:r>
          </w:p>
          <w:p w14:paraId="79E331F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允许偏差：栏杆垂直度3mm；立杆间距3mm栏杆直线度4mm栏杆高度3mm</w:t>
            </w:r>
          </w:p>
        </w:tc>
      </w:tr>
      <w:tr w14:paraId="6D499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196FD34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铝</w:t>
            </w:r>
          </w:p>
          <w:p w14:paraId="0DA2D2A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合</w:t>
            </w:r>
          </w:p>
          <w:p w14:paraId="546838A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金</w:t>
            </w:r>
          </w:p>
          <w:p w14:paraId="4B710F4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（塑钢）</w:t>
            </w:r>
          </w:p>
          <w:p w14:paraId="6E2F9A0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窗</w:t>
            </w:r>
          </w:p>
        </w:tc>
        <w:tc>
          <w:tcPr>
            <w:tcW w:w="2509" w:type="pct"/>
            <w:vAlign w:val="center"/>
          </w:tcPr>
          <w:p w14:paraId="72BE70D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施工前先与总包办理工作面交接手续。洞口尺寸比框尺寸大25mm，偏差不超过5mm，洞口位置偏差不大于10mm，安装工作面平整。</w:t>
            </w:r>
          </w:p>
          <w:p w14:paraId="520B329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对进场材料进行全面检查：材料是否符合设计及招标文件要求，框表面防护措施是否到位。</w:t>
            </w:r>
          </w:p>
          <w:p w14:paraId="0EC5CDB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施工中注意对隐蔽工程（窗四周的防腐处理、发泡剂）的验收。窗下口不打发泡剂。</w:t>
            </w:r>
          </w:p>
          <w:p w14:paraId="6AE858A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所有缝隙均用密封胶密封。</w:t>
            </w:r>
          </w:p>
          <w:p w14:paraId="1F140BE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成品保护措施到位。</w:t>
            </w:r>
          </w:p>
          <w:p w14:paraId="73948DD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窗框侧边固定件距上口不小于300mm</w:t>
            </w:r>
          </w:p>
          <w:p w14:paraId="740ACF4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防雷连接件按图纸要求施工到位。</w:t>
            </w:r>
          </w:p>
          <w:p w14:paraId="3B26548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所有把手、锁具距地面不高于1800mm</w:t>
            </w:r>
          </w:p>
          <w:p w14:paraId="4EF226F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固定扇横撑不低于1100mm</w:t>
            </w:r>
          </w:p>
        </w:tc>
        <w:tc>
          <w:tcPr>
            <w:tcW w:w="2127" w:type="pct"/>
            <w:vAlign w:val="center"/>
          </w:tcPr>
          <w:p w14:paraId="4DCE858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窗表面及下滑槽清理干净，玻璃、铝合金框表面无划伤，变形。外口采用硅酮耐候密封胶宽度不小于10mm并饱满顺直。</w:t>
            </w:r>
          </w:p>
          <w:p w14:paraId="6599185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玻璃固定胶条安装牢固、顺直，转角处拼接严密。玻璃胶连续、饱满、顺直。毛条安装完好，无脱槽。</w:t>
            </w:r>
          </w:p>
          <w:p w14:paraId="73DD9F0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允许偏差：门窗槽口宽度高度允许偏差±1.5mm；门窗槽口对边尺寸之差2mm；门窗槽口对角线之差2mm；门窗框垂直度2mm；门窗框的水平度1.5mm；门窗框扇搭接宽度差±1；门窗开启力小于60N；窗横框标高允许偏差小于5mm；门窗竖向偏离中心允许偏差小于5mm；</w:t>
            </w:r>
          </w:p>
        </w:tc>
      </w:tr>
      <w:tr w14:paraId="76D87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3D8F8A6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入</w:t>
            </w:r>
          </w:p>
          <w:p w14:paraId="657A3E5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户</w:t>
            </w:r>
          </w:p>
          <w:p w14:paraId="5C6160C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门</w:t>
            </w:r>
          </w:p>
        </w:tc>
        <w:tc>
          <w:tcPr>
            <w:tcW w:w="2509" w:type="pct"/>
            <w:vAlign w:val="center"/>
          </w:tcPr>
          <w:p w14:paraId="140ECBA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施工前先与总包办理工作面交接手续。洞口尺寸比框尺寸周边均大25mm，偏差不超过5mm，洞口位置偏差不大于10mm，安装工作面平整。</w:t>
            </w:r>
          </w:p>
          <w:p w14:paraId="66ECCB5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注意成品保护，门框及门扇表面应粘贴保护模。</w:t>
            </w:r>
          </w:p>
          <w:p w14:paraId="33F87FA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框洞塞实，抹灰吃框5mm</w:t>
            </w:r>
          </w:p>
        </w:tc>
        <w:tc>
          <w:tcPr>
            <w:tcW w:w="2127" w:type="pct"/>
            <w:vAlign w:val="center"/>
          </w:tcPr>
          <w:p w14:paraId="367421D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1、入户门表面无划痕、磕碰，开启灵活。工艺孔洞堵塞严实。</w:t>
            </w:r>
          </w:p>
          <w:p w14:paraId="4FD946C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2、允许偏差：槽口宽度、高度3.5mm；槽口对角线长度差6mm；框的正、侧面垂直度3mm；横框水平度3mm；横框标高5mm门框竖向偏离中心4mm。</w:t>
            </w:r>
          </w:p>
        </w:tc>
      </w:tr>
      <w:tr w14:paraId="40B9A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306E304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w:t>
            </w:r>
          </w:p>
          <w:p w14:paraId="47AEEDF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梯</w:t>
            </w:r>
          </w:p>
          <w:p w14:paraId="1DE1155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间</w:t>
            </w:r>
          </w:p>
          <w:p w14:paraId="7C45A01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吊</w:t>
            </w:r>
          </w:p>
          <w:p w14:paraId="4C2ECE5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顶</w:t>
            </w:r>
          </w:p>
        </w:tc>
        <w:tc>
          <w:tcPr>
            <w:tcW w:w="2509" w:type="pct"/>
            <w:vAlign w:val="center"/>
          </w:tcPr>
          <w:p w14:paraId="2F63ABF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先对进场材料的种类、规格进行验收（电梯间墙面验收合格）。</w:t>
            </w:r>
          </w:p>
          <w:p w14:paraId="795DF9F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轻钢龙骨安装位置正确、牢固。</w:t>
            </w:r>
          </w:p>
          <w:p w14:paraId="16FD2D9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施工前先复核50cm线。</w:t>
            </w:r>
          </w:p>
          <w:p w14:paraId="591EC16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板面外露螺帽顶做防锈处理</w:t>
            </w:r>
          </w:p>
          <w:p w14:paraId="16C00CD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吊杆为镀锌螺杆</w:t>
            </w:r>
          </w:p>
        </w:tc>
        <w:tc>
          <w:tcPr>
            <w:tcW w:w="2127" w:type="pct"/>
            <w:vAlign w:val="center"/>
          </w:tcPr>
          <w:p w14:paraId="00762D5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罩面板无脱层、翘曲、折裂、缺棱掉角等缺陷，安装牢固，无松动；</w:t>
            </w:r>
          </w:p>
          <w:p w14:paraId="091DD98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所有拼缝用嵌缝纸带盖缝；</w:t>
            </w:r>
          </w:p>
          <w:p w14:paraId="376B3EA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罩面板表面允许偏差：表面平整度2mm；接缝平直3mm；接缝高低1mm；顶棚四周水平±5mm；阴角槽平直3mm。</w:t>
            </w:r>
          </w:p>
        </w:tc>
      </w:tr>
      <w:tr w14:paraId="21939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7B7D6B0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电梯门套及石材墙面铺贴</w:t>
            </w:r>
          </w:p>
        </w:tc>
        <w:tc>
          <w:tcPr>
            <w:tcW w:w="2509" w:type="pct"/>
            <w:vAlign w:val="center"/>
          </w:tcPr>
          <w:p w14:paraId="2E723AF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铺贴前先对基层进行验收，不符合要求的要进行处理。</w:t>
            </w:r>
          </w:p>
          <w:p w14:paraId="3BE9516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石材的品种、颜色、规格应符合要求。</w:t>
            </w:r>
          </w:p>
          <w:p w14:paraId="1BF5141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电梯门框背侧封堵严实。</w:t>
            </w:r>
          </w:p>
          <w:p w14:paraId="09338D5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框与石材拼缝处用胶嵌缝。</w:t>
            </w:r>
          </w:p>
        </w:tc>
        <w:tc>
          <w:tcPr>
            <w:tcW w:w="2127" w:type="pct"/>
            <w:vAlign w:val="center"/>
          </w:tcPr>
          <w:p w14:paraId="3836B10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石材色泽一致，粘贴牢固，阴阳角顺直</w:t>
            </w:r>
          </w:p>
          <w:p w14:paraId="64E890B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允许偏差：垂直度2mm；平整度2mm；石材吃电梯门框不超过1cm。</w:t>
            </w:r>
          </w:p>
        </w:tc>
      </w:tr>
      <w:tr w14:paraId="5AC89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5FB6414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p w14:paraId="316A008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电梯间楼梯间墙面乳胶漆</w:t>
            </w:r>
          </w:p>
        </w:tc>
        <w:tc>
          <w:tcPr>
            <w:tcW w:w="2509" w:type="pct"/>
            <w:vAlign w:val="center"/>
          </w:tcPr>
          <w:p w14:paraId="6C5A0B1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1、刮腻子前先对基层进行验收合格，等基层干透后再开始刮腻子。</w:t>
            </w:r>
          </w:p>
          <w:p w14:paraId="2248BF5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（刮腻子前，砼墙和砖墙接茬处用嵌缝纸带盖缝到位）</w:t>
            </w:r>
          </w:p>
          <w:p w14:paraId="73A8CA8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2、先补平基层凹凸不平，及阴阳角处，干透后用砂纸磨平然后在大面积刮腻子，至少两遍成活</w:t>
            </w:r>
          </w:p>
          <w:p w14:paraId="233B730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3、乳胶漆分三遍成活（交工时先刷两遍）。</w:t>
            </w:r>
          </w:p>
        </w:tc>
        <w:tc>
          <w:tcPr>
            <w:tcW w:w="2127" w:type="pct"/>
          </w:tcPr>
          <w:p w14:paraId="7264ACB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墙面乳胶漆颜色一致，无明显刷纹。</w:t>
            </w:r>
          </w:p>
          <w:p w14:paraId="43BBB05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开关面板、窗洞口周围应收平，收光滑，无瞎缝。</w:t>
            </w:r>
          </w:p>
          <w:p w14:paraId="6E604D2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无脱皮、漏刷和透底及明显接槎</w:t>
            </w:r>
          </w:p>
          <w:p w14:paraId="5AF6B7D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光亮和光滑均匀一致。</w:t>
            </w:r>
          </w:p>
          <w:p w14:paraId="73B1B85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允许偏差：垂直度2mm，平整度2mm阴阳角方正2mm,阴阳角垂直2mm。</w:t>
            </w:r>
          </w:p>
        </w:tc>
      </w:tr>
      <w:tr w14:paraId="38F20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5D178D5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电梯间地板砖</w:t>
            </w:r>
          </w:p>
        </w:tc>
        <w:tc>
          <w:tcPr>
            <w:tcW w:w="2509" w:type="pct"/>
            <w:vAlign w:val="center"/>
          </w:tcPr>
          <w:p w14:paraId="0C143D7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铺贴前先对电梯门、入户门标高及基层结构标高做检查验收，高出部分要剔掉。</w:t>
            </w:r>
          </w:p>
          <w:p w14:paraId="7FE56EA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先排砖放线，再根据放线位置铺贴，施工时必须在基层先刷一道素浆。</w:t>
            </w:r>
          </w:p>
          <w:p w14:paraId="5B22FA1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电梯门下槛应高出地面5mm</w:t>
            </w:r>
          </w:p>
        </w:tc>
        <w:tc>
          <w:tcPr>
            <w:tcW w:w="2127" w:type="pct"/>
          </w:tcPr>
          <w:p w14:paraId="2F88D43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1、地板砖应洁净、色泽一致，无空鼓。</w:t>
            </w:r>
          </w:p>
          <w:p w14:paraId="3166EEF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2、电梯门口无倒坡，错台。</w:t>
            </w:r>
          </w:p>
          <w:p w14:paraId="67F32A2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3、允许偏差：平整度2mm；接缝直线度2mm；接缝宽度1mm；接缝高低差0.5mm；踢脚上口直线度2mm。</w:t>
            </w:r>
          </w:p>
        </w:tc>
      </w:tr>
      <w:tr w14:paraId="54D76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36B78E1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楼梯间踏步水泥压光</w:t>
            </w:r>
          </w:p>
        </w:tc>
        <w:tc>
          <w:tcPr>
            <w:tcW w:w="2509" w:type="pct"/>
            <w:vAlign w:val="center"/>
          </w:tcPr>
          <w:p w14:paraId="5A731D0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先放线，对基层做验收，高出部分要剔掉。</w:t>
            </w:r>
          </w:p>
          <w:p w14:paraId="5D70597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施工时在基层表面先刷一道素浆，再做找平层。</w:t>
            </w:r>
          </w:p>
          <w:p w14:paraId="6096079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127" w:type="pct"/>
          </w:tcPr>
          <w:p w14:paraId="6F54FE7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水泥压光、色泽一致。</w:t>
            </w:r>
          </w:p>
          <w:p w14:paraId="3F2F273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各踏步宽度、高度尺寸统一</w:t>
            </w:r>
          </w:p>
          <w:p w14:paraId="0D1759C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踏步上表面水平，无抬头、低头现象。</w:t>
            </w:r>
          </w:p>
          <w:p w14:paraId="43A0D1D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楼梯扶手拼缝严密、焊点饱满、打磨光滑、色泽一致</w:t>
            </w:r>
          </w:p>
          <w:p w14:paraId="411F6B7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防火门企口下槛应高出地面5mm</w:t>
            </w:r>
          </w:p>
        </w:tc>
      </w:tr>
      <w:tr w14:paraId="21A65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1E2F51B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楼层及门牌标识</w:t>
            </w:r>
          </w:p>
        </w:tc>
        <w:tc>
          <w:tcPr>
            <w:tcW w:w="2509" w:type="pct"/>
            <w:vAlign w:val="center"/>
          </w:tcPr>
          <w:p w14:paraId="5113340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室内及公共部分装修全部完成后再安装楼层及门牌标识</w:t>
            </w:r>
          </w:p>
        </w:tc>
        <w:tc>
          <w:tcPr>
            <w:tcW w:w="2127" w:type="pct"/>
            <w:vAlign w:val="center"/>
          </w:tcPr>
          <w:p w14:paraId="68F2945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门牌标识应安装牢固位置正确，横平竖直。</w:t>
            </w:r>
          </w:p>
        </w:tc>
      </w:tr>
      <w:tr w14:paraId="64DB0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031BEFB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排</w:t>
            </w:r>
          </w:p>
          <w:p w14:paraId="4D2A2FD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水</w:t>
            </w:r>
          </w:p>
          <w:p w14:paraId="361CC8C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w:t>
            </w:r>
          </w:p>
          <w:p w14:paraId="2A150D0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道</w:t>
            </w:r>
          </w:p>
          <w:p w14:paraId="1D2F1AD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509" w:type="pct"/>
          </w:tcPr>
          <w:p w14:paraId="1AA207B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1、材料进厂需查验出厂合格证、检测报告、品种及外观、包装状况。</w:t>
            </w:r>
          </w:p>
          <w:p w14:paraId="5DE15DE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2、过楼板管道孔洞需预留，洞口大于管道2个级别，二次开孔洞需机械开孔。</w:t>
            </w:r>
          </w:p>
          <w:p w14:paraId="47A76CD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3、管道安装竖直，立管安装需吊线，水平管安装符合坡度要求。</w:t>
            </w:r>
          </w:p>
          <w:p w14:paraId="176D6CE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4、注意成品保护，安装时不要拆除保护膜，安装完毕后将裸露部分包裹，避免污染。</w:t>
            </w:r>
          </w:p>
          <w:p w14:paraId="49B9846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5、除同层排水外，穿楼板管道安装钢套管。</w:t>
            </w:r>
          </w:p>
          <w:p w14:paraId="03E1124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6、HDEP管道热熔接口需保证管径同心、翻边热熔均匀。</w:t>
            </w:r>
          </w:p>
        </w:tc>
        <w:tc>
          <w:tcPr>
            <w:tcW w:w="2127" w:type="pct"/>
            <w:vAlign w:val="center"/>
          </w:tcPr>
          <w:p w14:paraId="10B7428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1、安装坡度DN50   25‰   DN75  15‰</w:t>
            </w:r>
          </w:p>
          <w:p w14:paraId="508DCA3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DN110  12‰  DN125  10‰  DN160  7‰2、垂直偏差小于2mm。</w:t>
            </w:r>
          </w:p>
          <w:p w14:paraId="1D044B8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3、伸缩节每层安装一个,具体位置按规范安装。阻火圈每层安装一个在套管密封严实及土建刮白后安装，牢固平整。</w:t>
            </w:r>
          </w:p>
          <w:p w14:paraId="325D3A5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4、立管支架每层二个，上下均分。吊卡安装横管DN50不大于500mm，DN75不大于700mm，DN110不大于1M。伸缩节部位增加一个卡子。</w:t>
            </w:r>
          </w:p>
          <w:p w14:paraId="2323B74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5、地漏安装高度按50线下返54CM安装。</w:t>
            </w:r>
          </w:p>
          <w:p w14:paraId="2DCE8FD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6、除同层排水外，厨卫间套管高度高出成活地面5CM，室内2CM，套管与管道之间间隙必须用阻燃密实材料密实，且管道接口不得设有接头；套管防腐处理到位。</w:t>
            </w:r>
          </w:p>
          <w:p w14:paraId="56DD64E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7、卫生间排水管道末端做水泥支墩（砂包裹管道）其它支管道每500 mm设水泥支墩</w:t>
            </w:r>
          </w:p>
        </w:tc>
      </w:tr>
      <w:tr w14:paraId="51AAE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6B617D7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给</w:t>
            </w:r>
          </w:p>
          <w:p w14:paraId="214F33E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水</w:t>
            </w:r>
          </w:p>
          <w:p w14:paraId="602F08E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w:t>
            </w:r>
          </w:p>
          <w:p w14:paraId="20C09E2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道</w:t>
            </w:r>
          </w:p>
        </w:tc>
        <w:tc>
          <w:tcPr>
            <w:tcW w:w="2509" w:type="pct"/>
          </w:tcPr>
          <w:p w14:paraId="75FF45F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材料进厂需仔细查验出厂合格证、检测报告、原料级别及牌号、外观、外径及壁厚、生产日期、包装状况。</w:t>
            </w:r>
          </w:p>
          <w:p w14:paraId="6D26E0D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管道连接前需用洁净棉布擦净管口，连接时保证管道同心热熔。</w:t>
            </w:r>
          </w:p>
          <w:p w14:paraId="2FEF4A8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管道弯曲部分不得出现硬折弯现象，曲率半径不小于管道外径的8倍。</w:t>
            </w:r>
          </w:p>
          <w:p w14:paraId="5184ACE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地埋管沿沟槽敷设，不得有起伏；管道交叉处需剔除砼保护层敷设，不得用管件绕过；同向布置的多条管线应平行布置，管道间距不小于50mm。</w:t>
            </w:r>
          </w:p>
          <w:p w14:paraId="517AB75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热熔管道连接需用专用工具，严禁明火加热，严格控制热熔时间，严禁热熔缩颈。要求采用同种牌号、级别、压力等级相同管材、管件连接。</w:t>
            </w:r>
          </w:p>
          <w:p w14:paraId="64A2ED7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地埋管每隔800mm设固定管卡，安装牢固，弯曲处增设2个管卡。</w:t>
            </w:r>
          </w:p>
        </w:tc>
        <w:tc>
          <w:tcPr>
            <w:tcW w:w="2127" w:type="pct"/>
          </w:tcPr>
          <w:p w14:paraId="0B3C30E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1、明装取水点管道需垂直，偏差不大于1mm（2≯8）。（每米偏差不大于2 mm，每5米偏差不大于8 mm）</w:t>
            </w:r>
          </w:p>
          <w:p w14:paraId="698CD7F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p w14:paraId="5AE8C30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2、取水点设铜质截止阀，口朝上，高度距成活面300 mm；卡子距成活地面250mm。</w:t>
            </w:r>
          </w:p>
          <w:p w14:paraId="08056F2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3、管道安装后需进行压力试验，合格后带压隐蔽。</w:t>
            </w:r>
          </w:p>
          <w:p w14:paraId="2BE0820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4、竖直冷热水立管按照左热右冷排列。</w:t>
            </w:r>
          </w:p>
          <w:p w14:paraId="51BB181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11BF0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tcBorders>
              <w:top w:val="single" w:color="auto" w:sz="4" w:space="0"/>
              <w:left w:val="single" w:color="auto" w:sz="4" w:space="0"/>
              <w:bottom w:val="single" w:color="auto" w:sz="4" w:space="0"/>
              <w:right w:val="single" w:color="auto" w:sz="4" w:space="0"/>
            </w:tcBorders>
            <w:vAlign w:val="center"/>
          </w:tcPr>
          <w:p w14:paraId="70D587A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w:t>
            </w:r>
          </w:p>
          <w:p w14:paraId="35CC9AF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道</w:t>
            </w:r>
          </w:p>
          <w:p w14:paraId="7BF1477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井</w:t>
            </w:r>
          </w:p>
          <w:p w14:paraId="4C8ECD2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安</w:t>
            </w:r>
          </w:p>
          <w:p w14:paraId="20B8704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装</w:t>
            </w:r>
          </w:p>
        </w:tc>
        <w:tc>
          <w:tcPr>
            <w:tcW w:w="2509" w:type="pct"/>
            <w:tcBorders>
              <w:top w:val="single" w:color="auto" w:sz="4" w:space="0"/>
              <w:left w:val="single" w:color="auto" w:sz="4" w:space="0"/>
              <w:bottom w:val="single" w:color="auto" w:sz="4" w:space="0"/>
              <w:right w:val="single" w:color="auto" w:sz="4" w:space="0"/>
            </w:tcBorders>
          </w:tcPr>
          <w:p w14:paraId="1A476B2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管道井立管布置须报专项方案。</w:t>
            </w:r>
          </w:p>
          <w:p w14:paraId="6622107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立管施工前，管井墙面压光到位。</w:t>
            </w:r>
          </w:p>
          <w:p w14:paraId="50E012E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型钢支架安装牢固，打孔用机械钻孔，严禁电气焊开孔。</w:t>
            </w:r>
          </w:p>
          <w:p w14:paraId="4F64DC5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立管间距合理，且满足保温要求，高低区尽量分开布置，满足支管、表阀安装。</w:t>
            </w:r>
          </w:p>
          <w:p w14:paraId="043C028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表阀安装便于检修且安装牢固</w:t>
            </w:r>
          </w:p>
          <w:p w14:paraId="161E022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管井地埋管不宜交叉敷设，严禁裸露地面。</w:t>
            </w:r>
          </w:p>
          <w:p w14:paraId="5B4C3B0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xml:space="preserve">立管焊接口达到规范要求，卡箍连接不得扭曲，机械三通位置与卡箍距离不得少于300㎜ </w:t>
            </w:r>
          </w:p>
          <w:p w14:paraId="32BB049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管井所有立管标识明确。</w:t>
            </w:r>
          </w:p>
        </w:tc>
        <w:tc>
          <w:tcPr>
            <w:tcW w:w="2127" w:type="pct"/>
            <w:tcBorders>
              <w:top w:val="single" w:color="auto" w:sz="4" w:space="0"/>
              <w:left w:val="single" w:color="auto" w:sz="4" w:space="0"/>
              <w:bottom w:val="single" w:color="auto" w:sz="4" w:space="0"/>
              <w:right w:val="single" w:color="auto" w:sz="4" w:space="0"/>
            </w:tcBorders>
          </w:tcPr>
          <w:p w14:paraId="03D26F4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管道垂直度允许偏差不大于2mm</w:t>
            </w:r>
          </w:p>
          <w:p w14:paraId="1C37648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管道支架应选择型钢制作，不允许用小规格代替，焊缝平整牢固、</w:t>
            </w:r>
          </w:p>
          <w:p w14:paraId="32E9DC5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管道及支架除锈、防腐到位，符合要求</w:t>
            </w:r>
          </w:p>
          <w:p w14:paraId="2005FE3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管井立管套管高出成活地面50㎜，与立管间隙用油麻填塞，且做防腐</w:t>
            </w:r>
          </w:p>
          <w:p w14:paraId="331CC81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阀门操作开启灵活，</w:t>
            </w:r>
          </w:p>
          <w:p w14:paraId="1E44F17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管道井立管布置符合样板评审标准要求。</w:t>
            </w:r>
          </w:p>
          <w:p w14:paraId="732BB0B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35A0A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37A1393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w:t>
            </w:r>
          </w:p>
          <w:p w14:paraId="55CFD3C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气</w:t>
            </w:r>
          </w:p>
          <w:p w14:paraId="500BF41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穿</w:t>
            </w:r>
          </w:p>
          <w:p w14:paraId="08FF85D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线</w:t>
            </w:r>
          </w:p>
        </w:tc>
        <w:tc>
          <w:tcPr>
            <w:tcW w:w="2509" w:type="pct"/>
          </w:tcPr>
          <w:p w14:paraId="4D23F59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1、穿线前应清除管内杂物和积水。</w:t>
            </w:r>
          </w:p>
          <w:p w14:paraId="508F8B0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2、各管口应有保护措施（护圈或护口）。</w:t>
            </w:r>
          </w:p>
          <w:p w14:paraId="0196740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3、强电、有线电视、网络电话、对讲各系统应分管敷设，不许共管敷设。</w:t>
            </w:r>
          </w:p>
          <w:p w14:paraId="653F858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4、管内严禁有接头。5、进箱处留一定的余量，在开关、插座进桩头为一头一线，不准串接；多股线并头搪锡。</w:t>
            </w:r>
          </w:p>
        </w:tc>
        <w:tc>
          <w:tcPr>
            <w:tcW w:w="2127" w:type="pct"/>
          </w:tcPr>
          <w:p w14:paraId="1A9411C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1、电线绝缘层颜色应一致，相线为红色（或绿、黄色）、零线为淡蓝色、PE线为黄绿双色。</w:t>
            </w:r>
          </w:p>
          <w:p w14:paraId="2A885A9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2、线径符合设计要求。</w:t>
            </w:r>
          </w:p>
          <w:p w14:paraId="69A1F51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3、绝缘电阻测试合格。</w:t>
            </w:r>
          </w:p>
          <w:p w14:paraId="0607AA7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4、吊顶区域电线必须加装金属软管，且长度不大于1米。</w:t>
            </w:r>
          </w:p>
        </w:tc>
      </w:tr>
      <w:tr w14:paraId="36556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6006B52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开</w:t>
            </w:r>
          </w:p>
          <w:p w14:paraId="1F97885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关</w:t>
            </w:r>
          </w:p>
          <w:p w14:paraId="750D2D8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面</w:t>
            </w:r>
          </w:p>
          <w:p w14:paraId="2A38494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板</w:t>
            </w:r>
          </w:p>
          <w:p w14:paraId="0E9475A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安</w:t>
            </w:r>
          </w:p>
          <w:p w14:paraId="35876A8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装</w:t>
            </w:r>
          </w:p>
        </w:tc>
        <w:tc>
          <w:tcPr>
            <w:tcW w:w="2509" w:type="pct"/>
          </w:tcPr>
          <w:p w14:paraId="5535B84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1、线盒深度超过30 mm，要求增加套盒；线盒防腐完好。</w:t>
            </w:r>
          </w:p>
          <w:p w14:paraId="65525F1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2、墙面、顶棚的腻子应基本完成，盒口方正、收口到位。</w:t>
            </w:r>
          </w:p>
          <w:p w14:paraId="04A6BE1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3、线路已进行绝缘测试、并为合格。</w:t>
            </w:r>
          </w:p>
          <w:p w14:paraId="363DE8E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4、开关、插座的规格、型号符合图纸设计要求，验收合格。</w:t>
            </w:r>
          </w:p>
        </w:tc>
        <w:tc>
          <w:tcPr>
            <w:tcW w:w="2127" w:type="pct"/>
          </w:tcPr>
          <w:p w14:paraId="29409B9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1、开关安装位置正确，距门边150~200mm，接线牢靠，开关控制相线，通断位置正确一致（向下为开）、通断灵活。</w:t>
            </w:r>
          </w:p>
          <w:p w14:paraId="10F55E7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2、插座安装位置正确，相序正确，PE线应可靠连接、不允许串联连接（如熔焊连接）。</w:t>
            </w:r>
          </w:p>
          <w:p w14:paraId="19C255B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3、开关、插座标高符合设计标高，同一室内安装偏差小于5mm，并列安装偏差小于1mm（面板大小不一的以中心线对齐）。</w:t>
            </w:r>
          </w:p>
          <w:p w14:paraId="79D563E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4、开关、插座面板紧贴墙面、安装牢固，四周无缝隙，表面光滑整洁、无划痕、无污染；防溅盒、装饰板等配件完好。</w:t>
            </w:r>
          </w:p>
          <w:p w14:paraId="4AE01D6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5、强、弱电插座距天然气、暖气管道间距不小于300 mm.。</w:t>
            </w:r>
          </w:p>
        </w:tc>
      </w:tr>
      <w:tr w14:paraId="2FF94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0C7C95F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配</w:t>
            </w:r>
          </w:p>
          <w:p w14:paraId="60B2205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w:t>
            </w:r>
          </w:p>
          <w:p w14:paraId="203979A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箱</w:t>
            </w:r>
          </w:p>
          <w:p w14:paraId="11B9362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体</w:t>
            </w:r>
          </w:p>
          <w:p w14:paraId="1D98DEC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安</w:t>
            </w:r>
          </w:p>
          <w:p w14:paraId="24B8686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装</w:t>
            </w:r>
          </w:p>
        </w:tc>
        <w:tc>
          <w:tcPr>
            <w:tcW w:w="2509" w:type="pct"/>
            <w:vAlign w:val="center"/>
          </w:tcPr>
          <w:p w14:paraId="0FADF26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1、箱内元器件符合图纸设计及招标要求。</w:t>
            </w:r>
          </w:p>
          <w:p w14:paraId="63CB468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2、线在箱柜内绑扎整齐，排列横平竖直、合理美观，搭头处无裸露、紧实无松动。</w:t>
            </w:r>
          </w:p>
          <w:p w14:paraId="6C08DCD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3、箱内杂物、灰尘清理干净</w:t>
            </w:r>
          </w:p>
          <w:p w14:paraId="44CEA5B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4、箱体安装横平竖直，牢固不晃。</w:t>
            </w:r>
          </w:p>
        </w:tc>
        <w:tc>
          <w:tcPr>
            <w:tcW w:w="2127" w:type="pct"/>
            <w:vAlign w:val="center"/>
          </w:tcPr>
          <w:p w14:paraId="7BBB183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1、箱内元器件完好、齐全，开关动作灵活可靠。</w:t>
            </w:r>
          </w:p>
          <w:p w14:paraId="6DE4FC8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2、箱内配线整齐，导线连接紧密，不伤芯线，回路名称（编号）齐全、正确。</w:t>
            </w:r>
          </w:p>
          <w:p w14:paraId="2DD555E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3、箱盖紧贴墙面，四周无缝隙，箱面漆层完好、整洁。</w:t>
            </w:r>
          </w:p>
          <w:p w14:paraId="78F9450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4、箱门开启灵活。</w:t>
            </w:r>
          </w:p>
          <w:p w14:paraId="3845395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5、电表箱插卡方便。</w:t>
            </w:r>
          </w:p>
          <w:p w14:paraId="17458B7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6、水平偏差小于1mm。</w:t>
            </w:r>
          </w:p>
        </w:tc>
      </w:tr>
      <w:tr w14:paraId="4C606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62" w:type="pct"/>
            <w:vAlign w:val="center"/>
          </w:tcPr>
          <w:p w14:paraId="3D4BCC0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p w14:paraId="4EC4716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p w14:paraId="7B360E5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强</w:t>
            </w:r>
          </w:p>
          <w:p w14:paraId="0BA6852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弱</w:t>
            </w:r>
          </w:p>
          <w:p w14:paraId="1569004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w:t>
            </w:r>
          </w:p>
          <w:p w14:paraId="1F2884B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井</w:t>
            </w:r>
          </w:p>
          <w:p w14:paraId="6B8EFA0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安</w:t>
            </w:r>
          </w:p>
          <w:p w14:paraId="0B57295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装</w:t>
            </w:r>
          </w:p>
        </w:tc>
        <w:tc>
          <w:tcPr>
            <w:tcW w:w="2509" w:type="pct"/>
            <w:vAlign w:val="center"/>
          </w:tcPr>
          <w:p w14:paraId="31F2140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强弱电井内土建施工和防火门安装完毕，方可对强弱电井进行安装；</w:t>
            </w:r>
          </w:p>
          <w:p w14:paraId="5C677DD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桥架支架安装按照施工规范及设计要求安装，桥架安装要求整齐划一、固定牢固，不得有焊接及破坏防护层的现象，电缆敷设完毕，要求清理干净；</w:t>
            </w:r>
          </w:p>
          <w:p w14:paraId="33325BD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电缆敷设严禁有绞拧、护层断裂和表面划伤，剥切电缆时不得伤及电缆的非剥切部分，以免造成漏电伤害；</w:t>
            </w:r>
          </w:p>
          <w:p w14:paraId="4A62EE9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xml:space="preserve">按照电气施工规范，在捆扎电缆时，要求考虑一定的余量； </w:t>
            </w:r>
          </w:p>
          <w:p w14:paraId="76E7C1E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电缆井内桥架（强、弱）、配电箱、电信配电柜等，统筹考虑合理布置；</w:t>
            </w:r>
          </w:p>
          <w:p w14:paraId="4960398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从弱电井到桥架的强电、有线电视、网络、对讲，必须用金属软管连接，并在护口处做防护处理，金属管的安装，要求整齐划一、用抱卡固定，弱电各个系统在桥架的出线口应一致；</w:t>
            </w:r>
          </w:p>
          <w:p w14:paraId="33E0814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有线的分支器、对讲的视频分配器，要求安装在设备箱内；</w:t>
            </w:r>
          </w:p>
          <w:p w14:paraId="36F8285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电缆敷设完毕，土建对于桥架预留洞吊洞完毕，按照图集做好防火封堵。</w:t>
            </w:r>
          </w:p>
        </w:tc>
        <w:tc>
          <w:tcPr>
            <w:tcW w:w="2127" w:type="pct"/>
          </w:tcPr>
          <w:p w14:paraId="0215D04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p w14:paraId="6DB07D5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金属电缆桥架及其支架全长不少于2处与接地干线连接，非镀锌电缆桥架间连接板的两端跨接铜芯接地线，接地线最小允许截面积不小于4mm2；</w:t>
            </w:r>
          </w:p>
          <w:p w14:paraId="2D3B204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聚氯乙烯绝缘电力电缆和交联聚氯乙烯绝缘电力电缆，在电缆桥架内的最小弯曲半径为10D，15D，电缆垂直敷设捆绑间距为1500mm；</w:t>
            </w:r>
          </w:p>
          <w:p w14:paraId="509777A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强弱电竖井内的强电桥架和弱电桥架，按照施工规范，考虑适当的安全距离、合理布置；电缆的始端、终端及转弯处应做好标识。</w:t>
            </w:r>
          </w:p>
        </w:tc>
      </w:tr>
    </w:tbl>
    <w:p w14:paraId="03E614A0">
      <w:pPr>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6.4</w:t>
      </w:r>
      <w:bookmarkStart w:id="747" w:name="_Toc501705074"/>
      <w:r>
        <w:rPr>
          <w:rFonts w:hint="eastAsia" w:asciiTheme="minorEastAsia" w:hAnsiTheme="minorEastAsia" w:eastAsiaTheme="minorEastAsia"/>
          <w:color w:val="auto"/>
          <w:highlight w:val="none"/>
        </w:rPr>
        <w:t>样板评审记录表</w:t>
      </w:r>
    </w:p>
    <w:tbl>
      <w:tblPr>
        <w:tblStyle w:val="56"/>
        <w:tblW w:w="97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2"/>
        <w:gridCol w:w="4110"/>
        <w:gridCol w:w="4914"/>
      </w:tblGrid>
      <w:tr w14:paraId="599AB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5938470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序号</w:t>
            </w:r>
          </w:p>
        </w:tc>
        <w:tc>
          <w:tcPr>
            <w:tcW w:w="4110" w:type="dxa"/>
            <w:vAlign w:val="center"/>
          </w:tcPr>
          <w:p w14:paraId="6E4926B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样板名称</w:t>
            </w:r>
          </w:p>
        </w:tc>
        <w:tc>
          <w:tcPr>
            <w:tcW w:w="4914" w:type="dxa"/>
            <w:vAlign w:val="center"/>
          </w:tcPr>
          <w:p w14:paraId="27C5275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样板评审记录表</w:t>
            </w:r>
          </w:p>
        </w:tc>
      </w:tr>
      <w:tr w14:paraId="02207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39E7883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w:t>
            </w:r>
          </w:p>
        </w:tc>
        <w:tc>
          <w:tcPr>
            <w:tcW w:w="4110" w:type="dxa"/>
            <w:vAlign w:val="center"/>
          </w:tcPr>
          <w:p w14:paraId="6563FB0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砌体样板</w:t>
            </w:r>
          </w:p>
        </w:tc>
        <w:tc>
          <w:tcPr>
            <w:tcW w:w="4914" w:type="dxa"/>
            <w:vAlign w:val="center"/>
          </w:tcPr>
          <w:p w14:paraId="2B3D320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2AD7B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694E3D2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w:t>
            </w:r>
          </w:p>
        </w:tc>
        <w:tc>
          <w:tcPr>
            <w:tcW w:w="4110" w:type="dxa"/>
            <w:vAlign w:val="center"/>
          </w:tcPr>
          <w:p w14:paraId="108E520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抹灰样板</w:t>
            </w:r>
          </w:p>
        </w:tc>
        <w:tc>
          <w:tcPr>
            <w:tcW w:w="4914" w:type="dxa"/>
            <w:vAlign w:val="center"/>
          </w:tcPr>
          <w:p w14:paraId="2DB4730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6893D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5158B3A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w:t>
            </w:r>
          </w:p>
        </w:tc>
        <w:tc>
          <w:tcPr>
            <w:tcW w:w="4110" w:type="dxa"/>
            <w:vAlign w:val="center"/>
          </w:tcPr>
          <w:p w14:paraId="0604154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防火门安装样板</w:t>
            </w:r>
          </w:p>
        </w:tc>
        <w:tc>
          <w:tcPr>
            <w:tcW w:w="4914" w:type="dxa"/>
            <w:vAlign w:val="center"/>
          </w:tcPr>
          <w:p w14:paraId="2D1459E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58998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4844C34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w:t>
            </w:r>
          </w:p>
        </w:tc>
        <w:tc>
          <w:tcPr>
            <w:tcW w:w="4110" w:type="dxa"/>
            <w:vAlign w:val="center"/>
          </w:tcPr>
          <w:p w14:paraId="033B309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防水施工样板</w:t>
            </w:r>
          </w:p>
        </w:tc>
        <w:tc>
          <w:tcPr>
            <w:tcW w:w="4914" w:type="dxa"/>
            <w:vAlign w:val="center"/>
          </w:tcPr>
          <w:p w14:paraId="3E37B37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0E738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3959F26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5</w:t>
            </w:r>
          </w:p>
        </w:tc>
        <w:tc>
          <w:tcPr>
            <w:tcW w:w="4110" w:type="dxa"/>
            <w:vAlign w:val="center"/>
          </w:tcPr>
          <w:p w14:paraId="5C03908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门窗安装及收口样板</w:t>
            </w:r>
          </w:p>
        </w:tc>
        <w:tc>
          <w:tcPr>
            <w:tcW w:w="4914" w:type="dxa"/>
            <w:vAlign w:val="center"/>
          </w:tcPr>
          <w:p w14:paraId="23293EF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6C2DD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572E58F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6</w:t>
            </w:r>
          </w:p>
        </w:tc>
        <w:tc>
          <w:tcPr>
            <w:tcW w:w="4110" w:type="dxa"/>
            <w:vAlign w:val="center"/>
          </w:tcPr>
          <w:p w14:paraId="4D41F91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车库地面施工样板</w:t>
            </w:r>
          </w:p>
        </w:tc>
        <w:tc>
          <w:tcPr>
            <w:tcW w:w="4914" w:type="dxa"/>
            <w:vAlign w:val="center"/>
          </w:tcPr>
          <w:p w14:paraId="3A21549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4D2A0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6974487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7</w:t>
            </w:r>
          </w:p>
        </w:tc>
        <w:tc>
          <w:tcPr>
            <w:tcW w:w="4110" w:type="dxa"/>
            <w:vAlign w:val="center"/>
          </w:tcPr>
          <w:p w14:paraId="6C0C87B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装修成品保护样板</w:t>
            </w:r>
          </w:p>
        </w:tc>
        <w:tc>
          <w:tcPr>
            <w:tcW w:w="4914" w:type="dxa"/>
            <w:vAlign w:val="center"/>
          </w:tcPr>
          <w:p w14:paraId="0BFB2E3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369F9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0D0A55C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8</w:t>
            </w:r>
          </w:p>
        </w:tc>
        <w:tc>
          <w:tcPr>
            <w:tcW w:w="4110" w:type="dxa"/>
            <w:vAlign w:val="center"/>
          </w:tcPr>
          <w:p w14:paraId="669FFC2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烟道安装</w:t>
            </w:r>
          </w:p>
        </w:tc>
        <w:tc>
          <w:tcPr>
            <w:tcW w:w="4914" w:type="dxa"/>
            <w:vAlign w:val="center"/>
          </w:tcPr>
          <w:p w14:paraId="0E1661B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001CE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779B88F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9</w:t>
            </w:r>
          </w:p>
        </w:tc>
        <w:tc>
          <w:tcPr>
            <w:tcW w:w="4110" w:type="dxa"/>
            <w:vAlign w:val="center"/>
          </w:tcPr>
          <w:p w14:paraId="63DB07C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预制构件安装样板</w:t>
            </w:r>
          </w:p>
        </w:tc>
        <w:tc>
          <w:tcPr>
            <w:tcW w:w="4914" w:type="dxa"/>
            <w:vAlign w:val="center"/>
          </w:tcPr>
          <w:p w14:paraId="71C1149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556E6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15E58D5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10</w:t>
            </w:r>
          </w:p>
        </w:tc>
        <w:tc>
          <w:tcPr>
            <w:tcW w:w="4110" w:type="dxa"/>
            <w:vAlign w:val="center"/>
          </w:tcPr>
          <w:p w14:paraId="11CA911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地面垫层</w:t>
            </w:r>
          </w:p>
        </w:tc>
        <w:tc>
          <w:tcPr>
            <w:tcW w:w="4914" w:type="dxa"/>
            <w:vAlign w:val="center"/>
          </w:tcPr>
          <w:p w14:paraId="3F64A3D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39A57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44E3F5D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11</w:t>
            </w:r>
          </w:p>
        </w:tc>
        <w:tc>
          <w:tcPr>
            <w:tcW w:w="4110" w:type="dxa"/>
            <w:vAlign w:val="center"/>
          </w:tcPr>
          <w:p w14:paraId="34059D1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栏杆、扶手样板</w:t>
            </w:r>
          </w:p>
        </w:tc>
        <w:tc>
          <w:tcPr>
            <w:tcW w:w="4914" w:type="dxa"/>
            <w:vAlign w:val="center"/>
          </w:tcPr>
          <w:p w14:paraId="33B9C95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702D8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5D41D5A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12</w:t>
            </w:r>
          </w:p>
        </w:tc>
        <w:tc>
          <w:tcPr>
            <w:tcW w:w="4110" w:type="dxa"/>
            <w:vAlign w:val="center"/>
          </w:tcPr>
          <w:p w14:paraId="4BC035E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通风与空调安装</w:t>
            </w:r>
          </w:p>
        </w:tc>
        <w:tc>
          <w:tcPr>
            <w:tcW w:w="4914" w:type="dxa"/>
            <w:vAlign w:val="center"/>
          </w:tcPr>
          <w:p w14:paraId="64FD8F6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2708F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0E209B0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13</w:t>
            </w:r>
          </w:p>
        </w:tc>
        <w:tc>
          <w:tcPr>
            <w:tcW w:w="4110" w:type="dxa"/>
            <w:vAlign w:val="center"/>
          </w:tcPr>
          <w:p w14:paraId="03E313C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水井、电井施工样板</w:t>
            </w:r>
          </w:p>
        </w:tc>
        <w:tc>
          <w:tcPr>
            <w:tcW w:w="4914" w:type="dxa"/>
            <w:vAlign w:val="center"/>
          </w:tcPr>
          <w:p w14:paraId="44DD79D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06C0C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0CD5D76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14</w:t>
            </w:r>
          </w:p>
        </w:tc>
        <w:tc>
          <w:tcPr>
            <w:tcW w:w="4110" w:type="dxa"/>
            <w:vAlign w:val="center"/>
          </w:tcPr>
          <w:p w14:paraId="0BBA4F5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天然气</w:t>
            </w:r>
          </w:p>
        </w:tc>
        <w:tc>
          <w:tcPr>
            <w:tcW w:w="4914" w:type="dxa"/>
            <w:vAlign w:val="center"/>
          </w:tcPr>
          <w:p w14:paraId="6DCC5F3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70C1E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4B7EC0D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15</w:t>
            </w:r>
          </w:p>
        </w:tc>
        <w:tc>
          <w:tcPr>
            <w:tcW w:w="4110" w:type="dxa"/>
            <w:vAlign w:val="center"/>
          </w:tcPr>
          <w:p w14:paraId="53C6C8A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太阳能</w:t>
            </w:r>
          </w:p>
        </w:tc>
        <w:tc>
          <w:tcPr>
            <w:tcW w:w="4914" w:type="dxa"/>
            <w:vAlign w:val="center"/>
          </w:tcPr>
          <w:p w14:paraId="2D323A8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527F2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17E0328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16</w:t>
            </w:r>
          </w:p>
        </w:tc>
        <w:tc>
          <w:tcPr>
            <w:tcW w:w="4110" w:type="dxa"/>
            <w:vAlign w:val="center"/>
          </w:tcPr>
          <w:p w14:paraId="6B8577A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屋面各细部施工样板</w:t>
            </w:r>
          </w:p>
        </w:tc>
        <w:tc>
          <w:tcPr>
            <w:tcW w:w="4914" w:type="dxa"/>
            <w:vAlign w:val="center"/>
          </w:tcPr>
          <w:p w14:paraId="7ADDF26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273A6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773ACB2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17</w:t>
            </w:r>
          </w:p>
        </w:tc>
        <w:tc>
          <w:tcPr>
            <w:tcW w:w="4110" w:type="dxa"/>
            <w:vAlign w:val="center"/>
          </w:tcPr>
          <w:p w14:paraId="6FE163F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室外园建装饰及道路面层施工样板</w:t>
            </w:r>
          </w:p>
        </w:tc>
        <w:tc>
          <w:tcPr>
            <w:tcW w:w="4914" w:type="dxa"/>
            <w:vAlign w:val="center"/>
          </w:tcPr>
          <w:p w14:paraId="0A76CDC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6B6EB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2CBA7E7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18</w:t>
            </w:r>
          </w:p>
        </w:tc>
        <w:tc>
          <w:tcPr>
            <w:tcW w:w="4110" w:type="dxa"/>
            <w:vAlign w:val="center"/>
          </w:tcPr>
          <w:p w14:paraId="18FE67D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地辐热</w:t>
            </w:r>
          </w:p>
        </w:tc>
        <w:tc>
          <w:tcPr>
            <w:tcW w:w="4914" w:type="dxa"/>
            <w:vAlign w:val="center"/>
          </w:tcPr>
          <w:p w14:paraId="429D931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1AD22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16FAF63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19</w:t>
            </w:r>
          </w:p>
        </w:tc>
        <w:tc>
          <w:tcPr>
            <w:tcW w:w="4110" w:type="dxa"/>
            <w:vAlign w:val="center"/>
          </w:tcPr>
          <w:p w14:paraId="65BC896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外立面施工样板</w:t>
            </w:r>
          </w:p>
        </w:tc>
        <w:tc>
          <w:tcPr>
            <w:tcW w:w="4914" w:type="dxa"/>
            <w:vAlign w:val="center"/>
          </w:tcPr>
          <w:p w14:paraId="7A5D21C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05252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0B73CED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20</w:t>
            </w:r>
          </w:p>
        </w:tc>
        <w:tc>
          <w:tcPr>
            <w:tcW w:w="4110" w:type="dxa"/>
            <w:vAlign w:val="center"/>
          </w:tcPr>
          <w:p w14:paraId="785E249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毛坯交付样板</w:t>
            </w:r>
          </w:p>
        </w:tc>
        <w:tc>
          <w:tcPr>
            <w:tcW w:w="4914" w:type="dxa"/>
            <w:vAlign w:val="center"/>
          </w:tcPr>
          <w:p w14:paraId="6A194D0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6451E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7CBB730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21</w:t>
            </w:r>
          </w:p>
        </w:tc>
        <w:tc>
          <w:tcPr>
            <w:tcW w:w="4110" w:type="dxa"/>
            <w:vAlign w:val="center"/>
          </w:tcPr>
          <w:p w14:paraId="5BEF305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装修技术样板</w:t>
            </w:r>
          </w:p>
        </w:tc>
        <w:tc>
          <w:tcPr>
            <w:tcW w:w="4914" w:type="dxa"/>
            <w:vAlign w:val="center"/>
          </w:tcPr>
          <w:p w14:paraId="0369F83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5CE6F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6332A23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22</w:t>
            </w:r>
          </w:p>
        </w:tc>
        <w:tc>
          <w:tcPr>
            <w:tcW w:w="4110" w:type="dxa"/>
            <w:vAlign w:val="center"/>
          </w:tcPr>
          <w:p w14:paraId="41BFF4E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公区施工样板</w:t>
            </w:r>
          </w:p>
        </w:tc>
        <w:tc>
          <w:tcPr>
            <w:tcW w:w="4914" w:type="dxa"/>
            <w:vAlign w:val="center"/>
          </w:tcPr>
          <w:p w14:paraId="7A0E8A4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r w14:paraId="1E658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92" w:type="dxa"/>
            <w:vAlign w:val="center"/>
          </w:tcPr>
          <w:p w14:paraId="75605F0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23</w:t>
            </w:r>
          </w:p>
        </w:tc>
        <w:tc>
          <w:tcPr>
            <w:tcW w:w="4110" w:type="dxa"/>
            <w:vAlign w:val="center"/>
          </w:tcPr>
          <w:p w14:paraId="1BEB9B6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车库地面、墙面标识、划线交付样板</w:t>
            </w:r>
          </w:p>
        </w:tc>
        <w:tc>
          <w:tcPr>
            <w:tcW w:w="4914" w:type="dxa"/>
            <w:vAlign w:val="center"/>
          </w:tcPr>
          <w:p w14:paraId="233CE85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按招标人样板评审记录表执行</w:t>
            </w:r>
          </w:p>
        </w:tc>
      </w:tr>
    </w:tbl>
    <w:p w14:paraId="5E89E59F">
      <w:pPr>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br w:type="page"/>
      </w:r>
      <w:r>
        <w:rPr>
          <w:rFonts w:hint="eastAsia" w:asciiTheme="minorEastAsia" w:hAnsiTheme="minorEastAsia" w:eastAsiaTheme="minorEastAsia"/>
          <w:color w:val="auto"/>
          <w:highlight w:val="none"/>
        </w:rPr>
        <w:t>6.5室内标识标准</w:t>
      </w:r>
      <w:bookmarkEnd w:id="747"/>
    </w:p>
    <w:tbl>
      <w:tblPr>
        <w:tblStyle w:val="56"/>
        <w:tblW w:w="5203" w:type="pct"/>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1855"/>
        <w:gridCol w:w="7217"/>
      </w:tblGrid>
      <w:tr w14:paraId="37306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363" w:type="pct"/>
            <w:vAlign w:val="center"/>
          </w:tcPr>
          <w:p w14:paraId="6C87347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序号</w:t>
            </w:r>
          </w:p>
        </w:tc>
        <w:tc>
          <w:tcPr>
            <w:tcW w:w="948" w:type="pct"/>
            <w:vAlign w:val="center"/>
          </w:tcPr>
          <w:p w14:paraId="11EDB10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标识部位</w:t>
            </w:r>
          </w:p>
        </w:tc>
        <w:tc>
          <w:tcPr>
            <w:tcW w:w="3689" w:type="pct"/>
            <w:vAlign w:val="center"/>
          </w:tcPr>
          <w:p w14:paraId="6175D5A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标识标准</w:t>
            </w:r>
          </w:p>
        </w:tc>
      </w:tr>
      <w:tr w14:paraId="35AC6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1" w:hRule="atLeast"/>
        </w:trPr>
        <w:tc>
          <w:tcPr>
            <w:tcW w:w="363" w:type="pct"/>
            <w:vAlign w:val="center"/>
          </w:tcPr>
          <w:p w14:paraId="19E940E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w:t>
            </w:r>
          </w:p>
        </w:tc>
        <w:tc>
          <w:tcPr>
            <w:tcW w:w="948" w:type="pct"/>
            <w:vAlign w:val="center"/>
          </w:tcPr>
          <w:p w14:paraId="51CD493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地埋管标识</w:t>
            </w:r>
          </w:p>
        </w:tc>
        <w:tc>
          <w:tcPr>
            <w:tcW w:w="3689" w:type="pct"/>
          </w:tcPr>
          <w:p w14:paraId="0D3558C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用大红油漆喷涂，管道警戒线宽度距墙边320㎜，两边各保证10㎜边线，中间喷有（下有管道）四个宋体字，字体大小定为100*100且平均布置，字体清晰连续。需将集分水器所连接管道所通向房间标识清楚。</w:t>
            </w:r>
          </w:p>
        </w:tc>
      </w:tr>
      <w:tr w14:paraId="54D37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3" w:hRule="atLeast"/>
        </w:trPr>
        <w:tc>
          <w:tcPr>
            <w:tcW w:w="363" w:type="pct"/>
            <w:vAlign w:val="center"/>
          </w:tcPr>
          <w:p w14:paraId="6423E4F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w:t>
            </w:r>
          </w:p>
        </w:tc>
        <w:tc>
          <w:tcPr>
            <w:tcW w:w="948" w:type="pct"/>
            <w:vAlign w:val="center"/>
          </w:tcPr>
          <w:p w14:paraId="0D58797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厨卫间墙体</w:t>
            </w:r>
          </w:p>
        </w:tc>
        <w:tc>
          <w:tcPr>
            <w:tcW w:w="3689" w:type="pct"/>
          </w:tcPr>
          <w:p w14:paraId="534F63B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各排水口对应墙面500㎜处用大红油漆喷排水口用途（如座便器、地漏、淋浴、洗脸盆、洗涤池）字体定为黑体字，大小为70*70竖向布置且内容和排水口相对应。</w:t>
            </w:r>
          </w:p>
        </w:tc>
      </w:tr>
      <w:tr w14:paraId="20C57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363" w:type="pct"/>
            <w:vAlign w:val="center"/>
          </w:tcPr>
          <w:p w14:paraId="4B1A6BB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w:t>
            </w:r>
          </w:p>
        </w:tc>
        <w:tc>
          <w:tcPr>
            <w:tcW w:w="948" w:type="pct"/>
            <w:vAlign w:val="center"/>
          </w:tcPr>
          <w:p w14:paraId="37AC45D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户内配电箱</w:t>
            </w:r>
          </w:p>
        </w:tc>
        <w:tc>
          <w:tcPr>
            <w:tcW w:w="3689" w:type="pct"/>
          </w:tcPr>
          <w:p w14:paraId="38A47CC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每个标识对应每个回路；如：照明、插座、厨房插座、卫生间插座、客厅空调插座、主卧空调插座、次卧空调插座、书房空调插座。</w:t>
            </w:r>
          </w:p>
        </w:tc>
      </w:tr>
      <w:tr w14:paraId="7A098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7" w:hRule="atLeast"/>
        </w:trPr>
        <w:tc>
          <w:tcPr>
            <w:tcW w:w="363" w:type="pct"/>
            <w:vAlign w:val="center"/>
          </w:tcPr>
          <w:p w14:paraId="127FEDC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w:t>
            </w:r>
          </w:p>
        </w:tc>
        <w:tc>
          <w:tcPr>
            <w:tcW w:w="948" w:type="pct"/>
            <w:vAlign w:val="center"/>
          </w:tcPr>
          <w:p w14:paraId="2DFECC3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管道井</w:t>
            </w:r>
          </w:p>
        </w:tc>
        <w:tc>
          <w:tcPr>
            <w:tcW w:w="3689" w:type="pct"/>
          </w:tcPr>
          <w:p w14:paraId="292B9C7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各户冷热水表及热量表均挂标示牌，材料选用ABS工程塑料，蓝色底子白色字，字体定为黑体字，大小为80*60，各户表名称同门牌号相对应。如：10102冷水表字样，且悬挂在各类表的正上方。</w:t>
            </w:r>
          </w:p>
        </w:tc>
      </w:tr>
      <w:tr w14:paraId="628F5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6" w:hRule="atLeast"/>
        </w:trPr>
        <w:tc>
          <w:tcPr>
            <w:tcW w:w="363" w:type="pct"/>
            <w:vAlign w:val="center"/>
          </w:tcPr>
          <w:p w14:paraId="44AFFDF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5</w:t>
            </w:r>
          </w:p>
        </w:tc>
        <w:tc>
          <w:tcPr>
            <w:tcW w:w="948" w:type="pct"/>
            <w:vAlign w:val="center"/>
          </w:tcPr>
          <w:p w14:paraId="28E3B4D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电井</w:t>
            </w:r>
          </w:p>
        </w:tc>
        <w:tc>
          <w:tcPr>
            <w:tcW w:w="3689" w:type="pct"/>
          </w:tcPr>
          <w:p w14:paraId="00BC740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主电缆每层挂标示牌，标注从那个配电柜来电源，标示牌上要写电缆从哪个配电箱到那里，标示牌上要有配电柜名称、型号和去向；如：照明配电柜（AL1）到1-14层。字体为宋体，材料选用金属，字体颜色为红色，大小为60*30㎜. 字体大小为三号字</w:t>
            </w:r>
          </w:p>
        </w:tc>
      </w:tr>
      <w:tr w14:paraId="4EA96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4" w:hRule="atLeast"/>
        </w:trPr>
        <w:tc>
          <w:tcPr>
            <w:tcW w:w="363" w:type="pct"/>
            <w:vAlign w:val="center"/>
          </w:tcPr>
          <w:p w14:paraId="3FB74D6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6</w:t>
            </w:r>
          </w:p>
        </w:tc>
        <w:tc>
          <w:tcPr>
            <w:tcW w:w="948" w:type="pct"/>
            <w:vAlign w:val="center"/>
          </w:tcPr>
          <w:p w14:paraId="5311526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电表箱</w:t>
            </w:r>
          </w:p>
        </w:tc>
        <w:tc>
          <w:tcPr>
            <w:tcW w:w="3689" w:type="pct"/>
          </w:tcPr>
          <w:p w14:paraId="76FA425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在每户电度表回路上标注每个房间号及相线；如：1501户（相线）；电表上标注门牌号，如：1501材料选用铝塑板，颜色选用红色，字体为宋体，牌子大小为20*10㎜.字体大小为三号字。</w:t>
            </w:r>
          </w:p>
        </w:tc>
      </w:tr>
      <w:tr w14:paraId="35283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 w:type="pct"/>
            <w:vAlign w:val="center"/>
          </w:tcPr>
          <w:p w14:paraId="5E6E801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7</w:t>
            </w:r>
          </w:p>
        </w:tc>
        <w:tc>
          <w:tcPr>
            <w:tcW w:w="948" w:type="pct"/>
            <w:vAlign w:val="center"/>
          </w:tcPr>
          <w:p w14:paraId="44DEDFC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地下室</w:t>
            </w:r>
          </w:p>
        </w:tc>
        <w:tc>
          <w:tcPr>
            <w:tcW w:w="3689" w:type="pct"/>
          </w:tcPr>
          <w:p w14:paraId="1371811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下室配电柜要写配电柜名称、型号；字体及材料参照电表箱。在桥架内的电缆，在拐角处要挂标示牌或电缆长度超过15米处增加标示牌；字体及材料参照电井；公共部分各个回路标示清楚，配电箱（柜）上要标示出型号、名称；字体及材料参照户内配电箱。</w:t>
            </w:r>
          </w:p>
        </w:tc>
      </w:tr>
    </w:tbl>
    <w:p w14:paraId="5260C8E9">
      <w:pPr>
        <w:outlineLvl w:val="9"/>
        <w:rPr>
          <w:rFonts w:asciiTheme="minorEastAsia" w:hAnsiTheme="minorEastAsia" w:eastAsiaTheme="minorEastAsia"/>
          <w:color w:val="auto"/>
          <w:highlight w:val="none"/>
        </w:rPr>
      </w:pPr>
      <w:bookmarkStart w:id="748" w:name="_Toc501705075"/>
      <w:r>
        <w:rPr>
          <w:rFonts w:hint="eastAsia" w:asciiTheme="minorEastAsia" w:hAnsiTheme="minorEastAsia" w:eastAsiaTheme="minorEastAsia"/>
          <w:color w:val="auto"/>
          <w:highlight w:val="none"/>
        </w:rPr>
        <w:t>6.6分户验收项目及标准</w:t>
      </w:r>
      <w:bookmarkEnd w:id="748"/>
      <w:r>
        <w:rPr>
          <w:rFonts w:hint="eastAsia" w:asciiTheme="minorEastAsia" w:hAnsiTheme="minorEastAsia" w:eastAsiaTheme="minorEastAsia"/>
          <w:color w:val="auto"/>
          <w:highlight w:val="none"/>
        </w:rPr>
        <w:t>（毛坯房）</w:t>
      </w:r>
    </w:p>
    <w:tbl>
      <w:tblPr>
        <w:tblStyle w:val="56"/>
        <w:tblW w:w="5203" w:type="pct"/>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6"/>
        <w:gridCol w:w="2807"/>
        <w:gridCol w:w="2629"/>
        <w:gridCol w:w="3190"/>
      </w:tblGrid>
      <w:tr w14:paraId="5EB21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5000" w:type="pct"/>
            <w:gridSpan w:val="4"/>
          </w:tcPr>
          <w:p w14:paraId="781EFB1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工程名称：楼单元户</w:t>
            </w:r>
          </w:p>
        </w:tc>
      </w:tr>
      <w:tr w14:paraId="4DCD5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00" w:type="pct"/>
            <w:gridSpan w:val="4"/>
          </w:tcPr>
          <w:p w14:paraId="4E876EC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检 查 项 目 及 标 准</w:t>
            </w:r>
          </w:p>
        </w:tc>
      </w:tr>
      <w:tr w14:paraId="0F8FE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3498DD1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 入户门</w:t>
            </w:r>
          </w:p>
        </w:tc>
        <w:tc>
          <w:tcPr>
            <w:tcW w:w="1435" w:type="pct"/>
            <w:vAlign w:val="center"/>
          </w:tcPr>
          <w:p w14:paraId="51D0B23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门框垂直</w:t>
            </w:r>
          </w:p>
        </w:tc>
        <w:tc>
          <w:tcPr>
            <w:tcW w:w="1344" w:type="pct"/>
            <w:vAlign w:val="center"/>
          </w:tcPr>
          <w:p w14:paraId="55AEAF2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框底标高</w:t>
            </w:r>
          </w:p>
        </w:tc>
        <w:tc>
          <w:tcPr>
            <w:tcW w:w="1629" w:type="pct"/>
            <w:vAlign w:val="center"/>
          </w:tcPr>
          <w:p w14:paraId="5918682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门框平整</w:t>
            </w:r>
          </w:p>
        </w:tc>
      </w:tr>
      <w:tr w14:paraId="00BA4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427B309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388E847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框安装位置</w:t>
            </w:r>
          </w:p>
        </w:tc>
        <w:tc>
          <w:tcPr>
            <w:tcW w:w="1344" w:type="pct"/>
            <w:vAlign w:val="center"/>
          </w:tcPr>
          <w:p w14:paraId="27756C6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门锁使用灵活、表面完好</w:t>
            </w:r>
          </w:p>
        </w:tc>
        <w:tc>
          <w:tcPr>
            <w:tcW w:w="1629" w:type="pct"/>
            <w:vAlign w:val="center"/>
          </w:tcPr>
          <w:p w14:paraId="1FAE362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□开闭灵活</w:t>
            </w:r>
          </w:p>
        </w:tc>
      </w:tr>
      <w:tr w14:paraId="070F1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49D7B95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691816F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□门安装牢固、关闭严密、</w:t>
            </w:r>
          </w:p>
          <w:p w14:paraId="2088A65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无倒翘</w:t>
            </w:r>
          </w:p>
        </w:tc>
        <w:tc>
          <w:tcPr>
            <w:tcW w:w="1344" w:type="pct"/>
            <w:vAlign w:val="center"/>
          </w:tcPr>
          <w:p w14:paraId="343A1E9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配件型号、规格、数量符合要求</w:t>
            </w:r>
          </w:p>
        </w:tc>
        <w:tc>
          <w:tcPr>
            <w:tcW w:w="1629" w:type="pct"/>
          </w:tcPr>
          <w:p w14:paraId="511CAB9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□颜色均匀一致、无划伤、碰伤、表面无脱胶现象</w:t>
            </w:r>
          </w:p>
        </w:tc>
      </w:tr>
      <w:tr w14:paraId="0CF7A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095287D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2.铁艺栏杆</w:t>
            </w:r>
          </w:p>
        </w:tc>
        <w:tc>
          <w:tcPr>
            <w:tcW w:w="1435" w:type="pct"/>
            <w:vAlign w:val="center"/>
          </w:tcPr>
          <w:p w14:paraId="7CCF9B9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扶手高度</w:t>
            </w:r>
          </w:p>
        </w:tc>
        <w:tc>
          <w:tcPr>
            <w:tcW w:w="1344" w:type="pct"/>
            <w:vAlign w:val="center"/>
          </w:tcPr>
          <w:p w14:paraId="39C8A22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栏杆立杆间距</w:t>
            </w:r>
          </w:p>
        </w:tc>
        <w:tc>
          <w:tcPr>
            <w:tcW w:w="1629" w:type="pct"/>
          </w:tcPr>
          <w:p w14:paraId="4B9D51C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表面垂直</w:t>
            </w:r>
          </w:p>
        </w:tc>
      </w:tr>
      <w:tr w14:paraId="63214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450D4B9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149885E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扶手平整</w:t>
            </w:r>
          </w:p>
        </w:tc>
        <w:tc>
          <w:tcPr>
            <w:tcW w:w="1344" w:type="pct"/>
            <w:vAlign w:val="center"/>
          </w:tcPr>
          <w:p w14:paraId="67B38ED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与铝合金窗水平框平行</w:t>
            </w:r>
          </w:p>
        </w:tc>
        <w:tc>
          <w:tcPr>
            <w:tcW w:w="1629" w:type="pct"/>
          </w:tcPr>
          <w:p w14:paraId="47B703D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扶手直线度</w:t>
            </w:r>
          </w:p>
        </w:tc>
      </w:tr>
      <w:tr w14:paraId="588D0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404CFCD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033D316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安装牢固</w:t>
            </w:r>
          </w:p>
        </w:tc>
        <w:tc>
          <w:tcPr>
            <w:tcW w:w="1344" w:type="pct"/>
            <w:vAlign w:val="center"/>
          </w:tcPr>
          <w:p w14:paraId="56A81ED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表面光滑、色泽一致</w:t>
            </w:r>
          </w:p>
        </w:tc>
        <w:tc>
          <w:tcPr>
            <w:tcW w:w="1629" w:type="pct"/>
          </w:tcPr>
          <w:p w14:paraId="7F55F33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无掉漆现象</w:t>
            </w:r>
          </w:p>
        </w:tc>
      </w:tr>
      <w:tr w14:paraId="5C48D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5958783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3.铝合金（塑钢）门窗</w:t>
            </w:r>
          </w:p>
        </w:tc>
        <w:tc>
          <w:tcPr>
            <w:tcW w:w="1435" w:type="pct"/>
            <w:vAlign w:val="center"/>
          </w:tcPr>
          <w:p w14:paraId="6730781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窗框垂直</w:t>
            </w:r>
          </w:p>
        </w:tc>
        <w:tc>
          <w:tcPr>
            <w:tcW w:w="1344" w:type="pct"/>
            <w:vAlign w:val="center"/>
          </w:tcPr>
          <w:p w14:paraId="152F835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内窗台没有渗水</w:t>
            </w:r>
          </w:p>
        </w:tc>
        <w:tc>
          <w:tcPr>
            <w:tcW w:w="1629" w:type="pct"/>
            <w:vAlign w:val="center"/>
          </w:tcPr>
          <w:p w14:paraId="3A9573F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窗框平直</w:t>
            </w:r>
          </w:p>
        </w:tc>
      </w:tr>
      <w:tr w14:paraId="34E65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573E850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4E62C30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框居中安装</w:t>
            </w:r>
          </w:p>
        </w:tc>
        <w:tc>
          <w:tcPr>
            <w:tcW w:w="1344" w:type="pct"/>
            <w:vAlign w:val="center"/>
          </w:tcPr>
          <w:p w14:paraId="4395FE6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窗锁使用灵活、表面完好</w:t>
            </w:r>
          </w:p>
        </w:tc>
        <w:tc>
          <w:tcPr>
            <w:tcW w:w="1629" w:type="pct"/>
            <w:vAlign w:val="center"/>
          </w:tcPr>
          <w:p w14:paraId="18FD0F1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安装方向、位置正确</w:t>
            </w:r>
          </w:p>
        </w:tc>
      </w:tr>
      <w:tr w14:paraId="0FF83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6D7510F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39BF3CA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推拉玻璃扇、平开窗扇及纱扇开关使用正常</w:t>
            </w:r>
          </w:p>
        </w:tc>
        <w:tc>
          <w:tcPr>
            <w:tcW w:w="1344" w:type="pct"/>
            <w:vAlign w:val="center"/>
          </w:tcPr>
          <w:p w14:paraId="28D2F33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框完好、无开裂、无变形、无划伤</w:t>
            </w:r>
          </w:p>
        </w:tc>
        <w:tc>
          <w:tcPr>
            <w:tcW w:w="1629" w:type="pct"/>
            <w:vAlign w:val="center"/>
          </w:tcPr>
          <w:p w14:paraId="35F756A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毛条安装完好</w:t>
            </w:r>
          </w:p>
        </w:tc>
      </w:tr>
      <w:tr w14:paraId="75611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628C5E3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7409E0A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固定玻璃安装牢固</w:t>
            </w:r>
          </w:p>
        </w:tc>
        <w:tc>
          <w:tcPr>
            <w:tcW w:w="1344" w:type="pct"/>
            <w:vAlign w:val="center"/>
          </w:tcPr>
          <w:p w14:paraId="66B5AF0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玻璃完好</w:t>
            </w:r>
          </w:p>
        </w:tc>
        <w:tc>
          <w:tcPr>
            <w:tcW w:w="1629" w:type="pct"/>
          </w:tcPr>
          <w:p w14:paraId="635D7DD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胶条牢固、顺直、转角拼接严密</w:t>
            </w:r>
          </w:p>
        </w:tc>
      </w:tr>
      <w:tr w14:paraId="0D73D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546449F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1C4BB89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内外胶顺直、连续、饱满</w:t>
            </w:r>
          </w:p>
        </w:tc>
        <w:tc>
          <w:tcPr>
            <w:tcW w:w="1344" w:type="pct"/>
            <w:vAlign w:val="center"/>
          </w:tcPr>
          <w:p w14:paraId="03AB5E2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五金件齐全、完好、使用灵活</w:t>
            </w:r>
          </w:p>
        </w:tc>
        <w:tc>
          <w:tcPr>
            <w:tcW w:w="1629" w:type="pct"/>
          </w:tcPr>
          <w:p w14:paraId="103437B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纱扇完好,无破损现象</w:t>
            </w:r>
          </w:p>
        </w:tc>
      </w:tr>
      <w:tr w14:paraId="00D60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22E084E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63760AC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纱扇推拉灵活</w:t>
            </w:r>
          </w:p>
        </w:tc>
        <w:tc>
          <w:tcPr>
            <w:tcW w:w="1344" w:type="pct"/>
            <w:vAlign w:val="center"/>
          </w:tcPr>
          <w:p w14:paraId="21EBDFA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外窗台高度低于排水孔</w:t>
            </w:r>
          </w:p>
        </w:tc>
        <w:tc>
          <w:tcPr>
            <w:tcW w:w="1629" w:type="pct"/>
          </w:tcPr>
          <w:p w14:paraId="120C235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C02A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4EFA1A6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4.窗内外口</w:t>
            </w:r>
          </w:p>
        </w:tc>
        <w:tc>
          <w:tcPr>
            <w:tcW w:w="1435" w:type="pct"/>
            <w:vAlign w:val="center"/>
          </w:tcPr>
          <w:p w14:paraId="0114F75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内口方正、</w:t>
            </w:r>
          </w:p>
        </w:tc>
        <w:tc>
          <w:tcPr>
            <w:tcW w:w="1344" w:type="pct"/>
            <w:vAlign w:val="center"/>
          </w:tcPr>
          <w:p w14:paraId="5272B9B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外口周围面砖勾缝不密实</w:t>
            </w:r>
          </w:p>
        </w:tc>
        <w:tc>
          <w:tcPr>
            <w:tcW w:w="1629" w:type="pct"/>
          </w:tcPr>
          <w:p w14:paraId="1D5E79D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外窗口无空鼓、无裂缝</w:t>
            </w:r>
          </w:p>
        </w:tc>
      </w:tr>
      <w:tr w14:paraId="4AD22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194CAF8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26D8F93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泛水及鹰嘴符合要求</w:t>
            </w:r>
          </w:p>
        </w:tc>
        <w:tc>
          <w:tcPr>
            <w:tcW w:w="1344" w:type="pct"/>
            <w:vAlign w:val="center"/>
          </w:tcPr>
          <w:p w14:paraId="420E80C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窗台宽度一致，</w:t>
            </w:r>
          </w:p>
        </w:tc>
        <w:tc>
          <w:tcPr>
            <w:tcW w:w="1629" w:type="pct"/>
          </w:tcPr>
          <w:p w14:paraId="5CA8A86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内口两侧宽度一致</w:t>
            </w:r>
          </w:p>
        </w:tc>
      </w:tr>
      <w:tr w14:paraId="11CF7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3270BBA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152D4CF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内口无八字角</w:t>
            </w:r>
          </w:p>
        </w:tc>
        <w:tc>
          <w:tcPr>
            <w:tcW w:w="1344" w:type="pct"/>
            <w:vAlign w:val="center"/>
          </w:tcPr>
          <w:p w14:paraId="0A23DFF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窗台外低内高（除厨房、卫生间外）</w:t>
            </w:r>
          </w:p>
        </w:tc>
        <w:tc>
          <w:tcPr>
            <w:tcW w:w="1629" w:type="pct"/>
          </w:tcPr>
          <w:p w14:paraId="10BADCC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537F2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56C5576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5.多水房间墙面</w:t>
            </w:r>
          </w:p>
        </w:tc>
        <w:tc>
          <w:tcPr>
            <w:tcW w:w="1435" w:type="pct"/>
            <w:vAlign w:val="center"/>
          </w:tcPr>
          <w:p w14:paraId="44EB1AE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无空鼓、裂缝</w:t>
            </w:r>
          </w:p>
        </w:tc>
        <w:tc>
          <w:tcPr>
            <w:tcW w:w="1344" w:type="pct"/>
            <w:vAlign w:val="center"/>
          </w:tcPr>
          <w:p w14:paraId="332AB98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开关面板、上下水管周围应平整、光滑、无瞎缝</w:t>
            </w:r>
          </w:p>
        </w:tc>
        <w:tc>
          <w:tcPr>
            <w:tcW w:w="1629" w:type="pct"/>
          </w:tcPr>
          <w:p w14:paraId="76F937A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厨卫间墙表面线条清晰，拉毛纹理顺直，方向、深浅一致</w:t>
            </w:r>
          </w:p>
        </w:tc>
      </w:tr>
      <w:tr w14:paraId="12524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5E30A6E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2C7EAF1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保温板粘结牢固，无脱落、无裂纹，表面拉毛均匀</w:t>
            </w:r>
          </w:p>
        </w:tc>
        <w:tc>
          <w:tcPr>
            <w:tcW w:w="1344" w:type="pct"/>
            <w:vAlign w:val="center"/>
          </w:tcPr>
          <w:p w14:paraId="136B125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□无钢丝网、玻纤网外露</w:t>
            </w:r>
          </w:p>
        </w:tc>
        <w:tc>
          <w:tcPr>
            <w:tcW w:w="1629" w:type="pct"/>
            <w:vAlign w:val="center"/>
          </w:tcPr>
          <w:p w14:paraId="03351DC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□墙面无污染</w:t>
            </w:r>
          </w:p>
        </w:tc>
      </w:tr>
      <w:tr w14:paraId="55BA7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2DF2F93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6. 腻 子</w:t>
            </w:r>
          </w:p>
        </w:tc>
        <w:tc>
          <w:tcPr>
            <w:tcW w:w="1435" w:type="pct"/>
            <w:vAlign w:val="center"/>
          </w:tcPr>
          <w:p w14:paraId="1B1C926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颜色均匀、表面光滑、无污染</w:t>
            </w:r>
          </w:p>
        </w:tc>
        <w:tc>
          <w:tcPr>
            <w:tcW w:w="1344" w:type="pct"/>
            <w:vAlign w:val="center"/>
          </w:tcPr>
          <w:p w14:paraId="7E25F5E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无漏刷、透底</w:t>
            </w:r>
          </w:p>
        </w:tc>
        <w:tc>
          <w:tcPr>
            <w:tcW w:w="1629" w:type="pct"/>
          </w:tcPr>
          <w:p w14:paraId="55759AE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无刮痕、皱皮、起皮、掉粉、流坠、裂缝</w:t>
            </w:r>
          </w:p>
        </w:tc>
      </w:tr>
      <w:tr w14:paraId="16EFA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1418073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0230FE3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阴阳角方正</w:t>
            </w:r>
          </w:p>
        </w:tc>
        <w:tc>
          <w:tcPr>
            <w:tcW w:w="1344" w:type="pct"/>
            <w:vAlign w:val="center"/>
          </w:tcPr>
          <w:p w14:paraId="3576206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踢脚颜色一致，上口平直，下口顺直</w:t>
            </w:r>
          </w:p>
        </w:tc>
        <w:tc>
          <w:tcPr>
            <w:tcW w:w="1629" w:type="pct"/>
          </w:tcPr>
          <w:p w14:paraId="793B76E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梁底部水平、梁截面尺寸方正</w:t>
            </w:r>
          </w:p>
        </w:tc>
      </w:tr>
      <w:tr w14:paraId="1E3EF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5A49DAB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462012C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□墙面无裂纹</w:t>
            </w:r>
          </w:p>
        </w:tc>
        <w:tc>
          <w:tcPr>
            <w:tcW w:w="1344" w:type="pct"/>
            <w:vAlign w:val="center"/>
          </w:tcPr>
          <w:p w14:paraId="3D1F3A9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629" w:type="pct"/>
          </w:tcPr>
          <w:p w14:paraId="0072D3A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0550D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583F1DD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7.地面垫层</w:t>
            </w:r>
          </w:p>
        </w:tc>
        <w:tc>
          <w:tcPr>
            <w:tcW w:w="1435" w:type="pct"/>
            <w:vAlign w:val="center"/>
          </w:tcPr>
          <w:p w14:paraId="266C207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表面平整</w:t>
            </w:r>
          </w:p>
        </w:tc>
        <w:tc>
          <w:tcPr>
            <w:tcW w:w="1344" w:type="pct"/>
            <w:vAlign w:val="center"/>
          </w:tcPr>
          <w:p w14:paraId="1B9CEA7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无起砂、空鼓、裂缝、污染</w:t>
            </w:r>
          </w:p>
        </w:tc>
        <w:tc>
          <w:tcPr>
            <w:tcW w:w="1629" w:type="pct"/>
          </w:tcPr>
          <w:p w14:paraId="567183F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无管线外露</w:t>
            </w:r>
          </w:p>
        </w:tc>
      </w:tr>
      <w:tr w14:paraId="22894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23C3EB6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57424EA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表面标高无误</w:t>
            </w:r>
          </w:p>
        </w:tc>
        <w:tc>
          <w:tcPr>
            <w:tcW w:w="1344" w:type="pct"/>
            <w:vAlign w:val="center"/>
          </w:tcPr>
          <w:p w14:paraId="1247393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补槽部位无高低差</w:t>
            </w:r>
          </w:p>
        </w:tc>
        <w:tc>
          <w:tcPr>
            <w:tcW w:w="1629" w:type="pct"/>
          </w:tcPr>
          <w:p w14:paraId="0550137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入户门下槛收口不平整</w:t>
            </w:r>
          </w:p>
        </w:tc>
      </w:tr>
      <w:tr w14:paraId="5CBEA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61085B2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5C21FF8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立管根部及内侧处理到位</w:t>
            </w:r>
          </w:p>
        </w:tc>
        <w:tc>
          <w:tcPr>
            <w:tcW w:w="1344" w:type="pct"/>
            <w:vAlign w:val="center"/>
          </w:tcPr>
          <w:p w14:paraId="300823A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多水房间与普通室内地面高差符合要求</w:t>
            </w:r>
          </w:p>
        </w:tc>
        <w:tc>
          <w:tcPr>
            <w:tcW w:w="1629" w:type="pct"/>
          </w:tcPr>
          <w:p w14:paraId="21D1984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332ED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1953E29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8.多水房间防水</w:t>
            </w:r>
          </w:p>
        </w:tc>
        <w:tc>
          <w:tcPr>
            <w:tcW w:w="1435" w:type="pct"/>
            <w:vAlign w:val="center"/>
          </w:tcPr>
          <w:p w14:paraId="2DF450D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顶板、墙面无渗水、漏水</w:t>
            </w:r>
          </w:p>
        </w:tc>
        <w:tc>
          <w:tcPr>
            <w:tcW w:w="1344" w:type="pct"/>
            <w:vAlign w:val="center"/>
          </w:tcPr>
          <w:p w14:paraId="640F953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泛水高度无误，上口平直</w:t>
            </w:r>
          </w:p>
        </w:tc>
        <w:tc>
          <w:tcPr>
            <w:tcW w:w="1629" w:type="pct"/>
          </w:tcPr>
          <w:p w14:paraId="388609B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防水保护层完好</w:t>
            </w:r>
          </w:p>
        </w:tc>
      </w:tr>
      <w:tr w14:paraId="255F8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3C2B383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682EE61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□挡水台（立管根部）无开裂、无破损、缺失</w:t>
            </w:r>
          </w:p>
        </w:tc>
        <w:tc>
          <w:tcPr>
            <w:tcW w:w="1344" w:type="pct"/>
            <w:vAlign w:val="center"/>
          </w:tcPr>
          <w:p w14:paraId="27471B5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629" w:type="pct"/>
          </w:tcPr>
          <w:p w14:paraId="678EB96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3124A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1F83CC7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9. 空调洞</w:t>
            </w:r>
          </w:p>
        </w:tc>
        <w:tc>
          <w:tcPr>
            <w:tcW w:w="1435" w:type="pct"/>
            <w:vAlign w:val="center"/>
          </w:tcPr>
          <w:p w14:paraId="59D7C81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空调洞位置符合要求</w:t>
            </w:r>
          </w:p>
        </w:tc>
        <w:tc>
          <w:tcPr>
            <w:tcW w:w="1344" w:type="pct"/>
            <w:vAlign w:val="center"/>
          </w:tcPr>
          <w:p w14:paraId="6ED0913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空调洞内高外低</w:t>
            </w:r>
          </w:p>
        </w:tc>
        <w:tc>
          <w:tcPr>
            <w:tcW w:w="1629" w:type="pct"/>
            <w:vAlign w:val="center"/>
          </w:tcPr>
          <w:p w14:paraId="42D8E9F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空调洞有装饰保护盖</w:t>
            </w:r>
          </w:p>
        </w:tc>
      </w:tr>
      <w:tr w14:paraId="12E30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67C5C99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3DB6BA8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空调洞周边无渗水</w:t>
            </w:r>
          </w:p>
        </w:tc>
        <w:tc>
          <w:tcPr>
            <w:tcW w:w="1344" w:type="pct"/>
            <w:vAlign w:val="center"/>
          </w:tcPr>
          <w:p w14:paraId="4312F51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629" w:type="pct"/>
          </w:tcPr>
          <w:p w14:paraId="513CFC3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3903C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253EFE4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10.烟道及止回阀</w:t>
            </w:r>
          </w:p>
        </w:tc>
        <w:tc>
          <w:tcPr>
            <w:tcW w:w="1435" w:type="pct"/>
            <w:vAlign w:val="center"/>
          </w:tcPr>
          <w:p w14:paraId="5D47567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烟道表面无裂缝</w:t>
            </w:r>
          </w:p>
        </w:tc>
        <w:tc>
          <w:tcPr>
            <w:tcW w:w="1344" w:type="pct"/>
            <w:vAlign w:val="center"/>
          </w:tcPr>
          <w:p w14:paraId="169C368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背侧封堵不严实</w:t>
            </w:r>
          </w:p>
        </w:tc>
        <w:tc>
          <w:tcPr>
            <w:tcW w:w="1629" w:type="pct"/>
          </w:tcPr>
          <w:p w14:paraId="294FC1E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止回阀安装位置正确</w:t>
            </w:r>
          </w:p>
        </w:tc>
      </w:tr>
      <w:tr w14:paraId="2F7CB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2A658FC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5E1300C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排烟（气）顺畅</w:t>
            </w:r>
          </w:p>
        </w:tc>
        <w:tc>
          <w:tcPr>
            <w:tcW w:w="1344" w:type="pct"/>
            <w:vAlign w:val="center"/>
          </w:tcPr>
          <w:p w14:paraId="4FA0CF5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629" w:type="pct"/>
          </w:tcPr>
          <w:p w14:paraId="276A1C5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bl>
    <w:p w14:paraId="3E5C8615">
      <w:pPr>
        <w:outlineLvl w:val="9"/>
        <w:rPr>
          <w:rFonts w:asciiTheme="minorEastAsia" w:hAnsiTheme="minorEastAsia" w:eastAsiaTheme="minorEastAsia"/>
          <w:color w:val="auto"/>
          <w:highlight w:val="none"/>
        </w:rPr>
      </w:pPr>
    </w:p>
    <w:tbl>
      <w:tblPr>
        <w:tblStyle w:val="56"/>
        <w:tblW w:w="5203" w:type="pct"/>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6"/>
        <w:gridCol w:w="2808"/>
        <w:gridCol w:w="2630"/>
        <w:gridCol w:w="3188"/>
      </w:tblGrid>
      <w:tr w14:paraId="5BCFF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1B24856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11.排水管道</w:t>
            </w:r>
          </w:p>
        </w:tc>
        <w:tc>
          <w:tcPr>
            <w:tcW w:w="1435" w:type="pct"/>
            <w:vAlign w:val="center"/>
          </w:tcPr>
          <w:p w14:paraId="120675D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地漏位置坡度标高正确</w:t>
            </w:r>
          </w:p>
        </w:tc>
        <w:tc>
          <w:tcPr>
            <w:tcW w:w="1344" w:type="pct"/>
            <w:vAlign w:val="center"/>
          </w:tcPr>
          <w:p w14:paraId="545A2F7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排水管道排水顺畅</w:t>
            </w:r>
          </w:p>
        </w:tc>
        <w:tc>
          <w:tcPr>
            <w:tcW w:w="1629" w:type="pct"/>
            <w:vAlign w:val="center"/>
          </w:tcPr>
          <w:p w14:paraId="580BBBC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伸缩节安装位置正确</w:t>
            </w:r>
          </w:p>
        </w:tc>
      </w:tr>
      <w:tr w14:paraId="59488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2FF4E9C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336B90F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阻火圈齐全、牢固</w:t>
            </w:r>
          </w:p>
        </w:tc>
        <w:tc>
          <w:tcPr>
            <w:tcW w:w="1344" w:type="pct"/>
            <w:vAlign w:val="center"/>
          </w:tcPr>
          <w:p w14:paraId="1AEB8D8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预留排水管口水距正确</w:t>
            </w:r>
          </w:p>
        </w:tc>
        <w:tc>
          <w:tcPr>
            <w:tcW w:w="1629" w:type="pct"/>
          </w:tcPr>
          <w:p w14:paraId="112A8F8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1170A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04E7054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12.给水管道</w:t>
            </w:r>
          </w:p>
        </w:tc>
        <w:tc>
          <w:tcPr>
            <w:tcW w:w="1435" w:type="pct"/>
            <w:vAlign w:val="center"/>
          </w:tcPr>
          <w:p w14:paraId="2025983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阀门开启灵活、不漏水</w:t>
            </w:r>
          </w:p>
        </w:tc>
        <w:tc>
          <w:tcPr>
            <w:tcW w:w="1344" w:type="pct"/>
            <w:vAlign w:val="center"/>
          </w:tcPr>
          <w:p w14:paraId="1EA640F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地埋给水管无外露</w:t>
            </w:r>
          </w:p>
        </w:tc>
        <w:tc>
          <w:tcPr>
            <w:tcW w:w="1629" w:type="pct"/>
          </w:tcPr>
          <w:p w14:paraId="0A8E486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管井表、阀门符合要求</w:t>
            </w:r>
          </w:p>
        </w:tc>
      </w:tr>
      <w:tr w14:paraId="72EE0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4AA6DCD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65CCC67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水表抄表方便</w:t>
            </w:r>
          </w:p>
        </w:tc>
        <w:tc>
          <w:tcPr>
            <w:tcW w:w="1344" w:type="pct"/>
            <w:vAlign w:val="center"/>
          </w:tcPr>
          <w:p w14:paraId="7AD0336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立管垂直度符合要求</w:t>
            </w:r>
          </w:p>
        </w:tc>
        <w:tc>
          <w:tcPr>
            <w:tcW w:w="1629" w:type="pct"/>
          </w:tcPr>
          <w:p w14:paraId="22A8ADE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xml:space="preserve">□ 给水管位置正确，阀门齐全 </w:t>
            </w:r>
          </w:p>
        </w:tc>
      </w:tr>
      <w:tr w14:paraId="2686D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48D19BF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575EC8C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给水管道安装牢固，垂直度符合要求</w:t>
            </w:r>
          </w:p>
        </w:tc>
        <w:tc>
          <w:tcPr>
            <w:tcW w:w="1344" w:type="pct"/>
            <w:vAlign w:val="center"/>
          </w:tcPr>
          <w:p w14:paraId="48E6460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地埋给水管无外露</w:t>
            </w:r>
          </w:p>
        </w:tc>
        <w:tc>
          <w:tcPr>
            <w:tcW w:w="1629" w:type="pct"/>
            <w:vAlign w:val="center"/>
          </w:tcPr>
          <w:p w14:paraId="2DBA8EC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压力试验符合要求</w:t>
            </w:r>
          </w:p>
        </w:tc>
      </w:tr>
      <w:tr w14:paraId="11137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0C9818C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13. 采暖</w:t>
            </w:r>
          </w:p>
        </w:tc>
        <w:tc>
          <w:tcPr>
            <w:tcW w:w="1435" w:type="pct"/>
            <w:vAlign w:val="center"/>
          </w:tcPr>
          <w:p w14:paraId="4E9D946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采暖明装管无扭曲变形</w:t>
            </w:r>
          </w:p>
        </w:tc>
        <w:tc>
          <w:tcPr>
            <w:tcW w:w="1344" w:type="pct"/>
            <w:vAlign w:val="center"/>
          </w:tcPr>
          <w:p w14:paraId="4E95369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散热器表面无划伤、掉漆</w:t>
            </w:r>
          </w:p>
        </w:tc>
        <w:tc>
          <w:tcPr>
            <w:tcW w:w="1629" w:type="pct"/>
            <w:vAlign w:val="center"/>
          </w:tcPr>
          <w:p w14:paraId="4EAE063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散热器支架安装牢固</w:t>
            </w:r>
          </w:p>
        </w:tc>
      </w:tr>
      <w:tr w14:paraId="71977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30BB4B2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4FC7550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立管垂直度符合要求</w:t>
            </w:r>
          </w:p>
        </w:tc>
        <w:tc>
          <w:tcPr>
            <w:tcW w:w="1344" w:type="pct"/>
            <w:vAlign w:val="center"/>
          </w:tcPr>
          <w:p w14:paraId="115EF10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三通调节阀开启灵活</w:t>
            </w:r>
          </w:p>
        </w:tc>
        <w:tc>
          <w:tcPr>
            <w:tcW w:w="1629" w:type="pct"/>
            <w:vAlign w:val="center"/>
          </w:tcPr>
          <w:p w14:paraId="715E16C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地埋采暖管无外露</w:t>
            </w:r>
          </w:p>
        </w:tc>
      </w:tr>
      <w:tr w14:paraId="3797D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7584344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665AAC4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压力试验符合要求</w:t>
            </w:r>
          </w:p>
        </w:tc>
        <w:tc>
          <w:tcPr>
            <w:tcW w:w="1344" w:type="pct"/>
            <w:vAlign w:val="center"/>
          </w:tcPr>
          <w:p w14:paraId="73DB063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□集分水器安装牢固、平直</w:t>
            </w:r>
          </w:p>
        </w:tc>
        <w:tc>
          <w:tcPr>
            <w:tcW w:w="1629" w:type="pct"/>
            <w:vAlign w:val="center"/>
          </w:tcPr>
          <w:p w14:paraId="3E334C8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290DD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Align w:val="center"/>
          </w:tcPr>
          <w:p w14:paraId="6A7B27D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14.天然气</w:t>
            </w:r>
          </w:p>
        </w:tc>
        <w:tc>
          <w:tcPr>
            <w:tcW w:w="1435" w:type="pct"/>
            <w:vAlign w:val="center"/>
          </w:tcPr>
          <w:p w14:paraId="72F4272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表阀齐全</w:t>
            </w:r>
          </w:p>
        </w:tc>
        <w:tc>
          <w:tcPr>
            <w:tcW w:w="1344" w:type="pct"/>
            <w:vAlign w:val="center"/>
          </w:tcPr>
          <w:p w14:paraId="7F97547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减压阀齐全</w:t>
            </w:r>
          </w:p>
        </w:tc>
        <w:tc>
          <w:tcPr>
            <w:tcW w:w="1629" w:type="pct"/>
          </w:tcPr>
          <w:p w14:paraId="61E9FE1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0886F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6AA7A3F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15. 户内箱体</w:t>
            </w:r>
          </w:p>
        </w:tc>
        <w:tc>
          <w:tcPr>
            <w:tcW w:w="1435" w:type="pct"/>
            <w:vAlign w:val="center"/>
          </w:tcPr>
          <w:p w14:paraId="00949A4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安装牢固、平整、四周无缝隙</w:t>
            </w:r>
          </w:p>
        </w:tc>
        <w:tc>
          <w:tcPr>
            <w:tcW w:w="1344" w:type="pct"/>
            <w:vAlign w:val="center"/>
          </w:tcPr>
          <w:p w14:paraId="07CED50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箱盖无变形、划伤、掉漆，表面整洁、紧贴墙面</w:t>
            </w:r>
          </w:p>
        </w:tc>
        <w:tc>
          <w:tcPr>
            <w:tcW w:w="1629" w:type="pct"/>
            <w:vAlign w:val="center"/>
          </w:tcPr>
          <w:p w14:paraId="727FEF3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内配符合图纸要求、回路标注清楚</w:t>
            </w:r>
          </w:p>
        </w:tc>
      </w:tr>
      <w:tr w14:paraId="23A2D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45C0388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22B5867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□箱内空余位置用封板封堵</w:t>
            </w:r>
          </w:p>
        </w:tc>
        <w:tc>
          <w:tcPr>
            <w:tcW w:w="1344" w:type="pct"/>
            <w:vAlign w:val="center"/>
          </w:tcPr>
          <w:p w14:paraId="05A0654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电表箱插卡不方便</w:t>
            </w:r>
          </w:p>
        </w:tc>
        <w:tc>
          <w:tcPr>
            <w:tcW w:w="1629" w:type="pct"/>
          </w:tcPr>
          <w:p w14:paraId="0FD8436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8919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restart"/>
            <w:vAlign w:val="center"/>
          </w:tcPr>
          <w:p w14:paraId="0D73371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16. 插座、开关、灯具</w:t>
            </w:r>
          </w:p>
        </w:tc>
        <w:tc>
          <w:tcPr>
            <w:tcW w:w="1435" w:type="pct"/>
            <w:vAlign w:val="center"/>
          </w:tcPr>
          <w:p w14:paraId="715CE42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安装平整、牢固</w:t>
            </w:r>
          </w:p>
        </w:tc>
        <w:tc>
          <w:tcPr>
            <w:tcW w:w="1344" w:type="pct"/>
            <w:vAlign w:val="center"/>
          </w:tcPr>
          <w:p w14:paraId="04CDF97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表面整洁、无划伤、不变形，盖板紧贴墙面、无缝隙</w:t>
            </w:r>
          </w:p>
        </w:tc>
        <w:tc>
          <w:tcPr>
            <w:tcW w:w="1629" w:type="pct"/>
          </w:tcPr>
          <w:p w14:paraId="3C40602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插座相序正确</w:t>
            </w:r>
          </w:p>
        </w:tc>
      </w:tr>
      <w:tr w14:paraId="38FA1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2DAD2E0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459372E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防溅盒、装饰板等完好</w:t>
            </w:r>
          </w:p>
        </w:tc>
        <w:tc>
          <w:tcPr>
            <w:tcW w:w="1344" w:type="pct"/>
            <w:vAlign w:val="center"/>
          </w:tcPr>
          <w:p w14:paraId="70B3529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629" w:type="pct"/>
            <w:vAlign w:val="center"/>
          </w:tcPr>
          <w:p w14:paraId="639134C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1F2B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4D938E8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734B40A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安装平整、牢固</w:t>
            </w:r>
          </w:p>
        </w:tc>
        <w:tc>
          <w:tcPr>
            <w:tcW w:w="1344" w:type="pct"/>
            <w:vAlign w:val="center"/>
          </w:tcPr>
          <w:p w14:paraId="08FDB24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表面整洁、无划伤、不变形，盖板紧贴墙面、无缝隙</w:t>
            </w:r>
          </w:p>
        </w:tc>
        <w:tc>
          <w:tcPr>
            <w:tcW w:w="1629" w:type="pct"/>
            <w:vAlign w:val="center"/>
          </w:tcPr>
          <w:p w14:paraId="687EDB3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开关操作灵活、通断位置一致</w:t>
            </w:r>
          </w:p>
        </w:tc>
      </w:tr>
      <w:tr w14:paraId="40074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Merge w:val="continue"/>
            <w:vAlign w:val="center"/>
          </w:tcPr>
          <w:p w14:paraId="18D6DE6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1435" w:type="pct"/>
            <w:vAlign w:val="center"/>
          </w:tcPr>
          <w:p w14:paraId="256B64A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安装牢固、灯座安装平整</w:t>
            </w:r>
          </w:p>
        </w:tc>
        <w:tc>
          <w:tcPr>
            <w:tcW w:w="1344" w:type="pct"/>
            <w:vAlign w:val="center"/>
          </w:tcPr>
          <w:p w14:paraId="159ACC8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灯具配件齐全、完好</w:t>
            </w:r>
          </w:p>
        </w:tc>
        <w:tc>
          <w:tcPr>
            <w:tcW w:w="1629" w:type="pct"/>
            <w:vAlign w:val="center"/>
          </w:tcPr>
          <w:p w14:paraId="4B1700A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底座紧贴顶（墙）面，四周无缝隙</w:t>
            </w:r>
          </w:p>
        </w:tc>
      </w:tr>
      <w:tr w14:paraId="400FC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pct"/>
            <w:vAlign w:val="center"/>
          </w:tcPr>
          <w:p w14:paraId="2DD35CF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17.对讲</w:t>
            </w:r>
          </w:p>
        </w:tc>
        <w:tc>
          <w:tcPr>
            <w:tcW w:w="1435" w:type="pct"/>
          </w:tcPr>
          <w:p w14:paraId="0B0644E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主分机回路正确</w:t>
            </w:r>
          </w:p>
        </w:tc>
        <w:tc>
          <w:tcPr>
            <w:tcW w:w="1344" w:type="pct"/>
            <w:vAlign w:val="center"/>
          </w:tcPr>
          <w:p w14:paraId="264C640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通话、视频清晰，无串线</w:t>
            </w:r>
          </w:p>
        </w:tc>
        <w:tc>
          <w:tcPr>
            <w:tcW w:w="1629" w:type="pct"/>
            <w:vAlign w:val="center"/>
          </w:tcPr>
          <w:p w14:paraId="4674F5B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 可实施电控开锁</w:t>
            </w:r>
          </w:p>
        </w:tc>
      </w:tr>
    </w:tbl>
    <w:p w14:paraId="437F78D7">
      <w:pPr>
        <w:spacing w:line="360" w:lineRule="auto"/>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注：1、1~10项为土建部分；11~17项为安装部分；</w:t>
      </w:r>
    </w:p>
    <w:p w14:paraId="67EA4169">
      <w:pPr>
        <w:spacing w:line="360" w:lineRule="auto"/>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2、检查时，在有问题的项目前打“×”，没问题的项目前打“√”。</w:t>
      </w:r>
    </w:p>
    <w:p w14:paraId="5A426979">
      <w:pPr>
        <w:spacing w:line="360" w:lineRule="auto"/>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3、分户验收标准及验收表详见第八章内容。</w:t>
      </w:r>
    </w:p>
    <w:p w14:paraId="6DDB0FA5">
      <w:pPr>
        <w:spacing w:line="360" w:lineRule="auto"/>
        <w:outlineLvl w:val="9"/>
        <w:rPr>
          <w:rFonts w:asciiTheme="minorEastAsia" w:hAnsiTheme="minorEastAsia" w:eastAsiaTheme="minorEastAsia"/>
          <w:color w:val="auto"/>
          <w:highlight w:val="none"/>
        </w:rPr>
      </w:pPr>
      <w:bookmarkStart w:id="749" w:name="_Toc501705076"/>
      <w:r>
        <w:rPr>
          <w:rFonts w:hint="eastAsia" w:asciiTheme="minorEastAsia" w:hAnsiTheme="minorEastAsia" w:eastAsiaTheme="minorEastAsia"/>
          <w:color w:val="auto"/>
          <w:highlight w:val="none"/>
        </w:rPr>
        <w:t>6.7公共部分装修验收表</w:t>
      </w:r>
      <w:bookmarkEnd w:id="749"/>
    </w:p>
    <w:tbl>
      <w:tblPr>
        <w:tblStyle w:val="56"/>
        <w:tblW w:w="5203" w:type="pct"/>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3"/>
        <w:gridCol w:w="456"/>
        <w:gridCol w:w="456"/>
        <w:gridCol w:w="6071"/>
        <w:gridCol w:w="1986"/>
      </w:tblGrid>
      <w:tr w14:paraId="35C98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7332700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序号</w:t>
            </w:r>
          </w:p>
        </w:tc>
        <w:tc>
          <w:tcPr>
            <w:tcW w:w="466" w:type="pct"/>
            <w:gridSpan w:val="2"/>
            <w:vAlign w:val="center"/>
          </w:tcPr>
          <w:p w14:paraId="6B9E65B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分类</w:t>
            </w:r>
          </w:p>
        </w:tc>
        <w:tc>
          <w:tcPr>
            <w:tcW w:w="3103" w:type="pct"/>
            <w:vAlign w:val="center"/>
          </w:tcPr>
          <w:p w14:paraId="372CA9D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容易出现问题项目</w:t>
            </w:r>
          </w:p>
        </w:tc>
        <w:tc>
          <w:tcPr>
            <w:tcW w:w="1015" w:type="pct"/>
            <w:vAlign w:val="center"/>
          </w:tcPr>
          <w:p w14:paraId="5C865E6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存在问题及部位</w:t>
            </w:r>
          </w:p>
        </w:tc>
      </w:tr>
      <w:tr w14:paraId="33113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14:paraId="053116E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w:t>
            </w:r>
          </w:p>
        </w:tc>
        <w:tc>
          <w:tcPr>
            <w:tcW w:w="466" w:type="pct"/>
            <w:gridSpan w:val="2"/>
            <w:vMerge w:val="restart"/>
            <w:vAlign w:val="center"/>
          </w:tcPr>
          <w:p w14:paraId="7A506FC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w:t>
            </w:r>
          </w:p>
          <w:p w14:paraId="3D133D6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面</w:t>
            </w:r>
          </w:p>
        </w:tc>
        <w:tc>
          <w:tcPr>
            <w:tcW w:w="3103" w:type="pct"/>
            <w:vAlign w:val="center"/>
          </w:tcPr>
          <w:p w14:paraId="7806CF2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墙面垂直度、平整度不符合要求</w:t>
            </w:r>
          </w:p>
        </w:tc>
        <w:tc>
          <w:tcPr>
            <w:tcW w:w="1015" w:type="pct"/>
            <w:vAlign w:val="center"/>
          </w:tcPr>
          <w:p w14:paraId="658BE27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33BD4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1558C91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460417E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2D9CDD9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墙面石材（面砖）勾缝不密实，缝宽不均匀</w:t>
            </w:r>
          </w:p>
        </w:tc>
        <w:tc>
          <w:tcPr>
            <w:tcW w:w="1015" w:type="pct"/>
            <w:vAlign w:val="center"/>
          </w:tcPr>
          <w:p w14:paraId="30B1365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2DD72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1EFFA5E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5591155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3A954AA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墙面石材（面砖）在铁艺、消防箱、消防立管支架根部收口不到位，在门洞口收口有八字角，收口宽度不一致，收口不垂直</w:t>
            </w:r>
          </w:p>
        </w:tc>
        <w:tc>
          <w:tcPr>
            <w:tcW w:w="1015" w:type="pct"/>
            <w:vAlign w:val="center"/>
          </w:tcPr>
          <w:p w14:paraId="15FFEC7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37DA3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3BB1B08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4BADFAA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1299368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墙面木作面层粘结不牢固，接缝处有翘曲；面层有破损</w:t>
            </w:r>
          </w:p>
        </w:tc>
        <w:tc>
          <w:tcPr>
            <w:tcW w:w="1015" w:type="pct"/>
            <w:vAlign w:val="center"/>
          </w:tcPr>
          <w:p w14:paraId="5DFCF9E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07A13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5B0D395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0823563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183353F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墙砖有空鼓、裂缝现象</w:t>
            </w:r>
          </w:p>
        </w:tc>
        <w:tc>
          <w:tcPr>
            <w:tcW w:w="1015" w:type="pct"/>
            <w:vAlign w:val="center"/>
          </w:tcPr>
          <w:p w14:paraId="4FC1047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844E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4387A80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0CF9E20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7CC5958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墙砖接缝存在高低差，缝直线度不符合要求，阴阳角方正不符合要求，墙砖海棠角观感质量较差</w:t>
            </w:r>
          </w:p>
        </w:tc>
        <w:tc>
          <w:tcPr>
            <w:tcW w:w="1015" w:type="pct"/>
            <w:vAlign w:val="center"/>
          </w:tcPr>
          <w:p w14:paraId="00A6A79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0A3C5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3A8ABF6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433F963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C3BC57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涂料墙阴角不顺直；墙面有划痕或污染；涂料色泽不一致，有刷痕、流坠、起皮、透底等现象</w:t>
            </w:r>
          </w:p>
        </w:tc>
        <w:tc>
          <w:tcPr>
            <w:tcW w:w="1015" w:type="pct"/>
            <w:vAlign w:val="center"/>
          </w:tcPr>
          <w:p w14:paraId="0AA2801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277C3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14:paraId="47FAA07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2</w:t>
            </w:r>
          </w:p>
        </w:tc>
        <w:tc>
          <w:tcPr>
            <w:tcW w:w="466" w:type="pct"/>
            <w:gridSpan w:val="2"/>
            <w:vMerge w:val="restart"/>
            <w:vAlign w:val="center"/>
          </w:tcPr>
          <w:p w14:paraId="6A46B58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w:t>
            </w:r>
          </w:p>
          <w:p w14:paraId="3006BA3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面</w:t>
            </w:r>
          </w:p>
        </w:tc>
        <w:tc>
          <w:tcPr>
            <w:tcW w:w="3103" w:type="pct"/>
            <w:vAlign w:val="center"/>
          </w:tcPr>
          <w:p w14:paraId="5FCEB4B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地砖的平整度不符合要求，有空鼓、裂缝</w:t>
            </w:r>
          </w:p>
        </w:tc>
        <w:tc>
          <w:tcPr>
            <w:tcW w:w="1015" w:type="pct"/>
            <w:vAlign w:val="center"/>
          </w:tcPr>
          <w:p w14:paraId="1AE44F0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7A822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04051A9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423C277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6D366EC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地砖的接缝高低差不符合要求，砖缝的直线度不符合要求</w:t>
            </w:r>
          </w:p>
        </w:tc>
        <w:tc>
          <w:tcPr>
            <w:tcW w:w="1015" w:type="pct"/>
            <w:vAlign w:val="center"/>
          </w:tcPr>
          <w:p w14:paraId="57D377D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0ED58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573A7FF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102F2CB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4D9B620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排砖不合理，有窄条砖或存在大小头</w:t>
            </w:r>
          </w:p>
        </w:tc>
        <w:tc>
          <w:tcPr>
            <w:tcW w:w="1015" w:type="pct"/>
            <w:vAlign w:val="center"/>
          </w:tcPr>
          <w:p w14:paraId="71B5291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0A50C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26FF66A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3011F61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3F0ACF0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电梯门口有倒坡、错台现象</w:t>
            </w:r>
          </w:p>
        </w:tc>
        <w:tc>
          <w:tcPr>
            <w:tcW w:w="1015" w:type="pct"/>
            <w:vAlign w:val="center"/>
          </w:tcPr>
          <w:p w14:paraId="49C0131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78A2B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6" w:type="pct"/>
            <w:vMerge w:val="continue"/>
            <w:vAlign w:val="center"/>
          </w:tcPr>
          <w:p w14:paraId="387FE80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32C98A7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F4A619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地面污染严重</w:t>
            </w:r>
          </w:p>
        </w:tc>
        <w:tc>
          <w:tcPr>
            <w:tcW w:w="1015" w:type="pct"/>
            <w:vAlign w:val="center"/>
          </w:tcPr>
          <w:p w14:paraId="01003D9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5DF10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14:paraId="3DAF18C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3</w:t>
            </w:r>
          </w:p>
        </w:tc>
        <w:tc>
          <w:tcPr>
            <w:tcW w:w="466" w:type="pct"/>
            <w:gridSpan w:val="2"/>
            <w:vMerge w:val="restart"/>
            <w:vAlign w:val="center"/>
          </w:tcPr>
          <w:p w14:paraId="7CC33E7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顶</w:t>
            </w:r>
          </w:p>
        </w:tc>
        <w:tc>
          <w:tcPr>
            <w:tcW w:w="3103" w:type="pct"/>
            <w:vAlign w:val="center"/>
          </w:tcPr>
          <w:p w14:paraId="40B7B2A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吊顶不牢固，有翘曲、开裂、缺棱掉角现象</w:t>
            </w:r>
          </w:p>
        </w:tc>
        <w:tc>
          <w:tcPr>
            <w:tcW w:w="1015" w:type="pct"/>
            <w:vAlign w:val="center"/>
          </w:tcPr>
          <w:p w14:paraId="5DDCC9D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7D215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5816B72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4019CB5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403A040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顶面不平整，阴角或阴槽不顺直</w:t>
            </w:r>
          </w:p>
        </w:tc>
        <w:tc>
          <w:tcPr>
            <w:tcW w:w="1015" w:type="pct"/>
            <w:vAlign w:val="center"/>
          </w:tcPr>
          <w:p w14:paraId="43D2EC7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1B7A0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27E586D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5194528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607B0A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面层色泽不一致</w:t>
            </w:r>
          </w:p>
        </w:tc>
        <w:tc>
          <w:tcPr>
            <w:tcW w:w="1015" w:type="pct"/>
            <w:vAlign w:val="center"/>
          </w:tcPr>
          <w:p w14:paraId="6C248EB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0BC3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14:paraId="6310540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4</w:t>
            </w:r>
          </w:p>
        </w:tc>
        <w:tc>
          <w:tcPr>
            <w:tcW w:w="466" w:type="pct"/>
            <w:gridSpan w:val="2"/>
            <w:vMerge w:val="restart"/>
            <w:vAlign w:val="center"/>
          </w:tcPr>
          <w:p w14:paraId="1CAC43C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门</w:t>
            </w:r>
          </w:p>
          <w:p w14:paraId="2BFFE99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套</w:t>
            </w:r>
          </w:p>
        </w:tc>
        <w:tc>
          <w:tcPr>
            <w:tcW w:w="3103" w:type="pct"/>
            <w:vAlign w:val="center"/>
          </w:tcPr>
          <w:p w14:paraId="4BC208E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门套色泽不一致，固定不牢固</w:t>
            </w:r>
          </w:p>
        </w:tc>
        <w:tc>
          <w:tcPr>
            <w:tcW w:w="1015" w:type="pct"/>
            <w:vAlign w:val="center"/>
          </w:tcPr>
          <w:p w14:paraId="094EBE0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A881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175DC87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17DFC1C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068954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门套垂直度、平整度不符合要求</w:t>
            </w:r>
          </w:p>
        </w:tc>
        <w:tc>
          <w:tcPr>
            <w:tcW w:w="1015" w:type="pct"/>
            <w:vAlign w:val="center"/>
          </w:tcPr>
          <w:p w14:paraId="074A4D2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34D62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14:paraId="38E492B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5</w:t>
            </w:r>
          </w:p>
        </w:tc>
        <w:tc>
          <w:tcPr>
            <w:tcW w:w="466" w:type="pct"/>
            <w:gridSpan w:val="2"/>
            <w:vMerge w:val="restart"/>
            <w:vAlign w:val="center"/>
          </w:tcPr>
          <w:p w14:paraId="0014DCC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踏</w:t>
            </w:r>
          </w:p>
          <w:p w14:paraId="41A02FD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步</w:t>
            </w:r>
          </w:p>
        </w:tc>
        <w:tc>
          <w:tcPr>
            <w:tcW w:w="3103" w:type="pct"/>
            <w:vAlign w:val="center"/>
          </w:tcPr>
          <w:p w14:paraId="1A7715F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踏步有破损</w:t>
            </w:r>
          </w:p>
        </w:tc>
        <w:tc>
          <w:tcPr>
            <w:tcW w:w="1015" w:type="pct"/>
            <w:vAlign w:val="center"/>
          </w:tcPr>
          <w:p w14:paraId="70F69C3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1CC5B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6" w:type="pct"/>
            <w:vMerge w:val="continue"/>
            <w:vAlign w:val="center"/>
          </w:tcPr>
          <w:p w14:paraId="6FB8209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776E57B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8B0D77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踏步的宽度、高度偏差不符合要求</w:t>
            </w:r>
          </w:p>
        </w:tc>
        <w:tc>
          <w:tcPr>
            <w:tcW w:w="1015" w:type="pct"/>
            <w:vAlign w:val="center"/>
          </w:tcPr>
          <w:p w14:paraId="1AAD702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78A16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14:paraId="5D671A0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6</w:t>
            </w:r>
          </w:p>
        </w:tc>
        <w:tc>
          <w:tcPr>
            <w:tcW w:w="466" w:type="pct"/>
            <w:gridSpan w:val="2"/>
            <w:vMerge w:val="restart"/>
            <w:vAlign w:val="center"/>
          </w:tcPr>
          <w:p w14:paraId="5DC8742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踢</w:t>
            </w:r>
          </w:p>
          <w:p w14:paraId="7A78686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脚</w:t>
            </w:r>
          </w:p>
          <w:p w14:paraId="73F9691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线</w:t>
            </w:r>
          </w:p>
        </w:tc>
        <w:tc>
          <w:tcPr>
            <w:tcW w:w="3103" w:type="pct"/>
            <w:vAlign w:val="center"/>
          </w:tcPr>
          <w:p w14:paraId="0594FAF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踢脚上口不平直，高度不一致</w:t>
            </w:r>
          </w:p>
        </w:tc>
        <w:tc>
          <w:tcPr>
            <w:tcW w:w="1015" w:type="pct"/>
            <w:vAlign w:val="center"/>
          </w:tcPr>
          <w:p w14:paraId="7A34FC7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5949B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46F9F10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6DFD44B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6AE7E3B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水泥踢脚的出墙厚度不一致</w:t>
            </w:r>
          </w:p>
        </w:tc>
        <w:tc>
          <w:tcPr>
            <w:tcW w:w="1015" w:type="pct"/>
            <w:vAlign w:val="center"/>
          </w:tcPr>
          <w:p w14:paraId="67269C8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2031A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200A8AF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1371B6D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7078DB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瓷砖踢脚的粘结层外露，踢脚出墙厚度不一致</w:t>
            </w:r>
          </w:p>
        </w:tc>
        <w:tc>
          <w:tcPr>
            <w:tcW w:w="1015" w:type="pct"/>
            <w:vAlign w:val="center"/>
          </w:tcPr>
          <w:p w14:paraId="5468905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D5C0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14:paraId="685F9E9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7</w:t>
            </w:r>
          </w:p>
        </w:tc>
        <w:tc>
          <w:tcPr>
            <w:tcW w:w="466" w:type="pct"/>
            <w:gridSpan w:val="2"/>
            <w:vMerge w:val="restart"/>
            <w:vAlign w:val="center"/>
          </w:tcPr>
          <w:p w14:paraId="2EE4543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栏</w:t>
            </w:r>
          </w:p>
          <w:p w14:paraId="7D2FA29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杆</w:t>
            </w:r>
          </w:p>
          <w:p w14:paraId="155D3DF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扶</w:t>
            </w:r>
          </w:p>
          <w:p w14:paraId="01D8EF0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手</w:t>
            </w:r>
          </w:p>
        </w:tc>
        <w:tc>
          <w:tcPr>
            <w:tcW w:w="3103" w:type="pct"/>
            <w:vAlign w:val="center"/>
          </w:tcPr>
          <w:p w14:paraId="58EE9C0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栏杆扶手固定不牢固，有松动现象</w:t>
            </w:r>
          </w:p>
        </w:tc>
        <w:tc>
          <w:tcPr>
            <w:tcW w:w="1015" w:type="pct"/>
            <w:vAlign w:val="center"/>
          </w:tcPr>
          <w:p w14:paraId="5EF8B1C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53BB1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7663EE1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5C4E3CE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53A45F0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栏杆的高度不符合要求</w:t>
            </w:r>
          </w:p>
        </w:tc>
        <w:tc>
          <w:tcPr>
            <w:tcW w:w="1015" w:type="pct"/>
            <w:vAlign w:val="center"/>
          </w:tcPr>
          <w:p w14:paraId="0AD4BD3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6918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5F29C2D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55B1BE3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5F51610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立杆的间距不符合要求</w:t>
            </w:r>
          </w:p>
        </w:tc>
        <w:tc>
          <w:tcPr>
            <w:tcW w:w="1015" w:type="pct"/>
            <w:vAlign w:val="center"/>
          </w:tcPr>
          <w:p w14:paraId="6779D4B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D5E7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6C44AAC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79D80B5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55FDDB2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栏杆有锈蚀现象</w:t>
            </w:r>
          </w:p>
        </w:tc>
        <w:tc>
          <w:tcPr>
            <w:tcW w:w="1015" w:type="pct"/>
            <w:vAlign w:val="center"/>
          </w:tcPr>
          <w:p w14:paraId="55AC415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0E70B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08576C9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3D9587C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22ECF01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扶手接缝不严密，表面不光滑</w:t>
            </w:r>
          </w:p>
        </w:tc>
        <w:tc>
          <w:tcPr>
            <w:tcW w:w="1015" w:type="pct"/>
            <w:vAlign w:val="center"/>
          </w:tcPr>
          <w:p w14:paraId="5915F47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30778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6CB776F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3509B37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2FA3CF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表面漆涂刷不均匀、色泽不一致</w:t>
            </w:r>
          </w:p>
        </w:tc>
        <w:tc>
          <w:tcPr>
            <w:tcW w:w="1015" w:type="pct"/>
            <w:vAlign w:val="center"/>
          </w:tcPr>
          <w:p w14:paraId="2E4D9FA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22025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14:paraId="7B6C294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8</w:t>
            </w:r>
          </w:p>
        </w:tc>
        <w:tc>
          <w:tcPr>
            <w:tcW w:w="466" w:type="pct"/>
            <w:gridSpan w:val="2"/>
            <w:vMerge w:val="restart"/>
            <w:vAlign w:val="center"/>
          </w:tcPr>
          <w:p w14:paraId="6F05856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防</w:t>
            </w:r>
          </w:p>
          <w:p w14:paraId="69633CA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火</w:t>
            </w:r>
          </w:p>
          <w:p w14:paraId="47FF832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门</w:t>
            </w:r>
          </w:p>
        </w:tc>
        <w:tc>
          <w:tcPr>
            <w:tcW w:w="3103" w:type="pct"/>
            <w:vAlign w:val="center"/>
          </w:tcPr>
          <w:p w14:paraId="75A142A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门及门框表面有破损、划痕现象，掉漆累计大于0.1 cm2/个门，入户门翘起</w:t>
            </w:r>
          </w:p>
        </w:tc>
        <w:tc>
          <w:tcPr>
            <w:tcW w:w="1015" w:type="pct"/>
            <w:vAlign w:val="center"/>
          </w:tcPr>
          <w:p w14:paraId="0852CD8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30076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09A6365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2D7FD9D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5E5968E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把手有松动现象</w:t>
            </w:r>
          </w:p>
        </w:tc>
        <w:tc>
          <w:tcPr>
            <w:tcW w:w="1015" w:type="pct"/>
            <w:vAlign w:val="center"/>
          </w:tcPr>
          <w:p w14:paraId="4506B1F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718F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6580E9A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7AF3F9D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181C787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门锁开启不灵活</w:t>
            </w:r>
          </w:p>
        </w:tc>
        <w:tc>
          <w:tcPr>
            <w:tcW w:w="1015" w:type="pct"/>
            <w:vAlign w:val="center"/>
          </w:tcPr>
          <w:p w14:paraId="79C83A5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8833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342E5F4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32AFFB3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6A8645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下槛缝宽不均匀</w:t>
            </w:r>
          </w:p>
        </w:tc>
        <w:tc>
          <w:tcPr>
            <w:tcW w:w="1015" w:type="pct"/>
            <w:vAlign w:val="center"/>
          </w:tcPr>
          <w:p w14:paraId="0B0DAFB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B7F6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14:paraId="396A3B1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9</w:t>
            </w:r>
          </w:p>
        </w:tc>
        <w:tc>
          <w:tcPr>
            <w:tcW w:w="466" w:type="pct"/>
            <w:gridSpan w:val="2"/>
            <w:vMerge w:val="restart"/>
            <w:vAlign w:val="center"/>
          </w:tcPr>
          <w:p w14:paraId="6AE8486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铝</w:t>
            </w:r>
          </w:p>
          <w:p w14:paraId="3CDF133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合</w:t>
            </w:r>
          </w:p>
          <w:p w14:paraId="08F5182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金</w:t>
            </w:r>
          </w:p>
          <w:p w14:paraId="692DFF2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窗</w:t>
            </w:r>
          </w:p>
        </w:tc>
        <w:tc>
          <w:tcPr>
            <w:tcW w:w="3103" w:type="pct"/>
            <w:vAlign w:val="center"/>
          </w:tcPr>
          <w:p w14:paraId="1D4A930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有渗漏现象</w:t>
            </w:r>
          </w:p>
        </w:tc>
        <w:tc>
          <w:tcPr>
            <w:tcW w:w="1015" w:type="pct"/>
            <w:vAlign w:val="center"/>
          </w:tcPr>
          <w:p w14:paraId="6DE730D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12B40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2B8DC7D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19E154E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135A8B2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锁具开关不灵活</w:t>
            </w:r>
          </w:p>
        </w:tc>
        <w:tc>
          <w:tcPr>
            <w:tcW w:w="1015" w:type="pct"/>
            <w:vAlign w:val="center"/>
          </w:tcPr>
          <w:p w14:paraId="325F7B2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0D0F1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040E4E6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7FC7C4B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4B64421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框与墙面有夹角</w:t>
            </w:r>
          </w:p>
        </w:tc>
        <w:tc>
          <w:tcPr>
            <w:tcW w:w="1015" w:type="pct"/>
            <w:vAlign w:val="center"/>
          </w:tcPr>
          <w:p w14:paraId="29ABC9A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351EB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26607C3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21BB30D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58DEBEA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固定铁件或射钉外露</w:t>
            </w:r>
          </w:p>
        </w:tc>
        <w:tc>
          <w:tcPr>
            <w:tcW w:w="1015" w:type="pct"/>
            <w:vAlign w:val="center"/>
          </w:tcPr>
          <w:p w14:paraId="47CB8BC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53EB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439FFC7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571B980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3873AA0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密封胶不顺直、不连续、不密实</w:t>
            </w:r>
          </w:p>
        </w:tc>
        <w:tc>
          <w:tcPr>
            <w:tcW w:w="1015" w:type="pct"/>
            <w:vAlign w:val="center"/>
          </w:tcPr>
          <w:p w14:paraId="66C4DFB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54F0F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00C67EF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6DF3C6D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5B4DBAA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胶条不顺直，打结或漏装</w:t>
            </w:r>
          </w:p>
        </w:tc>
        <w:tc>
          <w:tcPr>
            <w:tcW w:w="1015" w:type="pct"/>
            <w:vAlign w:val="center"/>
          </w:tcPr>
          <w:p w14:paraId="62FB4D4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1FAAA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5CA59E3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07B6CCF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B7766E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毛条安装不到位，有脱槽</w:t>
            </w:r>
          </w:p>
        </w:tc>
        <w:tc>
          <w:tcPr>
            <w:tcW w:w="1015" w:type="pct"/>
            <w:vAlign w:val="center"/>
          </w:tcPr>
          <w:p w14:paraId="0BD3FE4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B928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330C9B3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6165E98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270A561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玻璃、框、扇表面有划伤、变形</w:t>
            </w:r>
          </w:p>
        </w:tc>
        <w:tc>
          <w:tcPr>
            <w:tcW w:w="1015" w:type="pct"/>
            <w:vAlign w:val="center"/>
          </w:tcPr>
          <w:p w14:paraId="33329BC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1FA1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14:paraId="7DAEE8F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10</w:t>
            </w:r>
          </w:p>
        </w:tc>
        <w:tc>
          <w:tcPr>
            <w:tcW w:w="466" w:type="pct"/>
            <w:gridSpan w:val="2"/>
            <w:vMerge w:val="restart"/>
            <w:vAlign w:val="center"/>
          </w:tcPr>
          <w:p w14:paraId="7CEC6A8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门</w:t>
            </w:r>
          </w:p>
          <w:p w14:paraId="0C3962B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厅</w:t>
            </w:r>
          </w:p>
        </w:tc>
        <w:tc>
          <w:tcPr>
            <w:tcW w:w="3103" w:type="pct"/>
            <w:vAlign w:val="center"/>
          </w:tcPr>
          <w:p w14:paraId="3C5D18E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门头墙、顶有渗漏现象</w:t>
            </w:r>
          </w:p>
        </w:tc>
        <w:tc>
          <w:tcPr>
            <w:tcW w:w="1015" w:type="pct"/>
            <w:vAlign w:val="center"/>
          </w:tcPr>
          <w:p w14:paraId="1DB360C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7E2CF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6AA370D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4C77D94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60E5C5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单元门开启不灵活</w:t>
            </w:r>
          </w:p>
        </w:tc>
        <w:tc>
          <w:tcPr>
            <w:tcW w:w="1015" w:type="pct"/>
            <w:vAlign w:val="center"/>
          </w:tcPr>
          <w:p w14:paraId="11B12FE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5AD4C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22C5016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031D8E0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5ACF6DE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门禁及对讲不通</w:t>
            </w:r>
          </w:p>
        </w:tc>
        <w:tc>
          <w:tcPr>
            <w:tcW w:w="1015" w:type="pct"/>
            <w:vAlign w:val="center"/>
          </w:tcPr>
          <w:p w14:paraId="5C16589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E39C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14954CD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30C1BF1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2691C25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信报箱有锈蚀</w:t>
            </w:r>
          </w:p>
        </w:tc>
        <w:tc>
          <w:tcPr>
            <w:tcW w:w="1015" w:type="pct"/>
            <w:vAlign w:val="center"/>
          </w:tcPr>
          <w:p w14:paraId="2B9F2D2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7CEF8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1D94D78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1C03763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CE6E7F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单元标识位置不正确</w:t>
            </w:r>
          </w:p>
        </w:tc>
        <w:tc>
          <w:tcPr>
            <w:tcW w:w="1015" w:type="pct"/>
            <w:vAlign w:val="center"/>
          </w:tcPr>
          <w:p w14:paraId="025CBCC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3351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14:paraId="635C637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11</w:t>
            </w:r>
          </w:p>
        </w:tc>
        <w:tc>
          <w:tcPr>
            <w:tcW w:w="466" w:type="pct"/>
            <w:gridSpan w:val="2"/>
            <w:vMerge w:val="restart"/>
            <w:vAlign w:val="center"/>
          </w:tcPr>
          <w:p w14:paraId="1F504FD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水</w:t>
            </w:r>
          </w:p>
          <w:p w14:paraId="66C9EED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井</w:t>
            </w:r>
          </w:p>
        </w:tc>
        <w:tc>
          <w:tcPr>
            <w:tcW w:w="3103" w:type="pct"/>
            <w:vAlign w:val="center"/>
          </w:tcPr>
          <w:p w14:paraId="2171FA0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地面坡度不正确，地漏高度不合理</w:t>
            </w:r>
          </w:p>
        </w:tc>
        <w:tc>
          <w:tcPr>
            <w:tcW w:w="1015" w:type="pct"/>
            <w:vAlign w:val="center"/>
          </w:tcPr>
          <w:p w14:paraId="116EF8E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27C3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60BA3B6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35C1212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1530A6F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墙面有空鼓裂缝现象</w:t>
            </w:r>
          </w:p>
        </w:tc>
        <w:tc>
          <w:tcPr>
            <w:tcW w:w="1015" w:type="pct"/>
            <w:vAlign w:val="center"/>
          </w:tcPr>
          <w:p w14:paraId="0ACA180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27EBF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0443E5D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43745BA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1FFD253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墙面防水未施工到位</w:t>
            </w:r>
          </w:p>
        </w:tc>
        <w:tc>
          <w:tcPr>
            <w:tcW w:w="1015" w:type="pct"/>
            <w:vAlign w:val="center"/>
          </w:tcPr>
          <w:p w14:paraId="3263B8D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75B7A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7C6705B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4FB67DA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0F3809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地面有起砂、空裂现象</w:t>
            </w:r>
          </w:p>
        </w:tc>
        <w:tc>
          <w:tcPr>
            <w:tcW w:w="1015" w:type="pct"/>
            <w:vAlign w:val="center"/>
          </w:tcPr>
          <w:p w14:paraId="26BFD10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1D7A0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6BDE286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4B975DE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78315C5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水表、阀门等配件有缺失、破损现象</w:t>
            </w:r>
          </w:p>
        </w:tc>
        <w:tc>
          <w:tcPr>
            <w:tcW w:w="1015" w:type="pct"/>
            <w:vAlign w:val="center"/>
          </w:tcPr>
          <w:p w14:paraId="3C876FE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23AA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5C359EC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23C142B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7492D6D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阀门、管道有漏水现象</w:t>
            </w:r>
          </w:p>
        </w:tc>
        <w:tc>
          <w:tcPr>
            <w:tcW w:w="1015" w:type="pct"/>
            <w:vAlign w:val="center"/>
          </w:tcPr>
          <w:p w14:paraId="6AE7590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0E41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1C8E667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0209152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46AFE30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管道、阀门、支架、套管有锈蚀现象</w:t>
            </w:r>
          </w:p>
        </w:tc>
        <w:tc>
          <w:tcPr>
            <w:tcW w:w="1015" w:type="pct"/>
            <w:vAlign w:val="center"/>
          </w:tcPr>
          <w:p w14:paraId="5F4AE57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C53E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64A59F2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01D6401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6B1CEDE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管井内垃圾未清理</w:t>
            </w:r>
          </w:p>
        </w:tc>
        <w:tc>
          <w:tcPr>
            <w:tcW w:w="1015" w:type="pct"/>
            <w:vAlign w:val="center"/>
          </w:tcPr>
          <w:p w14:paraId="5970223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28AB6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14:paraId="41A8EAD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12</w:t>
            </w:r>
          </w:p>
        </w:tc>
        <w:tc>
          <w:tcPr>
            <w:tcW w:w="466" w:type="pct"/>
            <w:gridSpan w:val="2"/>
            <w:vMerge w:val="restart"/>
            <w:vAlign w:val="center"/>
          </w:tcPr>
          <w:p w14:paraId="77DDB2E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w:t>
            </w:r>
          </w:p>
          <w:p w14:paraId="54A1959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井</w:t>
            </w:r>
          </w:p>
        </w:tc>
        <w:tc>
          <w:tcPr>
            <w:tcW w:w="3103" w:type="pct"/>
            <w:vAlign w:val="center"/>
          </w:tcPr>
          <w:p w14:paraId="78A6BCE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墙面有空裂现象</w:t>
            </w:r>
          </w:p>
        </w:tc>
        <w:tc>
          <w:tcPr>
            <w:tcW w:w="1015" w:type="pct"/>
            <w:vAlign w:val="center"/>
          </w:tcPr>
          <w:p w14:paraId="6726D0D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76E95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7893F24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5737150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1F79A4C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墙、顶未刮白</w:t>
            </w:r>
          </w:p>
        </w:tc>
        <w:tc>
          <w:tcPr>
            <w:tcW w:w="1015" w:type="pct"/>
            <w:vAlign w:val="center"/>
          </w:tcPr>
          <w:p w14:paraId="0E51435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2C91A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1A5D4DD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6060650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35C485B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桥架及面板固定不牢固，接地缺失，面板划伤、变形</w:t>
            </w:r>
          </w:p>
        </w:tc>
        <w:tc>
          <w:tcPr>
            <w:tcW w:w="1015" w:type="pct"/>
            <w:vAlign w:val="center"/>
          </w:tcPr>
          <w:p w14:paraId="63CC083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5A332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493A946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19452AF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72EF15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防火封堵不密实</w:t>
            </w:r>
          </w:p>
        </w:tc>
        <w:tc>
          <w:tcPr>
            <w:tcW w:w="1015" w:type="pct"/>
            <w:vAlign w:val="center"/>
          </w:tcPr>
          <w:p w14:paraId="34051B8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185DF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3496D68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466" w:type="pct"/>
            <w:gridSpan w:val="2"/>
            <w:vMerge w:val="continue"/>
            <w:vAlign w:val="center"/>
          </w:tcPr>
          <w:p w14:paraId="68E5479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248F842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管井内垃圾未清理</w:t>
            </w:r>
          </w:p>
        </w:tc>
        <w:tc>
          <w:tcPr>
            <w:tcW w:w="1015" w:type="pct"/>
            <w:vAlign w:val="center"/>
          </w:tcPr>
          <w:p w14:paraId="256209F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9FD0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14:paraId="10BF9CB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13</w:t>
            </w:r>
          </w:p>
        </w:tc>
        <w:tc>
          <w:tcPr>
            <w:tcW w:w="233" w:type="pct"/>
            <w:vMerge w:val="restart"/>
            <w:vAlign w:val="center"/>
          </w:tcPr>
          <w:p w14:paraId="12A5B75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其它方面</w:t>
            </w:r>
          </w:p>
        </w:tc>
        <w:tc>
          <w:tcPr>
            <w:tcW w:w="233" w:type="pct"/>
            <w:vMerge w:val="restart"/>
            <w:vAlign w:val="center"/>
          </w:tcPr>
          <w:p w14:paraId="373CA6E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开关</w:t>
            </w:r>
          </w:p>
          <w:p w14:paraId="184C8E2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灯具</w:t>
            </w:r>
          </w:p>
        </w:tc>
        <w:tc>
          <w:tcPr>
            <w:tcW w:w="3103" w:type="pct"/>
            <w:vAlign w:val="center"/>
          </w:tcPr>
          <w:p w14:paraId="30FE829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开关面板安装不牢固</w:t>
            </w:r>
          </w:p>
        </w:tc>
        <w:tc>
          <w:tcPr>
            <w:tcW w:w="1015" w:type="pct"/>
            <w:vAlign w:val="center"/>
          </w:tcPr>
          <w:p w14:paraId="2CFB638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A0BC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3B0E9B8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612F325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312565C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576743F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开关面板不平整、方正，与墙面有瞎缝</w:t>
            </w:r>
          </w:p>
        </w:tc>
        <w:tc>
          <w:tcPr>
            <w:tcW w:w="1015" w:type="pct"/>
            <w:vAlign w:val="center"/>
          </w:tcPr>
          <w:p w14:paraId="4FF6983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B089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709EA3E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5FE6B79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6741D2A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7B3E096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灯具安装不牢固</w:t>
            </w:r>
          </w:p>
        </w:tc>
        <w:tc>
          <w:tcPr>
            <w:tcW w:w="1015" w:type="pct"/>
            <w:vAlign w:val="center"/>
          </w:tcPr>
          <w:p w14:paraId="03697FB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9101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52B87E0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1FCFF42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6F4FE36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262C612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灯具有缺失，破损现象</w:t>
            </w:r>
          </w:p>
        </w:tc>
        <w:tc>
          <w:tcPr>
            <w:tcW w:w="1015" w:type="pct"/>
            <w:vAlign w:val="center"/>
          </w:tcPr>
          <w:p w14:paraId="446F1C8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571A6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470DF7C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6FADF7C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restart"/>
            <w:vAlign w:val="center"/>
          </w:tcPr>
          <w:p w14:paraId="5208B86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消防箱</w:t>
            </w:r>
          </w:p>
        </w:tc>
        <w:tc>
          <w:tcPr>
            <w:tcW w:w="3103" w:type="pct"/>
            <w:vAlign w:val="center"/>
          </w:tcPr>
          <w:p w14:paraId="4741F41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安装不牢固</w:t>
            </w:r>
          </w:p>
        </w:tc>
        <w:tc>
          <w:tcPr>
            <w:tcW w:w="1015" w:type="pct"/>
            <w:vAlign w:val="center"/>
          </w:tcPr>
          <w:p w14:paraId="0288DED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A780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0257068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05C7AD4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63FE2AC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25B7749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内配不齐全</w:t>
            </w:r>
          </w:p>
        </w:tc>
        <w:tc>
          <w:tcPr>
            <w:tcW w:w="1015" w:type="pct"/>
            <w:vAlign w:val="center"/>
          </w:tcPr>
          <w:p w14:paraId="6AB38F5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17CC8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33C8461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7566A499">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77B0084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62D8B2D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箱门玻璃有破损</w:t>
            </w:r>
          </w:p>
        </w:tc>
        <w:tc>
          <w:tcPr>
            <w:tcW w:w="1015" w:type="pct"/>
            <w:vAlign w:val="center"/>
          </w:tcPr>
          <w:p w14:paraId="14A7FCA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293CC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461418E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7D50B4E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175BB11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55419C2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管道有锈蚀</w:t>
            </w:r>
          </w:p>
        </w:tc>
        <w:tc>
          <w:tcPr>
            <w:tcW w:w="1015" w:type="pct"/>
            <w:vAlign w:val="center"/>
          </w:tcPr>
          <w:p w14:paraId="4F69316B">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4DB31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521A058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34A4A66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restart"/>
            <w:vAlign w:val="center"/>
          </w:tcPr>
          <w:p w14:paraId="5AB8BE7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消防报警</w:t>
            </w:r>
          </w:p>
        </w:tc>
        <w:tc>
          <w:tcPr>
            <w:tcW w:w="3103" w:type="pct"/>
            <w:vAlign w:val="center"/>
          </w:tcPr>
          <w:p w14:paraId="00EB4CF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安全指示灯不亮，有缺失、破损</w:t>
            </w:r>
          </w:p>
        </w:tc>
        <w:tc>
          <w:tcPr>
            <w:tcW w:w="1015" w:type="pct"/>
            <w:vAlign w:val="center"/>
          </w:tcPr>
          <w:p w14:paraId="7D081BB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537D7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3E02048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6C0D4594">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236484F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76D62CA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消防报警器、探测器安装位置及数量不正确；有缺失、破损现象</w:t>
            </w:r>
          </w:p>
        </w:tc>
        <w:tc>
          <w:tcPr>
            <w:tcW w:w="1015" w:type="pct"/>
            <w:vAlign w:val="center"/>
          </w:tcPr>
          <w:p w14:paraId="1616177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35B48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29A023CE">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25F3868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restart"/>
            <w:vAlign w:val="center"/>
          </w:tcPr>
          <w:p w14:paraId="16CB98C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电表箱</w:t>
            </w:r>
          </w:p>
        </w:tc>
        <w:tc>
          <w:tcPr>
            <w:tcW w:w="3103" w:type="pct"/>
            <w:vAlign w:val="center"/>
          </w:tcPr>
          <w:p w14:paraId="39116B3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电表箱固定不牢固</w:t>
            </w:r>
          </w:p>
        </w:tc>
        <w:tc>
          <w:tcPr>
            <w:tcW w:w="1015" w:type="pct"/>
            <w:vAlign w:val="center"/>
          </w:tcPr>
          <w:p w14:paraId="7201911F">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B20C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4CA1844A">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21BC3D9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6996671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046C133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电表箱面漆有损伤</w:t>
            </w:r>
          </w:p>
        </w:tc>
        <w:tc>
          <w:tcPr>
            <w:tcW w:w="1015" w:type="pct"/>
            <w:vAlign w:val="center"/>
          </w:tcPr>
          <w:p w14:paraId="5A424A8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6A416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3151335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017FC46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78F87F88">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3103" w:type="pct"/>
            <w:vAlign w:val="center"/>
          </w:tcPr>
          <w:p w14:paraId="735DBE2C">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电表箱插卡不方便</w:t>
            </w:r>
          </w:p>
        </w:tc>
        <w:tc>
          <w:tcPr>
            <w:tcW w:w="1015" w:type="pct"/>
            <w:vAlign w:val="center"/>
          </w:tcPr>
          <w:p w14:paraId="7596365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5562A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14:paraId="64794AC1">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vAlign w:val="center"/>
          </w:tcPr>
          <w:p w14:paraId="7A7DF9D3">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Align w:val="center"/>
          </w:tcPr>
          <w:p w14:paraId="3213C3E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风口</w:t>
            </w:r>
          </w:p>
        </w:tc>
        <w:tc>
          <w:tcPr>
            <w:tcW w:w="3103" w:type="pct"/>
            <w:vAlign w:val="center"/>
          </w:tcPr>
          <w:p w14:paraId="42B13BF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正压送风百叶有缺失、破损</w:t>
            </w:r>
          </w:p>
        </w:tc>
        <w:tc>
          <w:tcPr>
            <w:tcW w:w="1015" w:type="pct"/>
            <w:vAlign w:val="center"/>
          </w:tcPr>
          <w:p w14:paraId="1298E886">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r w14:paraId="7CEF5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tcPr>
          <w:p w14:paraId="1883FC57">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233" w:type="pct"/>
            <w:vMerge w:val="continue"/>
          </w:tcPr>
          <w:p w14:paraId="27E52955">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c>
          <w:tcPr>
            <w:tcW w:w="0" w:type="auto"/>
            <w:vAlign w:val="center"/>
          </w:tcPr>
          <w:p w14:paraId="056D2450">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标牌</w:t>
            </w:r>
          </w:p>
        </w:tc>
        <w:tc>
          <w:tcPr>
            <w:tcW w:w="3103" w:type="pct"/>
            <w:vAlign w:val="center"/>
          </w:tcPr>
          <w:p w14:paraId="07D5FD2D">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r>
              <w:rPr>
                <w:rFonts w:hint="eastAsia" w:asciiTheme="minorEastAsia" w:hAnsiTheme="minorEastAsia" w:eastAsiaTheme="minorEastAsia"/>
                <w:color w:val="auto"/>
                <w:highlight w:val="none"/>
              </w:rPr>
              <w:t>楼层标牌位置不正确，固定不牢固，有缺失、破损现象</w:t>
            </w:r>
          </w:p>
        </w:tc>
        <w:tc>
          <w:tcPr>
            <w:tcW w:w="1015" w:type="pct"/>
            <w:vAlign w:val="center"/>
          </w:tcPr>
          <w:p w14:paraId="3D5FB5A2">
            <w:pPr>
              <w:keepNext w:val="0"/>
              <w:keepLines w:val="0"/>
              <w:suppressLineNumbers w:val="0"/>
              <w:spacing w:before="0" w:beforeAutospacing="0" w:after="0" w:afterAutospacing="0"/>
              <w:ind w:left="0" w:right="0"/>
              <w:outlineLvl w:val="9"/>
              <w:rPr>
                <w:rFonts w:asciiTheme="minorEastAsia" w:hAnsiTheme="minorEastAsia" w:eastAsiaTheme="minorEastAsia"/>
                <w:color w:val="auto"/>
                <w:highlight w:val="none"/>
              </w:rPr>
            </w:pPr>
          </w:p>
        </w:tc>
      </w:tr>
    </w:tbl>
    <w:p w14:paraId="45F71E9D">
      <w:pPr>
        <w:adjustRightInd w:val="0"/>
        <w:snapToGrid w:val="0"/>
        <w:spacing w:line="360" w:lineRule="auto"/>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b/>
          <w:color w:val="auto"/>
          <w:sz w:val="30"/>
          <w:szCs w:val="30"/>
          <w:highlight w:val="none"/>
        </w:rPr>
        <w:br w:type="page"/>
      </w:r>
      <w:r>
        <w:rPr>
          <w:rFonts w:hint="eastAsia" w:cs="宋体" w:asciiTheme="minorEastAsia" w:hAnsiTheme="minorEastAsia" w:eastAsiaTheme="minorEastAsia"/>
          <w:color w:val="auto"/>
          <w:sz w:val="24"/>
          <w:highlight w:val="none"/>
        </w:rPr>
        <w:t>附件三十</w:t>
      </w:r>
      <w:r>
        <w:rPr>
          <w:rFonts w:hint="eastAsia" w:cs="宋体" w:asciiTheme="minorEastAsia" w:hAnsiTheme="minorEastAsia" w:eastAsiaTheme="minorEastAsia"/>
          <w:color w:val="auto"/>
          <w:sz w:val="24"/>
          <w:highlight w:val="none"/>
          <w:lang w:val="en-US" w:eastAsia="zh-CN"/>
        </w:rPr>
        <w:t>三</w:t>
      </w:r>
      <w:r>
        <w:rPr>
          <w:rFonts w:hint="eastAsia" w:cs="宋体" w:asciiTheme="minorEastAsia" w:hAnsiTheme="minorEastAsia" w:eastAsiaTheme="minorEastAsia"/>
          <w:color w:val="auto"/>
          <w:sz w:val="24"/>
          <w:highlight w:val="none"/>
        </w:rPr>
        <w:t>：</w:t>
      </w:r>
    </w:p>
    <w:p w14:paraId="4AD7B2AC">
      <w:pPr>
        <w:adjustRightInd w:val="0"/>
        <w:snapToGrid w:val="0"/>
        <w:spacing w:line="360" w:lineRule="auto"/>
        <w:jc w:val="center"/>
        <w:outlineLvl w:val="9"/>
        <w:rPr>
          <w:rFonts w:cs="宋体" w:asciiTheme="minorEastAsia" w:hAnsiTheme="minorEastAsia" w:eastAsiaTheme="minorEastAsia"/>
          <w:b/>
          <w:color w:val="auto"/>
          <w:sz w:val="32"/>
          <w:szCs w:val="32"/>
          <w:highlight w:val="none"/>
        </w:rPr>
      </w:pPr>
      <w:r>
        <w:rPr>
          <w:rFonts w:hint="eastAsia" w:cs="宋体" w:asciiTheme="minorEastAsia" w:hAnsiTheme="minorEastAsia" w:eastAsiaTheme="minorEastAsia"/>
          <w:b/>
          <w:color w:val="auto"/>
          <w:sz w:val="32"/>
          <w:szCs w:val="32"/>
          <w:highlight w:val="none"/>
        </w:rPr>
        <w:t>实测实量指引</w:t>
      </w:r>
    </w:p>
    <w:p w14:paraId="4FF09F6B">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前言</w:t>
      </w:r>
    </w:p>
    <w:p w14:paraId="202EDB73">
      <w:pPr>
        <w:adjustRightInd w:val="0"/>
        <w:snapToGrid w:val="0"/>
        <w:spacing w:line="360" w:lineRule="auto"/>
        <w:ind w:firstLine="630" w:firstLineChars="3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此次推出的《实测实量操作细则》是对原《实测实量验收工作规程》中相关实测实量工作的补充和改进，使实测实量工作更加具备实用性、操作性。</w:t>
      </w:r>
    </w:p>
    <w:p w14:paraId="38183D5B">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一、编制原则</w:t>
      </w:r>
    </w:p>
    <w:p w14:paraId="0872FC09">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1.</w:t>
      </w:r>
      <w:r>
        <w:rPr>
          <w:rFonts w:hint="eastAsia" w:cs="宋体" w:asciiTheme="minorEastAsia" w:hAnsiTheme="minorEastAsia" w:eastAsiaTheme="minorEastAsia"/>
          <w:b/>
          <w:color w:val="auto"/>
          <w:sz w:val="21"/>
          <w:szCs w:val="21"/>
          <w:highlight w:val="none"/>
        </w:rPr>
        <w:tab/>
      </w:r>
      <w:r>
        <w:rPr>
          <w:rFonts w:hint="eastAsia" w:cs="宋体" w:asciiTheme="minorEastAsia" w:hAnsiTheme="minorEastAsia" w:eastAsiaTheme="minorEastAsia"/>
          <w:b/>
          <w:color w:val="auto"/>
          <w:sz w:val="21"/>
          <w:szCs w:val="21"/>
          <w:highlight w:val="none"/>
        </w:rPr>
        <w:t>目的</w:t>
      </w:r>
    </w:p>
    <w:p w14:paraId="23297105">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1.1    规范工程质量实测实量过程中的程序、取样方法、测量操作、数据处理等具体步骤和要求。</w:t>
      </w:r>
    </w:p>
    <w:p w14:paraId="4110A0F0">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1.2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规范工程质量实测实量的操作方法，尽可能消除人为操作引起的偏差。</w:t>
      </w:r>
    </w:p>
    <w:p w14:paraId="42FDEAFB">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2.</w:t>
      </w:r>
      <w:r>
        <w:rPr>
          <w:rFonts w:hint="eastAsia" w:cs="宋体" w:asciiTheme="minorEastAsia" w:hAnsiTheme="minorEastAsia" w:eastAsiaTheme="minorEastAsia"/>
          <w:b/>
          <w:color w:val="auto"/>
          <w:sz w:val="21"/>
          <w:szCs w:val="21"/>
          <w:highlight w:val="none"/>
        </w:rPr>
        <w:tab/>
      </w:r>
      <w:r>
        <w:rPr>
          <w:rFonts w:hint="eastAsia" w:cs="宋体" w:asciiTheme="minorEastAsia" w:hAnsiTheme="minorEastAsia" w:eastAsiaTheme="minorEastAsia"/>
          <w:b/>
          <w:color w:val="auto"/>
          <w:sz w:val="21"/>
          <w:szCs w:val="21"/>
          <w:highlight w:val="none"/>
        </w:rPr>
        <w:t>适用范围</w:t>
      </w:r>
    </w:p>
    <w:p w14:paraId="1B19BE30">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本指引适用于经发地产所有在建工程项目（包括开发项目以及代建项目）。</w:t>
      </w:r>
    </w:p>
    <w:p w14:paraId="04396656">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各单位应根据本指引执行实测实量细则；施工单位应按分户对所有实测区进行100%实测实量并建立分户/分层实测档案；项目部组织、指导监理公司对施工单位实测数据100%进行复测并督促整改；工程管理部对每栋楼按不低于30%的比例进行检查及考核验收。</w:t>
      </w:r>
    </w:p>
    <w:p w14:paraId="35A5B204">
      <w:pPr>
        <w:tabs>
          <w:tab w:val="left" w:pos="380"/>
        </w:tabs>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3.</w:t>
      </w:r>
      <w:r>
        <w:rPr>
          <w:rFonts w:hint="eastAsia" w:cs="宋体" w:asciiTheme="minorEastAsia" w:hAnsiTheme="minorEastAsia" w:eastAsiaTheme="minorEastAsia"/>
          <w:b/>
          <w:color w:val="auto"/>
          <w:sz w:val="21"/>
          <w:szCs w:val="21"/>
          <w:highlight w:val="none"/>
        </w:rPr>
        <w:tab/>
      </w:r>
      <w:r>
        <w:rPr>
          <w:rFonts w:hint="eastAsia" w:cs="宋体" w:asciiTheme="minorEastAsia" w:hAnsiTheme="minorEastAsia" w:eastAsiaTheme="minorEastAsia"/>
          <w:b/>
          <w:color w:val="auto"/>
          <w:sz w:val="21"/>
          <w:szCs w:val="21"/>
          <w:highlight w:val="none"/>
        </w:rPr>
        <w:t>取样总则</w:t>
      </w:r>
    </w:p>
    <w:p w14:paraId="5557BEB9">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3.1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随机原则：各实测取样的楼栋、楼层、房间、测点等，必须结合当前各标段的施工进度，通过图纸或随机抽样事前确定。</w:t>
      </w:r>
    </w:p>
    <w:p w14:paraId="3E93C91A">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3.2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可追溯原则：对实测实量的各项目标段结构层或房间的具体楼栋号、房号做好书面记录并存档。</w:t>
      </w:r>
    </w:p>
    <w:p w14:paraId="19595C00">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3.3    完整原则：同一分部工程内所有分项实测指标，根据现场情况具备条件的必须全部进行实测，不能有遗漏。</w:t>
      </w:r>
    </w:p>
    <w:p w14:paraId="5A458F65">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3.4    效率原则：在选取实测套房时，要充分考虑各分部分项的实测指标的可测性，使一套房包括尽可能多的实测指标，以提高实测效率。</w:t>
      </w:r>
    </w:p>
    <w:p w14:paraId="7B2BB9A4">
      <w:pPr>
        <w:tabs>
          <w:tab w:val="left" w:pos="380"/>
        </w:tabs>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4.</w:t>
      </w:r>
      <w:r>
        <w:rPr>
          <w:rFonts w:hint="eastAsia" w:cs="宋体" w:asciiTheme="minorEastAsia" w:hAnsiTheme="minorEastAsia" w:eastAsiaTheme="minorEastAsia"/>
          <w:b/>
          <w:color w:val="auto"/>
          <w:sz w:val="21"/>
          <w:szCs w:val="21"/>
          <w:highlight w:val="none"/>
        </w:rPr>
        <w:tab/>
      </w:r>
      <w:r>
        <w:rPr>
          <w:rFonts w:hint="eastAsia" w:cs="宋体" w:asciiTheme="minorEastAsia" w:hAnsiTheme="minorEastAsia" w:eastAsiaTheme="minorEastAsia"/>
          <w:b/>
          <w:color w:val="auto"/>
          <w:sz w:val="21"/>
          <w:szCs w:val="21"/>
          <w:highlight w:val="none"/>
        </w:rPr>
        <w:t>要求：</w:t>
      </w:r>
    </w:p>
    <w:p w14:paraId="6C19860F">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施工单位、监理单位+项目部、工程管理部形成三级检查体系。</w:t>
      </w:r>
    </w:p>
    <w:p w14:paraId="09007E60">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人员组成、检查比例等具体如表：</w:t>
      </w:r>
    </w:p>
    <w:tbl>
      <w:tblPr>
        <w:tblStyle w:val="56"/>
        <w:tblW w:w="0" w:type="auto"/>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09"/>
        <w:gridCol w:w="1014"/>
        <w:gridCol w:w="806"/>
        <w:gridCol w:w="1017"/>
        <w:gridCol w:w="959"/>
        <w:gridCol w:w="1770"/>
        <w:gridCol w:w="1096"/>
        <w:gridCol w:w="1807"/>
      </w:tblGrid>
      <w:tr w14:paraId="5C45B9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709" w:type="dxa"/>
            <w:vAlign w:val="center"/>
          </w:tcPr>
          <w:p w14:paraId="1D5C7E8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级别</w:t>
            </w:r>
          </w:p>
        </w:tc>
        <w:tc>
          <w:tcPr>
            <w:tcW w:w="1014" w:type="dxa"/>
            <w:vAlign w:val="center"/>
          </w:tcPr>
          <w:p w14:paraId="55F1382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组别</w:t>
            </w:r>
          </w:p>
        </w:tc>
        <w:tc>
          <w:tcPr>
            <w:tcW w:w="806" w:type="dxa"/>
            <w:vAlign w:val="center"/>
          </w:tcPr>
          <w:p w14:paraId="206528F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检查人员</w:t>
            </w:r>
          </w:p>
        </w:tc>
        <w:tc>
          <w:tcPr>
            <w:tcW w:w="1017" w:type="dxa"/>
            <w:vAlign w:val="center"/>
          </w:tcPr>
          <w:p w14:paraId="774F78B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检查比例</w:t>
            </w:r>
          </w:p>
        </w:tc>
        <w:tc>
          <w:tcPr>
            <w:tcW w:w="959" w:type="dxa"/>
            <w:vAlign w:val="center"/>
          </w:tcPr>
          <w:p w14:paraId="2C7165A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检查频率</w:t>
            </w:r>
          </w:p>
        </w:tc>
        <w:tc>
          <w:tcPr>
            <w:tcW w:w="1770" w:type="dxa"/>
            <w:vAlign w:val="center"/>
          </w:tcPr>
          <w:p w14:paraId="12AFF1D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对实测结果处理</w:t>
            </w:r>
          </w:p>
        </w:tc>
        <w:tc>
          <w:tcPr>
            <w:tcW w:w="1096" w:type="dxa"/>
            <w:vAlign w:val="center"/>
          </w:tcPr>
          <w:p w14:paraId="433C255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实测结果发挥的作用</w:t>
            </w:r>
          </w:p>
        </w:tc>
        <w:tc>
          <w:tcPr>
            <w:tcW w:w="1807" w:type="dxa"/>
            <w:vAlign w:val="center"/>
          </w:tcPr>
          <w:p w14:paraId="69B1A30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备注</w:t>
            </w:r>
          </w:p>
        </w:tc>
      </w:tr>
      <w:tr w14:paraId="240510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709" w:type="dxa"/>
            <w:vAlign w:val="center"/>
          </w:tcPr>
          <w:p w14:paraId="14DC780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一级</w:t>
            </w:r>
          </w:p>
        </w:tc>
        <w:tc>
          <w:tcPr>
            <w:tcW w:w="1014" w:type="dxa"/>
            <w:vAlign w:val="center"/>
          </w:tcPr>
          <w:p w14:paraId="07481CF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施工单位</w:t>
            </w:r>
          </w:p>
        </w:tc>
        <w:tc>
          <w:tcPr>
            <w:tcW w:w="806" w:type="dxa"/>
            <w:vAlign w:val="center"/>
          </w:tcPr>
          <w:p w14:paraId="2BBFA1F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承建商</w:t>
            </w:r>
          </w:p>
        </w:tc>
        <w:tc>
          <w:tcPr>
            <w:tcW w:w="1017" w:type="dxa"/>
            <w:vAlign w:val="center"/>
          </w:tcPr>
          <w:p w14:paraId="5E029D5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要求</w:t>
            </w:r>
            <w:r>
              <w:rPr>
                <w:rFonts w:hint="eastAsia" w:cs="宋体" w:asciiTheme="minorEastAsia" w:hAnsiTheme="minorEastAsia" w:eastAsiaTheme="minorEastAsia"/>
                <w:b/>
                <w:color w:val="auto"/>
                <w:sz w:val="21"/>
                <w:szCs w:val="21"/>
                <w:highlight w:val="none"/>
              </w:rPr>
              <w:t>100%</w:t>
            </w:r>
            <w:r>
              <w:rPr>
                <w:rFonts w:hint="eastAsia" w:cs="宋体" w:asciiTheme="minorEastAsia" w:hAnsiTheme="minorEastAsia" w:eastAsiaTheme="minorEastAsia"/>
                <w:color w:val="auto"/>
                <w:sz w:val="21"/>
                <w:szCs w:val="21"/>
                <w:highlight w:val="none"/>
              </w:rPr>
              <w:t>实测实量</w:t>
            </w:r>
          </w:p>
        </w:tc>
        <w:tc>
          <w:tcPr>
            <w:tcW w:w="959" w:type="dxa"/>
            <w:vAlign w:val="center"/>
          </w:tcPr>
          <w:p w14:paraId="4FB442A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根据施工进度及时实测</w:t>
            </w:r>
          </w:p>
        </w:tc>
        <w:tc>
          <w:tcPr>
            <w:tcW w:w="1770" w:type="dxa"/>
            <w:vAlign w:val="center"/>
          </w:tcPr>
          <w:p w14:paraId="7D82B5A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建立分户/分层实测档案并对问题部位整改，及时反馈实测结果给项目部实测小组</w:t>
            </w:r>
          </w:p>
        </w:tc>
        <w:tc>
          <w:tcPr>
            <w:tcW w:w="1096" w:type="dxa"/>
            <w:vAlign w:val="center"/>
          </w:tcPr>
          <w:p w14:paraId="5A42112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发现问题并整改，规避类似问题</w:t>
            </w:r>
          </w:p>
        </w:tc>
        <w:tc>
          <w:tcPr>
            <w:tcW w:w="1807" w:type="dxa"/>
            <w:vAlign w:val="center"/>
          </w:tcPr>
          <w:p w14:paraId="4E9AC70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属于日常自查</w:t>
            </w:r>
          </w:p>
        </w:tc>
      </w:tr>
      <w:tr w14:paraId="1A27E7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709" w:type="dxa"/>
            <w:vAlign w:val="center"/>
          </w:tcPr>
          <w:p w14:paraId="475CE6F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二级</w:t>
            </w:r>
          </w:p>
        </w:tc>
        <w:tc>
          <w:tcPr>
            <w:tcW w:w="1014" w:type="dxa"/>
            <w:vAlign w:val="center"/>
          </w:tcPr>
          <w:p w14:paraId="259D6EB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项目部实测小组</w:t>
            </w:r>
          </w:p>
        </w:tc>
        <w:tc>
          <w:tcPr>
            <w:tcW w:w="806" w:type="dxa"/>
            <w:vAlign w:val="center"/>
          </w:tcPr>
          <w:p w14:paraId="71AACC22">
            <w:pPr>
              <w:keepNext w:val="0"/>
              <w:keepLines w:val="0"/>
              <w:suppressLineNumbers w:val="0"/>
              <w:autoSpaceDE w:val="0"/>
              <w:autoSpaceDN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监理单位</w:t>
            </w:r>
          </w:p>
          <w:p w14:paraId="62031AF4">
            <w:pPr>
              <w:keepNext w:val="0"/>
              <w:keepLines w:val="0"/>
              <w:suppressLineNumbers w:val="0"/>
              <w:autoSpaceDE w:val="0"/>
              <w:autoSpaceDN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w:t>
            </w:r>
          </w:p>
          <w:p w14:paraId="2FF3CEB0">
            <w:pPr>
              <w:keepNext w:val="0"/>
              <w:keepLines w:val="0"/>
              <w:suppressLineNumbers w:val="0"/>
              <w:autoSpaceDE w:val="0"/>
              <w:autoSpaceDN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kern w:val="0"/>
                <w:sz w:val="21"/>
                <w:szCs w:val="21"/>
                <w:highlight w:val="none"/>
              </w:rPr>
              <w:t>项目部工程师</w:t>
            </w:r>
          </w:p>
        </w:tc>
        <w:tc>
          <w:tcPr>
            <w:tcW w:w="1017" w:type="dxa"/>
            <w:vAlign w:val="center"/>
          </w:tcPr>
          <w:p w14:paraId="115BCAA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要求</w:t>
            </w:r>
            <w:r>
              <w:rPr>
                <w:rFonts w:hint="eastAsia" w:cs="宋体" w:asciiTheme="minorEastAsia" w:hAnsiTheme="minorEastAsia" w:eastAsiaTheme="minorEastAsia"/>
                <w:b/>
                <w:color w:val="auto"/>
                <w:sz w:val="21"/>
                <w:szCs w:val="21"/>
                <w:highlight w:val="none"/>
              </w:rPr>
              <w:t>100%</w:t>
            </w:r>
            <w:r>
              <w:rPr>
                <w:rFonts w:hint="eastAsia" w:cs="宋体" w:asciiTheme="minorEastAsia" w:hAnsiTheme="minorEastAsia" w:eastAsiaTheme="minorEastAsia"/>
                <w:color w:val="auto"/>
                <w:sz w:val="21"/>
                <w:szCs w:val="21"/>
                <w:highlight w:val="none"/>
              </w:rPr>
              <w:t>实测实量</w:t>
            </w:r>
          </w:p>
        </w:tc>
        <w:tc>
          <w:tcPr>
            <w:tcW w:w="959" w:type="dxa"/>
            <w:vAlign w:val="center"/>
          </w:tcPr>
          <w:p w14:paraId="6B8B900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根据施工进度及时实测</w:t>
            </w:r>
          </w:p>
        </w:tc>
        <w:tc>
          <w:tcPr>
            <w:tcW w:w="1770" w:type="dxa"/>
            <w:vAlign w:val="center"/>
          </w:tcPr>
          <w:p w14:paraId="74AFB3D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①监理单位及时将实测数据反馈到一线班组、督促整改②监理单位及时上报实测数据至项目部，以供各项目监控质量</w:t>
            </w:r>
          </w:p>
        </w:tc>
        <w:tc>
          <w:tcPr>
            <w:tcW w:w="1096" w:type="dxa"/>
            <w:vAlign w:val="center"/>
          </w:tcPr>
          <w:p w14:paraId="1D02724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发现问题并督促施工单位整改，要求施工单位采取措施规避类似的问题</w:t>
            </w:r>
          </w:p>
        </w:tc>
        <w:tc>
          <w:tcPr>
            <w:tcW w:w="1807" w:type="dxa"/>
            <w:vAlign w:val="center"/>
          </w:tcPr>
          <w:p w14:paraId="0B248D1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①属于日常检查②具体的实测操作及数据的整理由监理负责，项目部指定技术负责人领导监理实测小组，具体负责监督、指导监理实测</w:t>
            </w:r>
          </w:p>
        </w:tc>
      </w:tr>
      <w:tr w14:paraId="2410C5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709" w:type="dxa"/>
            <w:vAlign w:val="center"/>
          </w:tcPr>
          <w:p w14:paraId="0A4B6B5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三级</w:t>
            </w:r>
          </w:p>
        </w:tc>
        <w:tc>
          <w:tcPr>
            <w:tcW w:w="1014" w:type="dxa"/>
            <w:vAlign w:val="center"/>
          </w:tcPr>
          <w:p w14:paraId="547031F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工程管理部</w:t>
            </w:r>
          </w:p>
        </w:tc>
        <w:tc>
          <w:tcPr>
            <w:tcW w:w="806" w:type="dxa"/>
            <w:vAlign w:val="center"/>
          </w:tcPr>
          <w:p w14:paraId="3E6D423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各工程主管</w:t>
            </w:r>
          </w:p>
        </w:tc>
        <w:tc>
          <w:tcPr>
            <w:tcW w:w="1017" w:type="dxa"/>
            <w:vAlign w:val="center"/>
          </w:tcPr>
          <w:p w14:paraId="1AD859D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各标段楼栋按</w:t>
            </w:r>
            <w:r>
              <w:rPr>
                <w:rFonts w:hint="eastAsia" w:cs="宋体" w:asciiTheme="minorEastAsia" w:hAnsiTheme="minorEastAsia" w:eastAsiaTheme="minorEastAsia"/>
                <w:b/>
                <w:color w:val="auto"/>
                <w:sz w:val="21"/>
                <w:szCs w:val="21"/>
                <w:highlight w:val="none"/>
              </w:rPr>
              <w:t>30%</w:t>
            </w:r>
            <w:r>
              <w:rPr>
                <w:rFonts w:hint="eastAsia" w:cs="宋体" w:asciiTheme="minorEastAsia" w:hAnsiTheme="minorEastAsia" w:eastAsiaTheme="minorEastAsia"/>
                <w:color w:val="auto"/>
                <w:sz w:val="21"/>
                <w:szCs w:val="21"/>
                <w:highlight w:val="none"/>
              </w:rPr>
              <w:t>比例进行实测实量</w:t>
            </w:r>
          </w:p>
        </w:tc>
        <w:tc>
          <w:tcPr>
            <w:tcW w:w="959" w:type="dxa"/>
            <w:vAlign w:val="center"/>
          </w:tcPr>
          <w:p w14:paraId="6DCBD90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根据施工进度及时实测</w:t>
            </w:r>
          </w:p>
        </w:tc>
        <w:tc>
          <w:tcPr>
            <w:tcW w:w="1770" w:type="dxa"/>
            <w:vAlign w:val="center"/>
          </w:tcPr>
          <w:p w14:paraId="2BC3C67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实测结果作为对项目部进行质量检查项，并作为节点考核验收打分标准之一</w:t>
            </w:r>
          </w:p>
        </w:tc>
        <w:tc>
          <w:tcPr>
            <w:tcW w:w="1096" w:type="dxa"/>
            <w:vAlign w:val="center"/>
          </w:tcPr>
          <w:p w14:paraId="07B3BF1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实测结果反映到实测保障体系</w:t>
            </w:r>
          </w:p>
        </w:tc>
        <w:tc>
          <w:tcPr>
            <w:tcW w:w="1807" w:type="dxa"/>
            <w:vAlign w:val="center"/>
          </w:tcPr>
          <w:p w14:paraId="24E14EC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属于对项目部的日常检查及节点考核依据</w:t>
            </w:r>
          </w:p>
        </w:tc>
      </w:tr>
    </w:tbl>
    <w:p w14:paraId="205D2A2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备注：</w:t>
      </w:r>
    </w:p>
    <w:p w14:paraId="515EF2D3">
      <w:pPr>
        <w:adjustRightInd w:val="0"/>
        <w:snapToGrid w:val="0"/>
        <w:spacing w:line="360" w:lineRule="auto"/>
        <w:ind w:left="840" w:leftChars="4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现场数据记录等要建立“三位一体”模式：实测记录表格要与实测平面专用图、现场实测数据统一标注形式三者相结合使用。</w:t>
      </w:r>
    </w:p>
    <w:p w14:paraId="0C4834EF">
      <w:pPr>
        <w:adjustRightInd w:val="0"/>
        <w:snapToGrid w:val="0"/>
        <w:spacing w:line="48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二、</w:t>
      </w:r>
      <w:r>
        <w:rPr>
          <w:rFonts w:hint="eastAsia" w:cs="宋体" w:asciiTheme="minorEastAsia" w:hAnsiTheme="minorEastAsia" w:eastAsiaTheme="minorEastAsia"/>
          <w:b/>
          <w:color w:val="auto"/>
          <w:sz w:val="21"/>
          <w:szCs w:val="21"/>
          <w:highlight w:val="none"/>
        </w:rPr>
        <w:tab/>
      </w:r>
      <w:r>
        <w:rPr>
          <w:rFonts w:hint="eastAsia" w:cs="宋体" w:asciiTheme="minorEastAsia" w:hAnsiTheme="minorEastAsia" w:eastAsiaTheme="minorEastAsia"/>
          <w:b/>
          <w:color w:val="auto"/>
          <w:sz w:val="21"/>
          <w:szCs w:val="21"/>
          <w:highlight w:val="none"/>
        </w:rPr>
        <w:t>实测内容</w:t>
      </w:r>
    </w:p>
    <w:p w14:paraId="1C03FA55">
      <w:pPr>
        <w:adjustRightInd w:val="0"/>
        <w:snapToGrid w:val="0"/>
        <w:spacing w:line="48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1</w:t>
      </w:r>
      <w:r>
        <w:rPr>
          <w:rFonts w:hint="eastAsia" w:cs="宋体" w:asciiTheme="minorEastAsia" w:hAnsiTheme="minorEastAsia" w:eastAsiaTheme="minorEastAsia"/>
          <w:b/>
          <w:color w:val="auto"/>
          <w:sz w:val="21"/>
          <w:szCs w:val="21"/>
          <w:highlight w:val="none"/>
        </w:rPr>
        <w:tab/>
      </w:r>
      <w:r>
        <w:rPr>
          <w:rFonts w:hint="eastAsia" w:cs="宋体" w:asciiTheme="minorEastAsia" w:hAnsiTheme="minorEastAsia" w:eastAsiaTheme="minorEastAsia"/>
          <w:b/>
          <w:color w:val="auto"/>
          <w:sz w:val="21"/>
          <w:szCs w:val="21"/>
          <w:highlight w:val="none"/>
        </w:rPr>
        <w:t>主体结构施工阶段</w:t>
      </w:r>
    </w:p>
    <w:p w14:paraId="1E82313C">
      <w:pPr>
        <w:adjustRightInd w:val="0"/>
        <w:snapToGrid w:val="0"/>
        <w:spacing w:line="48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 xml:space="preserve">1.1 </w:t>
      </w:r>
      <w:r>
        <w:rPr>
          <w:rFonts w:hint="eastAsia" w:cs="宋体" w:asciiTheme="minorEastAsia" w:hAnsiTheme="minorEastAsia" w:eastAsiaTheme="minorEastAsia"/>
          <w:b/>
          <w:color w:val="auto"/>
          <w:sz w:val="21"/>
          <w:szCs w:val="21"/>
          <w:highlight w:val="none"/>
        </w:rPr>
        <w:tab/>
      </w:r>
      <w:r>
        <w:rPr>
          <w:rFonts w:hint="eastAsia" w:cs="宋体" w:asciiTheme="minorEastAsia" w:hAnsiTheme="minorEastAsia" w:eastAsiaTheme="minorEastAsia"/>
          <w:b/>
          <w:color w:val="auto"/>
          <w:sz w:val="21"/>
          <w:szCs w:val="21"/>
          <w:highlight w:val="none"/>
        </w:rPr>
        <w:t>基本原则</w:t>
      </w:r>
    </w:p>
    <w:p w14:paraId="4810B98D">
      <w:pPr>
        <w:adjustRightInd w:val="0"/>
        <w:snapToGrid w:val="0"/>
        <w:spacing w:line="48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1.1.1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根据各楼栋进度，在实测前随机确定已拆完模板的楼层分别作为混凝土结构工程的实测层。</w:t>
      </w:r>
    </w:p>
    <w:p w14:paraId="2BCB09D5">
      <w:pPr>
        <w:adjustRightInd w:val="0"/>
        <w:snapToGrid w:val="0"/>
        <w:spacing w:line="48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 xml:space="preserve">1.2 </w:t>
      </w:r>
      <w:r>
        <w:rPr>
          <w:rFonts w:hint="eastAsia" w:cs="宋体" w:asciiTheme="minorEastAsia" w:hAnsiTheme="minorEastAsia" w:eastAsiaTheme="minorEastAsia"/>
          <w:b/>
          <w:color w:val="auto"/>
          <w:sz w:val="21"/>
          <w:szCs w:val="21"/>
          <w:highlight w:val="none"/>
        </w:rPr>
        <w:tab/>
      </w:r>
      <w:r>
        <w:rPr>
          <w:rFonts w:hint="eastAsia" w:cs="宋体" w:asciiTheme="minorEastAsia" w:hAnsiTheme="minorEastAsia" w:eastAsiaTheme="minorEastAsia"/>
          <w:b/>
          <w:color w:val="auto"/>
          <w:sz w:val="21"/>
          <w:szCs w:val="21"/>
          <w:highlight w:val="none"/>
        </w:rPr>
        <w:t>截面尺寸偏差</w:t>
      </w:r>
    </w:p>
    <w:p w14:paraId="08A24851">
      <w:pPr>
        <w:adjustRightInd w:val="0"/>
        <w:snapToGrid w:val="0"/>
        <w:spacing w:line="48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1.2.1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指标说明：反映层高范围内剪力墙厚度、柱尺寸的偏差。</w:t>
      </w:r>
    </w:p>
    <w:p w14:paraId="51753F46">
      <w:pPr>
        <w:adjustRightInd w:val="0"/>
        <w:snapToGrid w:val="0"/>
        <w:spacing w:line="48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1.2.2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允许偏差值要求：现浇墙、柱、梁结构尺寸允许偏差为：+8mm、-5mm。超过该允许偏差记为不合格。</w:t>
      </w:r>
    </w:p>
    <w:p w14:paraId="2B597207">
      <w:pPr>
        <w:adjustRightInd w:val="0"/>
        <w:snapToGrid w:val="0"/>
        <w:spacing w:line="48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1.2.3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测量工具：钢卷尺</w:t>
      </w:r>
    </w:p>
    <w:p w14:paraId="14142F39">
      <w:pPr>
        <w:adjustRightInd w:val="0"/>
        <w:snapToGrid w:val="0"/>
        <w:spacing w:line="48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1.2.4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测量方法和数据记录</w:t>
      </w:r>
    </w:p>
    <w:p w14:paraId="692C2534">
      <w:pPr>
        <w:adjustRightInd w:val="0"/>
        <w:snapToGrid w:val="0"/>
        <w:spacing w:line="48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以钢卷尺测量同一面墙/柱截面尺寸，精确至毫米。</w:t>
      </w:r>
    </w:p>
    <w:p w14:paraId="4A08E490">
      <w:pPr>
        <w:adjustRightInd w:val="0"/>
        <w:snapToGrid w:val="0"/>
        <w:spacing w:line="48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（2）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同一墙/柱面作为1个实测区。每个实测区从地面向上300mm 和1500mm各测量截面尺寸1次，选取其中与设计尺寸偏差最大的数，作为判断该实测指标合格率的1个计算点。</w:t>
      </w:r>
    </w:p>
    <w:p w14:paraId="258799EA">
      <w:pPr>
        <w:adjustRightInd w:val="0"/>
        <w:snapToGrid w:val="0"/>
        <w:spacing w:line="48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1.2.5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示例：</w:t>
      </w:r>
    </w:p>
    <w:p w14:paraId="095C5F43">
      <w:pPr>
        <w:adjustRightInd w:val="0"/>
        <w:snapToGrid w:val="0"/>
        <w:spacing w:line="360" w:lineRule="auto"/>
        <w:outlineLvl w:val="9"/>
        <w:rPr>
          <w:rFonts w:cs="宋体" w:asciiTheme="minorEastAsia" w:hAnsiTheme="minorEastAsia" w:eastAsiaTheme="minorEastAsia"/>
          <w:color w:val="auto"/>
          <w:sz w:val="24"/>
          <w:highlight w:val="none"/>
        </w:rPr>
      </w:pPr>
      <w:r>
        <w:rPr>
          <w:rFonts w:cs="宋体" w:asciiTheme="minorEastAsia" w:hAnsiTheme="minorEastAsia" w:eastAsiaTheme="minorEastAsia"/>
          <w:color w:val="auto"/>
          <w:sz w:val="24"/>
          <w:highlight w:val="none"/>
        </w:rPr>
        <mc:AlternateContent>
          <mc:Choice Requires="wpg">
            <w:drawing>
              <wp:inline distT="0" distB="0" distL="114300" distR="114300">
                <wp:extent cx="3823335" cy="2971165"/>
                <wp:effectExtent l="0" t="0" r="0" b="0"/>
                <wp:docPr id="174" name="组合 2505"/>
                <wp:cNvGraphicFramePr/>
                <a:graphic xmlns:a="http://schemas.openxmlformats.org/drawingml/2006/main">
                  <a:graphicData uri="http://schemas.microsoft.com/office/word/2010/wordprocessingGroup">
                    <wpg:wgp>
                      <wpg:cNvGrpSpPr/>
                      <wpg:grpSpPr>
                        <a:xfrm>
                          <a:off x="0" y="0"/>
                          <a:ext cx="3823335" cy="2971165"/>
                          <a:chOff x="0" y="0"/>
                          <a:chExt cx="6098" cy="5061"/>
                        </a:xfrm>
                      </wpg:grpSpPr>
                      <wpg:grpSp>
                        <wpg:cNvPr id="172" name="组合 2506"/>
                        <wpg:cNvGrpSpPr/>
                        <wpg:grpSpPr>
                          <a:xfrm>
                            <a:off x="0" y="0"/>
                            <a:ext cx="3884" cy="4410"/>
                            <a:chOff x="0" y="0"/>
                            <a:chExt cx="3884" cy="4410"/>
                          </a:xfrm>
                        </wpg:grpSpPr>
                        <wps:wsp>
                          <wps:cNvPr id="159" name="自选图形 2507"/>
                          <wps:cNvSpPr/>
                          <wps:spPr>
                            <a:xfrm flipH="1">
                              <a:off x="1558" y="0"/>
                              <a:ext cx="1080" cy="4368"/>
                            </a:xfrm>
                            <a:prstGeom prst="cube">
                              <a:avLst>
                                <a:gd name="adj" fmla="val 25000"/>
                              </a:avLst>
                            </a:prstGeom>
                            <a:solidFill>
                              <a:srgbClr val="FFFFFF"/>
                            </a:solidFill>
                            <a:ln w="9525" cap="flat" cmpd="sng">
                              <a:solidFill>
                                <a:srgbClr val="000000"/>
                              </a:solidFill>
                              <a:prstDash val="solid"/>
                              <a:miter/>
                              <a:headEnd type="none" w="med" len="med"/>
                              <a:tailEnd type="none" w="med" len="med"/>
                            </a:ln>
                          </wps:spPr>
                          <wps:bodyPr upright="1"/>
                        </wps:wsp>
                        <wps:wsp>
                          <wps:cNvPr id="160" name="直线 2508"/>
                          <wps:cNvCnPr/>
                          <wps:spPr>
                            <a:xfrm>
                              <a:off x="1830" y="3807"/>
                              <a:ext cx="810" cy="0"/>
                            </a:xfrm>
                            <a:prstGeom prst="line">
                              <a:avLst/>
                            </a:prstGeom>
                            <a:ln w="31750" cap="flat" cmpd="sng">
                              <a:solidFill>
                                <a:srgbClr val="FF0000"/>
                              </a:solidFill>
                              <a:prstDash val="solid"/>
                              <a:headEnd type="triangle" w="med" len="med"/>
                              <a:tailEnd type="triangle" w="med" len="med"/>
                            </a:ln>
                          </wps:spPr>
                          <wps:bodyPr upright="1"/>
                        </wps:wsp>
                        <wps:wsp>
                          <wps:cNvPr id="161" name="直线 2509"/>
                          <wps:cNvCnPr/>
                          <wps:spPr>
                            <a:xfrm>
                              <a:off x="1830" y="2280"/>
                              <a:ext cx="810" cy="0"/>
                            </a:xfrm>
                            <a:prstGeom prst="line">
                              <a:avLst/>
                            </a:prstGeom>
                            <a:ln w="31750" cap="flat" cmpd="sng">
                              <a:solidFill>
                                <a:srgbClr val="FF0000"/>
                              </a:solidFill>
                              <a:prstDash val="solid"/>
                              <a:headEnd type="triangle" w="med" len="med"/>
                              <a:tailEnd type="triangle" w="med" len="med"/>
                            </a:ln>
                          </wps:spPr>
                          <wps:bodyPr upright="1"/>
                        </wps:wsp>
                        <wps:wsp>
                          <wps:cNvPr id="162" name="文本框 2510"/>
                          <wps:cNvSpPr txBox="1"/>
                          <wps:spPr>
                            <a:xfrm>
                              <a:off x="2750" y="2127"/>
                              <a:ext cx="1034" cy="390"/>
                            </a:xfrm>
                            <a:prstGeom prst="rect">
                              <a:avLst/>
                            </a:prstGeom>
                            <a:noFill/>
                            <a:ln>
                              <a:noFill/>
                            </a:ln>
                          </wps:spPr>
                          <wps:txbx>
                            <w:txbxContent>
                              <w:p w14:paraId="21B7D9E8">
                                <w:r>
                                  <w:rPr>
                                    <w:rFonts w:hint="eastAsia"/>
                                  </w:rPr>
                                  <w:t>第二尺</w:t>
                                </w:r>
                              </w:p>
                            </w:txbxContent>
                          </wps:txbx>
                          <wps:bodyPr upright="1"/>
                        </wps:wsp>
                        <wps:wsp>
                          <wps:cNvPr id="163" name="文本框 2511"/>
                          <wps:cNvSpPr txBox="1"/>
                          <wps:spPr>
                            <a:xfrm>
                              <a:off x="2750" y="3640"/>
                              <a:ext cx="1034" cy="390"/>
                            </a:xfrm>
                            <a:prstGeom prst="rect">
                              <a:avLst/>
                            </a:prstGeom>
                            <a:noFill/>
                            <a:ln>
                              <a:noFill/>
                            </a:ln>
                          </wps:spPr>
                          <wps:txbx>
                            <w:txbxContent>
                              <w:p w14:paraId="25790DA3">
                                <w:r>
                                  <w:rPr>
                                    <w:rFonts w:hint="eastAsia"/>
                                  </w:rPr>
                                  <w:t>第一尺</w:t>
                                </w:r>
                              </w:p>
                            </w:txbxContent>
                          </wps:txbx>
                          <wps:bodyPr upright="1"/>
                        </wps:wsp>
                        <wps:wsp>
                          <wps:cNvPr id="164" name="直线 2512"/>
                          <wps:cNvCnPr/>
                          <wps:spPr>
                            <a:xfrm flipV="1">
                              <a:off x="2360" y="3810"/>
                              <a:ext cx="0" cy="547"/>
                            </a:xfrm>
                            <a:prstGeom prst="line">
                              <a:avLst/>
                            </a:prstGeom>
                            <a:ln w="9525" cap="flat" cmpd="sng">
                              <a:solidFill>
                                <a:srgbClr val="000000"/>
                              </a:solidFill>
                              <a:prstDash val="solid"/>
                              <a:headEnd type="oval" w="med" len="med"/>
                              <a:tailEnd type="oval" w="med" len="med"/>
                            </a:ln>
                          </wps:spPr>
                          <wps:bodyPr upright="1"/>
                        </wps:wsp>
                        <wps:wsp>
                          <wps:cNvPr id="165" name="文本框 2513"/>
                          <wps:cNvSpPr txBox="1"/>
                          <wps:spPr>
                            <a:xfrm>
                              <a:off x="1794" y="3906"/>
                              <a:ext cx="652" cy="390"/>
                            </a:xfrm>
                            <a:prstGeom prst="rect">
                              <a:avLst/>
                            </a:prstGeom>
                            <a:noFill/>
                            <a:ln>
                              <a:noFill/>
                            </a:ln>
                          </wps:spPr>
                          <wps:txbx>
                            <w:txbxContent>
                              <w:p w14:paraId="34406502">
                                <w:pPr>
                                  <w:rPr>
                                    <w:szCs w:val="21"/>
                                  </w:rPr>
                                </w:pPr>
                                <w:r>
                                  <w:rPr>
                                    <w:rFonts w:hint="eastAsia"/>
                                    <w:szCs w:val="21"/>
                                  </w:rPr>
                                  <w:t>300</w:t>
                                </w:r>
                              </w:p>
                            </w:txbxContent>
                          </wps:txbx>
                          <wps:bodyPr upright="1"/>
                        </wps:wsp>
                        <wps:wsp>
                          <wps:cNvPr id="166" name="直线 2514"/>
                          <wps:cNvCnPr/>
                          <wps:spPr>
                            <a:xfrm flipV="1">
                              <a:off x="2360" y="2281"/>
                              <a:ext cx="0" cy="1517"/>
                            </a:xfrm>
                            <a:prstGeom prst="line">
                              <a:avLst/>
                            </a:prstGeom>
                            <a:ln w="9525" cap="flat" cmpd="sng">
                              <a:solidFill>
                                <a:srgbClr val="000000"/>
                              </a:solidFill>
                              <a:prstDash val="solid"/>
                              <a:headEnd type="oval" w="med" len="med"/>
                              <a:tailEnd type="oval" w="med" len="med"/>
                            </a:ln>
                          </wps:spPr>
                          <wps:bodyPr upright="1"/>
                        </wps:wsp>
                        <wps:wsp>
                          <wps:cNvPr id="167" name="文本框 2515"/>
                          <wps:cNvSpPr txBox="1"/>
                          <wps:spPr>
                            <a:xfrm>
                              <a:off x="1764" y="2667"/>
                              <a:ext cx="712" cy="390"/>
                            </a:xfrm>
                            <a:prstGeom prst="rect">
                              <a:avLst/>
                            </a:prstGeom>
                            <a:noFill/>
                            <a:ln>
                              <a:noFill/>
                            </a:ln>
                          </wps:spPr>
                          <wps:txbx>
                            <w:txbxContent>
                              <w:p w14:paraId="19F0CFD5">
                                <w:pPr>
                                  <w:rPr>
                                    <w:szCs w:val="21"/>
                                  </w:rPr>
                                </w:pPr>
                                <w:r>
                                  <w:rPr>
                                    <w:rFonts w:hint="eastAsia"/>
                                    <w:szCs w:val="21"/>
                                  </w:rPr>
                                  <w:t>120</w:t>
                                </w:r>
                              </w:p>
                              <w:p w14:paraId="0555A59D">
                                <w:pPr>
                                  <w:rPr>
                                    <w:szCs w:val="21"/>
                                  </w:rPr>
                                </w:pPr>
                              </w:p>
                              <w:p w14:paraId="48045D33">
                                <w:pPr>
                                  <w:rPr>
                                    <w:szCs w:val="21"/>
                                  </w:rPr>
                                </w:pPr>
                                <w:r>
                                  <w:rPr>
                                    <w:rFonts w:hint="eastAsia"/>
                                    <w:szCs w:val="21"/>
                                  </w:rPr>
                                  <w:t>0</w:t>
                                </w:r>
                              </w:p>
                            </w:txbxContent>
                          </wps:txbx>
                          <wps:bodyPr upright="1"/>
                        </wps:wsp>
                        <wps:wsp>
                          <wps:cNvPr id="168" name="直线 2516"/>
                          <wps:cNvCnPr/>
                          <wps:spPr>
                            <a:xfrm flipH="1">
                              <a:off x="0" y="4093"/>
                              <a:ext cx="1550" cy="0"/>
                            </a:xfrm>
                            <a:prstGeom prst="line">
                              <a:avLst/>
                            </a:prstGeom>
                            <a:ln w="9525" cap="flat" cmpd="sng">
                              <a:solidFill>
                                <a:srgbClr val="000000"/>
                              </a:solidFill>
                              <a:prstDash val="solid"/>
                              <a:headEnd type="none" w="med" len="med"/>
                              <a:tailEnd type="none" w="med" len="med"/>
                            </a:ln>
                          </wps:spPr>
                          <wps:bodyPr upright="1"/>
                        </wps:wsp>
                        <wps:wsp>
                          <wps:cNvPr id="169" name="文本框 2517"/>
                          <wps:cNvSpPr txBox="1"/>
                          <wps:spPr>
                            <a:xfrm>
                              <a:off x="2670" y="378"/>
                              <a:ext cx="1214" cy="500"/>
                            </a:xfrm>
                            <a:prstGeom prst="rect">
                              <a:avLst/>
                            </a:prstGeom>
                            <a:noFill/>
                            <a:ln>
                              <a:noFill/>
                            </a:ln>
                          </wps:spPr>
                          <wps:txbx>
                            <w:txbxContent>
                              <w:p w14:paraId="6DC6BDF8">
                                <w:r>
                                  <w:rPr>
                                    <w:rFonts w:hint="eastAsia"/>
                                  </w:rPr>
                                  <w:t>墙或柱</w:t>
                                </w:r>
                              </w:p>
                            </w:txbxContent>
                          </wps:txbx>
                          <wps:bodyPr upright="1"/>
                        </wps:wsp>
                        <wps:wsp>
                          <wps:cNvPr id="170" name="直线 2518"/>
                          <wps:cNvCnPr/>
                          <wps:spPr>
                            <a:xfrm>
                              <a:off x="2460" y="811"/>
                              <a:ext cx="1160" cy="0"/>
                            </a:xfrm>
                            <a:prstGeom prst="line">
                              <a:avLst/>
                            </a:prstGeom>
                            <a:ln w="9525" cap="flat" cmpd="sng">
                              <a:solidFill>
                                <a:srgbClr val="000000"/>
                              </a:solidFill>
                              <a:prstDash val="solid"/>
                              <a:headEnd type="none" w="med" len="med"/>
                              <a:tailEnd type="none" w="med" len="med"/>
                            </a:ln>
                          </wps:spPr>
                          <wps:bodyPr upright="1"/>
                        </wps:wsp>
                        <wps:wsp>
                          <wps:cNvPr id="171" name="文本框 2519"/>
                          <wps:cNvSpPr txBox="1"/>
                          <wps:spPr>
                            <a:xfrm>
                              <a:off x="520" y="4011"/>
                              <a:ext cx="994" cy="399"/>
                            </a:xfrm>
                            <a:prstGeom prst="rect">
                              <a:avLst/>
                            </a:prstGeom>
                            <a:noFill/>
                            <a:ln>
                              <a:noFill/>
                            </a:ln>
                          </wps:spPr>
                          <wps:txbx>
                            <w:txbxContent>
                              <w:p w14:paraId="0FDADDD6">
                                <w:pPr>
                                  <w:rPr>
                                    <w:szCs w:val="21"/>
                                  </w:rPr>
                                </w:pPr>
                                <w:r>
                                  <w:rPr>
                                    <w:rFonts w:hint="eastAsia"/>
                                    <w:szCs w:val="21"/>
                                  </w:rPr>
                                  <w:t>地面</w:t>
                                </w:r>
                              </w:p>
                            </w:txbxContent>
                          </wps:txbx>
                          <wps:bodyPr upright="1"/>
                        </wps:wsp>
                      </wpg:grpSp>
                      <wps:wsp>
                        <wps:cNvPr id="173" name="文本框 2520"/>
                        <wps:cNvSpPr txBox="1"/>
                        <wps:spPr>
                          <a:xfrm>
                            <a:off x="3262" y="4461"/>
                            <a:ext cx="2836" cy="600"/>
                          </a:xfrm>
                          <a:prstGeom prst="rect">
                            <a:avLst/>
                          </a:prstGeom>
                          <a:noFill/>
                          <a:ln>
                            <a:noFill/>
                          </a:ln>
                        </wps:spPr>
                        <wps:txbx>
                          <w:txbxContent>
                            <w:p w14:paraId="52F1F5E0">
                              <w:r>
                                <w:rPr>
                                  <w:rFonts w:hint="eastAsia"/>
                                </w:rPr>
                                <w:t>墙柱截面尺寸测量示意</w:t>
                              </w:r>
                            </w:p>
                          </w:txbxContent>
                        </wps:txbx>
                        <wps:bodyPr upright="1"/>
                      </wps:wsp>
                    </wpg:wgp>
                  </a:graphicData>
                </a:graphic>
              </wp:inline>
            </w:drawing>
          </mc:Choice>
          <mc:Fallback>
            <w:pict>
              <v:group id="组合 2505" o:spid="_x0000_s1026" o:spt="203" style="height:233.95pt;width:301.05pt;" coordsize="6098,5061" o:gfxdata="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">
                <o:lock v:ext="edit" aspectratio="f"/>
                <v:group id="组合 2506" o:spid="_x0000_s1026" o:spt="203" style="position:absolute;left:0;top:0;height:4410;width:3884;" coordsize="3884,4410" o:gfxdata="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EoC1UC7AAAA3AAAAA8AAAAAAAAAAQAgAAAAIgAAAGRycy9kb3ducmV2LnhtbFBL&#10;AQIUABQAAAAIAIdO4kAzLwWeOwAAADkAAAAVAAAAAAAAAAEAIAAAAAoBAABkcnMvZ3JvdXBzaGFw&#10;ZXhtbC54bWxQSwUGAAAAAAYABgBgAQAAxwMAAAAA&#10;">
                  <o:lock v:ext="edit" aspectratio="f"/>
                  <v:shape id="自选图形 2507" o:spid="_x0000_s1026" o:spt="16" type="#_x0000_t16" style="position:absolute;left:1558;top:0;flip:x;height:4368;width:1080;" fillcolor="#FFFFFF" filled="t" stroked="t" coordsize="21600,21600" o:gfxdata="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3v8qvQAA&#10;ANwAAAAPAAAAAAAAAAEAIAAAACIAAABkcnMvZG93bnJldi54bWxQSwECFAAUAAAACACHTuJAMy8F&#10;njsAAAA5AAAAEAAAAAAAAAABACAAAAAMAQAAZHJzL3NoYXBleG1sLnhtbFBLBQYAAAAABgAGAFsB&#10;AAC2AwAAAAA=&#10;" adj="5400">
                    <v:fill on="t" focussize="0,0"/>
                    <v:stroke color="#000000" joinstyle="miter"/>
                    <v:imagedata o:title=""/>
                    <o:lock v:ext="edit" aspectratio="f"/>
                  </v:shape>
                  <v:line id="直线 2508" o:spid="_x0000_s1026" o:spt="20" style="position:absolute;left:1830;top:3807;height:0;width:810;" filled="f" stroked="t" coordsize="21600,21600" o:gfxdata="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Xre6G/&#10;AAAA3AAAAA8AAAAAAAAAAQAgAAAAIgAAAGRycy9kb3ducmV2LnhtbFBLAQIUABQAAAAIAIdO4kAz&#10;LwWeOwAAADkAAAAQAAAAAAAAAAEAIAAAAA4BAABkcnMvc2hhcGV4bWwueG1sUEsFBgAAAAAGAAYA&#10;WwEAALgDAAAAAA==&#10;">
                    <v:fill on="f" focussize="0,0"/>
                    <v:stroke weight="2.5pt" color="#FF0000" joinstyle="round" startarrow="block" endarrow="block"/>
                    <v:imagedata o:title=""/>
                    <o:lock v:ext="edit" aspectratio="f"/>
                  </v:line>
                  <v:line id="直线 2509" o:spid="_x0000_s1026" o:spt="20" style="position:absolute;left:1830;top:2280;height:0;width:810;" filled="f" stroked="t" coordsize="21600,21600" o:gfxdata="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qn3jq8AAAA&#10;3AAAAA8AAAAAAAAAAQAgAAAAIgAAAGRycy9kb3ducmV2LnhtbFBLAQIUABQAAAAIAIdO4kAzLwWe&#10;OwAAADkAAAAQAAAAAAAAAAEAIAAAAAsBAABkcnMvc2hhcGV4bWwueG1sUEsFBgAAAAAGAAYAWwEA&#10;ALUDAAAAAA==&#10;">
                    <v:fill on="f" focussize="0,0"/>
                    <v:stroke weight="2.5pt" color="#FF0000" joinstyle="round" startarrow="block" endarrow="block"/>
                    <v:imagedata o:title=""/>
                    <o:lock v:ext="edit" aspectratio="f"/>
                  </v:line>
                  <v:shape id="文本框 2510" o:spid="_x0000_s1026" o:spt="202" type="#_x0000_t202" style="position:absolute;left:2750;top:2127;height:390;width:1034;" filled="f" stroked="f" coordsize="21600,21600" o:gfxdata="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hPxiG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21B7D9E8">
                          <w:r>
                            <w:rPr>
                              <w:rFonts w:hint="eastAsia"/>
                            </w:rPr>
                            <w:t>第二尺</w:t>
                          </w:r>
                        </w:p>
                      </w:txbxContent>
                    </v:textbox>
                  </v:shape>
                  <v:shape id="文本框 2511" o:spid="_x0000_s1026" o:spt="202" type="#_x0000_t202" style="position:absolute;left:2750;top:3640;height:390;width:1034;" filled="f" stroked="f" coordsize="21600,21600" o:gfxdata="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cDY7q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25790DA3">
                          <w:r>
                            <w:rPr>
                              <w:rFonts w:hint="eastAsia"/>
                            </w:rPr>
                            <w:t>第一尺</w:t>
                          </w:r>
                        </w:p>
                      </w:txbxContent>
                    </v:textbox>
                  </v:shape>
                  <v:line id="直线 2512" o:spid="_x0000_s1026" o:spt="20" style="position:absolute;left:2360;top:3810;flip:y;height:547;width:0;" filled="f" stroked="t" coordsize="21600,21600" o:gfxdata="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DS7rsAAADc&#10;AAAADwAAAAAAAAABACAAAAAiAAAAZHJzL2Rvd25yZXYueG1sUEsBAhQAFAAAAAgAh07iQDMvBZ47&#10;AAAAOQAAABAAAAAAAAAAAQAgAAAACgEAAGRycy9zaGFwZXhtbC54bWxQSwUGAAAAAAYABgBbAQAA&#10;tAMAAAAA&#10;">
                    <v:fill on="f" focussize="0,0"/>
                    <v:stroke color="#000000" joinstyle="round" startarrow="oval" endarrow="oval"/>
                    <v:imagedata o:title=""/>
                    <o:lock v:ext="edit" aspectratio="f"/>
                  </v:line>
                  <v:shape id="文本框 2513" o:spid="_x0000_s1026" o:spt="202" type="#_x0000_t202" style="position:absolute;left:1794;top:3906;height:390;width:652;" filled="f" stroked="f" coordsize="21600,21600" o:gfxdata="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emXlW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34406502">
                          <w:pPr>
                            <w:rPr>
                              <w:szCs w:val="21"/>
                            </w:rPr>
                          </w:pPr>
                          <w:r>
                            <w:rPr>
                              <w:rFonts w:hint="eastAsia"/>
                              <w:szCs w:val="21"/>
                            </w:rPr>
                            <w:t>300</w:t>
                          </w:r>
                        </w:p>
                      </w:txbxContent>
                    </v:textbox>
                  </v:shape>
                  <v:line id="直线 2514" o:spid="_x0000_s1026" o:spt="20" style="position:absolute;left:2360;top:2281;flip:y;height:1517;width:0;" filled="f" stroked="t" coordsize="21600,21600" o:gfxdata="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MbukCugAAANwA&#10;AAAPAAAAAAAAAAEAIAAAACIAAABkcnMvZG93bnJldi54bWxQSwECFAAUAAAACACHTuJAMy8FnjsA&#10;AAA5AAAAEAAAAAAAAAABACAAAAAJAQAAZHJzL3NoYXBleG1sLnhtbFBLBQYAAAAABgAGAFsBAACz&#10;AwAAAAA=&#10;">
                    <v:fill on="f" focussize="0,0"/>
                    <v:stroke color="#000000" joinstyle="round" startarrow="oval" endarrow="oval"/>
                    <v:imagedata o:title=""/>
                    <o:lock v:ext="edit" aspectratio="f"/>
                  </v:line>
                  <v:shape id="文本框 2515" o:spid="_x0000_s1026" o:spt="202" type="#_x0000_t202" style="position:absolute;left:1764;top:2667;height:390;width:712;" filled="f" stroked="f" coordsize="21600,21600" o:gfxdata="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Dhlu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19F0CFD5">
                          <w:pPr>
                            <w:rPr>
                              <w:szCs w:val="21"/>
                            </w:rPr>
                          </w:pPr>
                          <w:r>
                            <w:rPr>
                              <w:rFonts w:hint="eastAsia"/>
                              <w:szCs w:val="21"/>
                            </w:rPr>
                            <w:t>120</w:t>
                          </w:r>
                        </w:p>
                        <w:p w14:paraId="0555A59D">
                          <w:pPr>
                            <w:rPr>
                              <w:szCs w:val="21"/>
                            </w:rPr>
                          </w:pPr>
                        </w:p>
                        <w:p w14:paraId="48045D33">
                          <w:pPr>
                            <w:rPr>
                              <w:szCs w:val="21"/>
                            </w:rPr>
                          </w:pPr>
                          <w:r>
                            <w:rPr>
                              <w:rFonts w:hint="eastAsia"/>
                              <w:szCs w:val="21"/>
                            </w:rPr>
                            <w:t>0</w:t>
                          </w:r>
                        </w:p>
                      </w:txbxContent>
                    </v:textbox>
                  </v:shape>
                  <v:line id="直线 2516" o:spid="_x0000_s1026" o:spt="20" style="position:absolute;left:0;top:4093;flip:x;height:0;width:1550;" filled="f" stroked="t" coordsize="21600,21600" o:gfxdata="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2qE0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文本框 2517" o:spid="_x0000_s1026" o:spt="202" type="#_x0000_t202" style="position:absolute;left:2670;top:378;height:500;width:1214;" filled="f" stroked="f" coordsize="21600,21600" o:gfxdata="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m61RQ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6DC6BDF8">
                          <w:r>
                            <w:rPr>
                              <w:rFonts w:hint="eastAsia"/>
                            </w:rPr>
                            <w:t>墙或柱</w:t>
                          </w:r>
                        </w:p>
                      </w:txbxContent>
                    </v:textbox>
                  </v:shape>
                  <v:line id="直线 2518" o:spid="_x0000_s1026" o:spt="20" style="position:absolute;left:2460;top:811;height:0;width:1160;" filled="f" stroked="t" coordsize="21600,21600" o:gfxdata="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z76lq/&#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shape id="文本框 2519" o:spid="_x0000_s1026" o:spt="202" type="#_x0000_t202" style="position:absolute;left:520;top:4011;height:399;width:994;" filled="f" stroked="f" coordsize="21600,21600" o:gfxdata="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1Ezou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0FDADDD6">
                          <w:pPr>
                            <w:rPr>
                              <w:szCs w:val="21"/>
                            </w:rPr>
                          </w:pPr>
                          <w:r>
                            <w:rPr>
                              <w:rFonts w:hint="eastAsia"/>
                              <w:szCs w:val="21"/>
                            </w:rPr>
                            <w:t>地面</w:t>
                          </w:r>
                        </w:p>
                      </w:txbxContent>
                    </v:textbox>
                  </v:shape>
                </v:group>
                <v:shape id="文本框 2520" o:spid="_x0000_s1026" o:spt="202" type="#_x0000_t202" style="position:absolute;left:3262;top:4461;height:600;width:2836;" filled="f" stroked="f" coordsize="21600,21600" o:gfxdata="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tr1Z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52F1F5E0">
                        <w:r>
                          <w:rPr>
                            <w:rFonts w:hint="eastAsia"/>
                          </w:rPr>
                          <w:t>墙柱截面尺寸测量示意</w:t>
                        </w:r>
                      </w:p>
                    </w:txbxContent>
                  </v:textbox>
                </v:shape>
                <w10:wrap type="none"/>
                <w10:anchorlock/>
              </v:group>
            </w:pict>
          </mc:Fallback>
        </mc:AlternateContent>
      </w:r>
    </w:p>
    <w:p w14:paraId="4886593F">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 xml:space="preserve">1.3 </w:t>
      </w:r>
      <w:r>
        <w:rPr>
          <w:rFonts w:hint="eastAsia" w:cs="宋体" w:asciiTheme="minorEastAsia" w:hAnsiTheme="minorEastAsia" w:eastAsiaTheme="minorEastAsia"/>
          <w:b/>
          <w:color w:val="auto"/>
          <w:sz w:val="21"/>
          <w:szCs w:val="21"/>
          <w:highlight w:val="none"/>
        </w:rPr>
        <w:tab/>
      </w:r>
      <w:r>
        <w:rPr>
          <w:rFonts w:hint="eastAsia" w:cs="宋体" w:asciiTheme="minorEastAsia" w:hAnsiTheme="minorEastAsia" w:eastAsiaTheme="minorEastAsia"/>
          <w:b/>
          <w:color w:val="auto"/>
          <w:sz w:val="21"/>
          <w:szCs w:val="21"/>
          <w:highlight w:val="none"/>
        </w:rPr>
        <w:t>墙/柱表面平整度</w:t>
      </w:r>
    </w:p>
    <w:p w14:paraId="1FD39F6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1.3.1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指标说明：反映层高范围内剪力墙、砼柱表面平整程度。</w:t>
      </w:r>
    </w:p>
    <w:p w14:paraId="7A43067A">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1.3.2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允许偏差值要求：表面平整度允许偏差为：住宅开发项目高层为4mm，洋房为</w:t>
      </w:r>
      <w:r>
        <w:rPr>
          <w:rFonts w:hint="eastAsia" w:cs="宋体" w:asciiTheme="minorEastAsia" w:hAnsiTheme="minorEastAsia" w:eastAsiaTheme="minorEastAsia"/>
          <w:color w:val="FF0000"/>
          <w:sz w:val="21"/>
          <w:szCs w:val="21"/>
          <w:highlight w:val="none"/>
          <w:lang w:val="en-US" w:eastAsia="zh-CN"/>
        </w:rPr>
        <w:t>4</w:t>
      </w:r>
      <w:r>
        <w:rPr>
          <w:rFonts w:hint="eastAsia" w:cs="宋体" w:asciiTheme="minorEastAsia" w:hAnsiTheme="minorEastAsia" w:eastAsiaTheme="minorEastAsia"/>
          <w:color w:val="FF0000"/>
          <w:sz w:val="21"/>
          <w:szCs w:val="21"/>
          <w:highlight w:val="none"/>
        </w:rPr>
        <w:t>mm</w:t>
      </w:r>
      <w:r>
        <w:rPr>
          <w:rFonts w:hint="eastAsia" w:cs="宋体" w:asciiTheme="minorEastAsia" w:hAnsiTheme="minorEastAsia" w:eastAsiaTheme="minorEastAsia"/>
          <w:color w:val="auto"/>
          <w:sz w:val="21"/>
          <w:szCs w:val="21"/>
          <w:highlight w:val="none"/>
        </w:rPr>
        <w:t>，商业开发项目为8mm，代建项目为8mm。超过该允许偏差记为不合格。</w:t>
      </w:r>
    </w:p>
    <w:p w14:paraId="5B69EE8A">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1.3.3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测量工具：2米靠尺、楔形塞尺</w:t>
      </w:r>
    </w:p>
    <w:p w14:paraId="79CAE1B8">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1.3.4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测量方法和数据记录：</w:t>
      </w:r>
    </w:p>
    <w:p w14:paraId="5D6B854C">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  剪力墙/暗柱：选取长边墙，任选长边墙作为1个实测区。</w:t>
      </w:r>
    </w:p>
    <w:p w14:paraId="607CF21F">
      <w:pPr>
        <w:adjustRightInd w:val="0"/>
        <w:snapToGrid w:val="0"/>
        <w:spacing w:line="360" w:lineRule="auto"/>
        <w:ind w:left="703" w:leftChars="-1" w:hanging="705" w:hangingChars="336"/>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  当所选墙长度小于3米时，同一面墙4个角（顶部及根部）中任取2个角。按45度角斜放靠尺，累计测2次表面平整度。选取其中与规范尺寸偏差最大的数，作为判断该实测指标合格率的1个计算点。</w:t>
      </w:r>
    </w:p>
    <w:p w14:paraId="38611CF6">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  当所选墙长度大于3米时，除按45度角斜放靠尺测量两次表面平整度外还需在墙长度中间水平放靠尺测量1次表面平整度。选取其中尺寸偏差最大的数，作为判断该实测指标合格率的1个计算点。</w:t>
      </w:r>
    </w:p>
    <w:p w14:paraId="4AF0318D">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1.3.5  示例：</w:t>
      </w:r>
    </w:p>
    <w:p w14:paraId="70528704">
      <w:pPr>
        <w:adjustRightInd w:val="0"/>
        <w:snapToGrid w:val="0"/>
        <w:spacing w:line="360" w:lineRule="auto"/>
        <w:outlineLvl w:val="9"/>
        <w:rPr>
          <w:rFonts w:cs="宋体" w:asciiTheme="minorEastAsia" w:hAnsiTheme="minorEastAsia" w:eastAsiaTheme="minorEastAsia"/>
          <w:color w:val="auto"/>
          <w:sz w:val="24"/>
          <w:highlight w:val="none"/>
        </w:rPr>
      </w:pPr>
      <w:r>
        <w:rPr>
          <w:rFonts w:cs="宋体" w:asciiTheme="minorEastAsia" w:hAnsiTheme="minorEastAsia" w:eastAsiaTheme="minorEastAsia"/>
          <w:color w:val="auto"/>
          <w:sz w:val="24"/>
          <w:highlight w:val="none"/>
        </w:rPr>
        <w:drawing>
          <wp:anchor distT="0" distB="0" distL="114300" distR="114300" simplePos="0" relativeHeight="251661312" behindDoc="0" locked="0" layoutInCell="1" allowOverlap="1">
            <wp:simplePos x="0" y="0"/>
            <wp:positionH relativeFrom="column">
              <wp:posOffset>607060</wp:posOffset>
            </wp:positionH>
            <wp:positionV relativeFrom="paragraph">
              <wp:posOffset>146685</wp:posOffset>
            </wp:positionV>
            <wp:extent cx="4230370" cy="2584450"/>
            <wp:effectExtent l="0" t="0" r="0" b="0"/>
            <wp:wrapNone/>
            <wp:docPr id="1080" name="Object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Object 2521"/>
                    <pic:cNvPicPr>
                      <a:picLocks noChangeAspect="1" noChangeArrowheads="1"/>
                    </pic:cNvPicPr>
                  </pic:nvPicPr>
                  <pic:blipFill>
                    <a:blip r:embed="rId45"/>
                    <a:srcRect l="19728" t="18062" r="31314" b="18062"/>
                    <a:stretch>
                      <a:fillRect/>
                    </a:stretch>
                  </pic:blipFill>
                  <pic:spPr>
                    <a:xfrm>
                      <a:off x="0" y="0"/>
                      <a:ext cx="4230370" cy="2584450"/>
                    </a:xfrm>
                    <a:prstGeom prst="rect">
                      <a:avLst/>
                    </a:prstGeom>
                    <a:noFill/>
                    <a:ln w="9525">
                      <a:noFill/>
                      <a:miter lim="800000"/>
                      <a:headEnd/>
                      <a:tailEnd/>
                    </a:ln>
                  </pic:spPr>
                </pic:pic>
              </a:graphicData>
            </a:graphic>
          </wp:anchor>
        </w:drawing>
      </w:r>
    </w:p>
    <w:p w14:paraId="2E59098D">
      <w:pPr>
        <w:adjustRightInd w:val="0"/>
        <w:snapToGrid w:val="0"/>
        <w:spacing w:line="360" w:lineRule="auto"/>
        <w:outlineLvl w:val="9"/>
        <w:rPr>
          <w:rFonts w:cs="宋体" w:asciiTheme="minorEastAsia" w:hAnsiTheme="minorEastAsia" w:eastAsiaTheme="minorEastAsia"/>
          <w:color w:val="auto"/>
          <w:sz w:val="24"/>
          <w:highlight w:val="none"/>
        </w:rPr>
      </w:pPr>
    </w:p>
    <w:p w14:paraId="1830341D">
      <w:pPr>
        <w:adjustRightInd w:val="0"/>
        <w:snapToGrid w:val="0"/>
        <w:spacing w:line="360" w:lineRule="auto"/>
        <w:outlineLvl w:val="9"/>
        <w:rPr>
          <w:rFonts w:cs="宋体" w:asciiTheme="minorEastAsia" w:hAnsiTheme="minorEastAsia" w:eastAsiaTheme="minorEastAsia"/>
          <w:color w:val="auto"/>
          <w:sz w:val="24"/>
          <w:highlight w:val="none"/>
        </w:rPr>
      </w:pPr>
    </w:p>
    <w:p w14:paraId="3E3AD4D6">
      <w:pPr>
        <w:adjustRightInd w:val="0"/>
        <w:snapToGrid w:val="0"/>
        <w:spacing w:line="360" w:lineRule="auto"/>
        <w:outlineLvl w:val="9"/>
        <w:rPr>
          <w:rFonts w:cs="宋体" w:asciiTheme="minorEastAsia" w:hAnsiTheme="minorEastAsia" w:eastAsiaTheme="minorEastAsia"/>
          <w:color w:val="auto"/>
          <w:sz w:val="24"/>
          <w:highlight w:val="none"/>
        </w:rPr>
      </w:pPr>
    </w:p>
    <w:p w14:paraId="49560B52">
      <w:pPr>
        <w:adjustRightInd w:val="0"/>
        <w:snapToGrid w:val="0"/>
        <w:spacing w:line="360" w:lineRule="auto"/>
        <w:outlineLvl w:val="9"/>
        <w:rPr>
          <w:rFonts w:cs="宋体" w:asciiTheme="minorEastAsia" w:hAnsiTheme="minorEastAsia" w:eastAsiaTheme="minorEastAsia"/>
          <w:color w:val="auto"/>
          <w:sz w:val="24"/>
          <w:highlight w:val="none"/>
        </w:rPr>
      </w:pPr>
    </w:p>
    <w:p w14:paraId="2835F996">
      <w:pPr>
        <w:adjustRightInd w:val="0"/>
        <w:snapToGrid w:val="0"/>
        <w:spacing w:line="360" w:lineRule="auto"/>
        <w:outlineLvl w:val="9"/>
        <w:rPr>
          <w:rFonts w:cs="宋体" w:asciiTheme="minorEastAsia" w:hAnsiTheme="minorEastAsia" w:eastAsiaTheme="minorEastAsia"/>
          <w:color w:val="auto"/>
          <w:sz w:val="24"/>
          <w:highlight w:val="none"/>
        </w:rPr>
      </w:pPr>
    </w:p>
    <w:p w14:paraId="24CD69DF">
      <w:pPr>
        <w:adjustRightInd w:val="0"/>
        <w:snapToGrid w:val="0"/>
        <w:spacing w:line="360" w:lineRule="auto"/>
        <w:outlineLvl w:val="9"/>
        <w:rPr>
          <w:rFonts w:cs="宋体" w:asciiTheme="minorEastAsia" w:hAnsiTheme="minorEastAsia" w:eastAsiaTheme="minorEastAsia"/>
          <w:color w:val="auto"/>
          <w:sz w:val="24"/>
          <w:highlight w:val="none"/>
        </w:rPr>
      </w:pPr>
    </w:p>
    <w:p w14:paraId="70BABDCF">
      <w:pPr>
        <w:adjustRightInd w:val="0"/>
        <w:snapToGrid w:val="0"/>
        <w:spacing w:line="360" w:lineRule="auto"/>
        <w:outlineLvl w:val="9"/>
        <w:rPr>
          <w:rFonts w:cs="宋体" w:asciiTheme="minorEastAsia" w:hAnsiTheme="minorEastAsia" w:eastAsiaTheme="minorEastAsia"/>
          <w:color w:val="auto"/>
          <w:sz w:val="24"/>
          <w:highlight w:val="none"/>
        </w:rPr>
      </w:pPr>
    </w:p>
    <w:p w14:paraId="08485700">
      <w:pPr>
        <w:adjustRightInd w:val="0"/>
        <w:snapToGrid w:val="0"/>
        <w:spacing w:line="360" w:lineRule="auto"/>
        <w:outlineLvl w:val="9"/>
        <w:rPr>
          <w:rFonts w:cs="宋体" w:asciiTheme="minorEastAsia" w:hAnsiTheme="minorEastAsia" w:eastAsiaTheme="minorEastAsia"/>
          <w:color w:val="auto"/>
          <w:sz w:val="24"/>
          <w:highlight w:val="none"/>
        </w:rPr>
      </w:pPr>
    </w:p>
    <w:p w14:paraId="385D737B">
      <w:pPr>
        <w:adjustRightInd w:val="0"/>
        <w:snapToGrid w:val="0"/>
        <w:spacing w:line="360" w:lineRule="auto"/>
        <w:outlineLvl w:val="9"/>
        <w:rPr>
          <w:rFonts w:cs="宋体" w:asciiTheme="minorEastAsia" w:hAnsiTheme="minorEastAsia" w:eastAsiaTheme="minorEastAsia"/>
          <w:color w:val="auto"/>
          <w:sz w:val="24"/>
          <w:highlight w:val="none"/>
        </w:rPr>
      </w:pPr>
    </w:p>
    <w:p w14:paraId="21EDB973">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 xml:space="preserve">1.4 </w:t>
      </w:r>
      <w:r>
        <w:rPr>
          <w:rFonts w:hint="eastAsia" w:cs="宋体" w:asciiTheme="minorEastAsia" w:hAnsiTheme="minorEastAsia" w:eastAsiaTheme="minorEastAsia"/>
          <w:b/>
          <w:color w:val="auto"/>
          <w:sz w:val="21"/>
          <w:szCs w:val="21"/>
          <w:highlight w:val="none"/>
        </w:rPr>
        <w:tab/>
      </w:r>
      <w:r>
        <w:rPr>
          <w:rFonts w:hint="eastAsia" w:cs="宋体" w:asciiTheme="minorEastAsia" w:hAnsiTheme="minorEastAsia" w:eastAsiaTheme="minorEastAsia"/>
          <w:b/>
          <w:color w:val="auto"/>
          <w:sz w:val="21"/>
          <w:szCs w:val="21"/>
          <w:highlight w:val="none"/>
        </w:rPr>
        <w:t>墙/柱表面垂直度</w:t>
      </w:r>
    </w:p>
    <w:p w14:paraId="4F53565F">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1.4.1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指标说明：反映层高范围内剪力墙、砼柱表面垂直的程度。</w:t>
      </w:r>
    </w:p>
    <w:p w14:paraId="0F88B579">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1.4.2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允许偏差值要求：垂直度允许偏差为：住宅开发项目高层为4mm，洋房为</w:t>
      </w:r>
      <w:r>
        <w:rPr>
          <w:rFonts w:hint="eastAsia" w:cs="宋体" w:asciiTheme="minorEastAsia" w:hAnsiTheme="minorEastAsia" w:eastAsiaTheme="minorEastAsia"/>
          <w:color w:val="FF0000"/>
          <w:sz w:val="21"/>
          <w:szCs w:val="21"/>
          <w:highlight w:val="none"/>
          <w:lang w:val="en-US" w:eastAsia="zh-CN"/>
        </w:rPr>
        <w:t>4</w:t>
      </w:r>
      <w:r>
        <w:rPr>
          <w:rFonts w:hint="eastAsia" w:cs="宋体" w:asciiTheme="minorEastAsia" w:hAnsiTheme="minorEastAsia" w:eastAsiaTheme="minorEastAsia"/>
          <w:color w:val="FF0000"/>
          <w:sz w:val="21"/>
          <w:szCs w:val="21"/>
          <w:highlight w:val="none"/>
        </w:rPr>
        <w:t>mm</w:t>
      </w:r>
      <w:r>
        <w:rPr>
          <w:rFonts w:hint="eastAsia" w:cs="宋体" w:asciiTheme="minorEastAsia" w:hAnsiTheme="minorEastAsia" w:eastAsiaTheme="minorEastAsia"/>
          <w:color w:val="auto"/>
          <w:sz w:val="21"/>
          <w:szCs w:val="21"/>
          <w:highlight w:val="none"/>
        </w:rPr>
        <w:t>，商业开发项目为8mm，代建项目为8mm。 超过该允许偏差记为不合格。</w:t>
      </w:r>
    </w:p>
    <w:p w14:paraId="4FC04A85">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1.4.3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测量工具：2米靠尺</w:t>
      </w:r>
    </w:p>
    <w:p w14:paraId="2123B46A">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1.4.4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测量方法和数据记录：</w:t>
      </w:r>
    </w:p>
    <w:p w14:paraId="4F6B4659">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剪力墙：任取长边墙的一面作为1个实测区。</w:t>
      </w:r>
    </w:p>
    <w:p w14:paraId="102AF15B">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当墙长度小于3米时，同一面墙距两端头竖向阴阳角30cm位置，分别按以下原则实测2次：一是靠尺顶端接触到上部砼顶板位置时测1次垂直度，二是靠尺底端接触到下部地面位置时测1次垂直度，选取其中尺寸偏差最大的数，作为判断该实测指标合格率的1个计算点。</w:t>
      </w:r>
    </w:p>
    <w:p w14:paraId="715B9DC8">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当墙长度大于3米时，同一面墙距两端头竖向阴阳角30cm和墙中间位置，分别按以下原则实测3次：一是靠尺顶端接触到上部砼顶板位置时测1次垂直度，二是靠尺底端接触到下部地面位置时测1次垂直度，三是在墙长度中间位置靠尺基本在高度方向居中时测1次垂直度。选取其中尺寸偏差最大的数，作为判断该实测指标合格率的1个计算点。</w:t>
      </w:r>
    </w:p>
    <w:p w14:paraId="06F08B6C">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砼柱：任选砼柱四面中的两面，分别将靠尺顶端接触到上部砼顶板和下部地面位置时各测1次垂直度。这2个实测值分别作为判断该实测指标合格率的2个计算点。</w:t>
      </w:r>
    </w:p>
    <w:p w14:paraId="75F1858D">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 xml:space="preserve">1.4.5 </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示例：</w:t>
      </w:r>
    </w:p>
    <w:p w14:paraId="29C3548C">
      <w:pPr>
        <w:pStyle w:val="109"/>
        <w:adjustRightInd w:val="0"/>
        <w:snapToGrid w:val="0"/>
        <w:spacing w:line="360" w:lineRule="auto"/>
        <w:outlineLvl w:val="9"/>
        <w:rPr>
          <w:rFonts w:asciiTheme="minorEastAsia" w:hAnsiTheme="minorEastAsia" w:eastAsiaTheme="minorEastAsia"/>
          <w:color w:val="auto"/>
          <w:szCs w:val="24"/>
          <w:highlight w:val="none"/>
        </w:rPr>
      </w:pPr>
      <w:r>
        <w:rPr>
          <w:rFonts w:asciiTheme="minorEastAsia" w:hAnsiTheme="minorEastAsia" w:eastAsiaTheme="minorEastAsia"/>
          <w:color w:val="auto"/>
          <w:szCs w:val="24"/>
          <w:highlight w:val="none"/>
        </w:rPr>
        <w:drawing>
          <wp:anchor distT="0" distB="0" distL="114300" distR="114300" simplePos="0" relativeHeight="251662336" behindDoc="0" locked="0" layoutInCell="1" allowOverlap="1">
            <wp:simplePos x="0" y="0"/>
            <wp:positionH relativeFrom="column">
              <wp:posOffset>391795</wp:posOffset>
            </wp:positionH>
            <wp:positionV relativeFrom="paragraph">
              <wp:posOffset>40005</wp:posOffset>
            </wp:positionV>
            <wp:extent cx="4508500" cy="2186305"/>
            <wp:effectExtent l="0" t="0" r="0" b="0"/>
            <wp:wrapNone/>
            <wp:docPr id="1081" name="Object 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Object 2522"/>
                    <pic:cNvPicPr>
                      <a:picLocks noChangeAspect="1" noChangeArrowheads="1"/>
                    </pic:cNvPicPr>
                  </pic:nvPicPr>
                  <pic:blipFill>
                    <a:blip r:embed="rId46"/>
                    <a:srcRect l="18163" t="20068" r="43839" b="40137"/>
                    <a:stretch>
                      <a:fillRect/>
                    </a:stretch>
                  </pic:blipFill>
                  <pic:spPr>
                    <a:xfrm>
                      <a:off x="0" y="0"/>
                      <a:ext cx="4508500" cy="2186305"/>
                    </a:xfrm>
                    <a:prstGeom prst="rect">
                      <a:avLst/>
                    </a:prstGeom>
                    <a:noFill/>
                    <a:ln w="9525">
                      <a:noFill/>
                      <a:miter lim="800000"/>
                      <a:headEnd/>
                      <a:tailEnd/>
                    </a:ln>
                  </pic:spPr>
                </pic:pic>
              </a:graphicData>
            </a:graphic>
          </wp:anchor>
        </w:drawing>
      </w:r>
    </w:p>
    <w:p w14:paraId="404EA213">
      <w:pPr>
        <w:pStyle w:val="109"/>
        <w:adjustRightInd w:val="0"/>
        <w:snapToGrid w:val="0"/>
        <w:spacing w:line="360" w:lineRule="auto"/>
        <w:outlineLvl w:val="9"/>
        <w:rPr>
          <w:rFonts w:asciiTheme="minorEastAsia" w:hAnsiTheme="minorEastAsia" w:eastAsiaTheme="minorEastAsia"/>
          <w:color w:val="auto"/>
          <w:szCs w:val="24"/>
          <w:highlight w:val="none"/>
        </w:rPr>
      </w:pPr>
    </w:p>
    <w:p w14:paraId="2BD29D11">
      <w:pPr>
        <w:pStyle w:val="109"/>
        <w:adjustRightInd w:val="0"/>
        <w:snapToGrid w:val="0"/>
        <w:spacing w:line="360" w:lineRule="auto"/>
        <w:outlineLvl w:val="9"/>
        <w:rPr>
          <w:rFonts w:asciiTheme="minorEastAsia" w:hAnsiTheme="minorEastAsia" w:eastAsiaTheme="minorEastAsia"/>
          <w:color w:val="auto"/>
          <w:szCs w:val="24"/>
          <w:highlight w:val="none"/>
        </w:rPr>
      </w:pPr>
    </w:p>
    <w:p w14:paraId="63287B06">
      <w:pPr>
        <w:adjustRightInd w:val="0"/>
        <w:snapToGrid w:val="0"/>
        <w:spacing w:line="360" w:lineRule="auto"/>
        <w:outlineLvl w:val="9"/>
        <w:rPr>
          <w:rFonts w:cs="宋体" w:asciiTheme="minorEastAsia" w:hAnsiTheme="minorEastAsia" w:eastAsiaTheme="minorEastAsia"/>
          <w:color w:val="auto"/>
          <w:sz w:val="24"/>
          <w:highlight w:val="none"/>
        </w:rPr>
      </w:pPr>
    </w:p>
    <w:p w14:paraId="441AB907">
      <w:pPr>
        <w:adjustRightInd w:val="0"/>
        <w:snapToGrid w:val="0"/>
        <w:spacing w:line="360" w:lineRule="auto"/>
        <w:outlineLvl w:val="9"/>
        <w:rPr>
          <w:rFonts w:cs="宋体" w:asciiTheme="minorEastAsia" w:hAnsiTheme="minorEastAsia" w:eastAsiaTheme="minorEastAsia"/>
          <w:color w:val="auto"/>
          <w:sz w:val="24"/>
          <w:highlight w:val="none"/>
        </w:rPr>
      </w:pPr>
    </w:p>
    <w:p w14:paraId="6066BA00">
      <w:pPr>
        <w:adjustRightInd w:val="0"/>
        <w:snapToGrid w:val="0"/>
        <w:spacing w:line="360" w:lineRule="auto"/>
        <w:outlineLvl w:val="9"/>
        <w:rPr>
          <w:rFonts w:cs="宋体" w:asciiTheme="minorEastAsia" w:hAnsiTheme="minorEastAsia" w:eastAsiaTheme="minorEastAsia"/>
          <w:color w:val="auto"/>
          <w:sz w:val="24"/>
          <w:highlight w:val="none"/>
        </w:rPr>
      </w:pPr>
    </w:p>
    <w:p w14:paraId="0642078A">
      <w:pPr>
        <w:adjustRightInd w:val="0"/>
        <w:snapToGrid w:val="0"/>
        <w:spacing w:line="360" w:lineRule="auto"/>
        <w:outlineLvl w:val="9"/>
        <w:rPr>
          <w:rFonts w:cs="宋体" w:asciiTheme="minorEastAsia" w:hAnsiTheme="minorEastAsia" w:eastAsiaTheme="minorEastAsia"/>
          <w:color w:val="auto"/>
          <w:sz w:val="24"/>
          <w:highlight w:val="none"/>
        </w:rPr>
      </w:pPr>
    </w:p>
    <w:p w14:paraId="689B144F">
      <w:pPr>
        <w:adjustRightInd w:val="0"/>
        <w:snapToGrid w:val="0"/>
        <w:spacing w:line="360" w:lineRule="auto"/>
        <w:outlineLvl w:val="9"/>
        <w:rPr>
          <w:rFonts w:cs="宋体" w:asciiTheme="minorEastAsia" w:hAnsiTheme="minorEastAsia" w:eastAsiaTheme="minorEastAsia"/>
          <w:color w:val="auto"/>
          <w:sz w:val="24"/>
          <w:highlight w:val="none"/>
        </w:rPr>
      </w:pPr>
    </w:p>
    <w:p w14:paraId="7CA3A04E">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1.5顶板水平度极差（砼结构）</w:t>
      </w:r>
    </w:p>
    <w:p w14:paraId="33CDA825">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1.5.1  指标说明：考虑实际测量的可操作性，选取同一功能房间砼顶板内四个角点和一个中点距离同一水平基准线之间5个实测值的极差值，综合反映同一房间砼顶板的平整程度。</w:t>
      </w:r>
    </w:p>
    <w:p w14:paraId="01BC8478">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1.5.2  合格标准：[0，15]mm</w:t>
      </w:r>
    </w:p>
    <w:p w14:paraId="2874CB2B">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1.5.3  测量工具：激光扫平仪、具有足够刚度的5米钢卷尺（或2米靠尺、激光测距仪）</w:t>
      </w:r>
    </w:p>
    <w:p w14:paraId="155BB86A">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1.5.4  测量方法和数据记录：</w:t>
      </w:r>
    </w:p>
    <w:p w14:paraId="4F1EBF56">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（1）同一功能房间砼顶板作为1个实测区，累计实测实量8个实测区。</w:t>
      </w:r>
    </w:p>
    <w:p w14:paraId="0DDE263D">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使用激光扫平仪，在实测板跨内打出一条水平基准线。同一实测区距顶板天花线约30CM处位置选取4个角点，以及板跨几何中心位（若板单侧跨度较大可在中心部位增加1个测点），分别测量砼顶板与水平基准线之间的5个垂直距离。以最低点为基准点，计算另外四点与最低点之间的偏差。偏差值≤15mm时实测点合格；最大偏差值≤20mm时，5个偏差值（基准点偏差值以0计）的实际值作为判断该实测指标合格率的5个计算点。最大偏差值﹥20mm时，5个偏差值均按最大偏差值计，作为判断该实测指标合格率的5个计算点。</w:t>
      </w:r>
    </w:p>
    <w:p w14:paraId="45067874">
      <w:pPr>
        <w:adjustRightInd w:val="0"/>
        <w:snapToGrid w:val="0"/>
        <w:spacing w:line="360" w:lineRule="auto"/>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sz w:val="21"/>
          <w:szCs w:val="21"/>
          <w:highlight w:val="none"/>
        </w:rPr>
        <w:t>（3）所选2套房中顶板水平度极差的实测区不满足8个时，需增加实测套房数</w:t>
      </w:r>
      <w:r>
        <w:rPr>
          <w:rFonts w:hint="eastAsia" w:cs="宋体" w:asciiTheme="minorEastAsia" w:hAnsiTheme="minorEastAsia" w:eastAsiaTheme="minorEastAsia"/>
          <w:color w:val="auto"/>
          <w:sz w:val="24"/>
          <w:highlight w:val="none"/>
        </w:rPr>
        <w:t>。</w:t>
      </w:r>
    </w:p>
    <w:p w14:paraId="6C6EB6A6">
      <w:pPr>
        <w:adjustRightInd w:val="0"/>
        <w:snapToGrid w:val="0"/>
        <w:spacing w:line="360" w:lineRule="auto"/>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sz w:val="24"/>
          <w:highlight w:val="none"/>
        </w:rPr>
        <w:t>1.5.5  示例：</w:t>
      </w:r>
    </w:p>
    <w:p w14:paraId="223787B1">
      <w:pPr>
        <w:pStyle w:val="109"/>
        <w:adjustRightInd w:val="0"/>
        <w:snapToGrid w:val="0"/>
        <w:spacing w:line="360" w:lineRule="auto"/>
        <w:outlineLvl w:val="9"/>
        <w:rPr>
          <w:rFonts w:asciiTheme="minorEastAsia" w:hAnsiTheme="minorEastAsia" w:eastAsiaTheme="minorEastAsia"/>
          <w:color w:val="auto"/>
          <w:szCs w:val="24"/>
          <w:highlight w:val="none"/>
        </w:rPr>
      </w:pPr>
      <w:r>
        <w:rPr>
          <w:rFonts w:asciiTheme="minorEastAsia" w:hAnsiTheme="minorEastAsia" w:eastAsiaTheme="minorEastAsia"/>
          <w:color w:val="auto"/>
          <w:szCs w:val="24"/>
          <w:highlight w:val="none"/>
        </w:rPr>
        <w:drawing>
          <wp:anchor distT="0" distB="0" distL="114300" distR="114300" simplePos="0" relativeHeight="251665408" behindDoc="0" locked="0" layoutInCell="1" allowOverlap="1">
            <wp:simplePos x="0" y="0"/>
            <wp:positionH relativeFrom="column">
              <wp:posOffset>1019810</wp:posOffset>
            </wp:positionH>
            <wp:positionV relativeFrom="paragraph">
              <wp:posOffset>-163830</wp:posOffset>
            </wp:positionV>
            <wp:extent cx="4126230" cy="2400935"/>
            <wp:effectExtent l="0" t="0" r="0" b="0"/>
            <wp:wrapNone/>
            <wp:docPr id="1086" name="Object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Object 2544"/>
                    <pic:cNvPicPr>
                      <a:picLocks noChangeAspect="1" noChangeArrowheads="1"/>
                    </pic:cNvPicPr>
                  </pic:nvPicPr>
                  <pic:blipFill>
                    <a:blip r:embed="rId47"/>
                    <a:srcRect l="18788" t="12041" r="29121" b="13379"/>
                    <a:stretch>
                      <a:fillRect/>
                    </a:stretch>
                  </pic:blipFill>
                  <pic:spPr>
                    <a:xfrm>
                      <a:off x="0" y="0"/>
                      <a:ext cx="4126230" cy="2400935"/>
                    </a:xfrm>
                    <a:prstGeom prst="rect">
                      <a:avLst/>
                    </a:prstGeom>
                    <a:noFill/>
                    <a:ln w="9525">
                      <a:noFill/>
                      <a:miter lim="800000"/>
                      <a:headEnd/>
                      <a:tailEnd/>
                    </a:ln>
                  </pic:spPr>
                </pic:pic>
              </a:graphicData>
            </a:graphic>
          </wp:anchor>
        </w:drawing>
      </w:r>
    </w:p>
    <w:p w14:paraId="76917B3B">
      <w:pPr>
        <w:adjustRightInd w:val="0"/>
        <w:snapToGrid w:val="0"/>
        <w:spacing w:line="360" w:lineRule="auto"/>
        <w:outlineLvl w:val="9"/>
        <w:rPr>
          <w:rFonts w:asciiTheme="minorEastAsia" w:hAnsiTheme="minorEastAsia" w:eastAsiaTheme="minorEastAsia"/>
          <w:color w:val="auto"/>
          <w:sz w:val="24"/>
          <w:highlight w:val="none"/>
        </w:rPr>
      </w:pPr>
    </w:p>
    <w:p w14:paraId="57EF015E">
      <w:pPr>
        <w:adjustRightInd w:val="0"/>
        <w:snapToGrid w:val="0"/>
        <w:spacing w:line="360" w:lineRule="auto"/>
        <w:outlineLvl w:val="9"/>
        <w:rPr>
          <w:rFonts w:asciiTheme="minorEastAsia" w:hAnsiTheme="minorEastAsia" w:eastAsiaTheme="minorEastAsia"/>
          <w:color w:val="auto"/>
          <w:sz w:val="24"/>
          <w:highlight w:val="none"/>
        </w:rPr>
      </w:pPr>
    </w:p>
    <w:p w14:paraId="61F242E4">
      <w:pPr>
        <w:adjustRightInd w:val="0"/>
        <w:snapToGrid w:val="0"/>
        <w:spacing w:line="360" w:lineRule="auto"/>
        <w:outlineLvl w:val="9"/>
        <w:rPr>
          <w:rFonts w:asciiTheme="minorEastAsia" w:hAnsiTheme="minorEastAsia" w:eastAsiaTheme="minorEastAsia"/>
          <w:color w:val="auto"/>
          <w:sz w:val="24"/>
          <w:highlight w:val="none"/>
        </w:rPr>
      </w:pPr>
    </w:p>
    <w:p w14:paraId="63F1BC2D">
      <w:pPr>
        <w:adjustRightInd w:val="0"/>
        <w:snapToGrid w:val="0"/>
        <w:spacing w:line="360" w:lineRule="auto"/>
        <w:outlineLvl w:val="9"/>
        <w:rPr>
          <w:rFonts w:asciiTheme="minorEastAsia" w:hAnsiTheme="minorEastAsia" w:eastAsiaTheme="minorEastAsia"/>
          <w:color w:val="auto"/>
          <w:sz w:val="24"/>
          <w:highlight w:val="none"/>
        </w:rPr>
      </w:pPr>
    </w:p>
    <w:p w14:paraId="5AE99D93">
      <w:pPr>
        <w:adjustRightInd w:val="0"/>
        <w:snapToGrid w:val="0"/>
        <w:spacing w:line="360" w:lineRule="auto"/>
        <w:outlineLvl w:val="9"/>
        <w:rPr>
          <w:rFonts w:asciiTheme="minorEastAsia" w:hAnsiTheme="minorEastAsia" w:eastAsiaTheme="minorEastAsia"/>
          <w:color w:val="auto"/>
          <w:sz w:val="24"/>
          <w:highlight w:val="none"/>
        </w:rPr>
      </w:pPr>
    </w:p>
    <w:p w14:paraId="29A1A5C8">
      <w:pPr>
        <w:adjustRightInd w:val="0"/>
        <w:snapToGrid w:val="0"/>
        <w:spacing w:line="360" w:lineRule="auto"/>
        <w:outlineLvl w:val="9"/>
        <w:rPr>
          <w:rFonts w:asciiTheme="minorEastAsia" w:hAnsiTheme="minorEastAsia" w:eastAsiaTheme="minorEastAsia"/>
          <w:color w:val="auto"/>
          <w:sz w:val="24"/>
          <w:highlight w:val="none"/>
        </w:rPr>
      </w:pPr>
    </w:p>
    <w:p w14:paraId="47007D6E">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1.6楼板厚度偏差（砼结构）</w:t>
      </w:r>
    </w:p>
    <w:p w14:paraId="1AA9725B">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1.6.1  指标说明：反映同跨板的厚度施工尺寸与设计图尺寸的偏差；</w:t>
      </w:r>
    </w:p>
    <w:p w14:paraId="26121E46">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1.6.2  合格标准：[－5，8]mm</w:t>
      </w:r>
    </w:p>
    <w:p w14:paraId="306AF276">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1.6.3  测量工具：超声波楼板测厚仪（非破损）或卷尺（破损法）</w:t>
      </w:r>
    </w:p>
    <w:p w14:paraId="26C96C5F">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1.6.4  测量方法和数据记录</w:t>
      </w:r>
    </w:p>
    <w:p w14:paraId="281928F4">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（1）同一跨板作为1个实测区，累计实测实量10个实测区。每个实测区取1个样本点，取点位置为该板跨中1／3区域。</w:t>
      </w:r>
    </w:p>
    <w:p w14:paraId="34D6452F">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测量所抽查跨的楼板厚度，当采用非破损法测量时将测厚仪发射探头与接收探头分别置于被测楼板的上下两侧，仪器上显示的值即为两探头之间的距离，移动接收探头，当仪器显示为最小值时，即为楼板的厚度；当采用破损法测量时，可用电钻在板中钻孔（需特别注意避开预埋电线管等），以卷尺测量孔眼厚度。1个实测值作为判断该实测指标合格率的1个计算点。</w:t>
      </w:r>
    </w:p>
    <w:p w14:paraId="587376A7">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（3）所选2套房中楼板厚度偏差的实测区不满足10个时，需增加实测套房数。</w:t>
      </w:r>
    </w:p>
    <w:p w14:paraId="5A5321B8">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示例：</w:t>
      </w:r>
    </w:p>
    <w:p w14:paraId="618320A3">
      <w:pPr>
        <w:adjustRightInd w:val="0"/>
        <w:snapToGrid w:val="0"/>
        <w:spacing w:line="360" w:lineRule="auto"/>
        <w:outlineLvl w:val="9"/>
        <w:rPr>
          <w:rFonts w:asciiTheme="minorEastAsia" w:hAnsiTheme="minorEastAsia" w:eastAsiaTheme="minorEastAsia"/>
          <w:b/>
          <w:color w:val="auto"/>
          <w:sz w:val="24"/>
          <w:highlight w:val="none"/>
        </w:rPr>
      </w:pPr>
      <w:r>
        <w:rPr>
          <w:rFonts w:hint="eastAsia" w:asciiTheme="minorEastAsia" w:hAnsiTheme="minorEastAsia" w:eastAsiaTheme="minorEastAsia"/>
          <w:b/>
          <w:color w:val="auto"/>
          <w:sz w:val="24"/>
          <w:highlight w:val="none"/>
        </w:rPr>
        <w:t xml:space="preserve">       </w:t>
      </w:r>
      <w:r>
        <w:rPr>
          <w:rFonts w:asciiTheme="minorEastAsia" w:hAnsiTheme="minorEastAsia" w:eastAsiaTheme="minorEastAsia"/>
          <w:b/>
          <w:color w:val="auto"/>
          <w:sz w:val="24"/>
          <w:highlight w:val="none"/>
        </w:rPr>
        <w:drawing>
          <wp:inline distT="0" distB="0" distL="0" distR="0">
            <wp:extent cx="3975735" cy="2027555"/>
            <wp:effectExtent l="19050" t="0" r="5715" b="0"/>
            <wp:docPr id="347" name="图片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6" descr="1"/>
                    <pic:cNvPicPr>
                      <a:picLocks noChangeAspect="1" noChangeArrowheads="1"/>
                    </pic:cNvPicPr>
                  </pic:nvPicPr>
                  <pic:blipFill>
                    <a:blip r:embed="rId48"/>
                    <a:srcRect/>
                    <a:stretch>
                      <a:fillRect/>
                    </a:stretch>
                  </pic:blipFill>
                  <pic:spPr>
                    <a:xfrm>
                      <a:off x="0" y="0"/>
                      <a:ext cx="3975735" cy="2027555"/>
                    </a:xfrm>
                    <a:prstGeom prst="rect">
                      <a:avLst/>
                    </a:prstGeom>
                    <a:noFill/>
                    <a:ln w="9525">
                      <a:noFill/>
                      <a:miter lim="800000"/>
                      <a:headEnd/>
                      <a:tailEnd/>
                    </a:ln>
                  </pic:spPr>
                </pic:pic>
              </a:graphicData>
            </a:graphic>
          </wp:inline>
        </w:drawing>
      </w:r>
    </w:p>
    <w:p w14:paraId="2973CCA5">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2</w:t>
      </w:r>
      <w:r>
        <w:rPr>
          <w:rFonts w:hint="eastAsia" w:cs="宋体" w:asciiTheme="minorEastAsia" w:hAnsiTheme="minorEastAsia" w:eastAsiaTheme="minorEastAsia"/>
          <w:b/>
          <w:color w:val="auto"/>
          <w:sz w:val="21"/>
          <w:szCs w:val="21"/>
          <w:highlight w:val="none"/>
        </w:rPr>
        <w:tab/>
      </w:r>
      <w:r>
        <w:rPr>
          <w:rFonts w:hint="eastAsia" w:cs="宋体" w:asciiTheme="minorEastAsia" w:hAnsiTheme="minorEastAsia" w:eastAsiaTheme="minorEastAsia"/>
          <w:b/>
          <w:color w:val="auto"/>
          <w:sz w:val="21"/>
          <w:szCs w:val="21"/>
          <w:highlight w:val="none"/>
        </w:rPr>
        <w:t>抹灰施工阶段</w:t>
      </w:r>
    </w:p>
    <w:p w14:paraId="32FC3FC7">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2.1  基本原则</w:t>
      </w:r>
    </w:p>
    <w:p w14:paraId="1363A164">
      <w:pPr>
        <w:tabs>
          <w:tab w:val="left" w:pos="851"/>
        </w:tabs>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2.1.1  根据各楼栋进度随机选取处于抹灰后各楼栋房间作为实测对象。</w:t>
      </w:r>
    </w:p>
    <w:p w14:paraId="2576FDFF">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2.2  墙体表面平整度</w:t>
      </w:r>
    </w:p>
    <w:p w14:paraId="4AA80A6A">
      <w:pPr>
        <w:tabs>
          <w:tab w:val="left" w:pos="851"/>
        </w:tabs>
        <w:adjustRightInd w:val="0"/>
        <w:snapToGrid w:val="0"/>
        <w:spacing w:line="360" w:lineRule="auto"/>
        <w:ind w:firstLine="105" w:firstLineChars="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2.2.1  指标说明：反映层高范围内墙体表面平整程度。</w:t>
      </w:r>
    </w:p>
    <w:p w14:paraId="6DE25DCF">
      <w:pPr>
        <w:tabs>
          <w:tab w:val="left" w:pos="851"/>
        </w:tabs>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2.2.2  允许偏差值要求：墙面表面平整度允许偏差值为：开发项目为4mm，代建项目为4mm。超过该值则记为不合格。</w:t>
      </w:r>
    </w:p>
    <w:p w14:paraId="7306D189">
      <w:pPr>
        <w:adjustRightInd w:val="0"/>
        <w:snapToGrid w:val="0"/>
        <w:spacing w:line="360" w:lineRule="auto"/>
        <w:ind w:firstLine="105" w:firstLineChars="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2.2.3  测量工具：2米靠尺、楔形塞尺</w:t>
      </w:r>
    </w:p>
    <w:p w14:paraId="1C93D0CC">
      <w:pPr>
        <w:tabs>
          <w:tab w:val="left" w:pos="851"/>
        </w:tabs>
        <w:adjustRightInd w:val="0"/>
        <w:snapToGrid w:val="0"/>
        <w:spacing w:line="360" w:lineRule="auto"/>
        <w:ind w:firstLine="105" w:firstLineChars="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2.2.4  测量方法和数据记录：</w:t>
      </w:r>
    </w:p>
    <w:p w14:paraId="43AC99C6">
      <w:pPr>
        <w:adjustRightInd w:val="0"/>
        <w:snapToGrid w:val="0"/>
        <w:spacing w:line="360" w:lineRule="auto"/>
        <w:ind w:firstLine="105" w:firstLineChars="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每一面墙作为1个实测区，一个实测区作为一个合格率计算点。</w:t>
      </w:r>
    </w:p>
    <w:p w14:paraId="5ABFECB3">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当墙面长度小于3米，在同一墙面顶部和根部4个角中，任意选取2个角按45度角斜放靠尺分别测量1次, 在距离地面20cm左右的位置水平测1次。选取其中尺寸偏差最大的数，作为判断该实测指标合格率的1个计算点。</w:t>
      </w:r>
    </w:p>
    <w:p w14:paraId="032DBC51">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当墙面长度大于3米，在同一墙面4个角任选两个方向各测量1次，在墙长度方向任意位置增加2次水平测量，在距离地面20cm左右的位置水平测2次。选取其中尺寸偏差最大的数，作为判断该实测指标合格率的1个计算点。</w:t>
      </w:r>
    </w:p>
    <w:p w14:paraId="7D4B2B8D">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所选实测区墙面优先考虑有门窗、过道洞口的，在各洞口45度斜测一次，洞口两边竖向各测一次。</w:t>
      </w:r>
    </w:p>
    <w:p w14:paraId="689E59D0">
      <w:pPr>
        <w:tabs>
          <w:tab w:val="left" w:pos="851"/>
        </w:tabs>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2.2.5  示例：</w:t>
      </w:r>
    </w:p>
    <w:p w14:paraId="1BE1FBD6">
      <w:pPr>
        <w:adjustRightInd w:val="0"/>
        <w:snapToGrid w:val="0"/>
        <w:spacing w:line="360" w:lineRule="auto"/>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sz w:val="24"/>
          <w:highlight w:val="none"/>
        </w:rPr>
        <w:t xml:space="preserve">          </w:t>
      </w:r>
      <w:r>
        <w:rPr>
          <w:rFonts w:cs="宋体" w:asciiTheme="minorEastAsia" w:hAnsiTheme="minorEastAsia" w:eastAsiaTheme="minorEastAsia"/>
          <w:color w:val="auto"/>
          <w:sz w:val="24"/>
          <w:highlight w:val="none"/>
        </w:rPr>
        <w:drawing>
          <wp:inline distT="0" distB="0" distL="0" distR="0">
            <wp:extent cx="3776980" cy="2632075"/>
            <wp:effectExtent l="19050" t="0" r="0" b="0"/>
            <wp:docPr id="348" name="图片 33" descr="777777777777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3" descr="7777777777777777"/>
                    <pic:cNvPicPr>
                      <a:picLocks noChangeAspect="1" noChangeArrowheads="1"/>
                    </pic:cNvPicPr>
                  </pic:nvPicPr>
                  <pic:blipFill>
                    <a:blip r:embed="rId49"/>
                    <a:srcRect/>
                    <a:stretch>
                      <a:fillRect/>
                    </a:stretch>
                  </pic:blipFill>
                  <pic:spPr>
                    <a:xfrm>
                      <a:off x="0" y="0"/>
                      <a:ext cx="3776980" cy="2632075"/>
                    </a:xfrm>
                    <a:prstGeom prst="rect">
                      <a:avLst/>
                    </a:prstGeom>
                    <a:noFill/>
                    <a:ln w="9525">
                      <a:noFill/>
                      <a:miter lim="800000"/>
                      <a:headEnd/>
                      <a:tailEnd/>
                    </a:ln>
                  </pic:spPr>
                </pic:pic>
              </a:graphicData>
            </a:graphic>
          </wp:inline>
        </w:drawing>
      </w:r>
    </w:p>
    <w:p w14:paraId="1C65C4E7">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2.3  墙体表面垂直度</w:t>
      </w:r>
    </w:p>
    <w:p w14:paraId="5BCC81D0">
      <w:pPr>
        <w:tabs>
          <w:tab w:val="left" w:pos="851"/>
        </w:tabs>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2.3.1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指标说明：反映层高范围墙体垂直的程度。</w:t>
      </w:r>
    </w:p>
    <w:p w14:paraId="668C4CBF">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2.3.2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允许偏差值要求：墙面垂直度允许偏差值为：开发项目为4mm，代建项目为4mm。超过该值则记为不合格。</w:t>
      </w:r>
    </w:p>
    <w:p w14:paraId="2B0BA65A">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2.3.3</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测量工具：2米靠尺</w:t>
      </w:r>
    </w:p>
    <w:p w14:paraId="53FBE0E9">
      <w:pPr>
        <w:tabs>
          <w:tab w:val="left" w:pos="851"/>
        </w:tabs>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2.3.4  测量方法和数据记录：</w:t>
      </w:r>
    </w:p>
    <w:p w14:paraId="27C6DA46">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每一面墙作为1个实测区，门洞口墙体垂直度为必测项。</w:t>
      </w:r>
    </w:p>
    <w:p w14:paraId="5C20D5D1">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测量值主要反映砌体墙体垂直度，应避开墙顶梁、墙底灰砂砖或砼反坎、墙体斜顶砖，消除其测量值的影响。</w:t>
      </w:r>
    </w:p>
    <w:p w14:paraId="43DF537A">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  当墙长度小于3米时，同一面墙距两端头竖向阴阳角30cm位置，分别按以下原则实测2次：一是靠尺顶端接触到上部砼顶板位置时测1次垂直度，二是靠尺底端接触到下部地面位置时测1次垂直度，选取其中尺寸偏差最大的数，作为判断该实测指标合格率的1个计算点。</w:t>
      </w:r>
    </w:p>
    <w:p w14:paraId="43E7D595">
      <w:pPr>
        <w:tabs>
          <w:tab w:val="left" w:pos="851"/>
        </w:tabs>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  当墙长度大于3米时，同一面墙距两端头竖向阴阳角30cm和墙体中间位置，分别按以下原则实测3次：一是靠尺顶端接触到上部砼顶板位置时测1次垂直度，二是靠尺底端接触到下部地面位置时测1次垂直度，三是在墙长度中间位置靠尺基本在高度方向居中时测1次垂直度。选取其中尺寸偏差最大的数，作为判断该实测指标合格率的1个计算点。</w:t>
      </w:r>
    </w:p>
    <w:p w14:paraId="3D35A012">
      <w:pPr>
        <w:tabs>
          <w:tab w:val="left" w:pos="851"/>
        </w:tabs>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drawing>
          <wp:anchor distT="0" distB="0" distL="114300" distR="114300" simplePos="0" relativeHeight="251663360" behindDoc="0" locked="0" layoutInCell="1" allowOverlap="1">
            <wp:simplePos x="0" y="0"/>
            <wp:positionH relativeFrom="column">
              <wp:posOffset>1012190</wp:posOffset>
            </wp:positionH>
            <wp:positionV relativeFrom="paragraph">
              <wp:posOffset>183515</wp:posOffset>
            </wp:positionV>
            <wp:extent cx="3545840" cy="2273935"/>
            <wp:effectExtent l="0" t="0" r="0" b="0"/>
            <wp:wrapNone/>
            <wp:docPr id="1082" name="Object 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Object 2524"/>
                    <pic:cNvPicPr>
                      <a:picLocks noChangeAspect="1" noChangeArrowheads="1"/>
                    </pic:cNvPicPr>
                  </pic:nvPicPr>
                  <pic:blipFill>
                    <a:blip r:embed="rId50"/>
                    <a:srcRect l="18155" t="20090" r="53323" b="40112"/>
                    <a:stretch>
                      <a:fillRect/>
                    </a:stretch>
                  </pic:blipFill>
                  <pic:spPr>
                    <a:xfrm>
                      <a:off x="0" y="0"/>
                      <a:ext cx="3545840" cy="2273935"/>
                    </a:xfrm>
                    <a:prstGeom prst="rect">
                      <a:avLst/>
                    </a:prstGeom>
                    <a:noFill/>
                    <a:ln w="9525">
                      <a:noFill/>
                      <a:miter lim="800000"/>
                      <a:headEnd/>
                      <a:tailEnd/>
                    </a:ln>
                  </pic:spPr>
                </pic:pic>
              </a:graphicData>
            </a:graphic>
          </wp:anchor>
        </w:drawing>
      </w:r>
      <w:r>
        <w:rPr>
          <w:rFonts w:hint="eastAsia" w:cs="宋体" w:asciiTheme="minorEastAsia" w:hAnsiTheme="minorEastAsia" w:eastAsiaTheme="minorEastAsia"/>
          <w:color w:val="auto"/>
          <w:sz w:val="21"/>
          <w:szCs w:val="21"/>
          <w:highlight w:val="none"/>
        </w:rPr>
        <w:t>2.3.5  示例：</w:t>
      </w:r>
    </w:p>
    <w:p w14:paraId="6800A8CE">
      <w:pPr>
        <w:pStyle w:val="109"/>
        <w:adjustRightInd w:val="0"/>
        <w:snapToGrid w:val="0"/>
        <w:spacing w:line="360" w:lineRule="auto"/>
        <w:outlineLvl w:val="9"/>
        <w:rPr>
          <w:rFonts w:asciiTheme="minorEastAsia" w:hAnsiTheme="minorEastAsia" w:eastAsiaTheme="minorEastAsia"/>
          <w:color w:val="auto"/>
          <w:szCs w:val="24"/>
          <w:highlight w:val="none"/>
        </w:rPr>
      </w:pPr>
    </w:p>
    <w:p w14:paraId="0FD60C05">
      <w:pPr>
        <w:pStyle w:val="109"/>
        <w:adjustRightInd w:val="0"/>
        <w:snapToGrid w:val="0"/>
        <w:spacing w:line="360" w:lineRule="auto"/>
        <w:outlineLvl w:val="9"/>
        <w:rPr>
          <w:rFonts w:asciiTheme="minorEastAsia" w:hAnsiTheme="minorEastAsia" w:eastAsiaTheme="minorEastAsia"/>
          <w:color w:val="auto"/>
          <w:szCs w:val="24"/>
          <w:highlight w:val="none"/>
        </w:rPr>
      </w:pPr>
    </w:p>
    <w:p w14:paraId="089BD9FC">
      <w:pPr>
        <w:pStyle w:val="109"/>
        <w:adjustRightInd w:val="0"/>
        <w:snapToGrid w:val="0"/>
        <w:spacing w:line="360" w:lineRule="auto"/>
        <w:outlineLvl w:val="9"/>
        <w:rPr>
          <w:rFonts w:asciiTheme="minorEastAsia" w:hAnsiTheme="minorEastAsia" w:eastAsiaTheme="minorEastAsia"/>
          <w:color w:val="auto"/>
          <w:szCs w:val="24"/>
          <w:highlight w:val="none"/>
        </w:rPr>
      </w:pPr>
    </w:p>
    <w:p w14:paraId="7677FEE0">
      <w:pPr>
        <w:adjustRightInd w:val="0"/>
        <w:snapToGrid w:val="0"/>
        <w:spacing w:line="360" w:lineRule="auto"/>
        <w:outlineLvl w:val="9"/>
        <w:rPr>
          <w:rFonts w:cs="宋体" w:asciiTheme="minorEastAsia" w:hAnsiTheme="minorEastAsia" w:eastAsiaTheme="minorEastAsia"/>
          <w:color w:val="auto"/>
          <w:sz w:val="24"/>
          <w:highlight w:val="none"/>
        </w:rPr>
      </w:pPr>
    </w:p>
    <w:p w14:paraId="35376FA4">
      <w:pPr>
        <w:adjustRightInd w:val="0"/>
        <w:snapToGrid w:val="0"/>
        <w:spacing w:line="360" w:lineRule="auto"/>
        <w:outlineLvl w:val="9"/>
        <w:rPr>
          <w:rFonts w:cs="宋体" w:asciiTheme="minorEastAsia" w:hAnsiTheme="minorEastAsia" w:eastAsiaTheme="minorEastAsia"/>
          <w:color w:val="auto"/>
          <w:sz w:val="24"/>
          <w:highlight w:val="none"/>
        </w:rPr>
      </w:pPr>
    </w:p>
    <w:p w14:paraId="2F81CDED">
      <w:pPr>
        <w:adjustRightInd w:val="0"/>
        <w:snapToGrid w:val="0"/>
        <w:spacing w:line="360" w:lineRule="auto"/>
        <w:outlineLvl w:val="9"/>
        <w:rPr>
          <w:rFonts w:cs="宋体" w:asciiTheme="minorEastAsia" w:hAnsiTheme="minorEastAsia" w:eastAsiaTheme="minorEastAsia"/>
          <w:color w:val="auto"/>
          <w:sz w:val="24"/>
          <w:highlight w:val="none"/>
        </w:rPr>
      </w:pPr>
    </w:p>
    <w:p w14:paraId="78BCCCB2">
      <w:pPr>
        <w:adjustRightInd w:val="0"/>
        <w:snapToGrid w:val="0"/>
        <w:spacing w:line="360" w:lineRule="auto"/>
        <w:outlineLvl w:val="9"/>
        <w:rPr>
          <w:rFonts w:cs="宋体" w:asciiTheme="minorEastAsia" w:hAnsiTheme="minorEastAsia" w:eastAsiaTheme="minorEastAsia"/>
          <w:color w:val="auto"/>
          <w:sz w:val="24"/>
          <w:highlight w:val="none"/>
        </w:rPr>
      </w:pPr>
    </w:p>
    <w:p w14:paraId="0DA7E462">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2.4室内净高偏差（抹灰工程）</w:t>
      </w:r>
    </w:p>
    <w:p w14:paraId="7106EC8D">
      <w:pPr>
        <w:tabs>
          <w:tab w:val="left" w:pos="851"/>
        </w:tabs>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2.4.1指标说明：综合反映同一房间室内净高实测值与理论值的偏差程度。</w:t>
      </w:r>
    </w:p>
    <w:p w14:paraId="2340E2A8">
      <w:pPr>
        <w:tabs>
          <w:tab w:val="left" w:pos="851"/>
        </w:tabs>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2.4.2合格标准：[－20，20]mm</w:t>
      </w:r>
    </w:p>
    <w:p w14:paraId="4AA3AD83">
      <w:pPr>
        <w:tabs>
          <w:tab w:val="left" w:pos="851"/>
        </w:tabs>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2.4.3测量工具：5米钢卷尺、激光测距仪</w:t>
      </w:r>
    </w:p>
    <w:p w14:paraId="2B426227">
      <w:pPr>
        <w:tabs>
          <w:tab w:val="left" w:pos="851"/>
        </w:tabs>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2.4.4测量方法和数据记录：</w:t>
      </w:r>
    </w:p>
    <w:p w14:paraId="291E5DFD">
      <w:pPr>
        <w:tabs>
          <w:tab w:val="left" w:pos="851"/>
        </w:tabs>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（1）实测区：每一个功能房间作为1个实测区，累计实测实量8个实测区。所选2套房中实测区不满足8个时，需增加实测套房数。</w:t>
      </w:r>
    </w:p>
    <w:p w14:paraId="52A60B75">
      <w:pPr>
        <w:tabs>
          <w:tab w:val="left" w:pos="851"/>
        </w:tabs>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（2）测量方法：</w:t>
      </w:r>
    </w:p>
    <w:p w14:paraId="36A1E254">
      <w:pPr>
        <w:tabs>
          <w:tab w:val="left" w:pos="851"/>
        </w:tabs>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实测前，所选套房必须完成地面找平层施工。同时还需了解所选套房的各房间结构楼板的设计厚度和建筑构造做法厚度等。</w:t>
      </w:r>
    </w:p>
    <w:p w14:paraId="115B4FF5">
      <w:pPr>
        <w:tabs>
          <w:tab w:val="left" w:pos="851"/>
        </w:tabs>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各房间地面的4个角部区域，距地脚边线30CM附近各选取1点（避开吊顶位），在地面几何中心位选取1点，测量出找平层地面与天花顶板间的5个垂直距离，即当前施工阶段5个室内净高实测值。</w:t>
      </w:r>
    </w:p>
    <w:p w14:paraId="29DE8151">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合格率计算点：用图纸设计层高值减去结构楼板和地面找平层施工设计厚度值，作为判断该房间当前施工阶段设计理论室内净高值。当实测值与设计值最大偏差值在【-30，30】mm之间时，5个偏差值的实际值作为判断该实测指标合格率的5个计算点。当实测值与设计值最大偏差值﹥30mm或﹤-30mm时，5个偏差值均按最大偏差值计，作为判断该实测指标合格率的5个计算点。</w:t>
      </w:r>
    </w:p>
    <w:p w14:paraId="31C96E83">
      <w:pPr>
        <w:tabs>
          <w:tab w:val="left" w:pos="851"/>
        </w:tabs>
        <w:adjustRightInd w:val="0"/>
        <w:snapToGrid w:val="0"/>
        <w:spacing w:line="360" w:lineRule="auto"/>
        <w:ind w:left="840" w:hanging="735" w:hangingChars="350"/>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sz w:val="21"/>
          <w:szCs w:val="21"/>
          <w:highlight w:val="none"/>
        </w:rPr>
        <w:t>2.4.5示例：</w:t>
      </w:r>
    </w:p>
    <w:p w14:paraId="22A18C7D">
      <w:pPr>
        <w:adjustRightInd w:val="0"/>
        <w:snapToGrid w:val="0"/>
        <w:spacing w:line="360" w:lineRule="auto"/>
        <w:outlineLvl w:val="9"/>
        <w:rPr>
          <w:rFonts w:asciiTheme="minorEastAsia" w:hAnsiTheme="minorEastAsia" w:eastAsiaTheme="minorEastAsia"/>
          <w:b/>
          <w:color w:val="auto"/>
          <w:sz w:val="24"/>
          <w:highlight w:val="none"/>
        </w:rPr>
      </w:pPr>
      <w:r>
        <w:rPr>
          <w:rFonts w:asciiTheme="minorEastAsia" w:hAnsiTheme="minorEastAsia" w:eastAsiaTheme="minorEastAsia"/>
          <w:b/>
          <w:color w:val="auto"/>
          <w:sz w:val="24"/>
          <w:highlight w:val="none"/>
        </w:rPr>
        <w:drawing>
          <wp:inline distT="0" distB="0" distL="114300" distR="114300">
            <wp:extent cx="3522345" cy="2352675"/>
            <wp:effectExtent l="0" t="0" r="0" b="0"/>
            <wp:docPr id="1087" name="Object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Object 2545"/>
                    <pic:cNvPicPr>
                      <a:picLocks noChangeAspect="1" noChangeArrowheads="1"/>
                    </pic:cNvPicPr>
                  </pic:nvPicPr>
                  <pic:blipFill>
                    <a:blip r:embed="rId51"/>
                    <a:srcRect l="18788" t="12041" r="29121" b="13379"/>
                    <a:stretch>
                      <a:fillRect/>
                    </a:stretch>
                  </pic:blipFill>
                  <pic:spPr>
                    <a:xfrm>
                      <a:off x="0" y="0"/>
                      <a:ext cx="3522345" cy="2352675"/>
                    </a:xfrm>
                    <a:prstGeom prst="rect">
                      <a:avLst/>
                    </a:prstGeom>
                    <a:noFill/>
                    <a:ln w="9525">
                      <a:noFill/>
                      <a:miter lim="800000"/>
                      <a:headEnd/>
                      <a:tailEnd/>
                    </a:ln>
                  </pic:spPr>
                </pic:pic>
              </a:graphicData>
            </a:graphic>
          </wp:inline>
        </w:drawing>
      </w:r>
    </w:p>
    <w:p w14:paraId="681D7DF9">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2.5顶板水平度极差（抹灰工程）</w:t>
      </w:r>
    </w:p>
    <w:p w14:paraId="47ABF68E">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2.5.1指标说明：考虑实际测量的可操作性，顶板腻子完成后，选取同一功能房间砼顶板内四个角点和一个中点距离同一水平基准线之间5个实测值的极差值，综合反映同一房间砼顶板的平整程度。</w:t>
      </w:r>
    </w:p>
    <w:p w14:paraId="0C60D95B">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2.5.2合格标准：≤10mm</w:t>
      </w:r>
    </w:p>
    <w:p w14:paraId="6F5D2BCC">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2.5.3测量工具：激光扫平仪、具有足够刚度的5米钢卷尺（或2米靠尺、激光测距仪）</w:t>
      </w:r>
    </w:p>
    <w:p w14:paraId="78787BF1">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2.5.4测量方法和数据记录：</w:t>
      </w:r>
    </w:p>
    <w:p w14:paraId="397DE3BC">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（1）实测区：已完成腻子的同一功能房间内顶板作为1个实测区，累计实测实量8个实测区。所选2套房的实测区不满足8个时，需增加实测套房数。</w:t>
      </w:r>
    </w:p>
    <w:p w14:paraId="3522444C">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（2）测量方法：同一实测区内</w:t>
      </w:r>
    </w:p>
    <w:p w14:paraId="2A3F0490">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同一功能房间内顶板已完成腻子施工；</w:t>
      </w:r>
    </w:p>
    <w:p w14:paraId="38F766A6">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使用激光扫平仪，在实测板跨内打出一条水平基准线。同一实测区距顶板天花线30CM处位置选取4个角点，以及板跨几何中心位（若板单侧跨度较大可在中心部位增加1个测点），分别测量砼顶板与水平基准线之间的5个垂直距离。</w:t>
      </w:r>
    </w:p>
    <w:p w14:paraId="5E17B159">
      <w:pPr>
        <w:adjustRightInd w:val="0"/>
        <w:snapToGrid w:val="0"/>
        <w:spacing w:line="360" w:lineRule="auto"/>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drawing>
          <wp:anchor distT="0" distB="0" distL="114300" distR="114300" simplePos="0" relativeHeight="251666432" behindDoc="0" locked="0" layoutInCell="1" allowOverlap="1">
            <wp:simplePos x="0" y="0"/>
            <wp:positionH relativeFrom="column">
              <wp:posOffset>1298575</wp:posOffset>
            </wp:positionH>
            <wp:positionV relativeFrom="paragraph">
              <wp:posOffset>1158875</wp:posOffset>
            </wp:positionV>
            <wp:extent cx="3260090" cy="1995805"/>
            <wp:effectExtent l="0" t="0" r="0" b="0"/>
            <wp:wrapNone/>
            <wp:docPr id="1088" name="Object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Object 2546"/>
                    <pic:cNvPicPr>
                      <a:picLocks noChangeAspect="1" noChangeArrowheads="1"/>
                    </pic:cNvPicPr>
                  </pic:nvPicPr>
                  <pic:blipFill>
                    <a:blip r:embed="rId47"/>
                    <a:srcRect l="18788" t="12041" r="29121" b="13379"/>
                    <a:stretch>
                      <a:fillRect/>
                    </a:stretch>
                  </pic:blipFill>
                  <pic:spPr>
                    <a:xfrm>
                      <a:off x="0" y="0"/>
                      <a:ext cx="3260090" cy="1995805"/>
                    </a:xfrm>
                    <a:prstGeom prst="rect">
                      <a:avLst/>
                    </a:prstGeom>
                    <a:noFill/>
                    <a:ln w="9525">
                      <a:noFill/>
                      <a:miter lim="800000"/>
                      <a:headEnd/>
                      <a:tailEnd/>
                    </a:ln>
                  </pic:spPr>
                </pic:pic>
              </a:graphicData>
            </a:graphic>
          </wp:anchor>
        </w:drawing>
      </w:r>
      <w:r>
        <w:rPr>
          <w:rFonts w:hint="eastAsia" w:asciiTheme="minorEastAsia" w:hAnsiTheme="minorEastAsia" w:eastAsiaTheme="minorEastAsia"/>
          <w:color w:val="auto"/>
          <w:sz w:val="21"/>
          <w:szCs w:val="21"/>
          <w:highlight w:val="none"/>
        </w:rPr>
        <w:t>（3）合格率计算点：以垂直距离的最低点为基准点，计算另外四点与最低点之间的偏差，最大偏差值≤15mm时，5个偏差值（基准点偏差值以0计）的实际值作为判断该实测指标合格率的5个计算点。最大偏差值﹥15mm时，5个偏差值均按最大偏差值计，作为判断该实测指标合格率的5个计算点。</w:t>
      </w:r>
    </w:p>
    <w:p w14:paraId="58A3747E">
      <w:pPr>
        <w:adjustRightInd w:val="0"/>
        <w:snapToGrid w:val="0"/>
        <w:spacing w:line="360" w:lineRule="auto"/>
        <w:outlineLvl w:val="9"/>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2.5.5示例：</w:t>
      </w:r>
    </w:p>
    <w:p w14:paraId="24829FC6">
      <w:pPr>
        <w:adjustRightInd w:val="0"/>
        <w:snapToGrid w:val="0"/>
        <w:spacing w:line="360" w:lineRule="auto"/>
        <w:outlineLvl w:val="9"/>
        <w:rPr>
          <w:rFonts w:asciiTheme="minorEastAsia" w:hAnsiTheme="minorEastAsia" w:eastAsiaTheme="minorEastAsia"/>
          <w:color w:val="auto"/>
          <w:sz w:val="24"/>
          <w:highlight w:val="none"/>
        </w:rPr>
      </w:pPr>
    </w:p>
    <w:p w14:paraId="27A369E1">
      <w:pPr>
        <w:pStyle w:val="109"/>
        <w:adjustRightInd w:val="0"/>
        <w:snapToGrid w:val="0"/>
        <w:spacing w:line="360" w:lineRule="auto"/>
        <w:outlineLvl w:val="9"/>
        <w:rPr>
          <w:rFonts w:asciiTheme="minorEastAsia" w:hAnsiTheme="minorEastAsia" w:eastAsiaTheme="minorEastAsia"/>
          <w:color w:val="auto"/>
          <w:szCs w:val="24"/>
          <w:highlight w:val="none"/>
        </w:rPr>
      </w:pPr>
    </w:p>
    <w:p w14:paraId="570BE403">
      <w:pPr>
        <w:adjustRightInd w:val="0"/>
        <w:snapToGrid w:val="0"/>
        <w:spacing w:line="360" w:lineRule="auto"/>
        <w:outlineLvl w:val="9"/>
        <w:rPr>
          <w:rFonts w:asciiTheme="minorEastAsia" w:hAnsiTheme="minorEastAsia" w:eastAsiaTheme="minorEastAsia"/>
          <w:color w:val="auto"/>
          <w:sz w:val="24"/>
          <w:highlight w:val="none"/>
        </w:rPr>
      </w:pPr>
    </w:p>
    <w:p w14:paraId="4E72D466">
      <w:pPr>
        <w:adjustRightInd w:val="0"/>
        <w:snapToGrid w:val="0"/>
        <w:spacing w:line="360" w:lineRule="auto"/>
        <w:outlineLvl w:val="9"/>
        <w:rPr>
          <w:rFonts w:asciiTheme="minorEastAsia" w:hAnsiTheme="minorEastAsia" w:eastAsiaTheme="minorEastAsia"/>
          <w:color w:val="auto"/>
          <w:sz w:val="24"/>
          <w:highlight w:val="none"/>
        </w:rPr>
      </w:pPr>
    </w:p>
    <w:p w14:paraId="35EDAB98">
      <w:pPr>
        <w:adjustRightInd w:val="0"/>
        <w:snapToGrid w:val="0"/>
        <w:spacing w:line="360" w:lineRule="auto"/>
        <w:outlineLvl w:val="9"/>
        <w:rPr>
          <w:rFonts w:asciiTheme="minorEastAsia" w:hAnsiTheme="minorEastAsia" w:eastAsiaTheme="minorEastAsia"/>
          <w:b/>
          <w:color w:val="auto"/>
          <w:sz w:val="24"/>
          <w:highlight w:val="none"/>
        </w:rPr>
      </w:pPr>
    </w:p>
    <w:p w14:paraId="0C95C07A">
      <w:pPr>
        <w:adjustRightInd w:val="0"/>
        <w:snapToGrid w:val="0"/>
        <w:spacing w:line="360" w:lineRule="auto"/>
        <w:outlineLvl w:val="9"/>
        <w:rPr>
          <w:rFonts w:hint="eastAsia" w:cs="宋体" w:asciiTheme="minorEastAsia" w:hAnsiTheme="minorEastAsia" w:eastAsiaTheme="minorEastAsia"/>
          <w:b/>
          <w:color w:val="auto"/>
          <w:sz w:val="24"/>
          <w:highlight w:val="none"/>
        </w:rPr>
      </w:pPr>
    </w:p>
    <w:p w14:paraId="035DD0F4">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2.7  房间开间/进深</w:t>
      </w:r>
    </w:p>
    <w:p w14:paraId="6F4435B9">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2.7.1  指标说明：选用同一房间内开间、进深两个方向墙体间距离极差的最大值作为实测指标，以综合反映同一房间的方正程度。</w:t>
      </w:r>
    </w:p>
    <w:p w14:paraId="51D25963">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2.7.2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允许偏差值要求：房间开间、进深允许偏差值为：开发项目为10mm，代建项目为10mm。超过该值则记为不合格。</w:t>
      </w:r>
    </w:p>
    <w:p w14:paraId="5740FBE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2.7.3</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测量工具：激光测距仪</w:t>
      </w:r>
    </w:p>
    <w:p w14:paraId="7D1F8B10">
      <w:pPr>
        <w:tabs>
          <w:tab w:val="left" w:pos="851"/>
        </w:tabs>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2.7.4</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测量方法和数据记录：</w:t>
      </w:r>
    </w:p>
    <w:p w14:paraId="0E1EBB52">
      <w:pPr>
        <w:tabs>
          <w:tab w:val="left" w:pos="851"/>
        </w:tabs>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每一个功能房间的开间和进深分别各作为1个实测区。</w:t>
      </w:r>
    </w:p>
    <w:p w14:paraId="5C219E7D">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同一实测区内按开间（进深）方向测量墙体两端的距离，会得到两个实                               测值。房间开间（进深）实测指标合格率有两个判别条件，选其中最不利情 况作为判断该实测指标房间开间（进深）合格率的1个计算点。具体如：</w:t>
      </w:r>
    </w:p>
    <w:p w14:paraId="3B9DE620">
      <w:pPr>
        <w:adjustRightInd w:val="0"/>
        <w:snapToGrid w:val="0"/>
        <w:spacing w:line="360" w:lineRule="auto"/>
        <w:ind w:left="735" w:leftChars="100" w:hanging="525" w:hangingChars="2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a、  比较两个实测值与图纸设计尺寸，找出偏差的最大值，其小于10mm时合格；大于10mm时不合格。</w:t>
      </w:r>
    </w:p>
    <w:p w14:paraId="0A8B6DE8">
      <w:pPr>
        <w:tabs>
          <w:tab w:val="left" w:pos="284"/>
        </w:tabs>
        <w:adjustRightInd w:val="0"/>
        <w:snapToGrid w:val="0"/>
        <w:spacing w:line="360" w:lineRule="auto"/>
        <w:ind w:firstLine="210" w:firstLineChars="1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b、</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比较两个实测值之间极差值，其小于10mm时合格，大于10mm时不合格。</w:t>
      </w:r>
    </w:p>
    <w:p w14:paraId="5304AA0E">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drawing>
          <wp:anchor distT="0" distB="0" distL="114300" distR="114300" simplePos="0" relativeHeight="251664384" behindDoc="0" locked="0" layoutInCell="1" allowOverlap="1">
            <wp:simplePos x="0" y="0"/>
            <wp:positionH relativeFrom="column">
              <wp:posOffset>542925</wp:posOffset>
            </wp:positionH>
            <wp:positionV relativeFrom="paragraph">
              <wp:posOffset>287020</wp:posOffset>
            </wp:positionV>
            <wp:extent cx="4309745" cy="1932305"/>
            <wp:effectExtent l="0" t="0" r="0" b="0"/>
            <wp:wrapNone/>
            <wp:docPr id="1083" name="Object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Object 2539"/>
                    <pic:cNvPicPr>
                      <a:picLocks noChangeAspect="1" noChangeArrowheads="1"/>
                    </pic:cNvPicPr>
                  </pic:nvPicPr>
                  <pic:blipFill>
                    <a:blip r:embed="rId52"/>
                    <a:srcRect l="28183" t="40137" r="34445" b="13379"/>
                    <a:stretch>
                      <a:fillRect/>
                    </a:stretch>
                  </pic:blipFill>
                  <pic:spPr>
                    <a:xfrm>
                      <a:off x="0" y="0"/>
                      <a:ext cx="4309745" cy="1932305"/>
                    </a:xfrm>
                    <a:prstGeom prst="rect">
                      <a:avLst/>
                    </a:prstGeom>
                    <a:noFill/>
                    <a:ln w="9525">
                      <a:noFill/>
                      <a:miter lim="800000"/>
                      <a:headEnd/>
                      <a:tailEnd/>
                    </a:ln>
                  </pic:spPr>
                </pic:pic>
              </a:graphicData>
            </a:graphic>
          </wp:anchor>
        </w:drawing>
      </w:r>
      <w:r>
        <w:rPr>
          <w:rFonts w:hint="eastAsia" w:cs="宋体" w:asciiTheme="minorEastAsia" w:hAnsiTheme="minorEastAsia" w:eastAsiaTheme="minorEastAsia"/>
          <w:color w:val="auto"/>
          <w:sz w:val="21"/>
          <w:szCs w:val="21"/>
          <w:highlight w:val="none"/>
        </w:rPr>
        <w:t>2.7.5</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示例：</w:t>
      </w:r>
    </w:p>
    <w:p w14:paraId="430D95F2">
      <w:pPr>
        <w:adjustRightInd w:val="0"/>
        <w:snapToGrid w:val="0"/>
        <w:spacing w:line="360" w:lineRule="auto"/>
        <w:outlineLvl w:val="9"/>
        <w:rPr>
          <w:rFonts w:cs="宋体" w:asciiTheme="minorEastAsia" w:hAnsiTheme="minorEastAsia" w:eastAsiaTheme="minorEastAsia"/>
          <w:color w:val="auto"/>
          <w:sz w:val="24"/>
          <w:highlight w:val="none"/>
        </w:rPr>
      </w:pPr>
    </w:p>
    <w:p w14:paraId="7A551505">
      <w:pPr>
        <w:adjustRightInd w:val="0"/>
        <w:snapToGrid w:val="0"/>
        <w:spacing w:line="360" w:lineRule="auto"/>
        <w:outlineLvl w:val="9"/>
        <w:rPr>
          <w:rFonts w:cs="宋体" w:asciiTheme="minorEastAsia" w:hAnsiTheme="minorEastAsia" w:eastAsiaTheme="minorEastAsia"/>
          <w:color w:val="auto"/>
          <w:sz w:val="24"/>
          <w:highlight w:val="none"/>
        </w:rPr>
      </w:pPr>
    </w:p>
    <w:p w14:paraId="43B40814">
      <w:pPr>
        <w:adjustRightInd w:val="0"/>
        <w:snapToGrid w:val="0"/>
        <w:spacing w:line="360" w:lineRule="auto"/>
        <w:outlineLvl w:val="9"/>
        <w:rPr>
          <w:rFonts w:cs="宋体" w:asciiTheme="minorEastAsia" w:hAnsiTheme="minorEastAsia" w:eastAsiaTheme="minorEastAsia"/>
          <w:color w:val="auto"/>
          <w:sz w:val="24"/>
          <w:highlight w:val="none"/>
        </w:rPr>
      </w:pPr>
    </w:p>
    <w:p w14:paraId="1576E207">
      <w:pPr>
        <w:adjustRightInd w:val="0"/>
        <w:snapToGrid w:val="0"/>
        <w:spacing w:line="360" w:lineRule="auto"/>
        <w:outlineLvl w:val="9"/>
        <w:rPr>
          <w:rFonts w:cs="宋体" w:asciiTheme="minorEastAsia" w:hAnsiTheme="minorEastAsia" w:eastAsiaTheme="minorEastAsia"/>
          <w:color w:val="auto"/>
          <w:sz w:val="24"/>
          <w:highlight w:val="none"/>
        </w:rPr>
      </w:pPr>
    </w:p>
    <w:p w14:paraId="41EB5E3A">
      <w:pPr>
        <w:adjustRightInd w:val="0"/>
        <w:snapToGrid w:val="0"/>
        <w:spacing w:line="360" w:lineRule="auto"/>
        <w:outlineLvl w:val="9"/>
        <w:rPr>
          <w:rFonts w:cs="宋体" w:asciiTheme="minorEastAsia" w:hAnsiTheme="minorEastAsia" w:eastAsiaTheme="minorEastAsia"/>
          <w:color w:val="auto"/>
          <w:sz w:val="24"/>
          <w:highlight w:val="none"/>
        </w:rPr>
      </w:pPr>
    </w:p>
    <w:p w14:paraId="6F630FEA">
      <w:pPr>
        <w:adjustRightInd w:val="0"/>
        <w:snapToGrid w:val="0"/>
        <w:spacing w:line="360" w:lineRule="auto"/>
        <w:outlineLvl w:val="9"/>
        <w:rPr>
          <w:rFonts w:cs="宋体" w:asciiTheme="minorEastAsia" w:hAnsiTheme="minorEastAsia" w:eastAsiaTheme="minorEastAsia"/>
          <w:color w:val="auto"/>
          <w:sz w:val="24"/>
          <w:highlight w:val="none"/>
        </w:rPr>
      </w:pPr>
    </w:p>
    <w:p w14:paraId="22F8911A">
      <w:pPr>
        <w:adjustRightInd w:val="0"/>
        <w:snapToGrid w:val="0"/>
        <w:spacing w:line="360" w:lineRule="auto"/>
        <w:outlineLvl w:val="9"/>
        <w:rPr>
          <w:rFonts w:cs="宋体" w:asciiTheme="minorEastAsia" w:hAnsiTheme="minorEastAsia" w:eastAsiaTheme="minorEastAsia"/>
          <w:color w:val="auto"/>
          <w:sz w:val="24"/>
          <w:highlight w:val="none"/>
        </w:rPr>
      </w:pPr>
    </w:p>
    <w:p w14:paraId="24AD79A0">
      <w:pPr>
        <w:tabs>
          <w:tab w:val="left" w:pos="851"/>
        </w:tabs>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2.8  户内门洞尺寸</w:t>
      </w:r>
    </w:p>
    <w:p w14:paraId="6DC131E8">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2.8.1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指标说明：反映户内门洞尺寸实测值与设计值的偏差程度，避免出现“大小头”现象。</w:t>
      </w:r>
    </w:p>
    <w:p w14:paraId="48249D0B">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2.8.2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允许偏差值要求：户内门洞尺寸偏差允许偏差值为：开发项目为10mm，代建项目为10mm。超过该值则记为不合格。</w:t>
      </w:r>
    </w:p>
    <w:p w14:paraId="08EF3505">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2.8.3</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测量工具：激光测距仪</w:t>
      </w:r>
    </w:p>
    <w:p w14:paraId="45C6B30B">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2.8.4</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测量方法和数据记录：</w:t>
      </w:r>
    </w:p>
    <w:p w14:paraId="67FC230E">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每一个户内门洞都可以作为1个实测区。</w:t>
      </w:r>
    </w:p>
    <w:p w14:paraId="05A2A05F">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实测前需了解所选套房各户内门洞口尺寸。实测前户内门洞口侧面需完成抹灰收口和地面找平层施工，以确保实测值的准确性。</w:t>
      </w:r>
    </w:p>
    <w:p w14:paraId="69B6AF00">
      <w:pPr>
        <w:adjustRightInd w:val="0"/>
        <w:snapToGrid w:val="0"/>
        <w:spacing w:line="360" w:lineRule="auto"/>
        <w:ind w:left="840" w:hanging="735" w:hangingChars="350"/>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实测最好在施工完地面找平层后，同一个户内门洞口尺寸沿宽度、高度各测2次。若地面找平层未做，就只能检测户内门洞口宽度2次。宽度和高度的2个测量值与设计值之间偏差的最大值，作为该户内门洞口尺寸高、宽偏差的2个实测值。选取其中与设计尺寸偏差最大的数，作为判断该实测指标合格率的1个计算点。</w:t>
      </w:r>
    </w:p>
    <w:p w14:paraId="30EC70D7">
      <w:pPr>
        <w:pStyle w:val="22"/>
        <w:outlineLvl w:val="9"/>
        <w:rPr>
          <w:color w:val="auto"/>
          <w:highlight w:val="none"/>
        </w:rPr>
      </w:pPr>
      <w:r>
        <w:rPr>
          <w:rFonts w:hint="eastAsia" w:cs="宋体" w:asciiTheme="minorEastAsia" w:hAnsiTheme="minorEastAsia" w:eastAsiaTheme="minorEastAsia"/>
          <w:color w:val="auto"/>
          <w:sz w:val="21"/>
          <w:szCs w:val="21"/>
          <w:highlight w:val="none"/>
        </w:rPr>
        <w:t>2.8.5</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示例</w:t>
      </w:r>
    </w:p>
    <w:p w14:paraId="07495469">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drawing>
          <wp:inline distT="0" distB="0" distL="114300" distR="114300">
            <wp:extent cx="4595495" cy="3339465"/>
            <wp:effectExtent l="0" t="0" r="0" b="0"/>
            <wp:docPr id="1084" name="Object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Object 2540"/>
                    <pic:cNvPicPr>
                      <a:picLocks noChangeAspect="1" noChangeArrowheads="1"/>
                    </pic:cNvPicPr>
                  </pic:nvPicPr>
                  <pic:blipFill>
                    <a:blip r:embed="rId53"/>
                    <a:srcRect l="28183" t="6021" r="20041" b="13379"/>
                    <a:stretch>
                      <a:fillRect/>
                    </a:stretch>
                  </pic:blipFill>
                  <pic:spPr>
                    <a:xfrm>
                      <a:off x="0" y="0"/>
                      <a:ext cx="4595495" cy="3339465"/>
                    </a:xfrm>
                    <a:prstGeom prst="rect">
                      <a:avLst/>
                    </a:prstGeom>
                    <a:noFill/>
                    <a:ln w="9525">
                      <a:noFill/>
                      <a:miter lim="800000"/>
                      <a:headEnd/>
                      <a:tailEnd/>
                    </a:ln>
                  </pic:spPr>
                </pic:pic>
              </a:graphicData>
            </a:graphic>
          </wp:inline>
        </w:drawing>
      </w:r>
    </w:p>
    <w:p w14:paraId="66B3F355">
      <w:pPr>
        <w:tabs>
          <w:tab w:val="left" w:pos="851"/>
        </w:tabs>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2.9  户内门洞/外墙窗内侧墙体厚度</w:t>
      </w:r>
    </w:p>
    <w:p w14:paraId="72F9C49D">
      <w:pPr>
        <w:tabs>
          <w:tab w:val="left" w:pos="851"/>
        </w:tabs>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2.9.1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指标说明：反映户内门洞两侧墙体厚度偏差大小，外墙窗内侧墙体厚度偏差大小的程度，避免出现大小头现象，影响交付观感。</w:t>
      </w:r>
    </w:p>
    <w:p w14:paraId="444D8505">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2.9.2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允许偏差值要求：墙体厚度极差允许偏差值为：开发项目为3mm，代建项目为4mm。超过该值则记为不合格。</w:t>
      </w:r>
    </w:p>
    <w:p w14:paraId="3769B0B8">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2.9.3</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测量工具：钢卷尺</w:t>
      </w:r>
    </w:p>
    <w:p w14:paraId="37EDA0EF">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2.9.4</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测量方法和数据记录：</w:t>
      </w:r>
    </w:p>
    <w:p w14:paraId="3CB0F60B">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任一户内门洞或一樘外门窗都可以作为一个实测区。</w:t>
      </w:r>
    </w:p>
    <w:p w14:paraId="17110047">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实测时，户内门洞、外墙窗框等测量部位需完成抹灰或装饰收口。</w:t>
      </w:r>
    </w:p>
    <w:p w14:paraId="3870E0F2">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户内门洞，在两侧墙体及顶部各测量1次墙体厚度，3次实测值之间极差值作为判断该实测指标合格率的1个计算点。</w:t>
      </w:r>
    </w:p>
    <w:p w14:paraId="5E954D64">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外墙平窗框内侧墙体，在窗框侧面中部各测量2次墙体厚度和沿着竖向窗框尽量在顶端位置测量1次墙体厚度。这3次实测值之间极差值作为判断该实测指标合格率的1个计算点。</w:t>
      </w:r>
    </w:p>
    <w:p w14:paraId="02035B03">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外墙凸窗框内侧墙体，沿着与内墙面垂直方向，分别测量凸窗台面两端头部位窗框与内墙抹灰完成面之间的距离。2个实测值之间极差值作为判断该实测指标合格率的1个计算点。</w:t>
      </w:r>
    </w:p>
    <w:p w14:paraId="3C01B53C">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（6）</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所选房中的所有户内门洞/外墙窗内侧墙体厚度极差的实测区不满足5个时，需增加实测套房数。</w:t>
      </w:r>
    </w:p>
    <w:p w14:paraId="41FEF6AB">
      <w:pPr>
        <w:adjustRightInd w:val="0"/>
        <w:snapToGrid w:val="0"/>
        <w:spacing w:line="360" w:lineRule="auto"/>
        <w:outlineLvl w:val="9"/>
        <w:rPr>
          <w:rFonts w:hint="eastAsia"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sz w:val="24"/>
          <w:highlight w:val="none"/>
        </w:rPr>
        <w:t>2.9.5</w:t>
      </w:r>
      <w:r>
        <w:rPr>
          <w:rFonts w:hint="eastAsia" w:cs="宋体" w:asciiTheme="minorEastAsia" w:hAnsiTheme="minorEastAsia" w:eastAsiaTheme="minorEastAsia"/>
          <w:color w:val="auto"/>
          <w:sz w:val="24"/>
          <w:highlight w:val="none"/>
        </w:rPr>
        <w:tab/>
      </w:r>
      <w:r>
        <w:rPr>
          <w:rFonts w:hint="eastAsia" w:cs="宋体" w:asciiTheme="minorEastAsia" w:hAnsiTheme="minorEastAsia" w:eastAsiaTheme="minorEastAsia"/>
          <w:color w:val="auto"/>
          <w:sz w:val="24"/>
          <w:highlight w:val="none"/>
        </w:rPr>
        <w:t>示例：</w:t>
      </w:r>
    </w:p>
    <w:p w14:paraId="53293222">
      <w:pPr>
        <w:adjustRightInd w:val="0"/>
        <w:snapToGrid w:val="0"/>
        <w:spacing w:line="360" w:lineRule="auto"/>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sz w:val="24"/>
          <w:highlight w:val="none"/>
        </w:rPr>
        <w:drawing>
          <wp:inline distT="0" distB="0" distL="114300" distR="114300">
            <wp:extent cx="5685155" cy="2456815"/>
            <wp:effectExtent l="0" t="0" r="10795" b="0"/>
            <wp:docPr id="1085" name="Object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Object 2541"/>
                    <pic:cNvPicPr>
                      <a:picLocks noChangeAspect="1" noChangeArrowheads="1"/>
                    </pic:cNvPicPr>
                  </pic:nvPicPr>
                  <pic:blipFill>
                    <a:blip r:embed="rId54"/>
                    <a:srcRect l="6325" t="19069" r="36055" b="27240"/>
                    <a:stretch>
                      <a:fillRect/>
                    </a:stretch>
                  </pic:blipFill>
                  <pic:spPr>
                    <a:xfrm>
                      <a:off x="0" y="0"/>
                      <a:ext cx="5685155" cy="2456815"/>
                    </a:xfrm>
                    <a:prstGeom prst="rect">
                      <a:avLst/>
                    </a:prstGeom>
                    <a:noFill/>
                    <a:ln w="9525">
                      <a:noFill/>
                      <a:miter lim="800000"/>
                      <a:headEnd/>
                      <a:tailEnd/>
                    </a:ln>
                  </pic:spPr>
                </pic:pic>
              </a:graphicData>
            </a:graphic>
          </wp:inline>
        </w:drawing>
      </w:r>
    </w:p>
    <w:p w14:paraId="65F49CF2">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2.10 墙面裂缝/空鼓</w:t>
      </w:r>
    </w:p>
    <w:p w14:paraId="372D4EB3">
      <w:pPr>
        <w:tabs>
          <w:tab w:val="left" w:pos="851"/>
        </w:tabs>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2.10.1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指标说明：反映户内墙体裂缝/空鼓的程度。</w:t>
      </w:r>
    </w:p>
    <w:p w14:paraId="28507D42">
      <w:pPr>
        <w:adjustRightInd w:val="0"/>
        <w:snapToGrid w:val="0"/>
        <w:spacing w:line="360" w:lineRule="auto"/>
        <w:ind w:left="840" w:leftChars="4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合格标准：①户内墙体（除厨卫间）完成抹灰后，户内墙面（除厨卫间），抹灰层与基层粘结牢固，无脱落、空鼓；孔洞、槽、盒尺寸，边缘整齐，光滑平整；②厨卫间墙体（含梁）细拉毛，抹灰层与基层粘结牢固，无脱落、空鼓；孔洞、槽、盒尺寸正确，边缘整齐，光滑平整，表面应密实、线条清晰，拉毛纹理应顺直、方向一致、深浅一致，管道后面抹灰平整。</w:t>
      </w:r>
    </w:p>
    <w:p w14:paraId="25A51FC5">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2.10.2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测量工具：目测、空鼓锤。</w:t>
      </w:r>
    </w:p>
    <w:p w14:paraId="1926A71A">
      <w:pPr>
        <w:tabs>
          <w:tab w:val="left" w:pos="851"/>
        </w:tabs>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2.10.3</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测量方法和数据记录：</w:t>
      </w:r>
    </w:p>
    <w:p w14:paraId="65B1DA40">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按照规范要求对室内每个墙面进行检查，发现超出规范要求的区域即为一个不合格点。</w:t>
      </w:r>
    </w:p>
    <w:p w14:paraId="75D744C5">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测量方法：同一实测区通过目测检查所有墙体抹灰层裂缝，通过空鼓锤敲击检查所有墙体抹灰层空鼓。</w:t>
      </w:r>
    </w:p>
    <w:p w14:paraId="63D8B657">
      <w:pPr>
        <w:adjustRightInd w:val="0"/>
        <w:snapToGrid w:val="0"/>
        <w:spacing w:line="360" w:lineRule="auto"/>
        <w:ind w:left="840" w:hanging="735" w:hangingChars="35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w:t>
      </w:r>
      <w:r>
        <w:rPr>
          <w:rFonts w:hint="eastAsia" w:cs="宋体" w:asciiTheme="minorEastAsia" w:hAnsiTheme="minorEastAsia" w:eastAsiaTheme="minorEastAsia"/>
          <w:color w:val="auto"/>
          <w:sz w:val="21"/>
          <w:szCs w:val="21"/>
          <w:highlight w:val="none"/>
        </w:rPr>
        <w:tab/>
      </w:r>
      <w:r>
        <w:rPr>
          <w:rFonts w:hint="eastAsia" w:cs="宋体" w:asciiTheme="minorEastAsia" w:hAnsiTheme="minorEastAsia" w:eastAsiaTheme="minorEastAsia"/>
          <w:color w:val="auto"/>
          <w:sz w:val="21"/>
          <w:szCs w:val="21"/>
          <w:highlight w:val="none"/>
        </w:rPr>
        <w:t>数据记录：同一实测区任何一面墙发现1条裂缝或1处空鼓，该实测点不合格。如无任何裂缝或空鼓，则该实测点为合格。</w:t>
      </w:r>
    </w:p>
    <w:p w14:paraId="7F479D9B">
      <w:pPr>
        <w:tabs>
          <w:tab w:val="left" w:pos="851"/>
        </w:tabs>
        <w:adjustRightInd w:val="0"/>
        <w:snapToGrid w:val="0"/>
        <w:spacing w:line="360" w:lineRule="auto"/>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sz w:val="21"/>
          <w:szCs w:val="21"/>
          <w:highlight w:val="none"/>
        </w:rPr>
        <w:t>（4）  室内墙面必须进行全检。</w:t>
      </w:r>
      <w:r>
        <w:rPr>
          <w:rFonts w:hint="eastAsia" w:cs="宋体" w:asciiTheme="minorEastAsia" w:hAnsiTheme="minorEastAsia" w:eastAsiaTheme="minorEastAsia"/>
          <w:color w:val="auto"/>
          <w:sz w:val="24"/>
          <w:highlight w:val="none"/>
        </w:rPr>
        <w:t xml:space="preserve"> </w:t>
      </w:r>
    </w:p>
    <w:p w14:paraId="6ECFBFC3">
      <w:pPr>
        <w:adjustRightInd w:val="0"/>
        <w:snapToGrid w:val="0"/>
        <w:spacing w:line="360" w:lineRule="auto"/>
        <w:outlineLvl w:val="9"/>
        <w:rPr>
          <w:rFonts w:cs="宋体" w:asciiTheme="minorEastAsia" w:hAnsiTheme="minorEastAsia" w:eastAsiaTheme="minorEastAsia"/>
          <w:color w:val="auto"/>
          <w:sz w:val="24"/>
          <w:highlight w:val="none"/>
        </w:rPr>
      </w:pPr>
    </w:p>
    <w:p w14:paraId="45EF6C7D">
      <w:pPr>
        <w:adjustRightInd w:val="0"/>
        <w:snapToGrid w:val="0"/>
        <w:spacing w:line="360" w:lineRule="auto"/>
        <w:outlineLvl w:val="9"/>
        <w:rPr>
          <w:rFonts w:cs="宋体" w:asciiTheme="minorEastAsia" w:hAnsiTheme="minorEastAsia" w:eastAsiaTheme="minorEastAsia"/>
          <w:color w:val="auto"/>
          <w:sz w:val="28"/>
          <w:szCs w:val="28"/>
          <w:highlight w:val="none"/>
        </w:rPr>
      </w:pPr>
      <w:r>
        <w:rPr>
          <w:rFonts w:hint="eastAsia" w:cs="宋体" w:asciiTheme="minorEastAsia" w:hAnsiTheme="minorEastAsia" w:eastAsiaTheme="minorEastAsia"/>
          <w:color w:val="auto"/>
          <w:sz w:val="28"/>
          <w:szCs w:val="28"/>
          <w:highlight w:val="none"/>
        </w:rPr>
        <w:br w:type="page"/>
      </w:r>
      <w:r>
        <w:rPr>
          <w:rFonts w:hint="eastAsia" w:cs="宋体" w:asciiTheme="minorEastAsia" w:hAnsiTheme="minorEastAsia" w:eastAsiaTheme="minorEastAsia"/>
          <w:bCs/>
          <w:color w:val="auto"/>
          <w:sz w:val="21"/>
          <w:szCs w:val="21"/>
          <w:highlight w:val="none"/>
        </w:rPr>
        <w:t>附件三十</w:t>
      </w:r>
      <w:r>
        <w:rPr>
          <w:rFonts w:hint="eastAsia" w:cs="宋体" w:asciiTheme="minorEastAsia" w:hAnsiTheme="minorEastAsia" w:eastAsiaTheme="minorEastAsia"/>
          <w:bCs/>
          <w:color w:val="auto"/>
          <w:sz w:val="21"/>
          <w:szCs w:val="21"/>
          <w:highlight w:val="none"/>
          <w:lang w:val="en-US" w:eastAsia="zh-CN"/>
        </w:rPr>
        <w:t>四</w:t>
      </w:r>
      <w:r>
        <w:rPr>
          <w:rFonts w:hint="eastAsia" w:cs="宋体" w:asciiTheme="minorEastAsia" w:hAnsiTheme="minorEastAsia" w:eastAsiaTheme="minorEastAsia"/>
          <w:bCs/>
          <w:color w:val="auto"/>
          <w:sz w:val="21"/>
          <w:szCs w:val="21"/>
          <w:highlight w:val="none"/>
        </w:rPr>
        <w:t>：</w:t>
      </w:r>
    </w:p>
    <w:p w14:paraId="4809890E">
      <w:pPr>
        <w:adjustRightInd w:val="0"/>
        <w:snapToGrid w:val="0"/>
        <w:spacing w:line="360" w:lineRule="auto"/>
        <w:ind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民工工资按时发放承诺书</w:t>
      </w:r>
    </w:p>
    <w:p w14:paraId="2CCE978F">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3C6B34AD">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lang w:eastAsia="zh-CN"/>
        </w:rPr>
        <w:t>西安经发景弘项目开发有限公司</w:t>
      </w:r>
      <w:r>
        <w:rPr>
          <w:rFonts w:hint="eastAsia" w:cs="宋体" w:asciiTheme="minorEastAsia" w:hAnsiTheme="minorEastAsia" w:eastAsiaTheme="minorEastAsia"/>
          <w:color w:val="auto"/>
          <w:szCs w:val="21"/>
          <w:highlight w:val="none"/>
        </w:rPr>
        <w:t>：</w:t>
      </w:r>
    </w:p>
    <w:p w14:paraId="3470996B">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为了切实维护建筑农民工的合法权益，确保社会和企业稳定，保证农民工工资按时发放，避免拖欠或克扣农民工工资的现象发生，我公司对我们投标的就农民工工资发放问题特向贵单位郑重承诺如下：</w:t>
      </w:r>
    </w:p>
    <w:p w14:paraId="2DAE26FB">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一、我们公司已充分认识到农民工工资发放的重要性，中标后在组建项目领导班子的同时组建以（项目经理）为组长的农民工工资及相关问题专项解决工作组（联系电话：    ），该工作组为常设机构，随时负责解决与农民工有关的所有事宜。</w:t>
      </w:r>
    </w:p>
    <w:p w14:paraId="2B18B767">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二、我们获得工程款后，优先支付农民工工资，并将工资直接发放给农民工本人。</w:t>
      </w:r>
    </w:p>
    <w:p w14:paraId="377FB853">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三、在支付农民工工资时，编制工资支付表，如实记录工资支付情况，并将有关记录保存备查。</w:t>
      </w:r>
    </w:p>
    <w:p w14:paraId="41AB223D">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四、我们保证绝不违反规定将工程分包给不具备用工主体资格的组织或个人，否则，贵公司有权要求其无条件退场；我公司负责处理善后事宜，如出现滋事事件，我公司负全部责任，并接受贵公司的经济处罚。</w:t>
      </w:r>
    </w:p>
    <w:p w14:paraId="27A41DF9">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五、我们保证对劳务分包企业的工资支付情况及有关事宜，进行全方位监督，确保农民工及时足额领到工资。</w:t>
      </w:r>
    </w:p>
    <w:p w14:paraId="3D550F5F">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六、我公司为避免出现拖欠或克扣农民工工资等现象，建立了农民工工资储备金应急机制，防止出现因拖欠农民工工资而引发群体性上访事件。</w:t>
      </w:r>
    </w:p>
    <w:p w14:paraId="6FD38F5A">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七、我公司在支付农民工工资时，随时接受发包人及监理公司的监督检查，并对提出的质疑做合理解释。</w:t>
      </w:r>
    </w:p>
    <w:p w14:paraId="026CA678">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八、若由于我们公司未处理好农民工工资及与农民工有关的所有事宜而产生纠纷（如投诉、打架、滋事等事件），由此给发包人造成恶劣影响或干扰贵发包人正常工作，我公司愿接受违约处罚；发包人还有权对导致纠纷的事件进行处理，所发生费用从所支付的工程款中扣减。</w:t>
      </w:r>
    </w:p>
    <w:p w14:paraId="6157C117">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九、我公司承诺不拖欠农民工工资。若因承包人原因，出现本项目农民工的过激行为造成不良影响事件的，我公司向发包人赔偿品牌形象损失，发包人有权从给我公司的任何付款中扣除。</w:t>
      </w:r>
    </w:p>
    <w:p w14:paraId="586BD0E1">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十、春节前，所有涉及我公司</w:t>
      </w:r>
      <w:r>
        <w:rPr>
          <w:rFonts w:hint="eastAsia" w:cs="宋体" w:asciiTheme="minorEastAsia" w:hAnsiTheme="minorEastAsia" w:eastAsiaTheme="minorEastAsia"/>
          <w:bCs/>
          <w:color w:val="auto"/>
          <w:kern w:val="0"/>
          <w:szCs w:val="21"/>
          <w:highlight w:val="none"/>
          <w:u w:val="single"/>
          <w:lang w:eastAsia="zh-CN"/>
        </w:rPr>
        <w:t>白桦林观澜项目工程总承包(EPC)</w:t>
      </w:r>
      <w:r>
        <w:rPr>
          <w:rFonts w:hint="eastAsia" w:cs="宋体" w:asciiTheme="minorEastAsia" w:hAnsiTheme="minorEastAsia" w:eastAsiaTheme="minorEastAsia"/>
          <w:color w:val="auto"/>
          <w:szCs w:val="21"/>
          <w:highlight w:val="none"/>
        </w:rPr>
        <w:t>项目的农民工工资均会足额发放完成。</w:t>
      </w:r>
    </w:p>
    <w:p w14:paraId="6E00C4B0">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 xml:space="preserve">十一、如发生农民工维权事件，我公司将立刻安排专人进行协调解决，确保当天解决完成。负责人 </w:t>
      </w:r>
      <w:r>
        <w:rPr>
          <w:rFonts w:hint="eastAsia" w:cs="宋体" w:asciiTheme="minorEastAsia" w:hAnsiTheme="minorEastAsia" w:eastAsiaTheme="minorEastAsia"/>
          <w:color w:val="auto"/>
          <w:szCs w:val="21"/>
          <w:highlight w:val="none"/>
          <w:u w:val="single"/>
        </w:rPr>
        <w:t xml:space="preserve"> 吕朝江 </w:t>
      </w:r>
      <w:r>
        <w:rPr>
          <w:rFonts w:hint="eastAsia" w:cs="宋体" w:asciiTheme="minorEastAsia" w:hAnsiTheme="minorEastAsia" w:eastAsiaTheme="minorEastAsia"/>
          <w:color w:val="auto"/>
          <w:szCs w:val="21"/>
          <w:highlight w:val="none"/>
        </w:rPr>
        <w:t>，电话</w:t>
      </w:r>
      <w:r>
        <w:rPr>
          <w:rFonts w:hint="eastAsia" w:cs="宋体" w:asciiTheme="minorEastAsia" w:hAnsiTheme="minorEastAsia" w:eastAsiaTheme="minorEastAsia"/>
          <w:color w:val="auto"/>
          <w:szCs w:val="21"/>
          <w:highlight w:val="none"/>
          <w:u w:val="single"/>
        </w:rPr>
        <w:t xml:space="preserve"> 13457995875</w:t>
      </w:r>
      <w:r>
        <w:rPr>
          <w:rFonts w:hint="eastAsia" w:cs="宋体" w:asciiTheme="minorEastAsia" w:hAnsiTheme="minorEastAsia" w:eastAsiaTheme="minorEastAsia"/>
          <w:color w:val="auto"/>
          <w:szCs w:val="21"/>
          <w:highlight w:val="none"/>
        </w:rPr>
        <w:t>；</w:t>
      </w:r>
    </w:p>
    <w:p w14:paraId="370C1C43">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十二、如我公司组织协调解决两次均未得到有效处理，每次事件我公司向贵公司承担人民币五万元违约金，同时贵公司有权直接代为支付相关农民工工资，并从我公司进度款中双倍扣除。由此产生所有法律、经济等风险均由我公司承担，我公司放弃所有向贵公司的相关权利主张。</w:t>
      </w:r>
    </w:p>
    <w:p w14:paraId="11BE7A26">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十三、如因出现农民工围堵贵公司项目部、施工现场、售楼部、公司及政府机构等不利于贵公司形象的事件。我公司以合同总价款的5%向贵公司承担违约责任，如该违约金不能涵盖由此给贵公司造成的全部损失，我公司应就超出部分承担损害赔偿责任。</w:t>
      </w:r>
    </w:p>
    <w:p w14:paraId="6E9208E0">
      <w:pP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br w:type="page"/>
      </w:r>
    </w:p>
    <w:p w14:paraId="60594A74">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特此承诺</w:t>
      </w:r>
    </w:p>
    <w:p w14:paraId="715DC106">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（本页无正文）</w:t>
      </w:r>
    </w:p>
    <w:p w14:paraId="49E5D7DA">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lang w:eastAsia="zh-CN"/>
        </w:rPr>
      </w:pPr>
      <w:r>
        <w:rPr>
          <w:rFonts w:hint="eastAsia" w:cs="宋体" w:asciiTheme="minorEastAsia" w:hAnsiTheme="minorEastAsia" w:eastAsiaTheme="minorEastAsia"/>
          <w:color w:val="auto"/>
          <w:szCs w:val="21"/>
          <w:highlight w:val="none"/>
        </w:rPr>
        <w:t>承诺单位</w:t>
      </w:r>
    </w:p>
    <w:p w14:paraId="3A400636">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牵头单位：（公章）                      成员单位：（公章）</w:t>
      </w:r>
    </w:p>
    <w:p w14:paraId="0F7637F5">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法定代表人：（签字或盖章）             法定代表人：（签字或盖章）</w:t>
      </w:r>
    </w:p>
    <w:p w14:paraId="01AF7918">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lang w:eastAsia="zh-CN"/>
        </w:rPr>
      </w:pPr>
      <w:r>
        <w:rPr>
          <w:rFonts w:hint="eastAsia" w:cs="宋体" w:asciiTheme="minorEastAsia" w:hAnsiTheme="minorEastAsia" w:eastAsiaTheme="minorEastAsia"/>
          <w:color w:val="auto"/>
          <w:szCs w:val="21"/>
          <w:highlight w:val="none"/>
          <w:lang w:eastAsia="zh-CN"/>
        </w:rPr>
        <w:t>日期：    年  月  日</w:t>
      </w:r>
    </w:p>
    <w:p w14:paraId="49C2B0EC">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lang w:eastAsia="zh-CN"/>
        </w:rPr>
      </w:pPr>
    </w:p>
    <w:p w14:paraId="45CCF23E">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lang w:eastAsia="zh-CN"/>
        </w:rPr>
        <w:t>成员</w:t>
      </w:r>
      <w:r>
        <w:rPr>
          <w:rFonts w:hint="eastAsia" w:cs="宋体" w:asciiTheme="minorEastAsia" w:hAnsiTheme="minorEastAsia" w:eastAsiaTheme="minorEastAsia"/>
          <w:color w:val="auto"/>
          <w:szCs w:val="21"/>
          <w:highlight w:val="none"/>
        </w:rPr>
        <w:t xml:space="preserve">单位：（公章）                      </w:t>
      </w:r>
    </w:p>
    <w:p w14:paraId="0C7B3180">
      <w:pPr>
        <w:adjustRightInd w:val="0"/>
        <w:snapToGrid w:val="0"/>
        <w:spacing w:line="360" w:lineRule="auto"/>
        <w:ind w:firstLine="480"/>
        <w:outlineLvl w:val="9"/>
        <w:rPr>
          <w:rFonts w:hint="eastAsia"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 xml:space="preserve">法定代表人：（签字或盖章）            </w:t>
      </w:r>
    </w:p>
    <w:p w14:paraId="2491F9BA">
      <w:pPr>
        <w:outlineLvl w:val="9"/>
        <w:rPr>
          <w:rFonts w:cs="宋体" w:asciiTheme="minorEastAsia" w:hAnsiTheme="minorEastAsia" w:eastAsiaTheme="minorEastAsia"/>
          <w:b/>
          <w:color w:val="auto"/>
          <w:szCs w:val="21"/>
          <w:highlight w:val="none"/>
        </w:rPr>
        <w:sectPr>
          <w:pgSz w:w="11906" w:h="16838"/>
          <w:pgMar w:top="851" w:right="1361" w:bottom="851" w:left="1361" w:header="567" w:footer="567" w:gutter="0"/>
          <w:pgBorders>
            <w:top w:val="none" w:sz="0" w:space="0"/>
            <w:left w:val="none" w:sz="0" w:space="0"/>
            <w:bottom w:val="none" w:sz="0" w:space="0"/>
            <w:right w:val="none" w:sz="0" w:space="0"/>
          </w:pgBorders>
          <w:cols w:space="720" w:num="1"/>
          <w:titlePg/>
          <w:docGrid w:linePitch="312" w:charSpace="0"/>
        </w:sectPr>
      </w:pPr>
    </w:p>
    <w:p w14:paraId="2E787C45">
      <w:pPr>
        <w:adjustRightInd w:val="0"/>
        <w:snapToGrid w:val="0"/>
        <w:spacing w:line="360" w:lineRule="auto"/>
        <w:outlineLvl w:val="9"/>
        <w:rPr>
          <w:rFonts w:cs="宋体" w:asciiTheme="minorEastAsia" w:hAnsiTheme="minorEastAsia" w:eastAsiaTheme="minorEastAsia"/>
          <w:b w:val="0"/>
          <w:bCs/>
          <w:color w:val="auto"/>
          <w:szCs w:val="21"/>
          <w:highlight w:val="none"/>
        </w:rPr>
      </w:pPr>
      <w:r>
        <w:rPr>
          <w:rFonts w:hint="eastAsia" w:cs="宋体" w:asciiTheme="minorEastAsia" w:hAnsiTheme="minorEastAsia" w:eastAsiaTheme="minorEastAsia"/>
          <w:b w:val="0"/>
          <w:bCs/>
          <w:color w:val="auto"/>
          <w:szCs w:val="21"/>
          <w:highlight w:val="none"/>
        </w:rPr>
        <w:t>附件三十</w:t>
      </w:r>
      <w:r>
        <w:rPr>
          <w:rFonts w:hint="eastAsia" w:cs="宋体" w:asciiTheme="minorEastAsia" w:hAnsiTheme="minorEastAsia" w:eastAsiaTheme="minorEastAsia"/>
          <w:b w:val="0"/>
          <w:bCs/>
          <w:color w:val="auto"/>
          <w:szCs w:val="21"/>
          <w:highlight w:val="none"/>
          <w:lang w:val="en-US" w:eastAsia="zh-CN"/>
        </w:rPr>
        <w:t>五</w:t>
      </w:r>
      <w:r>
        <w:rPr>
          <w:rFonts w:hint="eastAsia" w:cs="宋体" w:asciiTheme="minorEastAsia" w:hAnsiTheme="minorEastAsia" w:eastAsiaTheme="minorEastAsia"/>
          <w:b w:val="0"/>
          <w:bCs/>
          <w:color w:val="auto"/>
          <w:szCs w:val="21"/>
          <w:highlight w:val="none"/>
        </w:rPr>
        <w:t>：</w:t>
      </w:r>
    </w:p>
    <w:p w14:paraId="57437E1C">
      <w:pPr>
        <w:adjustRightInd w:val="0"/>
        <w:snapToGrid w:val="0"/>
        <w:spacing w:line="360" w:lineRule="auto"/>
        <w:ind w:firstLine="480"/>
        <w:jc w:val="cente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现场施工环境综合整治及治污减霾承诺书</w:t>
      </w:r>
    </w:p>
    <w:p w14:paraId="62457F8A">
      <w:pPr>
        <w:adjustRightInd w:val="0"/>
        <w:snapToGrid w:val="0"/>
        <w:spacing w:line="360" w:lineRule="auto"/>
        <w:ind w:firstLine="480"/>
        <w:outlineLvl w:val="9"/>
        <w:rPr>
          <w:rFonts w:cs="宋体" w:asciiTheme="minorEastAsia" w:hAnsiTheme="minorEastAsia" w:eastAsiaTheme="minorEastAsia"/>
          <w:color w:val="auto"/>
          <w:szCs w:val="21"/>
          <w:highlight w:val="none"/>
        </w:rPr>
      </w:pPr>
    </w:p>
    <w:p w14:paraId="63C7337C">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lang w:eastAsia="zh-CN"/>
        </w:rPr>
        <w:t>西安经发景弘项目开发有限公司</w:t>
      </w:r>
      <w:r>
        <w:rPr>
          <w:rFonts w:hint="eastAsia" w:cs="宋体" w:asciiTheme="minorEastAsia" w:hAnsiTheme="minorEastAsia" w:eastAsiaTheme="minorEastAsia"/>
          <w:color w:val="auto"/>
          <w:szCs w:val="21"/>
          <w:highlight w:val="none"/>
        </w:rPr>
        <w:t>：</w:t>
      </w:r>
    </w:p>
    <w:p w14:paraId="4D8DB15E">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为了更好的贯彻落实国家及西安市人民政府《关于做好建筑工地环境卫生综合整治工作的通知》、《西安市关于治污减霾的实施方案》及为了进一步改善我市水气环境质量推进“品质”建设，保障人民身心健康，营造一个良好的生活、工作环境，我公司对所辖范围内的实际情况进行查看后，就施工现场环境卫生综合整治及治污减霾工作郑重做出以下承诺：</w:t>
      </w:r>
    </w:p>
    <w:p w14:paraId="18738704">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一、我公司自进入施工现场施工之日起，将在施工现场积极开展以“整顿、整理、清扫、清洁和素养”为主题的“创卫”活动；积极行动，组织有关人员对施工场地、通行道路及责任区的环境卫生、扬尘污染进行综合整治，完善和加强各项清洁、保洁及扬尘污染治理措施，落实责任人，建立相关管理制度，并按相关规定制定完善的管理资料。</w:t>
      </w:r>
    </w:p>
    <w:p w14:paraId="79CCECBF">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二、对施工场地的大门、临时围墙等进行清洁、整固并采取相应的美化措施，做到整洁美观。按照建筑工地门前及责任区“三保”的要求，清扫和保持工地现场、道路及责任区卫生。</w:t>
      </w:r>
    </w:p>
    <w:p w14:paraId="41703064">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三、全面及时清理工地内的建筑垃圾和废弃物；合理、整齐的摆放各类建筑材料和设备；确保排水系统畅通，杜绝场内积水和废水横流的现象发生。</w:t>
      </w:r>
    </w:p>
    <w:p w14:paraId="36C60041">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四、加强各类车辆管理，车辆驶出工地及责任区前对车轮、车厢侧帮进行清扫冲洗除尘，严密封闭拉运渣土的车辆，各类运输车辆场内行驶速度不得超过每小时</w:t>
      </w:r>
      <w:r>
        <w:rPr>
          <w:rFonts w:cs="宋体" w:asciiTheme="minorEastAsia" w:hAnsiTheme="minorEastAsia" w:eastAsiaTheme="minorEastAsia"/>
          <w:color w:val="auto"/>
          <w:szCs w:val="21"/>
          <w:highlight w:val="none"/>
        </w:rPr>
        <w:t>20公里。</w:t>
      </w:r>
    </w:p>
    <w:p w14:paraId="4ACEE233">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五、对产生扬尘污染的渣土、煤堆、沙堆、灰土、粉煤灰等易飞颗粒物料，我们将用高效防尘网进行覆盖并安排专人看管，采用清洒车及时洒水等措施，严格控制施工过程中土、灰等的飞扬。</w:t>
      </w:r>
    </w:p>
    <w:p w14:paraId="69CC08A6">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六、对行车过人道路、施工现场及责任区等进行定时清扫、洒水，清除地面浮土避免二次扬尘。</w:t>
      </w:r>
    </w:p>
    <w:p w14:paraId="6C8223F5">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七、工地现场的临建、围墙的布置、标准以及场内道路等严格按照文明工地和创卫规定的要求进行。对场地内不需硬化的部位，我们将采取绿化措施，确保施工现场不出现黄土裸露。</w:t>
      </w:r>
    </w:p>
    <w:p w14:paraId="2C4AF996">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八、我们承诺对于外界关系的协调，由我们全面负责并建立良好的关系。</w:t>
      </w:r>
    </w:p>
    <w:p w14:paraId="1A18EDED">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九、我们将对施工现场环境整治和治污减霾工作常抓不懈；自觉接受发包人及发监理单位的检查管理，对查出的问题及时进行整改。经发包人及监理单位指正未及时进行有效整改，我们愿意接受违约处罚。</w:t>
      </w:r>
    </w:p>
    <w:p w14:paraId="53D3FE60">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十、在施工过程中我们若被质监站、规划局、市、区防治扬尘污染联合检查办公室等单位点名批评、通报或评比位于倒数后三名时，除接受上级的处治外，还接受违约处罚；若连续两次（含两次）以上被通报批评时，我方将主动撤换不合格的项目经理，并自愿接受处罚。</w:t>
      </w:r>
    </w:p>
    <w:p w14:paraId="68A91955">
      <w:pPr>
        <w:adjustRightInd w:val="0"/>
        <w:snapToGrid w:val="0"/>
        <w:spacing w:line="360" w:lineRule="auto"/>
        <w:ind w:firstLine="480"/>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color w:val="auto"/>
          <w:szCs w:val="21"/>
          <w:highlight w:val="none"/>
        </w:rPr>
        <w:t xml:space="preserve">  特此承诺     </w:t>
      </w:r>
    </w:p>
    <w:p w14:paraId="7F1FBCF8">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承诺单位</w:t>
      </w:r>
    </w:p>
    <w:p w14:paraId="2491F184">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 xml:space="preserve">牵头单位：（公章）          </w:t>
      </w:r>
      <w:r>
        <w:rPr>
          <w:rFonts w:hint="eastAsia" w:cs="宋体" w:asciiTheme="minorEastAsia" w:hAnsiTheme="minorEastAsia" w:eastAsiaTheme="minorEastAsia"/>
          <w:color w:val="auto"/>
          <w:szCs w:val="21"/>
          <w:highlight w:val="none"/>
          <w:lang w:val="en-US" w:eastAsia="zh-CN"/>
        </w:rPr>
        <w:t xml:space="preserve"> </w:t>
      </w:r>
      <w:r>
        <w:rPr>
          <w:rFonts w:hint="eastAsia" w:cs="宋体" w:asciiTheme="minorEastAsia" w:hAnsiTheme="minorEastAsia" w:eastAsiaTheme="minorEastAsia"/>
          <w:color w:val="auto"/>
          <w:szCs w:val="21"/>
          <w:highlight w:val="none"/>
          <w:lang w:eastAsia="zh-CN"/>
        </w:rPr>
        <w:t>成员单位：（公章）</w:t>
      </w:r>
      <w:r>
        <w:rPr>
          <w:rFonts w:hint="eastAsia" w:cs="宋体" w:asciiTheme="minorEastAsia" w:hAnsiTheme="minorEastAsia" w:eastAsiaTheme="minorEastAsia"/>
          <w:color w:val="auto"/>
          <w:szCs w:val="21"/>
          <w:highlight w:val="none"/>
        </w:rPr>
        <w:t xml:space="preserve">               成员单位：（公章）</w:t>
      </w:r>
    </w:p>
    <w:p w14:paraId="3AC43131">
      <w:pPr>
        <w:adjustRightInd w:val="0"/>
        <w:snapToGrid w:val="0"/>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 xml:space="preserve">法定代表人：（签字或盖章）   </w:t>
      </w:r>
      <w:r>
        <w:rPr>
          <w:rFonts w:hint="eastAsia" w:cs="宋体" w:asciiTheme="minorEastAsia" w:hAnsiTheme="minorEastAsia" w:eastAsiaTheme="minorEastAsia"/>
          <w:color w:val="auto"/>
          <w:szCs w:val="21"/>
          <w:highlight w:val="none"/>
          <w:lang w:eastAsia="zh-CN"/>
        </w:rPr>
        <w:t>法定代表人：（签字或盖章）</w:t>
      </w:r>
      <w:r>
        <w:rPr>
          <w:rFonts w:hint="eastAsia" w:cs="宋体" w:asciiTheme="minorEastAsia" w:hAnsiTheme="minorEastAsia" w:eastAsiaTheme="minorEastAsia"/>
          <w:color w:val="auto"/>
          <w:szCs w:val="21"/>
          <w:highlight w:val="none"/>
        </w:rPr>
        <w:t xml:space="preserve">      法定代表人：（签字或盖章）</w:t>
      </w:r>
    </w:p>
    <w:p w14:paraId="61E5D0A5">
      <w:pPr>
        <w:adjustRightInd w:val="0"/>
        <w:snapToGrid w:val="0"/>
        <w:spacing w:line="360" w:lineRule="auto"/>
        <w:ind w:firstLine="480"/>
        <w:jc w:val="right"/>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日期：</w:t>
      </w:r>
      <w:r>
        <w:rPr>
          <w:rFonts w:hint="eastAsia" w:cs="宋体" w:asciiTheme="minorEastAsia" w:hAnsiTheme="minorEastAsia" w:eastAsiaTheme="minorEastAsia"/>
          <w:color w:val="auto"/>
          <w:szCs w:val="21"/>
          <w:highlight w:val="none"/>
          <w:lang w:val="en-US" w:eastAsia="zh-CN"/>
        </w:rPr>
        <w:t xml:space="preserve"> </w:t>
      </w:r>
      <w:r>
        <w:rPr>
          <w:rFonts w:hint="eastAsia" w:cs="宋体" w:asciiTheme="minorEastAsia" w:hAnsiTheme="minorEastAsia" w:eastAsiaTheme="minorEastAsia"/>
          <w:color w:val="auto"/>
          <w:szCs w:val="21"/>
          <w:highlight w:val="none"/>
        </w:rPr>
        <w:t>年</w:t>
      </w:r>
      <w:r>
        <w:rPr>
          <w:rFonts w:hint="eastAsia" w:cs="宋体" w:asciiTheme="minorEastAsia" w:hAnsiTheme="minorEastAsia" w:eastAsiaTheme="minorEastAsia"/>
          <w:color w:val="auto"/>
          <w:szCs w:val="21"/>
          <w:highlight w:val="none"/>
          <w:lang w:val="en-US" w:eastAsia="zh-CN"/>
        </w:rPr>
        <w:t xml:space="preserve"> </w:t>
      </w:r>
      <w:r>
        <w:rPr>
          <w:rFonts w:hint="eastAsia" w:cs="宋体" w:asciiTheme="minorEastAsia" w:hAnsiTheme="minorEastAsia" w:eastAsiaTheme="minorEastAsia"/>
          <w:color w:val="auto"/>
          <w:szCs w:val="21"/>
          <w:highlight w:val="none"/>
        </w:rPr>
        <w:t>月</w:t>
      </w:r>
      <w:r>
        <w:rPr>
          <w:rFonts w:hint="eastAsia" w:cs="宋体" w:asciiTheme="minorEastAsia" w:hAnsiTheme="minorEastAsia" w:eastAsiaTheme="minorEastAsia"/>
          <w:color w:val="auto"/>
          <w:szCs w:val="21"/>
          <w:highlight w:val="none"/>
          <w:lang w:val="en-US" w:eastAsia="zh-CN"/>
        </w:rPr>
        <w:t xml:space="preserve">  </w:t>
      </w:r>
      <w:r>
        <w:rPr>
          <w:rFonts w:hint="eastAsia" w:cs="宋体" w:asciiTheme="minorEastAsia" w:hAnsiTheme="minorEastAsia" w:eastAsiaTheme="minorEastAsia"/>
          <w:color w:val="auto"/>
          <w:szCs w:val="21"/>
          <w:highlight w:val="none"/>
        </w:rPr>
        <w:t>日</w:t>
      </w:r>
    </w:p>
    <w:p w14:paraId="68A1422A">
      <w:pPr>
        <w:adjustRightInd w:val="0"/>
        <w:snapToGrid w:val="0"/>
        <w:spacing w:line="360" w:lineRule="auto"/>
        <w:ind w:firstLine="643"/>
        <w:outlineLvl w:val="9"/>
        <w:rPr>
          <w:rFonts w:cs="宋体" w:asciiTheme="minorEastAsia" w:hAnsiTheme="minorEastAsia" w:eastAsiaTheme="minorEastAsia"/>
          <w:b/>
          <w:color w:val="auto"/>
          <w:szCs w:val="21"/>
          <w:highlight w:val="none"/>
        </w:rPr>
        <w:sectPr>
          <w:pgSz w:w="11906" w:h="16838"/>
          <w:pgMar w:top="851" w:right="1361" w:bottom="851" w:left="1361" w:header="567" w:footer="567" w:gutter="0"/>
          <w:pgBorders>
            <w:top w:val="none" w:sz="0" w:space="0"/>
            <w:left w:val="none" w:sz="0" w:space="0"/>
            <w:bottom w:val="none" w:sz="0" w:space="0"/>
            <w:right w:val="none" w:sz="0" w:space="0"/>
          </w:pgBorders>
          <w:cols w:space="720" w:num="1"/>
          <w:titlePg/>
          <w:docGrid w:linePitch="312" w:charSpace="0"/>
        </w:sectPr>
      </w:pPr>
    </w:p>
    <w:p w14:paraId="3E68D8D4">
      <w:pPr>
        <w:adjustRightInd w:val="0"/>
        <w:snapToGrid w:val="0"/>
        <w:spacing w:line="360" w:lineRule="auto"/>
        <w:outlineLvl w:val="9"/>
        <w:rPr>
          <w:rFonts w:cs="宋体" w:asciiTheme="minorEastAsia" w:hAnsiTheme="minorEastAsia" w:eastAsiaTheme="minorEastAsia"/>
          <w:b w:val="0"/>
          <w:bCs/>
          <w:color w:val="auto"/>
          <w:szCs w:val="21"/>
          <w:highlight w:val="none"/>
        </w:rPr>
      </w:pPr>
      <w:r>
        <w:rPr>
          <w:rFonts w:hint="eastAsia" w:cs="宋体" w:asciiTheme="minorEastAsia" w:hAnsiTheme="minorEastAsia" w:eastAsiaTheme="minorEastAsia"/>
          <w:b w:val="0"/>
          <w:bCs/>
          <w:color w:val="auto"/>
          <w:szCs w:val="21"/>
          <w:highlight w:val="none"/>
        </w:rPr>
        <w:t>附件三十</w:t>
      </w:r>
      <w:r>
        <w:rPr>
          <w:rFonts w:hint="eastAsia" w:cs="宋体" w:asciiTheme="minorEastAsia" w:hAnsiTheme="minorEastAsia" w:eastAsiaTheme="minorEastAsia"/>
          <w:b w:val="0"/>
          <w:bCs/>
          <w:color w:val="auto"/>
          <w:szCs w:val="21"/>
          <w:highlight w:val="none"/>
          <w:lang w:val="en-US" w:eastAsia="zh-CN"/>
        </w:rPr>
        <w:t>六</w:t>
      </w:r>
      <w:r>
        <w:rPr>
          <w:rFonts w:hint="eastAsia" w:cs="宋体" w:asciiTheme="minorEastAsia" w:hAnsiTheme="minorEastAsia" w:eastAsiaTheme="minorEastAsia"/>
          <w:b w:val="0"/>
          <w:bCs/>
          <w:color w:val="auto"/>
          <w:szCs w:val="21"/>
          <w:highlight w:val="none"/>
        </w:rPr>
        <w:t xml:space="preserve"> </w:t>
      </w:r>
    </w:p>
    <w:tbl>
      <w:tblPr>
        <w:tblStyle w:val="56"/>
        <w:tblpPr w:leftFromText="180" w:rightFromText="180" w:vertAnchor="text" w:horzAnchor="page" w:tblpX="1432" w:tblpY="1101"/>
        <w:tblOverlap w:val="never"/>
        <w:tblW w:w="916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1"/>
        <w:gridCol w:w="5528"/>
        <w:gridCol w:w="2794"/>
      </w:tblGrid>
      <w:tr w14:paraId="28289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41" w:type="dxa"/>
            <w:vAlign w:val="center"/>
          </w:tcPr>
          <w:p w14:paraId="5E250D0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序号</w:t>
            </w:r>
          </w:p>
        </w:tc>
        <w:tc>
          <w:tcPr>
            <w:tcW w:w="5528" w:type="dxa"/>
            <w:vAlign w:val="center"/>
          </w:tcPr>
          <w:p w14:paraId="79F4A38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暂估价工程名称</w:t>
            </w:r>
          </w:p>
        </w:tc>
        <w:tc>
          <w:tcPr>
            <w:tcW w:w="2794" w:type="dxa"/>
            <w:vAlign w:val="center"/>
          </w:tcPr>
          <w:p w14:paraId="3201C1A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暂估金额（万元）</w:t>
            </w:r>
          </w:p>
        </w:tc>
      </w:tr>
      <w:tr w14:paraId="48F3A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841" w:type="dxa"/>
            <w:vAlign w:val="center"/>
          </w:tcPr>
          <w:p w14:paraId="23AF2E1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一</w:t>
            </w:r>
          </w:p>
        </w:tc>
        <w:tc>
          <w:tcPr>
            <w:tcW w:w="8322" w:type="dxa"/>
            <w:gridSpan w:val="2"/>
            <w:vAlign w:val="center"/>
          </w:tcPr>
          <w:p w14:paraId="3AC825CE">
            <w:pPr>
              <w:keepNext w:val="0"/>
              <w:keepLines w:val="0"/>
              <w:suppressLineNumbers w:val="0"/>
              <w:adjustRightInd w:val="0"/>
              <w:snapToGrid w:val="0"/>
              <w:spacing w:before="0" w:beforeAutospacing="0" w:after="0" w:afterAutospacing="0" w:line="360" w:lineRule="auto"/>
              <w:ind w:left="0" w:right="0"/>
              <w:jc w:val="left"/>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土建类</w:t>
            </w:r>
          </w:p>
        </w:tc>
      </w:tr>
      <w:tr w14:paraId="6F2DB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41" w:type="dxa"/>
            <w:vAlign w:val="center"/>
          </w:tcPr>
          <w:p w14:paraId="6CBA38D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p>
        </w:tc>
        <w:tc>
          <w:tcPr>
            <w:tcW w:w="5528" w:type="dxa"/>
            <w:vAlign w:val="center"/>
          </w:tcPr>
          <w:p w14:paraId="370CAF52">
            <w:pPr>
              <w:keepNext w:val="0"/>
              <w:keepLines w:val="0"/>
              <w:widowControl/>
              <w:suppressLineNumbers w:val="0"/>
              <w:spacing w:before="0" w:beforeAutospacing="0" w:after="0" w:afterAutospacing="0"/>
              <w:ind w:left="0" w:right="0"/>
              <w:jc w:val="center"/>
              <w:textAlignment w:val="center"/>
              <w:rPr>
                <w:rFonts w:hint="eastAsia" w:cs="宋体" w:asciiTheme="minorEastAsia" w:hAnsiTheme="minorEastAsia" w:eastAsiaTheme="minorEastAsia"/>
                <w:bCs/>
                <w:color w:val="auto"/>
                <w:sz w:val="21"/>
                <w:szCs w:val="21"/>
                <w:highlight w:val="none"/>
              </w:rPr>
            </w:pPr>
            <w:r>
              <w:rPr>
                <w:rFonts w:hint="eastAsia" w:ascii="宋体" w:hAnsi="宋体" w:eastAsia="宋体" w:cs="宋体"/>
                <w:i w:val="0"/>
                <w:iCs w:val="0"/>
                <w:color w:val="000000"/>
                <w:kern w:val="0"/>
                <w:sz w:val="24"/>
                <w:szCs w:val="24"/>
                <w:u w:val="none"/>
                <w:lang w:val="en-US" w:eastAsia="zh-CN" w:bidi="ar"/>
              </w:rPr>
              <w:t>幕墙工程（含门窗、商业铝板、石材幕墙）</w:t>
            </w:r>
          </w:p>
        </w:tc>
        <w:tc>
          <w:tcPr>
            <w:tcW w:w="2794" w:type="dxa"/>
            <w:vAlign w:val="center"/>
          </w:tcPr>
          <w:p w14:paraId="0FC7B6FB">
            <w:pPr>
              <w:keepNext w:val="0"/>
              <w:keepLines w:val="0"/>
              <w:widowControl/>
              <w:suppressLineNumbers w:val="0"/>
              <w:spacing w:before="0" w:beforeAutospacing="0" w:after="0" w:afterAutospacing="0"/>
              <w:ind w:left="0" w:right="0"/>
              <w:jc w:val="center"/>
              <w:textAlignment w:val="center"/>
              <w:rPr>
                <w:rFonts w:hint="default"/>
                <w:color w:val="auto"/>
                <w:lang w:val="en-US" w:eastAsia="zh-CN"/>
              </w:rPr>
            </w:pPr>
            <w:r>
              <w:rPr>
                <w:rFonts w:hint="eastAsia" w:cs="Times New Roman"/>
                <w:i w:val="0"/>
                <w:iCs w:val="0"/>
                <w:color w:val="auto"/>
                <w:kern w:val="0"/>
                <w:sz w:val="21"/>
                <w:szCs w:val="21"/>
                <w:u w:val="none"/>
                <w:lang w:val="en-US" w:eastAsia="zh-CN" w:bidi="ar"/>
              </w:rPr>
              <w:t>2575.58</w:t>
            </w:r>
          </w:p>
        </w:tc>
      </w:tr>
      <w:tr w14:paraId="2D03C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41" w:type="dxa"/>
            <w:vAlign w:val="center"/>
          </w:tcPr>
          <w:p w14:paraId="3A2905E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w:t>
            </w:r>
          </w:p>
        </w:tc>
        <w:tc>
          <w:tcPr>
            <w:tcW w:w="5528" w:type="dxa"/>
            <w:vAlign w:val="center"/>
          </w:tcPr>
          <w:p w14:paraId="1EE08011">
            <w:pPr>
              <w:keepNext w:val="0"/>
              <w:keepLines w:val="0"/>
              <w:widowControl/>
              <w:suppressLineNumbers w:val="0"/>
              <w:spacing w:before="0" w:beforeAutospacing="0" w:after="0" w:afterAutospacing="0"/>
              <w:ind w:left="0" w:right="0"/>
              <w:jc w:val="center"/>
              <w:textAlignment w:val="center"/>
              <w:rPr>
                <w:rFonts w:hint="eastAsia" w:cs="宋体" w:asciiTheme="minorEastAsia" w:hAnsiTheme="minorEastAsia" w:eastAsiaTheme="minorEastAsia"/>
                <w:bCs/>
                <w:color w:val="auto"/>
                <w:sz w:val="21"/>
                <w:szCs w:val="21"/>
                <w:highlight w:val="none"/>
              </w:rPr>
            </w:pPr>
            <w:r>
              <w:rPr>
                <w:rFonts w:hint="eastAsia" w:ascii="宋体" w:hAnsi="宋体" w:eastAsia="宋体" w:cs="宋体"/>
                <w:i w:val="0"/>
                <w:iCs w:val="0"/>
                <w:color w:val="000000"/>
                <w:kern w:val="0"/>
                <w:sz w:val="24"/>
                <w:szCs w:val="24"/>
                <w:u w:val="none"/>
                <w:lang w:val="en-US" w:eastAsia="zh-CN" w:bidi="ar"/>
              </w:rPr>
              <w:t>外墙保温工程（含涂料、住宅铝板、装饰线条等）</w:t>
            </w:r>
          </w:p>
        </w:tc>
        <w:tc>
          <w:tcPr>
            <w:tcW w:w="2794" w:type="dxa"/>
            <w:vAlign w:val="center"/>
          </w:tcPr>
          <w:p w14:paraId="4388F951">
            <w:pPr>
              <w:keepNext w:val="0"/>
              <w:keepLines w:val="0"/>
              <w:widowControl/>
              <w:suppressLineNumbers w:val="0"/>
              <w:spacing w:before="0" w:beforeAutospacing="0" w:after="0" w:afterAutospacing="0"/>
              <w:ind w:left="0" w:right="0"/>
              <w:jc w:val="center"/>
              <w:textAlignment w:val="center"/>
              <w:rPr>
                <w:rFonts w:hint="default" w:cs="宋体" w:asciiTheme="minorEastAsia" w:hAnsiTheme="minorEastAsia" w:eastAsiaTheme="minorEastAsia"/>
                <w:bCs/>
                <w:color w:val="auto"/>
                <w:sz w:val="21"/>
                <w:szCs w:val="21"/>
                <w:highlight w:val="none"/>
                <w:lang w:val="en-US" w:eastAsia="zh-CN"/>
              </w:rPr>
            </w:pPr>
            <w:r>
              <w:rPr>
                <w:rFonts w:hint="eastAsia" w:ascii="宋体" w:hAnsi="宋体" w:cs="宋体"/>
                <w:i w:val="0"/>
                <w:iCs w:val="0"/>
                <w:color w:val="auto"/>
                <w:kern w:val="0"/>
                <w:sz w:val="21"/>
                <w:szCs w:val="21"/>
                <w:u w:val="none"/>
                <w:lang w:val="en-US" w:eastAsia="zh-CN" w:bidi="ar"/>
              </w:rPr>
              <w:t>1982.06</w:t>
            </w:r>
            <w:r>
              <w:rPr>
                <w:rFonts w:hint="eastAsia" w:ascii="宋体" w:hAnsi="宋体" w:eastAsia="宋体" w:cs="宋体"/>
                <w:i w:val="0"/>
                <w:iCs w:val="0"/>
                <w:color w:val="auto"/>
                <w:kern w:val="0"/>
                <w:sz w:val="21"/>
                <w:szCs w:val="21"/>
                <w:u w:val="none"/>
                <w:lang w:val="en-US" w:eastAsia="zh-CN" w:bidi="ar"/>
              </w:rPr>
              <w:t xml:space="preserve"> </w:t>
            </w:r>
          </w:p>
        </w:tc>
      </w:tr>
      <w:tr w14:paraId="26375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41" w:type="dxa"/>
            <w:vAlign w:val="center"/>
          </w:tcPr>
          <w:p w14:paraId="77EC02E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w:t>
            </w:r>
          </w:p>
        </w:tc>
        <w:tc>
          <w:tcPr>
            <w:tcW w:w="5528" w:type="dxa"/>
            <w:vAlign w:val="center"/>
          </w:tcPr>
          <w:p w14:paraId="0FA8C033">
            <w:pPr>
              <w:keepNext w:val="0"/>
              <w:keepLines w:val="0"/>
              <w:widowControl/>
              <w:suppressLineNumbers w:val="0"/>
              <w:spacing w:before="0" w:beforeAutospacing="0" w:after="0" w:afterAutospacing="0"/>
              <w:ind w:left="0" w:right="0"/>
              <w:jc w:val="center"/>
              <w:textAlignment w:val="center"/>
              <w:rPr>
                <w:rFonts w:hint="eastAsia" w:cs="宋体" w:asciiTheme="minorEastAsia" w:hAnsiTheme="minorEastAsia" w:eastAsiaTheme="minorEastAsia"/>
                <w:bCs/>
                <w:color w:val="auto"/>
                <w:sz w:val="21"/>
                <w:szCs w:val="21"/>
                <w:highlight w:val="none"/>
              </w:rPr>
            </w:pPr>
            <w:r>
              <w:rPr>
                <w:rFonts w:hint="eastAsia" w:ascii="宋体" w:hAnsi="宋体" w:eastAsia="宋体" w:cs="宋体"/>
                <w:i w:val="0"/>
                <w:iCs w:val="0"/>
                <w:color w:val="000000"/>
                <w:kern w:val="0"/>
                <w:sz w:val="24"/>
                <w:szCs w:val="24"/>
                <w:u w:val="none"/>
                <w:lang w:val="en-US" w:eastAsia="zh-CN" w:bidi="ar"/>
              </w:rPr>
              <w:t>栏杆及钢结构工程（阳台铁艺栏杆、连廊栏杆、室内护窗栏杆、单元及车库雨蓬、钢楼梯等）</w:t>
            </w:r>
          </w:p>
        </w:tc>
        <w:tc>
          <w:tcPr>
            <w:tcW w:w="2794" w:type="dxa"/>
            <w:vAlign w:val="center"/>
          </w:tcPr>
          <w:p w14:paraId="121925F1">
            <w:pPr>
              <w:keepNext w:val="0"/>
              <w:keepLines w:val="0"/>
              <w:widowControl/>
              <w:suppressLineNumbers w:val="0"/>
              <w:spacing w:before="0" w:beforeAutospacing="0" w:after="0" w:afterAutospacing="0"/>
              <w:ind w:left="0" w:right="0"/>
              <w:jc w:val="center"/>
              <w:textAlignment w:val="center"/>
              <w:rPr>
                <w:rFonts w:hint="default" w:cs="宋体" w:asciiTheme="minorEastAsia" w:hAnsiTheme="minorEastAsia" w:eastAsiaTheme="minorEastAsia"/>
                <w:bCs/>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12</w:t>
            </w:r>
            <w:r>
              <w:rPr>
                <w:rFonts w:hint="eastAsia" w:ascii="宋体" w:hAnsi="宋体" w:cs="宋体"/>
                <w:i w:val="0"/>
                <w:iCs w:val="0"/>
                <w:color w:val="auto"/>
                <w:kern w:val="0"/>
                <w:sz w:val="21"/>
                <w:szCs w:val="21"/>
                <w:u w:val="none"/>
                <w:lang w:val="en-US" w:eastAsia="zh-CN" w:bidi="ar"/>
              </w:rPr>
              <w:t>95.63</w:t>
            </w:r>
            <w:r>
              <w:rPr>
                <w:rFonts w:hint="eastAsia" w:ascii="宋体" w:hAnsi="宋体" w:eastAsia="宋体" w:cs="宋体"/>
                <w:i w:val="0"/>
                <w:iCs w:val="0"/>
                <w:color w:val="auto"/>
                <w:kern w:val="0"/>
                <w:sz w:val="21"/>
                <w:szCs w:val="21"/>
                <w:u w:val="none"/>
                <w:lang w:val="en-US" w:eastAsia="zh-CN" w:bidi="ar"/>
              </w:rPr>
              <w:t xml:space="preserve"> </w:t>
            </w:r>
          </w:p>
        </w:tc>
      </w:tr>
      <w:tr w14:paraId="4EA09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41" w:type="dxa"/>
            <w:vAlign w:val="center"/>
          </w:tcPr>
          <w:p w14:paraId="26C49DFD">
            <w:pPr>
              <w:pStyle w:val="109"/>
              <w:keepNext w:val="0"/>
              <w:keepLines w:val="0"/>
              <w:suppressLineNumbers w:val="0"/>
              <w:adjustRightInd w:val="0"/>
              <w:snapToGrid w:val="0"/>
              <w:spacing w:before="0" w:beforeAutospacing="0" w:after="0" w:afterAutospacing="0"/>
              <w:ind w:left="0" w:right="0"/>
              <w:jc w:val="center"/>
              <w:outlineLvl w:val="9"/>
              <w:rPr>
                <w:rFonts w:hint="eastAsia" w:cs="宋体" w:asciiTheme="minorEastAsia" w:hAnsiTheme="minorEastAsia" w:eastAsiaTheme="minorEastAsia"/>
                <w:b w:val="0"/>
                <w:color w:val="auto"/>
                <w:kern w:val="2"/>
                <w:sz w:val="21"/>
                <w:szCs w:val="21"/>
                <w:highlight w:val="none"/>
                <w:lang w:val="en-US" w:eastAsia="zh-CN" w:bidi="ar-SA"/>
              </w:rPr>
            </w:pPr>
            <w:r>
              <w:rPr>
                <w:rFonts w:hint="eastAsia" w:cs="宋体" w:asciiTheme="minorEastAsia" w:hAnsiTheme="minorEastAsia" w:eastAsiaTheme="minorEastAsia"/>
                <w:b w:val="0"/>
                <w:color w:val="auto"/>
                <w:kern w:val="2"/>
                <w:sz w:val="21"/>
                <w:szCs w:val="21"/>
                <w:highlight w:val="none"/>
                <w:lang w:val="en-US" w:eastAsia="zh-CN" w:bidi="ar-SA"/>
              </w:rPr>
              <w:t>4</w:t>
            </w:r>
          </w:p>
        </w:tc>
        <w:tc>
          <w:tcPr>
            <w:tcW w:w="5528" w:type="dxa"/>
            <w:vAlign w:val="center"/>
          </w:tcPr>
          <w:p w14:paraId="003B2EA2">
            <w:pPr>
              <w:keepNext w:val="0"/>
              <w:keepLines w:val="0"/>
              <w:widowControl/>
              <w:suppressLineNumbers w:val="0"/>
              <w:spacing w:before="0" w:beforeAutospacing="0" w:after="0" w:afterAutospacing="0"/>
              <w:ind w:left="0" w:right="0"/>
              <w:jc w:val="center"/>
              <w:textAlignment w:val="center"/>
              <w:rPr>
                <w:rFonts w:hint="eastAsia" w:cs="宋体" w:asciiTheme="minorEastAsia" w:hAnsiTheme="minorEastAsia" w:eastAsiaTheme="minorEastAsia"/>
                <w:bCs/>
                <w:color w:val="auto"/>
                <w:sz w:val="21"/>
                <w:szCs w:val="21"/>
                <w:highlight w:val="none"/>
              </w:rPr>
            </w:pPr>
            <w:r>
              <w:rPr>
                <w:rFonts w:hint="eastAsia" w:ascii="宋体" w:hAnsi="宋体" w:eastAsia="宋体" w:cs="宋体"/>
                <w:i w:val="0"/>
                <w:iCs w:val="0"/>
                <w:color w:val="000000"/>
                <w:kern w:val="0"/>
                <w:sz w:val="24"/>
                <w:szCs w:val="24"/>
                <w:u w:val="none"/>
                <w:lang w:val="en-US" w:eastAsia="zh-CN" w:bidi="ar"/>
              </w:rPr>
              <w:t>公区装修工程（含单元门、门头）</w:t>
            </w:r>
          </w:p>
        </w:tc>
        <w:tc>
          <w:tcPr>
            <w:tcW w:w="2794" w:type="dxa"/>
            <w:vAlign w:val="center"/>
          </w:tcPr>
          <w:p w14:paraId="5AE4A466">
            <w:pPr>
              <w:keepNext w:val="0"/>
              <w:keepLines w:val="0"/>
              <w:widowControl/>
              <w:suppressLineNumbers w:val="0"/>
              <w:spacing w:before="0" w:beforeAutospacing="0" w:after="0" w:afterAutospacing="0"/>
              <w:ind w:left="0" w:right="0"/>
              <w:jc w:val="center"/>
              <w:textAlignment w:val="center"/>
              <w:rPr>
                <w:rFonts w:hint="default" w:cs="宋体" w:asciiTheme="minorEastAsia" w:hAnsiTheme="minorEastAsia" w:eastAsiaTheme="minorEastAsia"/>
                <w:bCs/>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1</w:t>
            </w:r>
            <w:r>
              <w:rPr>
                <w:rFonts w:hint="eastAsia" w:ascii="宋体" w:hAnsi="宋体" w:cs="宋体"/>
                <w:i w:val="0"/>
                <w:iCs w:val="0"/>
                <w:color w:val="auto"/>
                <w:kern w:val="0"/>
                <w:sz w:val="21"/>
                <w:szCs w:val="21"/>
                <w:u w:val="none"/>
                <w:lang w:val="en-US" w:eastAsia="zh-CN" w:bidi="ar"/>
              </w:rPr>
              <w:t>412.04</w:t>
            </w:r>
            <w:r>
              <w:rPr>
                <w:rFonts w:hint="eastAsia" w:ascii="宋体" w:hAnsi="宋体" w:eastAsia="宋体" w:cs="宋体"/>
                <w:i w:val="0"/>
                <w:iCs w:val="0"/>
                <w:color w:val="auto"/>
                <w:kern w:val="0"/>
                <w:sz w:val="21"/>
                <w:szCs w:val="21"/>
                <w:u w:val="none"/>
                <w:lang w:val="en-US" w:eastAsia="zh-CN" w:bidi="ar"/>
              </w:rPr>
              <w:t xml:space="preserve"> </w:t>
            </w:r>
          </w:p>
        </w:tc>
      </w:tr>
      <w:tr w14:paraId="74694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41" w:type="dxa"/>
            <w:vAlign w:val="center"/>
          </w:tcPr>
          <w:p w14:paraId="694EF035">
            <w:pPr>
              <w:pStyle w:val="109"/>
              <w:keepNext w:val="0"/>
              <w:keepLines w:val="0"/>
              <w:suppressLineNumbers w:val="0"/>
              <w:adjustRightInd w:val="0"/>
              <w:snapToGrid w:val="0"/>
              <w:spacing w:before="0" w:beforeAutospacing="0" w:after="0" w:afterAutospacing="0"/>
              <w:ind w:left="0" w:right="0"/>
              <w:jc w:val="center"/>
              <w:outlineLvl w:val="9"/>
              <w:rPr>
                <w:rFonts w:hint="eastAsia" w:cs="宋体" w:asciiTheme="minorEastAsia" w:hAnsiTheme="minorEastAsia" w:eastAsiaTheme="minorEastAsia"/>
                <w:b w:val="0"/>
                <w:color w:val="auto"/>
                <w:kern w:val="2"/>
                <w:sz w:val="21"/>
                <w:szCs w:val="21"/>
                <w:highlight w:val="none"/>
                <w:lang w:val="en-US" w:eastAsia="zh-CN" w:bidi="ar-SA"/>
              </w:rPr>
            </w:pPr>
            <w:r>
              <w:rPr>
                <w:rFonts w:hint="eastAsia" w:cs="宋体" w:asciiTheme="minorEastAsia" w:hAnsiTheme="minorEastAsia" w:eastAsiaTheme="minorEastAsia"/>
                <w:b w:val="0"/>
                <w:color w:val="auto"/>
                <w:kern w:val="2"/>
                <w:sz w:val="21"/>
                <w:szCs w:val="21"/>
                <w:highlight w:val="none"/>
                <w:lang w:val="en-US" w:eastAsia="zh-CN" w:bidi="ar-SA"/>
              </w:rPr>
              <w:t>5</w:t>
            </w:r>
          </w:p>
        </w:tc>
        <w:tc>
          <w:tcPr>
            <w:tcW w:w="5528" w:type="dxa"/>
            <w:vAlign w:val="center"/>
          </w:tcPr>
          <w:p w14:paraId="759FFE6F">
            <w:pPr>
              <w:keepNext w:val="0"/>
              <w:keepLines w:val="0"/>
              <w:widowControl/>
              <w:suppressLineNumbers w:val="0"/>
              <w:spacing w:before="0" w:beforeAutospacing="0" w:after="0" w:afterAutospacing="0"/>
              <w:ind w:left="0" w:right="0"/>
              <w:jc w:val="center"/>
              <w:textAlignment w:val="center"/>
              <w:rPr>
                <w:rFonts w:hint="eastAsia" w:cs="宋体" w:asciiTheme="minorEastAsia" w:hAnsiTheme="minorEastAsia" w:eastAsiaTheme="minorEastAsia"/>
                <w:bCs/>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景观工程</w:t>
            </w:r>
          </w:p>
        </w:tc>
        <w:tc>
          <w:tcPr>
            <w:tcW w:w="2794" w:type="dxa"/>
            <w:vAlign w:val="center"/>
          </w:tcPr>
          <w:p w14:paraId="1C4D2586">
            <w:pPr>
              <w:keepNext w:val="0"/>
              <w:keepLines w:val="0"/>
              <w:widowControl/>
              <w:suppressLineNumbers w:val="0"/>
              <w:spacing w:before="0" w:beforeAutospacing="0" w:after="0" w:afterAutospacing="0"/>
              <w:ind w:left="0" w:right="0"/>
              <w:jc w:val="center"/>
              <w:textAlignment w:val="center"/>
              <w:rPr>
                <w:rFonts w:hint="default" w:cs="宋体" w:asciiTheme="minorEastAsia" w:hAnsiTheme="minorEastAsia" w:eastAsiaTheme="minorEastAsia"/>
                <w:bCs/>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22</w:t>
            </w:r>
            <w:r>
              <w:rPr>
                <w:rFonts w:hint="eastAsia" w:ascii="宋体" w:hAnsi="宋体" w:cs="宋体"/>
                <w:i w:val="0"/>
                <w:iCs w:val="0"/>
                <w:color w:val="auto"/>
                <w:kern w:val="0"/>
                <w:sz w:val="21"/>
                <w:szCs w:val="21"/>
                <w:u w:val="none"/>
                <w:lang w:val="en-US" w:eastAsia="zh-CN" w:bidi="ar"/>
              </w:rPr>
              <w:t>73.81</w:t>
            </w:r>
          </w:p>
        </w:tc>
      </w:tr>
      <w:tr w14:paraId="718F5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841" w:type="dxa"/>
            <w:vAlign w:val="center"/>
          </w:tcPr>
          <w:p w14:paraId="60527D2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二</w:t>
            </w:r>
          </w:p>
        </w:tc>
        <w:tc>
          <w:tcPr>
            <w:tcW w:w="5528" w:type="dxa"/>
            <w:vAlign w:val="center"/>
          </w:tcPr>
          <w:p w14:paraId="1D5170B9">
            <w:pPr>
              <w:keepNext w:val="0"/>
              <w:keepLines w:val="0"/>
              <w:suppressLineNumbers w:val="0"/>
              <w:adjustRightInd w:val="0"/>
              <w:snapToGrid w:val="0"/>
              <w:spacing w:before="0" w:beforeAutospacing="0" w:after="0" w:afterAutospacing="0" w:line="360" w:lineRule="auto"/>
              <w:ind w:left="0" w:right="0"/>
              <w:jc w:val="left"/>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安装类</w:t>
            </w:r>
          </w:p>
        </w:tc>
        <w:tc>
          <w:tcPr>
            <w:tcW w:w="2794" w:type="dxa"/>
            <w:vAlign w:val="center"/>
          </w:tcPr>
          <w:p w14:paraId="48FC96D8">
            <w:pPr>
              <w:keepNext w:val="0"/>
              <w:keepLines w:val="0"/>
              <w:suppressLineNumbers w:val="0"/>
              <w:adjustRightInd w:val="0"/>
              <w:snapToGrid w:val="0"/>
              <w:spacing w:before="0" w:beforeAutospacing="0" w:after="0" w:afterAutospacing="0" w:line="360" w:lineRule="auto"/>
              <w:ind w:left="0" w:right="0"/>
              <w:jc w:val="left"/>
              <w:outlineLvl w:val="9"/>
              <w:rPr>
                <w:color w:val="auto"/>
                <w:sz w:val="21"/>
                <w:szCs w:val="21"/>
                <w:highlight w:val="none"/>
              </w:rPr>
            </w:pPr>
          </w:p>
        </w:tc>
      </w:tr>
      <w:tr w14:paraId="74195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41" w:type="dxa"/>
            <w:vAlign w:val="center"/>
          </w:tcPr>
          <w:p w14:paraId="1142357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Cs/>
                <w:color w:val="auto"/>
                <w:sz w:val="21"/>
                <w:szCs w:val="21"/>
                <w:highlight w:val="none"/>
              </w:rPr>
            </w:pPr>
            <w:r>
              <w:rPr>
                <w:rFonts w:hint="eastAsia" w:cs="宋体" w:asciiTheme="minorEastAsia" w:hAnsiTheme="minorEastAsia" w:eastAsiaTheme="minorEastAsia"/>
                <w:bCs/>
                <w:color w:val="auto"/>
                <w:sz w:val="21"/>
                <w:szCs w:val="21"/>
                <w:highlight w:val="none"/>
              </w:rPr>
              <w:t>1</w:t>
            </w:r>
          </w:p>
        </w:tc>
        <w:tc>
          <w:tcPr>
            <w:tcW w:w="5528" w:type="dxa"/>
            <w:vAlign w:val="center"/>
          </w:tcPr>
          <w:p w14:paraId="15139ACA">
            <w:pPr>
              <w:keepNext w:val="0"/>
              <w:keepLines w:val="0"/>
              <w:widowControl/>
              <w:suppressLineNumbers w:val="0"/>
              <w:spacing w:before="0" w:beforeAutospacing="0" w:after="0" w:afterAutospacing="0"/>
              <w:ind w:left="0" w:right="0"/>
              <w:jc w:val="center"/>
              <w:textAlignment w:val="center"/>
              <w:rPr>
                <w:rFonts w:cs="宋体" w:asciiTheme="minorEastAsia" w:hAnsiTheme="minorEastAsia" w:eastAsiaTheme="minorEastAsia"/>
                <w:bCs/>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电梯采购及安装</w:t>
            </w:r>
          </w:p>
        </w:tc>
        <w:tc>
          <w:tcPr>
            <w:tcW w:w="2794" w:type="dxa"/>
            <w:vAlign w:val="center"/>
          </w:tcPr>
          <w:p w14:paraId="393FB6B8">
            <w:pPr>
              <w:keepNext w:val="0"/>
              <w:keepLines w:val="0"/>
              <w:widowControl/>
              <w:suppressLineNumbers w:val="0"/>
              <w:spacing w:before="0" w:beforeAutospacing="0" w:after="0" w:afterAutospacing="0"/>
              <w:ind w:left="0" w:right="0"/>
              <w:jc w:val="center"/>
              <w:textAlignment w:val="center"/>
              <w:rPr>
                <w:rFonts w:hint="default" w:cs="宋体" w:asciiTheme="minorEastAsia" w:hAnsiTheme="minorEastAsia" w:eastAsiaTheme="minorEastAsia"/>
                <w:bCs/>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55</w:t>
            </w:r>
            <w:r>
              <w:rPr>
                <w:rFonts w:hint="eastAsia" w:ascii="宋体" w:hAnsi="宋体" w:cs="宋体"/>
                <w:i w:val="0"/>
                <w:iCs w:val="0"/>
                <w:color w:val="auto"/>
                <w:kern w:val="0"/>
                <w:sz w:val="21"/>
                <w:szCs w:val="21"/>
                <w:u w:val="none"/>
                <w:lang w:val="en-US" w:eastAsia="zh-CN" w:bidi="ar"/>
              </w:rPr>
              <w:t>7.70</w:t>
            </w:r>
            <w:r>
              <w:rPr>
                <w:rFonts w:hint="eastAsia" w:ascii="宋体" w:hAnsi="宋体" w:eastAsia="宋体" w:cs="宋体"/>
                <w:i w:val="0"/>
                <w:iCs w:val="0"/>
                <w:color w:val="auto"/>
                <w:kern w:val="0"/>
                <w:sz w:val="21"/>
                <w:szCs w:val="21"/>
                <w:u w:val="none"/>
                <w:lang w:val="en-US" w:eastAsia="zh-CN" w:bidi="ar"/>
              </w:rPr>
              <w:t xml:space="preserve"> </w:t>
            </w:r>
          </w:p>
        </w:tc>
      </w:tr>
      <w:tr w14:paraId="48750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41" w:type="dxa"/>
            <w:vAlign w:val="center"/>
          </w:tcPr>
          <w:p w14:paraId="02C292F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Cs/>
                <w:color w:val="auto"/>
                <w:sz w:val="21"/>
                <w:szCs w:val="21"/>
                <w:highlight w:val="none"/>
              </w:rPr>
            </w:pPr>
            <w:r>
              <w:rPr>
                <w:rFonts w:hint="eastAsia" w:cs="宋体" w:asciiTheme="minorEastAsia" w:hAnsiTheme="minorEastAsia" w:eastAsiaTheme="minorEastAsia"/>
                <w:bCs/>
                <w:color w:val="auto"/>
                <w:sz w:val="21"/>
                <w:szCs w:val="21"/>
                <w:highlight w:val="none"/>
              </w:rPr>
              <w:t>2</w:t>
            </w:r>
          </w:p>
        </w:tc>
        <w:tc>
          <w:tcPr>
            <w:tcW w:w="5528" w:type="dxa"/>
            <w:vAlign w:val="center"/>
          </w:tcPr>
          <w:p w14:paraId="29A86DF4">
            <w:pPr>
              <w:keepNext w:val="0"/>
              <w:keepLines w:val="0"/>
              <w:widowControl/>
              <w:suppressLineNumbers w:val="0"/>
              <w:spacing w:before="0" w:beforeAutospacing="0" w:after="0" w:afterAutospacing="0"/>
              <w:ind w:left="0" w:right="0"/>
              <w:jc w:val="center"/>
              <w:textAlignment w:val="center"/>
              <w:rPr>
                <w:rFonts w:cs="宋体" w:asciiTheme="minorEastAsia" w:hAnsiTheme="minorEastAsia" w:eastAsiaTheme="minorEastAsia"/>
                <w:bCs/>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安防工程</w:t>
            </w:r>
          </w:p>
        </w:tc>
        <w:tc>
          <w:tcPr>
            <w:tcW w:w="2794" w:type="dxa"/>
            <w:vAlign w:val="center"/>
          </w:tcPr>
          <w:p w14:paraId="4875B6A2">
            <w:pPr>
              <w:keepNext w:val="0"/>
              <w:keepLines w:val="0"/>
              <w:widowControl/>
              <w:suppressLineNumbers w:val="0"/>
              <w:spacing w:before="0" w:beforeAutospacing="0" w:after="0" w:afterAutospacing="0"/>
              <w:ind w:left="0" w:right="0"/>
              <w:jc w:val="center"/>
              <w:textAlignment w:val="center"/>
              <w:rPr>
                <w:rFonts w:hint="default" w:cs="宋体" w:asciiTheme="minorEastAsia" w:hAnsiTheme="minorEastAsia" w:eastAsiaTheme="minorEastAsia"/>
                <w:bCs/>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w:t>
            </w:r>
            <w:r>
              <w:rPr>
                <w:rFonts w:hint="eastAsia" w:ascii="宋体" w:hAnsi="宋体" w:cs="宋体"/>
                <w:i w:val="0"/>
                <w:iCs w:val="0"/>
                <w:color w:val="auto"/>
                <w:kern w:val="0"/>
                <w:sz w:val="21"/>
                <w:szCs w:val="21"/>
                <w:u w:val="none"/>
                <w:lang w:val="en-US" w:eastAsia="zh-CN" w:bidi="ar"/>
              </w:rPr>
              <w:t>82.21</w:t>
            </w:r>
            <w:r>
              <w:rPr>
                <w:rFonts w:hint="eastAsia" w:ascii="宋体" w:hAnsi="宋体" w:eastAsia="宋体" w:cs="宋体"/>
                <w:i w:val="0"/>
                <w:iCs w:val="0"/>
                <w:color w:val="auto"/>
                <w:kern w:val="0"/>
                <w:sz w:val="21"/>
                <w:szCs w:val="21"/>
                <w:u w:val="none"/>
                <w:lang w:val="en-US" w:eastAsia="zh-CN" w:bidi="ar"/>
              </w:rPr>
              <w:t xml:space="preserve"> </w:t>
            </w:r>
          </w:p>
        </w:tc>
      </w:tr>
      <w:tr w14:paraId="3B64B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41" w:type="dxa"/>
            <w:vAlign w:val="center"/>
          </w:tcPr>
          <w:p w14:paraId="69246ED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Cs/>
                <w:color w:val="auto"/>
                <w:sz w:val="21"/>
                <w:szCs w:val="21"/>
                <w:highlight w:val="none"/>
              </w:rPr>
            </w:pPr>
            <w:r>
              <w:rPr>
                <w:rFonts w:hint="eastAsia" w:cs="宋体" w:asciiTheme="minorEastAsia" w:hAnsiTheme="minorEastAsia" w:eastAsiaTheme="minorEastAsia"/>
                <w:bCs/>
                <w:color w:val="auto"/>
                <w:sz w:val="21"/>
                <w:szCs w:val="21"/>
                <w:highlight w:val="none"/>
              </w:rPr>
              <w:t>3</w:t>
            </w:r>
          </w:p>
        </w:tc>
        <w:tc>
          <w:tcPr>
            <w:tcW w:w="5528" w:type="dxa"/>
            <w:vAlign w:val="center"/>
          </w:tcPr>
          <w:p w14:paraId="0D506AD6">
            <w:pPr>
              <w:keepNext w:val="0"/>
              <w:keepLines w:val="0"/>
              <w:widowControl/>
              <w:suppressLineNumbers w:val="0"/>
              <w:spacing w:before="0" w:beforeAutospacing="0" w:after="0" w:afterAutospacing="0"/>
              <w:ind w:left="0" w:right="0"/>
              <w:jc w:val="center"/>
              <w:textAlignment w:val="center"/>
              <w:rPr>
                <w:rFonts w:cs="宋体" w:asciiTheme="minorEastAsia" w:hAnsiTheme="minorEastAsia" w:eastAsiaTheme="minorEastAsia"/>
                <w:bCs/>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火灾报警工程</w:t>
            </w:r>
          </w:p>
        </w:tc>
        <w:tc>
          <w:tcPr>
            <w:tcW w:w="2794" w:type="dxa"/>
            <w:vAlign w:val="center"/>
          </w:tcPr>
          <w:p w14:paraId="12356FBC">
            <w:pPr>
              <w:keepNext w:val="0"/>
              <w:keepLines w:val="0"/>
              <w:widowControl/>
              <w:suppressLineNumbers w:val="0"/>
              <w:spacing w:before="0" w:beforeAutospacing="0" w:after="0" w:afterAutospacing="0"/>
              <w:ind w:left="0" w:right="0"/>
              <w:jc w:val="center"/>
              <w:textAlignment w:val="center"/>
              <w:rPr>
                <w:rFonts w:hint="default" w:cs="宋体" w:asciiTheme="minorEastAsia" w:hAnsiTheme="minorEastAsia" w:eastAsiaTheme="minorEastAsia"/>
                <w:bCs/>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2</w:t>
            </w:r>
            <w:r>
              <w:rPr>
                <w:rFonts w:hint="eastAsia" w:ascii="宋体" w:hAnsi="宋体" w:cs="宋体"/>
                <w:i w:val="0"/>
                <w:iCs w:val="0"/>
                <w:color w:val="auto"/>
                <w:kern w:val="0"/>
                <w:sz w:val="21"/>
                <w:szCs w:val="21"/>
                <w:u w:val="none"/>
                <w:lang w:val="en-US" w:eastAsia="zh-CN" w:bidi="ar"/>
              </w:rPr>
              <w:t>12.02</w:t>
            </w:r>
            <w:r>
              <w:rPr>
                <w:rFonts w:hint="eastAsia" w:ascii="宋体" w:hAnsi="宋体" w:eastAsia="宋体" w:cs="宋体"/>
                <w:i w:val="0"/>
                <w:iCs w:val="0"/>
                <w:color w:val="auto"/>
                <w:kern w:val="0"/>
                <w:sz w:val="21"/>
                <w:szCs w:val="21"/>
                <w:u w:val="none"/>
                <w:lang w:val="en-US" w:eastAsia="zh-CN" w:bidi="ar"/>
              </w:rPr>
              <w:t xml:space="preserve"> </w:t>
            </w:r>
          </w:p>
        </w:tc>
      </w:tr>
      <w:tr w14:paraId="24E44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41" w:type="dxa"/>
            <w:vAlign w:val="center"/>
          </w:tcPr>
          <w:p w14:paraId="6228B496">
            <w:pPr>
              <w:keepNext w:val="0"/>
              <w:keepLines w:val="0"/>
              <w:suppressLineNumbers w:val="0"/>
              <w:adjustRightInd w:val="0"/>
              <w:snapToGrid w:val="0"/>
              <w:spacing w:before="0" w:beforeAutospacing="0" w:after="0" w:afterAutospacing="0" w:line="360" w:lineRule="auto"/>
              <w:ind w:left="0" w:right="0"/>
              <w:jc w:val="center"/>
              <w:outlineLvl w:val="9"/>
              <w:rPr>
                <w:rFonts w:hint="eastAsia" w:cs="宋体" w:asciiTheme="minorEastAsia" w:hAnsiTheme="minorEastAsia" w:eastAsiaTheme="minorEastAsia"/>
                <w:bCs/>
                <w:color w:val="auto"/>
                <w:sz w:val="21"/>
                <w:szCs w:val="21"/>
                <w:highlight w:val="none"/>
                <w:lang w:val="en-US" w:eastAsia="zh-CN"/>
              </w:rPr>
            </w:pPr>
            <w:r>
              <w:rPr>
                <w:rFonts w:hint="eastAsia" w:cs="宋体" w:asciiTheme="minorEastAsia" w:hAnsiTheme="minorEastAsia" w:eastAsiaTheme="minorEastAsia"/>
                <w:bCs/>
                <w:color w:val="auto"/>
                <w:sz w:val="21"/>
                <w:szCs w:val="21"/>
                <w:highlight w:val="none"/>
                <w:lang w:val="en-US" w:eastAsia="zh-CN"/>
              </w:rPr>
              <w:t>4</w:t>
            </w:r>
          </w:p>
        </w:tc>
        <w:tc>
          <w:tcPr>
            <w:tcW w:w="5528" w:type="dxa"/>
            <w:vAlign w:val="center"/>
          </w:tcPr>
          <w:p w14:paraId="714FEF1F">
            <w:pPr>
              <w:keepNext w:val="0"/>
              <w:keepLines w:val="0"/>
              <w:widowControl/>
              <w:suppressLineNumbers w:val="0"/>
              <w:spacing w:before="0" w:beforeAutospacing="0" w:after="0" w:afterAutospacing="0"/>
              <w:ind w:left="0" w:right="0"/>
              <w:jc w:val="center"/>
              <w:textAlignment w:val="center"/>
              <w:rPr>
                <w:rFonts w:hint="eastAsia" w:cs="宋体" w:asciiTheme="minorEastAsia" w:hAnsiTheme="minorEastAsia" w:eastAsiaTheme="minorEastAsia"/>
                <w:bCs/>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夜景亮化</w:t>
            </w:r>
          </w:p>
        </w:tc>
        <w:tc>
          <w:tcPr>
            <w:tcW w:w="2794" w:type="dxa"/>
            <w:vAlign w:val="center"/>
          </w:tcPr>
          <w:p w14:paraId="7C88357C">
            <w:pPr>
              <w:keepNext w:val="0"/>
              <w:keepLines w:val="0"/>
              <w:widowControl/>
              <w:suppressLineNumbers w:val="0"/>
              <w:spacing w:before="0" w:beforeAutospacing="0" w:after="0" w:afterAutospacing="0"/>
              <w:ind w:left="0" w:right="0"/>
              <w:jc w:val="center"/>
              <w:textAlignment w:val="center"/>
              <w:rPr>
                <w:rFonts w:hint="default" w:cs="宋体" w:asciiTheme="minorEastAsia" w:hAnsiTheme="minorEastAsia" w:eastAsiaTheme="minorEastAsia"/>
                <w:bCs/>
                <w:color w:val="auto"/>
                <w:sz w:val="21"/>
                <w:szCs w:val="21"/>
                <w:highlight w:val="none"/>
                <w:lang w:val="en-US" w:eastAsia="zh-CN"/>
              </w:rPr>
            </w:pPr>
            <w:r>
              <w:rPr>
                <w:rFonts w:hint="eastAsia" w:ascii="宋体" w:hAnsi="宋体" w:eastAsia="宋体" w:cs="宋体"/>
                <w:i w:val="0"/>
                <w:iCs w:val="0"/>
                <w:color w:val="auto"/>
                <w:kern w:val="0"/>
                <w:sz w:val="24"/>
                <w:szCs w:val="24"/>
                <w:u w:val="none"/>
                <w:lang w:val="en-US" w:eastAsia="zh-CN" w:bidi="ar"/>
              </w:rPr>
              <w:t>5</w:t>
            </w:r>
            <w:r>
              <w:rPr>
                <w:rFonts w:hint="eastAsia" w:ascii="宋体" w:hAnsi="宋体" w:cs="宋体"/>
                <w:i w:val="0"/>
                <w:iCs w:val="0"/>
                <w:color w:val="auto"/>
                <w:kern w:val="0"/>
                <w:sz w:val="24"/>
                <w:szCs w:val="24"/>
                <w:u w:val="none"/>
                <w:lang w:val="en-US" w:eastAsia="zh-CN" w:bidi="ar"/>
              </w:rPr>
              <w:t>8.39</w:t>
            </w:r>
          </w:p>
        </w:tc>
      </w:tr>
      <w:tr w14:paraId="4EB09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41" w:type="dxa"/>
            <w:vAlign w:val="center"/>
          </w:tcPr>
          <w:p w14:paraId="0480D779">
            <w:pPr>
              <w:keepNext w:val="0"/>
              <w:keepLines w:val="0"/>
              <w:suppressLineNumbers w:val="0"/>
              <w:adjustRightInd w:val="0"/>
              <w:snapToGrid w:val="0"/>
              <w:spacing w:before="0" w:beforeAutospacing="0" w:after="0" w:afterAutospacing="0" w:line="360" w:lineRule="auto"/>
              <w:ind w:left="0" w:right="0"/>
              <w:jc w:val="center"/>
              <w:outlineLvl w:val="9"/>
              <w:rPr>
                <w:rFonts w:hint="default" w:cs="宋体" w:asciiTheme="minorEastAsia" w:hAnsiTheme="minorEastAsia" w:eastAsiaTheme="minorEastAsia"/>
                <w:bCs/>
                <w:color w:val="auto"/>
                <w:sz w:val="21"/>
                <w:szCs w:val="21"/>
                <w:highlight w:val="none"/>
                <w:lang w:val="en-US" w:eastAsia="zh-CN"/>
              </w:rPr>
            </w:pPr>
            <w:r>
              <w:rPr>
                <w:rFonts w:hint="eastAsia" w:cs="宋体" w:asciiTheme="minorEastAsia" w:hAnsiTheme="minorEastAsia" w:eastAsiaTheme="minorEastAsia"/>
                <w:bCs/>
                <w:color w:val="auto"/>
                <w:sz w:val="21"/>
                <w:szCs w:val="21"/>
                <w:highlight w:val="none"/>
                <w:lang w:val="en-US" w:eastAsia="zh-CN"/>
              </w:rPr>
              <w:t>5</w:t>
            </w:r>
          </w:p>
        </w:tc>
        <w:tc>
          <w:tcPr>
            <w:tcW w:w="5528" w:type="dxa"/>
            <w:vAlign w:val="center"/>
          </w:tcPr>
          <w:p w14:paraId="440EE0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cs="宋体"/>
                <w:i w:val="0"/>
                <w:iCs w:val="0"/>
                <w:color w:val="000000"/>
                <w:kern w:val="0"/>
                <w:sz w:val="21"/>
                <w:szCs w:val="21"/>
                <w:u w:val="none"/>
                <w:lang w:val="en-US" w:eastAsia="zh-CN" w:bidi="ar"/>
              </w:rPr>
              <w:t>配电工程</w:t>
            </w:r>
          </w:p>
        </w:tc>
        <w:tc>
          <w:tcPr>
            <w:tcW w:w="2794" w:type="dxa"/>
            <w:vAlign w:val="center"/>
          </w:tcPr>
          <w:p w14:paraId="3CC95B20">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2837.66</w:t>
            </w:r>
          </w:p>
        </w:tc>
      </w:tr>
    </w:tbl>
    <w:p w14:paraId="710703DC">
      <w:pPr>
        <w:adjustRightInd w:val="0"/>
        <w:snapToGrid w:val="0"/>
        <w:spacing w:line="360" w:lineRule="auto"/>
        <w:jc w:val="center"/>
        <w:outlineLvl w:val="9"/>
        <w:rPr>
          <w:rFonts w:hint="eastAsia" w:cs="宋体" w:asciiTheme="minorEastAsia" w:hAnsiTheme="minorEastAsia" w:eastAsiaTheme="minorEastAsia"/>
          <w:color w:val="auto"/>
          <w:sz w:val="21"/>
          <w:szCs w:val="21"/>
          <w:highlight w:val="none"/>
        </w:rPr>
      </w:pPr>
    </w:p>
    <w:p w14:paraId="60E76E89">
      <w:pPr>
        <w:numPr>
          <w:ilvl w:val="0"/>
          <w:numId w:val="0"/>
        </w:numPr>
        <w:adjustRightInd w:val="0"/>
        <w:snapToGrid w:val="0"/>
        <w:spacing w:line="360" w:lineRule="auto"/>
        <w:jc w:val="center"/>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b/>
          <w:bCs/>
          <w:color w:val="auto"/>
          <w:kern w:val="0"/>
          <w:sz w:val="30"/>
          <w:szCs w:val="30"/>
          <w:highlight w:val="none"/>
        </w:rPr>
        <w:t>暂估价工程一览表</w:t>
      </w:r>
    </w:p>
    <w:p w14:paraId="533585FD">
      <w:pPr>
        <w:numPr>
          <w:ilvl w:val="0"/>
          <w:numId w:val="0"/>
        </w:numPr>
        <w:adjustRightInd w:val="0"/>
        <w:snapToGrid w:val="0"/>
        <w:spacing w:line="360" w:lineRule="auto"/>
        <w:outlineLvl w:val="9"/>
        <w:rPr>
          <w:rFonts w:hint="eastAsia" w:cs="宋体" w:asciiTheme="minorEastAsia" w:hAnsiTheme="minorEastAsia" w:eastAsiaTheme="minorEastAsia"/>
          <w:color w:val="auto"/>
          <w:sz w:val="21"/>
          <w:szCs w:val="21"/>
          <w:highlight w:val="none"/>
        </w:rPr>
      </w:pPr>
    </w:p>
    <w:p w14:paraId="1CD5A022">
      <w:pPr>
        <w:numPr>
          <w:ilvl w:val="0"/>
          <w:numId w:val="14"/>
        </w:numPr>
        <w:adjustRightInd w:val="0"/>
        <w:snapToGrid w:val="0"/>
        <w:spacing w:line="360" w:lineRule="auto"/>
        <w:ind w:firstLine="420" w:firstLineChars="200"/>
        <w:outlineLvl w:val="9"/>
        <w:rPr>
          <w:rFonts w:hint="eastAsia"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kern w:val="0"/>
          <w:sz w:val="21"/>
          <w:szCs w:val="21"/>
          <w:highlight w:val="none"/>
        </w:rPr>
        <w:t>暂估价工程包含但不限于以上内容，当范围发生变化时，按招标文件或合同相关约定执行</w:t>
      </w:r>
      <w:r>
        <w:rPr>
          <w:rFonts w:hint="eastAsia" w:cs="宋体" w:asciiTheme="minorEastAsia" w:hAnsiTheme="minorEastAsia" w:eastAsiaTheme="minorEastAsia"/>
          <w:color w:val="auto"/>
          <w:sz w:val="21"/>
          <w:szCs w:val="21"/>
          <w:highlight w:val="none"/>
        </w:rPr>
        <w:t>。</w:t>
      </w:r>
    </w:p>
    <w:p w14:paraId="08EE8E63">
      <w:pPr>
        <w:pStyle w:val="22"/>
        <w:numPr>
          <w:ilvl w:val="0"/>
          <w:numId w:val="0"/>
        </w:numPr>
        <w:rPr>
          <w:color w:val="auto"/>
          <w:highlight w:val="none"/>
        </w:rPr>
      </w:pPr>
    </w:p>
    <w:p w14:paraId="1972EF6F">
      <w:pPr>
        <w:adjustRightInd w:val="0"/>
        <w:snapToGrid w:val="0"/>
        <w:spacing w:line="360" w:lineRule="auto"/>
        <w:ind w:firstLine="420" w:firstLineChars="2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 w:val="21"/>
          <w:szCs w:val="21"/>
          <w:highlight w:val="none"/>
        </w:rPr>
        <w:t>2、以上暂估价工程的总承包服务费</w:t>
      </w:r>
      <w:r>
        <w:rPr>
          <w:rFonts w:hint="eastAsia" w:cs="宋体" w:asciiTheme="minorEastAsia" w:hAnsiTheme="minorEastAsia" w:eastAsiaTheme="minorEastAsia"/>
          <w:color w:val="auto"/>
          <w:sz w:val="21"/>
          <w:szCs w:val="21"/>
          <w:highlight w:val="none"/>
          <w:lang w:val="en-US" w:eastAsia="zh-CN"/>
        </w:rPr>
        <w:t>及</w:t>
      </w:r>
      <w:r>
        <w:rPr>
          <w:rFonts w:hint="eastAsia" w:asciiTheme="minorEastAsia" w:hAnsiTheme="minorEastAsia" w:eastAsiaTheme="minorEastAsia"/>
          <w:color w:val="auto"/>
          <w:sz w:val="21"/>
          <w:szCs w:val="21"/>
          <w:highlight w:val="none"/>
        </w:rPr>
        <w:t>其规费、税金</w:t>
      </w:r>
      <w:r>
        <w:rPr>
          <w:rFonts w:hint="eastAsia" w:asciiTheme="minorEastAsia" w:hAnsiTheme="minorEastAsia" w:eastAsiaTheme="minorEastAsia"/>
          <w:color w:val="auto"/>
          <w:sz w:val="21"/>
          <w:szCs w:val="21"/>
          <w:highlight w:val="none"/>
          <w:lang w:val="en-US" w:eastAsia="zh-CN"/>
        </w:rPr>
        <w:t>已包含在总包合同中标价中</w:t>
      </w:r>
      <w:r>
        <w:rPr>
          <w:rFonts w:hint="eastAsia" w:asciiTheme="minorEastAsia" w:hAnsiTheme="minorEastAsia" w:eastAsiaTheme="minorEastAsia"/>
          <w:color w:val="auto"/>
          <w:sz w:val="21"/>
          <w:szCs w:val="21"/>
          <w:highlight w:val="none"/>
        </w:rPr>
        <w:t>。</w:t>
      </w:r>
    </w:p>
    <w:p w14:paraId="26E570DE">
      <w:pPr>
        <w:tabs>
          <w:tab w:val="left" w:pos="1752"/>
          <w:tab w:val="left" w:pos="2355"/>
        </w:tabs>
        <w:adjustRightInd w:val="0"/>
        <w:snapToGrid w:val="0"/>
        <w:spacing w:line="360" w:lineRule="auto"/>
        <w:jc w:val="center"/>
        <w:outlineLvl w:val="9"/>
        <w:rPr>
          <w:rFonts w:cs="宋体" w:asciiTheme="minorEastAsia" w:hAnsiTheme="minorEastAsia" w:eastAsiaTheme="minorEastAsia"/>
          <w:b/>
          <w:bCs/>
          <w:color w:val="auto"/>
          <w:kern w:val="0"/>
          <w:sz w:val="32"/>
          <w:szCs w:val="32"/>
          <w:highlight w:val="none"/>
        </w:rPr>
        <w:sectPr>
          <w:pgSz w:w="11906" w:h="16838"/>
          <w:pgMar w:top="851" w:right="1361" w:bottom="851" w:left="1361" w:header="567" w:footer="567" w:gutter="0"/>
          <w:pgBorders>
            <w:top w:val="none" w:sz="0" w:space="0"/>
            <w:left w:val="none" w:sz="0" w:space="0"/>
            <w:bottom w:val="none" w:sz="0" w:space="0"/>
            <w:right w:val="none" w:sz="0" w:space="0"/>
          </w:pgBorders>
          <w:cols w:space="720" w:num="1"/>
          <w:titlePg/>
          <w:docGrid w:linePitch="312" w:charSpace="0"/>
        </w:sectPr>
      </w:pPr>
    </w:p>
    <w:p w14:paraId="712C850B">
      <w:pPr>
        <w:tabs>
          <w:tab w:val="left" w:pos="1752"/>
          <w:tab w:val="left" w:pos="2355"/>
        </w:tabs>
        <w:adjustRightInd w:val="0"/>
        <w:snapToGrid w:val="0"/>
        <w:spacing w:line="360" w:lineRule="auto"/>
        <w:jc w:val="center"/>
        <w:outlineLvl w:val="9"/>
        <w:rPr>
          <w:rFonts w:asciiTheme="minorEastAsia" w:hAnsiTheme="minorEastAsia" w:eastAsiaTheme="minorEastAsia"/>
          <w:color w:val="auto"/>
          <w:highlight w:val="none"/>
        </w:rPr>
      </w:pPr>
      <w:r>
        <w:rPr>
          <w:rFonts w:hint="eastAsia" w:cs="宋体" w:asciiTheme="minorEastAsia" w:hAnsiTheme="minorEastAsia" w:eastAsiaTheme="minorEastAsia"/>
          <w:b/>
          <w:bCs/>
          <w:color w:val="auto"/>
          <w:kern w:val="0"/>
          <w:sz w:val="32"/>
          <w:szCs w:val="32"/>
          <w:highlight w:val="none"/>
        </w:rPr>
        <w:t>暂定价材料设备一览表及明细表</w:t>
      </w:r>
    </w:p>
    <w:p w14:paraId="7AAA938F">
      <w:pPr>
        <w:tabs>
          <w:tab w:val="left" w:pos="1752"/>
          <w:tab w:val="left" w:pos="2355"/>
        </w:tabs>
        <w:adjustRightInd w:val="0"/>
        <w:snapToGrid w:val="0"/>
        <w:spacing w:line="360" w:lineRule="auto"/>
        <w:ind w:firstLine="643"/>
        <w:jc w:val="center"/>
        <w:outlineLvl w:val="9"/>
        <w:rPr>
          <w:rFonts w:asciiTheme="minorEastAsia" w:hAnsiTheme="minorEastAsia" w:eastAsiaTheme="minorEastAsia"/>
          <w:color w:val="auto"/>
          <w:highlight w:val="none"/>
        </w:rPr>
      </w:pPr>
      <w:r>
        <w:rPr>
          <w:rFonts w:hint="eastAsia" w:cs="宋体" w:asciiTheme="minorEastAsia" w:hAnsiTheme="minorEastAsia" w:eastAsiaTheme="minorEastAsia"/>
          <w:b/>
          <w:bCs/>
          <w:color w:val="auto"/>
          <w:kern w:val="0"/>
          <w:sz w:val="32"/>
          <w:szCs w:val="32"/>
          <w:highlight w:val="none"/>
        </w:rPr>
        <w:t>暂定价材料设备一览表</w:t>
      </w:r>
    </w:p>
    <w:tbl>
      <w:tblPr>
        <w:tblStyle w:val="56"/>
        <w:tblW w:w="91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3"/>
        <w:gridCol w:w="5386"/>
        <w:gridCol w:w="2794"/>
      </w:tblGrid>
      <w:tr w14:paraId="468D9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983" w:type="dxa"/>
            <w:vAlign w:val="center"/>
          </w:tcPr>
          <w:p w14:paraId="01DF10D6">
            <w:pPr>
              <w:keepNext w:val="0"/>
              <w:keepLines w:val="0"/>
              <w:suppressLineNumbers w:val="0"/>
              <w:adjustRightInd w:val="0"/>
              <w:snapToGrid w:val="0"/>
              <w:spacing w:before="0" w:beforeAutospacing="0" w:after="0" w:afterAutospacing="0" w:line="360" w:lineRule="auto"/>
              <w:ind w:left="0" w:right="0"/>
              <w:jc w:val="both"/>
              <w:outlineLvl w:val="9"/>
              <w:rPr>
                <w:rFonts w:cs="宋体" w:asciiTheme="minorEastAsia" w:hAnsiTheme="minorEastAsia" w:eastAsiaTheme="minorEastAsia"/>
                <w:b/>
                <w:color w:val="auto"/>
                <w:sz w:val="24"/>
                <w:highlight w:val="none"/>
              </w:rPr>
            </w:pPr>
            <w:r>
              <w:rPr>
                <w:rFonts w:hint="eastAsia" w:cs="宋体" w:asciiTheme="minorEastAsia" w:hAnsiTheme="minorEastAsia" w:eastAsiaTheme="minorEastAsia"/>
                <w:b/>
                <w:color w:val="auto"/>
                <w:sz w:val="24"/>
                <w:highlight w:val="none"/>
              </w:rPr>
              <w:t>序号</w:t>
            </w:r>
          </w:p>
        </w:tc>
        <w:tc>
          <w:tcPr>
            <w:tcW w:w="5386" w:type="dxa"/>
            <w:vAlign w:val="center"/>
          </w:tcPr>
          <w:p w14:paraId="556DB60B">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color w:val="auto"/>
                <w:sz w:val="24"/>
                <w:highlight w:val="none"/>
              </w:rPr>
            </w:pPr>
            <w:r>
              <w:rPr>
                <w:rFonts w:hint="eastAsia" w:cs="宋体" w:asciiTheme="minorEastAsia" w:hAnsiTheme="minorEastAsia" w:eastAsiaTheme="minorEastAsia"/>
                <w:b/>
                <w:color w:val="auto"/>
                <w:sz w:val="24"/>
                <w:highlight w:val="none"/>
              </w:rPr>
              <w:t>暂定价材料设备名称</w:t>
            </w:r>
          </w:p>
        </w:tc>
        <w:tc>
          <w:tcPr>
            <w:tcW w:w="2794" w:type="dxa"/>
            <w:vAlign w:val="center"/>
          </w:tcPr>
          <w:p w14:paraId="551402B1">
            <w:pPr>
              <w:keepNext w:val="0"/>
              <w:keepLines w:val="0"/>
              <w:suppressLineNumbers w:val="0"/>
              <w:adjustRightInd w:val="0"/>
              <w:snapToGrid w:val="0"/>
              <w:spacing w:before="0" w:beforeAutospacing="0" w:after="0" w:afterAutospacing="0" w:line="360" w:lineRule="auto"/>
              <w:ind w:left="0" w:right="0" w:firstLine="482"/>
              <w:jc w:val="center"/>
              <w:outlineLvl w:val="9"/>
              <w:rPr>
                <w:rFonts w:cs="宋体" w:asciiTheme="minorEastAsia" w:hAnsiTheme="minorEastAsia" w:eastAsiaTheme="minorEastAsia"/>
                <w:b/>
                <w:color w:val="auto"/>
                <w:sz w:val="24"/>
                <w:highlight w:val="none"/>
              </w:rPr>
            </w:pPr>
            <w:r>
              <w:rPr>
                <w:rFonts w:hint="eastAsia" w:cs="宋体" w:asciiTheme="minorEastAsia" w:hAnsiTheme="minorEastAsia" w:eastAsiaTheme="minorEastAsia"/>
                <w:b/>
                <w:color w:val="auto"/>
                <w:sz w:val="24"/>
                <w:highlight w:val="none"/>
              </w:rPr>
              <w:t>暂</w:t>
            </w:r>
            <w:r>
              <w:rPr>
                <w:rFonts w:hint="eastAsia" w:cs="宋体" w:asciiTheme="minorEastAsia" w:hAnsiTheme="minorEastAsia" w:eastAsiaTheme="minorEastAsia"/>
                <w:b/>
                <w:color w:val="auto"/>
                <w:sz w:val="24"/>
                <w:highlight w:val="none"/>
                <w:lang w:val="en-US" w:eastAsia="zh-CN"/>
              </w:rPr>
              <w:t>定</w:t>
            </w:r>
            <w:r>
              <w:rPr>
                <w:rFonts w:hint="eastAsia" w:cs="宋体" w:asciiTheme="minorEastAsia" w:hAnsiTheme="minorEastAsia" w:eastAsiaTheme="minorEastAsia"/>
                <w:b/>
                <w:color w:val="auto"/>
                <w:sz w:val="24"/>
                <w:highlight w:val="none"/>
              </w:rPr>
              <w:t>金额（万元）</w:t>
            </w:r>
          </w:p>
        </w:tc>
      </w:tr>
      <w:tr w14:paraId="3DF57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bottom"/>
          </w:tcPr>
          <w:p w14:paraId="11A9990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sz w:val="24"/>
                <w:highlight w:val="none"/>
              </w:rPr>
              <w:t>一</w:t>
            </w:r>
          </w:p>
        </w:tc>
        <w:tc>
          <w:tcPr>
            <w:tcW w:w="8180" w:type="dxa"/>
            <w:gridSpan w:val="2"/>
            <w:vAlign w:val="bottom"/>
          </w:tcPr>
          <w:p w14:paraId="62A305B1">
            <w:pPr>
              <w:keepNext w:val="0"/>
              <w:keepLines w:val="0"/>
              <w:suppressLineNumbers w:val="0"/>
              <w:adjustRightInd w:val="0"/>
              <w:snapToGrid w:val="0"/>
              <w:spacing w:before="0" w:beforeAutospacing="0" w:after="0" w:afterAutospacing="0" w:line="360" w:lineRule="auto"/>
              <w:ind w:left="0" w:right="0" w:firstLine="482"/>
              <w:jc w:val="left"/>
              <w:outlineLvl w:val="9"/>
              <w:rPr>
                <w:rFonts w:cs="宋体" w:asciiTheme="minorEastAsia" w:hAnsiTheme="minorEastAsia" w:eastAsiaTheme="minorEastAsia"/>
                <w:b/>
                <w:color w:val="auto"/>
                <w:sz w:val="24"/>
                <w:highlight w:val="none"/>
              </w:rPr>
            </w:pPr>
            <w:r>
              <w:rPr>
                <w:rFonts w:hint="eastAsia" w:cs="宋体" w:asciiTheme="minorEastAsia" w:hAnsiTheme="minorEastAsia" w:eastAsiaTheme="minorEastAsia"/>
                <w:b/>
                <w:color w:val="auto"/>
                <w:sz w:val="24"/>
                <w:highlight w:val="none"/>
              </w:rPr>
              <w:t>土建类</w:t>
            </w:r>
          </w:p>
        </w:tc>
      </w:tr>
      <w:tr w14:paraId="7C723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5407715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4"/>
                <w:highlight w:val="none"/>
              </w:rPr>
            </w:pPr>
          </w:p>
        </w:tc>
        <w:tc>
          <w:tcPr>
            <w:tcW w:w="5386" w:type="dxa"/>
            <w:vAlign w:val="center"/>
          </w:tcPr>
          <w:p w14:paraId="27C9BC72">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2794" w:type="dxa"/>
            <w:vAlign w:val="center"/>
          </w:tcPr>
          <w:p w14:paraId="02D0D6DC">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0E415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0" w:hRule="atLeast"/>
          <w:jc w:val="center"/>
        </w:trPr>
        <w:tc>
          <w:tcPr>
            <w:tcW w:w="983" w:type="dxa"/>
            <w:vAlign w:val="center"/>
          </w:tcPr>
          <w:p w14:paraId="26BEE55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4"/>
                <w:highlight w:val="none"/>
              </w:rPr>
            </w:pPr>
          </w:p>
        </w:tc>
        <w:tc>
          <w:tcPr>
            <w:tcW w:w="5386" w:type="dxa"/>
            <w:vAlign w:val="center"/>
          </w:tcPr>
          <w:p w14:paraId="0B98543B">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2794" w:type="dxa"/>
            <w:vAlign w:val="center"/>
          </w:tcPr>
          <w:p w14:paraId="5561687A">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383E8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628CD4B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4"/>
                <w:highlight w:val="none"/>
              </w:rPr>
            </w:pPr>
          </w:p>
        </w:tc>
        <w:tc>
          <w:tcPr>
            <w:tcW w:w="5386" w:type="dxa"/>
            <w:vAlign w:val="center"/>
          </w:tcPr>
          <w:p w14:paraId="02DDB092">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2794" w:type="dxa"/>
            <w:vAlign w:val="center"/>
          </w:tcPr>
          <w:p w14:paraId="31720CFD">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727D2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20E2CE42">
            <w:pPr>
              <w:keepNext w:val="0"/>
              <w:keepLines w:val="0"/>
              <w:suppressLineNumbers w:val="0"/>
              <w:adjustRightInd w:val="0"/>
              <w:snapToGrid w:val="0"/>
              <w:spacing w:before="0" w:beforeAutospacing="0" w:after="0" w:afterAutospacing="0" w:line="360" w:lineRule="auto"/>
              <w:ind w:left="0" w:right="0"/>
              <w:jc w:val="center"/>
              <w:outlineLvl w:val="9"/>
              <w:rPr>
                <w:rFonts w:hint="eastAsia" w:cs="宋体" w:asciiTheme="minorEastAsia" w:hAnsiTheme="minorEastAsia" w:eastAsiaTheme="minorEastAsia"/>
                <w:color w:val="auto"/>
                <w:sz w:val="24"/>
                <w:highlight w:val="none"/>
              </w:rPr>
            </w:pPr>
          </w:p>
        </w:tc>
        <w:tc>
          <w:tcPr>
            <w:tcW w:w="5386" w:type="dxa"/>
            <w:vAlign w:val="center"/>
          </w:tcPr>
          <w:p w14:paraId="7F795EA0">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2794" w:type="dxa"/>
            <w:vAlign w:val="center"/>
          </w:tcPr>
          <w:p w14:paraId="31CBF328">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0C0F3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67AE9D84">
            <w:pPr>
              <w:keepNext w:val="0"/>
              <w:keepLines w:val="0"/>
              <w:suppressLineNumbers w:val="0"/>
              <w:adjustRightInd w:val="0"/>
              <w:snapToGrid w:val="0"/>
              <w:spacing w:before="0" w:beforeAutospacing="0" w:after="0" w:afterAutospacing="0" w:line="360" w:lineRule="auto"/>
              <w:ind w:left="0" w:right="0"/>
              <w:jc w:val="center"/>
              <w:outlineLvl w:val="9"/>
              <w:rPr>
                <w:rFonts w:hint="eastAsia" w:cs="宋体" w:asciiTheme="minorEastAsia" w:hAnsiTheme="minorEastAsia" w:eastAsiaTheme="minorEastAsia"/>
                <w:color w:val="auto"/>
                <w:sz w:val="24"/>
                <w:highlight w:val="none"/>
              </w:rPr>
            </w:pPr>
          </w:p>
        </w:tc>
        <w:tc>
          <w:tcPr>
            <w:tcW w:w="5386" w:type="dxa"/>
            <w:vAlign w:val="center"/>
          </w:tcPr>
          <w:p w14:paraId="606FB9B4">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2794" w:type="dxa"/>
            <w:vAlign w:val="center"/>
          </w:tcPr>
          <w:p w14:paraId="799B0160">
            <w:pPr>
              <w:keepNext w:val="0"/>
              <w:keepLines w:val="0"/>
              <w:suppressLineNumbers w:val="0"/>
              <w:spacing w:before="0" w:beforeAutospacing="0" w:after="0" w:afterAutospacing="0"/>
              <w:ind w:left="0" w:right="0" w:firstLine="440"/>
              <w:jc w:val="center"/>
              <w:outlineLvl w:val="9"/>
              <w:rPr>
                <w:rFonts w:asciiTheme="minorEastAsia" w:hAnsiTheme="minorEastAsia" w:eastAsiaTheme="minorEastAsia"/>
                <w:color w:val="auto"/>
                <w:sz w:val="22"/>
                <w:szCs w:val="22"/>
                <w:highlight w:val="none"/>
              </w:rPr>
            </w:pPr>
          </w:p>
        </w:tc>
      </w:tr>
      <w:tr w14:paraId="1C797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0" w:hRule="atLeast"/>
          <w:jc w:val="center"/>
        </w:trPr>
        <w:tc>
          <w:tcPr>
            <w:tcW w:w="983" w:type="dxa"/>
            <w:vAlign w:val="center"/>
          </w:tcPr>
          <w:p w14:paraId="36C11AF3">
            <w:pPr>
              <w:keepNext w:val="0"/>
              <w:keepLines w:val="0"/>
              <w:suppressLineNumbers w:val="0"/>
              <w:adjustRightInd w:val="0"/>
              <w:snapToGrid w:val="0"/>
              <w:spacing w:before="0" w:beforeAutospacing="0" w:after="0" w:afterAutospacing="0" w:line="360" w:lineRule="auto"/>
              <w:ind w:left="0" w:right="0"/>
              <w:jc w:val="center"/>
              <w:outlineLvl w:val="9"/>
              <w:rPr>
                <w:rFonts w:hint="eastAsia" w:cs="宋体" w:asciiTheme="minorEastAsia" w:hAnsiTheme="minorEastAsia" w:eastAsiaTheme="minorEastAsia"/>
                <w:color w:val="auto"/>
                <w:sz w:val="24"/>
                <w:highlight w:val="none"/>
              </w:rPr>
            </w:pPr>
          </w:p>
        </w:tc>
        <w:tc>
          <w:tcPr>
            <w:tcW w:w="5386" w:type="dxa"/>
            <w:vAlign w:val="center"/>
          </w:tcPr>
          <w:p w14:paraId="735EBDAF">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color w:val="auto"/>
                <w:kern w:val="0"/>
                <w:sz w:val="24"/>
                <w:highlight w:val="none"/>
              </w:rPr>
            </w:pPr>
          </w:p>
        </w:tc>
        <w:tc>
          <w:tcPr>
            <w:tcW w:w="2794" w:type="dxa"/>
            <w:vAlign w:val="center"/>
          </w:tcPr>
          <w:p w14:paraId="03DD8893">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53232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4BEF5C49">
            <w:pPr>
              <w:pStyle w:val="109"/>
              <w:keepNext w:val="0"/>
              <w:keepLines w:val="0"/>
              <w:suppressLineNumbers w:val="0"/>
              <w:adjustRightInd w:val="0"/>
              <w:snapToGrid w:val="0"/>
              <w:spacing w:before="0" w:beforeAutospacing="0" w:after="0" w:afterAutospacing="0"/>
              <w:ind w:left="0" w:right="0"/>
              <w:jc w:val="center"/>
              <w:outlineLvl w:val="9"/>
              <w:rPr>
                <w:rFonts w:hint="eastAsia" w:cs="宋体" w:asciiTheme="minorEastAsia" w:hAnsiTheme="minorEastAsia" w:eastAsiaTheme="minorEastAsia"/>
                <w:b w:val="0"/>
                <w:color w:val="auto"/>
                <w:kern w:val="2"/>
                <w:sz w:val="24"/>
                <w:szCs w:val="24"/>
                <w:highlight w:val="none"/>
                <w:lang w:val="en-US" w:eastAsia="zh-CN" w:bidi="ar-SA"/>
              </w:rPr>
            </w:pPr>
          </w:p>
        </w:tc>
        <w:tc>
          <w:tcPr>
            <w:tcW w:w="5386" w:type="dxa"/>
            <w:vAlign w:val="center"/>
          </w:tcPr>
          <w:p w14:paraId="24C7D0C2">
            <w:pPr>
              <w:keepNext w:val="0"/>
              <w:keepLines w:val="0"/>
              <w:widowControl/>
              <w:suppressLineNumbers w:val="0"/>
              <w:spacing w:before="0" w:beforeAutospacing="0" w:after="0" w:afterAutospacing="0"/>
              <w:ind w:left="0" w:right="0"/>
              <w:jc w:val="center"/>
              <w:outlineLvl w:val="9"/>
              <w:rPr>
                <w:rFonts w:hint="eastAsia" w:cs="宋体" w:asciiTheme="minorEastAsia" w:hAnsiTheme="minorEastAsia" w:eastAsiaTheme="minorEastAsia"/>
                <w:color w:val="auto"/>
                <w:kern w:val="0"/>
                <w:sz w:val="24"/>
                <w:highlight w:val="none"/>
              </w:rPr>
            </w:pPr>
          </w:p>
        </w:tc>
        <w:tc>
          <w:tcPr>
            <w:tcW w:w="2794" w:type="dxa"/>
            <w:vAlign w:val="center"/>
          </w:tcPr>
          <w:p w14:paraId="73D30ED6">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4D7F6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67CAC3C2">
            <w:pPr>
              <w:pStyle w:val="109"/>
              <w:keepNext w:val="0"/>
              <w:keepLines w:val="0"/>
              <w:suppressLineNumbers w:val="0"/>
              <w:adjustRightInd w:val="0"/>
              <w:snapToGrid w:val="0"/>
              <w:spacing w:before="0" w:beforeAutospacing="0" w:after="0" w:afterAutospacing="0"/>
              <w:ind w:left="0" w:right="0"/>
              <w:jc w:val="center"/>
              <w:outlineLvl w:val="9"/>
              <w:rPr>
                <w:rFonts w:hint="eastAsia" w:cs="宋体" w:asciiTheme="minorEastAsia" w:hAnsiTheme="minorEastAsia" w:eastAsiaTheme="minorEastAsia"/>
                <w:b w:val="0"/>
                <w:color w:val="auto"/>
                <w:kern w:val="2"/>
                <w:sz w:val="24"/>
                <w:szCs w:val="24"/>
                <w:highlight w:val="none"/>
                <w:lang w:val="en-US" w:eastAsia="zh-CN" w:bidi="ar-SA"/>
              </w:rPr>
            </w:pPr>
          </w:p>
        </w:tc>
        <w:tc>
          <w:tcPr>
            <w:tcW w:w="5386" w:type="dxa"/>
            <w:vAlign w:val="center"/>
          </w:tcPr>
          <w:p w14:paraId="3860979B">
            <w:pPr>
              <w:keepNext w:val="0"/>
              <w:keepLines w:val="0"/>
              <w:widowControl/>
              <w:suppressLineNumbers w:val="0"/>
              <w:spacing w:before="0" w:beforeAutospacing="0" w:after="0" w:afterAutospacing="0"/>
              <w:ind w:left="0" w:right="0"/>
              <w:jc w:val="center"/>
              <w:outlineLvl w:val="9"/>
              <w:rPr>
                <w:rFonts w:hint="eastAsia" w:cs="宋体" w:asciiTheme="minorEastAsia" w:hAnsiTheme="minorEastAsia" w:eastAsiaTheme="minorEastAsia"/>
                <w:color w:val="auto"/>
                <w:kern w:val="0"/>
                <w:sz w:val="24"/>
                <w:highlight w:val="none"/>
              </w:rPr>
            </w:pPr>
          </w:p>
        </w:tc>
        <w:tc>
          <w:tcPr>
            <w:tcW w:w="2794" w:type="dxa"/>
            <w:vAlign w:val="center"/>
          </w:tcPr>
          <w:p w14:paraId="3D79C945">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4C1DC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560AD254">
            <w:pPr>
              <w:pStyle w:val="109"/>
              <w:keepNext w:val="0"/>
              <w:keepLines w:val="0"/>
              <w:suppressLineNumbers w:val="0"/>
              <w:adjustRightInd w:val="0"/>
              <w:snapToGrid w:val="0"/>
              <w:spacing w:before="0" w:beforeAutospacing="0" w:after="0" w:afterAutospacing="0"/>
              <w:ind w:left="0" w:right="0"/>
              <w:jc w:val="center"/>
              <w:outlineLvl w:val="9"/>
              <w:rPr>
                <w:rFonts w:hint="eastAsia" w:cs="宋体" w:asciiTheme="minorEastAsia" w:hAnsiTheme="minorEastAsia" w:eastAsiaTheme="minorEastAsia"/>
                <w:b w:val="0"/>
                <w:color w:val="auto"/>
                <w:kern w:val="2"/>
                <w:sz w:val="24"/>
                <w:szCs w:val="24"/>
                <w:highlight w:val="none"/>
                <w:lang w:val="en-US" w:eastAsia="zh-CN" w:bidi="ar-SA"/>
              </w:rPr>
            </w:pPr>
          </w:p>
        </w:tc>
        <w:tc>
          <w:tcPr>
            <w:tcW w:w="5386" w:type="dxa"/>
            <w:vAlign w:val="center"/>
          </w:tcPr>
          <w:p w14:paraId="7474C4EF">
            <w:pPr>
              <w:keepNext w:val="0"/>
              <w:keepLines w:val="0"/>
              <w:widowControl/>
              <w:suppressLineNumbers w:val="0"/>
              <w:spacing w:before="0" w:beforeAutospacing="0" w:after="0" w:afterAutospacing="0"/>
              <w:ind w:left="0" w:right="0"/>
              <w:jc w:val="center"/>
              <w:outlineLvl w:val="9"/>
              <w:rPr>
                <w:rFonts w:hint="eastAsia" w:cs="宋体" w:asciiTheme="minorEastAsia" w:hAnsiTheme="minorEastAsia" w:eastAsiaTheme="minorEastAsia"/>
                <w:color w:val="auto"/>
                <w:kern w:val="0"/>
                <w:sz w:val="24"/>
                <w:highlight w:val="none"/>
              </w:rPr>
            </w:pPr>
          </w:p>
        </w:tc>
        <w:tc>
          <w:tcPr>
            <w:tcW w:w="2794" w:type="dxa"/>
            <w:vAlign w:val="center"/>
          </w:tcPr>
          <w:p w14:paraId="7246612B">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3BBB0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276AD02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sz w:val="24"/>
                <w:highlight w:val="none"/>
              </w:rPr>
              <w:t>二</w:t>
            </w:r>
          </w:p>
        </w:tc>
        <w:tc>
          <w:tcPr>
            <w:tcW w:w="8180" w:type="dxa"/>
            <w:gridSpan w:val="2"/>
            <w:vAlign w:val="center"/>
          </w:tcPr>
          <w:p w14:paraId="1ACE6828">
            <w:pPr>
              <w:keepNext w:val="0"/>
              <w:keepLines w:val="0"/>
              <w:suppressLineNumbers w:val="0"/>
              <w:adjustRightInd w:val="0"/>
              <w:snapToGrid w:val="0"/>
              <w:spacing w:before="0" w:beforeAutospacing="0" w:after="0" w:afterAutospacing="0" w:line="360" w:lineRule="auto"/>
              <w:ind w:left="0" w:right="0" w:firstLine="482"/>
              <w:jc w:val="left"/>
              <w:outlineLvl w:val="9"/>
              <w:rPr>
                <w:rFonts w:cs="宋体" w:asciiTheme="minorEastAsia" w:hAnsiTheme="minorEastAsia" w:eastAsiaTheme="minorEastAsia"/>
                <w:b/>
                <w:color w:val="auto"/>
                <w:sz w:val="24"/>
                <w:highlight w:val="none"/>
              </w:rPr>
            </w:pPr>
            <w:r>
              <w:rPr>
                <w:rFonts w:hint="eastAsia" w:ascii="宋体" w:hAnsi="宋体"/>
                <w:b/>
                <w:color w:val="auto"/>
                <w:sz w:val="24"/>
                <w:szCs w:val="24"/>
                <w:highlight w:val="none"/>
              </w:rPr>
              <w:t>安装类</w:t>
            </w:r>
          </w:p>
        </w:tc>
      </w:tr>
      <w:tr w14:paraId="375A2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5BF06F3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Cs/>
                <w:color w:val="auto"/>
                <w:sz w:val="24"/>
                <w:highlight w:val="none"/>
              </w:rPr>
            </w:pPr>
          </w:p>
        </w:tc>
        <w:tc>
          <w:tcPr>
            <w:tcW w:w="5386" w:type="dxa"/>
            <w:vAlign w:val="center"/>
          </w:tcPr>
          <w:p w14:paraId="3D543823">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Cs/>
                <w:color w:val="auto"/>
                <w:sz w:val="24"/>
                <w:highlight w:val="none"/>
              </w:rPr>
            </w:pPr>
          </w:p>
        </w:tc>
        <w:tc>
          <w:tcPr>
            <w:tcW w:w="2794" w:type="dxa"/>
            <w:vAlign w:val="center"/>
          </w:tcPr>
          <w:p w14:paraId="5656DED9">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543F9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443487F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Cs/>
                <w:color w:val="auto"/>
                <w:sz w:val="24"/>
                <w:highlight w:val="none"/>
              </w:rPr>
            </w:pPr>
          </w:p>
        </w:tc>
        <w:tc>
          <w:tcPr>
            <w:tcW w:w="5386" w:type="dxa"/>
            <w:vAlign w:val="center"/>
          </w:tcPr>
          <w:p w14:paraId="3A98AF65">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Cs/>
                <w:color w:val="auto"/>
                <w:sz w:val="24"/>
                <w:highlight w:val="none"/>
              </w:rPr>
            </w:pPr>
          </w:p>
        </w:tc>
        <w:tc>
          <w:tcPr>
            <w:tcW w:w="2794" w:type="dxa"/>
            <w:vAlign w:val="center"/>
          </w:tcPr>
          <w:p w14:paraId="4F3DDE73">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40AC6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4A185ED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Cs/>
                <w:color w:val="auto"/>
                <w:sz w:val="24"/>
                <w:highlight w:val="none"/>
              </w:rPr>
            </w:pPr>
          </w:p>
        </w:tc>
        <w:tc>
          <w:tcPr>
            <w:tcW w:w="5386" w:type="dxa"/>
            <w:vAlign w:val="center"/>
          </w:tcPr>
          <w:p w14:paraId="25CE22A3">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Cs/>
                <w:color w:val="auto"/>
                <w:sz w:val="24"/>
                <w:highlight w:val="none"/>
              </w:rPr>
            </w:pPr>
          </w:p>
        </w:tc>
        <w:tc>
          <w:tcPr>
            <w:tcW w:w="2794" w:type="dxa"/>
            <w:vAlign w:val="center"/>
          </w:tcPr>
          <w:p w14:paraId="32AFE4F4">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73E11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630A95E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Cs/>
                <w:color w:val="auto"/>
                <w:sz w:val="24"/>
                <w:highlight w:val="none"/>
              </w:rPr>
            </w:pPr>
          </w:p>
        </w:tc>
        <w:tc>
          <w:tcPr>
            <w:tcW w:w="5386" w:type="dxa"/>
            <w:vAlign w:val="center"/>
          </w:tcPr>
          <w:p w14:paraId="6B430A4A">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Cs/>
                <w:color w:val="auto"/>
                <w:sz w:val="24"/>
                <w:highlight w:val="none"/>
              </w:rPr>
            </w:pPr>
          </w:p>
        </w:tc>
        <w:tc>
          <w:tcPr>
            <w:tcW w:w="2794" w:type="dxa"/>
            <w:vAlign w:val="center"/>
          </w:tcPr>
          <w:p w14:paraId="2D9B662B">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38B30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2CF2825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Cs/>
                <w:color w:val="auto"/>
                <w:sz w:val="24"/>
                <w:highlight w:val="none"/>
              </w:rPr>
            </w:pPr>
          </w:p>
        </w:tc>
        <w:tc>
          <w:tcPr>
            <w:tcW w:w="5386" w:type="dxa"/>
            <w:vAlign w:val="center"/>
          </w:tcPr>
          <w:p w14:paraId="3E648CD9">
            <w:pPr>
              <w:keepNext w:val="0"/>
              <w:keepLines w:val="0"/>
              <w:widowControl/>
              <w:suppressLineNumbers w:val="0"/>
              <w:spacing w:before="0" w:beforeAutospacing="0" w:after="0" w:afterAutospacing="0"/>
              <w:ind w:left="0" w:right="0"/>
              <w:jc w:val="center"/>
              <w:outlineLvl w:val="9"/>
              <w:rPr>
                <w:rFonts w:cs="宋体" w:asciiTheme="minorEastAsia" w:hAnsiTheme="minorEastAsia" w:eastAsiaTheme="minorEastAsia"/>
                <w:bCs/>
                <w:color w:val="auto"/>
                <w:sz w:val="24"/>
                <w:highlight w:val="none"/>
              </w:rPr>
            </w:pPr>
          </w:p>
        </w:tc>
        <w:tc>
          <w:tcPr>
            <w:tcW w:w="2794" w:type="dxa"/>
            <w:vAlign w:val="center"/>
          </w:tcPr>
          <w:p w14:paraId="26B68FEC">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0D38D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5052F8B8">
            <w:pPr>
              <w:keepNext w:val="0"/>
              <w:keepLines w:val="0"/>
              <w:suppressLineNumbers w:val="0"/>
              <w:adjustRightInd w:val="0"/>
              <w:snapToGrid w:val="0"/>
              <w:spacing w:before="0" w:beforeAutospacing="0" w:after="0" w:afterAutospacing="0" w:line="360" w:lineRule="auto"/>
              <w:ind w:left="0" w:right="0"/>
              <w:jc w:val="center"/>
              <w:outlineLvl w:val="9"/>
              <w:rPr>
                <w:rFonts w:hint="eastAsia" w:cs="宋体" w:asciiTheme="minorEastAsia" w:hAnsiTheme="minorEastAsia" w:eastAsiaTheme="minorEastAsia"/>
                <w:bCs/>
                <w:color w:val="auto"/>
                <w:sz w:val="24"/>
                <w:highlight w:val="none"/>
                <w:lang w:val="en-US" w:eastAsia="zh-CN"/>
              </w:rPr>
            </w:pPr>
          </w:p>
        </w:tc>
        <w:tc>
          <w:tcPr>
            <w:tcW w:w="5386" w:type="dxa"/>
            <w:vAlign w:val="center"/>
          </w:tcPr>
          <w:p w14:paraId="700546D5">
            <w:pPr>
              <w:keepNext w:val="0"/>
              <w:keepLines w:val="0"/>
              <w:widowControl/>
              <w:suppressLineNumbers w:val="0"/>
              <w:spacing w:before="0" w:beforeAutospacing="0" w:after="0" w:afterAutospacing="0"/>
              <w:ind w:left="0" w:right="0"/>
              <w:jc w:val="center"/>
              <w:outlineLvl w:val="9"/>
              <w:rPr>
                <w:rFonts w:hint="eastAsia" w:cs="宋体" w:asciiTheme="minorEastAsia" w:hAnsiTheme="minorEastAsia" w:eastAsiaTheme="minorEastAsia"/>
                <w:bCs/>
                <w:color w:val="auto"/>
                <w:sz w:val="24"/>
                <w:highlight w:val="none"/>
              </w:rPr>
            </w:pPr>
          </w:p>
        </w:tc>
        <w:tc>
          <w:tcPr>
            <w:tcW w:w="2794" w:type="dxa"/>
            <w:vAlign w:val="center"/>
          </w:tcPr>
          <w:p w14:paraId="739A5F6C">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62708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398C9F40">
            <w:pPr>
              <w:keepNext w:val="0"/>
              <w:keepLines w:val="0"/>
              <w:suppressLineNumbers w:val="0"/>
              <w:adjustRightInd w:val="0"/>
              <w:snapToGrid w:val="0"/>
              <w:spacing w:before="0" w:beforeAutospacing="0" w:after="0" w:afterAutospacing="0" w:line="360" w:lineRule="auto"/>
              <w:ind w:left="0" w:right="0"/>
              <w:jc w:val="center"/>
              <w:outlineLvl w:val="9"/>
              <w:rPr>
                <w:rFonts w:hint="eastAsia" w:cs="宋体" w:asciiTheme="minorEastAsia" w:hAnsiTheme="minorEastAsia" w:eastAsiaTheme="minorEastAsia"/>
                <w:bCs/>
                <w:color w:val="auto"/>
                <w:sz w:val="24"/>
                <w:highlight w:val="none"/>
                <w:lang w:val="en-US" w:eastAsia="zh-CN"/>
              </w:rPr>
            </w:pPr>
          </w:p>
        </w:tc>
        <w:tc>
          <w:tcPr>
            <w:tcW w:w="5386" w:type="dxa"/>
            <w:vAlign w:val="center"/>
          </w:tcPr>
          <w:p w14:paraId="3769B111">
            <w:pPr>
              <w:keepNext w:val="0"/>
              <w:keepLines w:val="0"/>
              <w:widowControl/>
              <w:suppressLineNumbers w:val="0"/>
              <w:spacing w:before="0" w:beforeAutospacing="0" w:after="0" w:afterAutospacing="0"/>
              <w:ind w:left="0" w:right="0"/>
              <w:jc w:val="center"/>
              <w:outlineLvl w:val="9"/>
              <w:rPr>
                <w:rFonts w:hint="eastAsia" w:cs="宋体" w:asciiTheme="minorEastAsia" w:hAnsiTheme="minorEastAsia" w:eastAsiaTheme="minorEastAsia"/>
                <w:bCs/>
                <w:color w:val="auto"/>
                <w:sz w:val="24"/>
                <w:highlight w:val="none"/>
              </w:rPr>
            </w:pPr>
          </w:p>
        </w:tc>
        <w:tc>
          <w:tcPr>
            <w:tcW w:w="2794" w:type="dxa"/>
            <w:vAlign w:val="center"/>
          </w:tcPr>
          <w:p w14:paraId="57A2B3F6">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r w14:paraId="173C0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983" w:type="dxa"/>
            <w:vAlign w:val="center"/>
          </w:tcPr>
          <w:p w14:paraId="00301B73">
            <w:pPr>
              <w:keepNext w:val="0"/>
              <w:keepLines w:val="0"/>
              <w:suppressLineNumbers w:val="0"/>
              <w:adjustRightInd w:val="0"/>
              <w:snapToGrid w:val="0"/>
              <w:spacing w:before="0" w:beforeAutospacing="0" w:after="0" w:afterAutospacing="0" w:line="360" w:lineRule="auto"/>
              <w:ind w:left="0" w:right="0"/>
              <w:jc w:val="center"/>
              <w:outlineLvl w:val="9"/>
              <w:rPr>
                <w:rFonts w:hint="eastAsia" w:cs="宋体" w:asciiTheme="minorEastAsia" w:hAnsiTheme="minorEastAsia" w:eastAsiaTheme="minorEastAsia"/>
                <w:bCs/>
                <w:color w:val="auto"/>
                <w:sz w:val="24"/>
                <w:highlight w:val="none"/>
                <w:lang w:val="en-US" w:eastAsia="zh-CN"/>
              </w:rPr>
            </w:pPr>
          </w:p>
        </w:tc>
        <w:tc>
          <w:tcPr>
            <w:tcW w:w="5386" w:type="dxa"/>
            <w:vAlign w:val="center"/>
          </w:tcPr>
          <w:p w14:paraId="703393D6">
            <w:pPr>
              <w:keepNext w:val="0"/>
              <w:keepLines w:val="0"/>
              <w:widowControl/>
              <w:suppressLineNumbers w:val="0"/>
              <w:spacing w:before="0" w:beforeAutospacing="0" w:after="0" w:afterAutospacing="0"/>
              <w:ind w:left="0" w:right="0"/>
              <w:jc w:val="center"/>
              <w:outlineLvl w:val="9"/>
              <w:rPr>
                <w:rFonts w:hint="eastAsia" w:cs="宋体" w:asciiTheme="minorEastAsia" w:hAnsiTheme="minorEastAsia" w:eastAsiaTheme="minorEastAsia"/>
                <w:bCs/>
                <w:color w:val="auto"/>
                <w:sz w:val="24"/>
                <w:highlight w:val="none"/>
              </w:rPr>
            </w:pPr>
          </w:p>
        </w:tc>
        <w:tc>
          <w:tcPr>
            <w:tcW w:w="2794" w:type="dxa"/>
            <w:vAlign w:val="center"/>
          </w:tcPr>
          <w:p w14:paraId="67959452">
            <w:pPr>
              <w:keepNext w:val="0"/>
              <w:keepLines w:val="0"/>
              <w:suppressLineNumbers w:val="0"/>
              <w:spacing w:before="0" w:beforeAutospacing="0" w:after="0" w:afterAutospacing="0"/>
              <w:ind w:left="0" w:right="0" w:firstLine="440"/>
              <w:jc w:val="center"/>
              <w:outlineLvl w:val="9"/>
              <w:rPr>
                <w:rFonts w:cs="宋体" w:asciiTheme="minorEastAsia" w:hAnsiTheme="minorEastAsia" w:eastAsiaTheme="minorEastAsia"/>
                <w:color w:val="auto"/>
                <w:sz w:val="22"/>
                <w:szCs w:val="22"/>
                <w:highlight w:val="none"/>
              </w:rPr>
            </w:pPr>
          </w:p>
        </w:tc>
      </w:tr>
    </w:tbl>
    <w:p w14:paraId="5630F46C">
      <w:pPr>
        <w:outlineLvl w:val="9"/>
        <w:rPr>
          <w:rFonts w:asciiTheme="minorEastAsia" w:hAnsiTheme="minorEastAsia" w:eastAsiaTheme="minorEastAsia"/>
          <w:color w:val="auto"/>
          <w:highlight w:val="none"/>
        </w:rPr>
      </w:pPr>
    </w:p>
    <w:p w14:paraId="774EA1C6">
      <w:pPr>
        <w:ind w:firstLine="480"/>
        <w:outlineLvl w:val="9"/>
        <w:rPr>
          <w:rFonts w:cs="宋体" w:asciiTheme="minorEastAsia" w:hAnsiTheme="minorEastAsia" w:eastAsiaTheme="minorEastAsia"/>
          <w:color w:val="auto"/>
          <w:szCs w:val="21"/>
          <w:highlight w:val="none"/>
        </w:rPr>
      </w:pPr>
    </w:p>
    <w:p w14:paraId="06845123">
      <w:pPr>
        <w:ind w:firstLine="480"/>
        <w:outlineLvl w:val="9"/>
        <w:rPr>
          <w:rFonts w:cs="宋体" w:asciiTheme="minorEastAsia" w:hAnsiTheme="minorEastAsia" w:eastAsiaTheme="minorEastAsia"/>
          <w:b/>
          <w:color w:val="auto"/>
          <w:szCs w:val="21"/>
          <w:highlight w:val="none"/>
        </w:rPr>
      </w:pPr>
    </w:p>
    <w:p w14:paraId="4A9C063B">
      <w:pPr>
        <w:ind w:firstLine="480"/>
        <w:outlineLvl w:val="9"/>
        <w:rPr>
          <w:rFonts w:cs="宋体" w:asciiTheme="minorEastAsia" w:hAnsiTheme="minorEastAsia" w:eastAsiaTheme="minorEastAsia"/>
          <w:b/>
          <w:color w:val="auto"/>
          <w:szCs w:val="21"/>
          <w:highlight w:val="none"/>
        </w:rPr>
      </w:pPr>
    </w:p>
    <w:p w14:paraId="70DD07A0">
      <w:pPr>
        <w:ind w:firstLine="480"/>
        <w:outlineLvl w:val="9"/>
        <w:rPr>
          <w:rFonts w:cs="宋体" w:asciiTheme="minorEastAsia" w:hAnsiTheme="minorEastAsia" w:eastAsiaTheme="minorEastAsia"/>
          <w:b/>
          <w:color w:val="auto"/>
          <w:szCs w:val="21"/>
          <w:highlight w:val="none"/>
        </w:rPr>
      </w:pPr>
    </w:p>
    <w:p w14:paraId="40E35D6D">
      <w:pPr>
        <w:ind w:firstLine="480"/>
        <w:outlineLvl w:val="9"/>
        <w:rPr>
          <w:rFonts w:cs="宋体" w:asciiTheme="minorEastAsia" w:hAnsiTheme="minorEastAsia" w:eastAsiaTheme="minorEastAsia"/>
          <w:b/>
          <w:color w:val="auto"/>
          <w:szCs w:val="21"/>
          <w:highlight w:val="none"/>
        </w:rPr>
      </w:pPr>
    </w:p>
    <w:p w14:paraId="4F03A6F2">
      <w:pPr>
        <w:ind w:firstLine="480"/>
        <w:outlineLvl w:val="9"/>
        <w:rPr>
          <w:rFonts w:cs="宋体" w:asciiTheme="minorEastAsia" w:hAnsiTheme="minorEastAsia" w:eastAsiaTheme="minorEastAsia"/>
          <w:b/>
          <w:color w:val="auto"/>
          <w:szCs w:val="21"/>
          <w:highlight w:val="none"/>
        </w:rPr>
      </w:pPr>
    </w:p>
    <w:p w14:paraId="760B9DEF">
      <w:pPr>
        <w:ind w:firstLine="480"/>
        <w:outlineLvl w:val="9"/>
        <w:rPr>
          <w:rFonts w:cs="宋体" w:asciiTheme="minorEastAsia" w:hAnsiTheme="minorEastAsia" w:eastAsiaTheme="minorEastAsia"/>
          <w:b/>
          <w:color w:val="auto"/>
          <w:szCs w:val="21"/>
          <w:highlight w:val="none"/>
        </w:rPr>
      </w:pPr>
    </w:p>
    <w:p w14:paraId="3E596B55">
      <w:pPr>
        <w:ind w:firstLine="480"/>
        <w:outlineLvl w:val="9"/>
        <w:rPr>
          <w:rFonts w:cs="宋体" w:asciiTheme="minorEastAsia" w:hAnsiTheme="minorEastAsia" w:eastAsiaTheme="minorEastAsia"/>
          <w:b/>
          <w:color w:val="auto"/>
          <w:szCs w:val="21"/>
          <w:highlight w:val="none"/>
        </w:rPr>
      </w:pPr>
    </w:p>
    <w:p w14:paraId="45CF3FB8">
      <w:pPr>
        <w:pStyle w:val="14"/>
        <w:ind w:firstLine="0"/>
        <w:outlineLvl w:val="9"/>
        <w:rPr>
          <w:rFonts w:hint="eastAsia" w:ascii="宋体" w:hAnsi="宋体" w:eastAsia="宋体" w:cs="宋体"/>
          <w:color w:val="auto"/>
          <w:sz w:val="21"/>
          <w:szCs w:val="21"/>
          <w:highlight w:val="none"/>
        </w:rPr>
      </w:pPr>
    </w:p>
    <w:p w14:paraId="27CC6229">
      <w:pPr>
        <w:pStyle w:val="14"/>
        <w:jc w:val="center"/>
        <w:outlineLvl w:val="9"/>
        <w:rPr>
          <w:rFonts w:hint="eastAsia" w:cs="宋体" w:asciiTheme="minorEastAsia" w:hAnsiTheme="minorEastAsia" w:eastAsiaTheme="minorEastAsia"/>
          <w:b/>
          <w:bCs/>
          <w:color w:val="auto"/>
          <w:kern w:val="0"/>
          <w:sz w:val="32"/>
          <w:szCs w:val="32"/>
          <w:highlight w:val="none"/>
          <w:lang w:val="en-US" w:eastAsia="zh-CN" w:bidi="ar-SA"/>
        </w:rPr>
      </w:pPr>
      <w:r>
        <w:rPr>
          <w:rFonts w:hint="eastAsia" w:cs="宋体" w:asciiTheme="minorEastAsia" w:hAnsiTheme="minorEastAsia" w:eastAsiaTheme="minorEastAsia"/>
          <w:b/>
          <w:bCs/>
          <w:color w:val="auto"/>
          <w:kern w:val="0"/>
          <w:sz w:val="32"/>
          <w:szCs w:val="32"/>
          <w:highlight w:val="none"/>
          <w:lang w:val="en-US" w:eastAsia="zh-CN" w:bidi="ar-SA"/>
        </w:rPr>
        <w:t>认质认价材料设备明细表（招标认价）</w:t>
      </w:r>
    </w:p>
    <w:tbl>
      <w:tblPr>
        <w:tblStyle w:val="56"/>
        <w:tblW w:w="87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0"/>
        <w:gridCol w:w="5251"/>
        <w:gridCol w:w="1984"/>
      </w:tblGrid>
      <w:tr w14:paraId="551B1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dxa"/>
            <w:noWrap w:val="0"/>
            <w:vAlign w:val="center"/>
          </w:tcPr>
          <w:p w14:paraId="7083DCF8">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序号</w:t>
            </w:r>
          </w:p>
        </w:tc>
        <w:tc>
          <w:tcPr>
            <w:tcW w:w="5251" w:type="dxa"/>
            <w:noWrap w:val="0"/>
            <w:vAlign w:val="center"/>
          </w:tcPr>
          <w:p w14:paraId="609C6A59">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材料名称</w:t>
            </w:r>
          </w:p>
        </w:tc>
        <w:tc>
          <w:tcPr>
            <w:tcW w:w="1984" w:type="dxa"/>
            <w:noWrap w:val="0"/>
            <w:vAlign w:val="center"/>
          </w:tcPr>
          <w:p w14:paraId="53FCD144">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备注</w:t>
            </w:r>
          </w:p>
        </w:tc>
      </w:tr>
      <w:tr w14:paraId="35762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dxa"/>
            <w:noWrap w:val="0"/>
            <w:vAlign w:val="center"/>
          </w:tcPr>
          <w:p w14:paraId="1C8476C4">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5251" w:type="dxa"/>
            <w:noWrap w:val="0"/>
            <w:vAlign w:val="center"/>
          </w:tcPr>
          <w:p w14:paraId="102F2EC1">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入户门、智能锁</w:t>
            </w:r>
          </w:p>
        </w:tc>
        <w:tc>
          <w:tcPr>
            <w:tcW w:w="1984" w:type="dxa"/>
            <w:noWrap w:val="0"/>
            <w:vAlign w:val="center"/>
          </w:tcPr>
          <w:p w14:paraId="3B42AF7D">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p>
        </w:tc>
      </w:tr>
      <w:tr w14:paraId="47848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530" w:type="dxa"/>
            <w:noWrap w:val="0"/>
            <w:vAlign w:val="center"/>
          </w:tcPr>
          <w:p w14:paraId="38E615FD">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p>
        </w:tc>
        <w:tc>
          <w:tcPr>
            <w:tcW w:w="5251" w:type="dxa"/>
            <w:noWrap w:val="0"/>
            <w:vAlign w:val="center"/>
          </w:tcPr>
          <w:p w14:paraId="01B7070F">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防火门、防火卷帘门</w:t>
            </w:r>
          </w:p>
        </w:tc>
        <w:tc>
          <w:tcPr>
            <w:tcW w:w="1984" w:type="dxa"/>
            <w:noWrap w:val="0"/>
            <w:vAlign w:val="center"/>
          </w:tcPr>
          <w:p w14:paraId="0E567BF8">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p>
        </w:tc>
      </w:tr>
      <w:tr w14:paraId="3CB35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dxa"/>
            <w:noWrap w:val="0"/>
            <w:vAlign w:val="center"/>
          </w:tcPr>
          <w:p w14:paraId="3DFBE0B7">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p>
        </w:tc>
        <w:tc>
          <w:tcPr>
            <w:tcW w:w="5251" w:type="dxa"/>
            <w:noWrap w:val="0"/>
            <w:vAlign w:val="center"/>
          </w:tcPr>
          <w:p w14:paraId="76D0DDEF">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发电机组</w:t>
            </w:r>
          </w:p>
        </w:tc>
        <w:tc>
          <w:tcPr>
            <w:tcW w:w="1984" w:type="dxa"/>
            <w:noWrap w:val="0"/>
            <w:vAlign w:val="center"/>
          </w:tcPr>
          <w:p w14:paraId="76F4D97A">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p>
        </w:tc>
      </w:tr>
      <w:tr w14:paraId="68D59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dxa"/>
            <w:noWrap w:val="0"/>
            <w:vAlign w:val="center"/>
          </w:tcPr>
          <w:p w14:paraId="742E07F2">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w:t>
            </w:r>
          </w:p>
        </w:tc>
        <w:tc>
          <w:tcPr>
            <w:tcW w:w="5251" w:type="dxa"/>
            <w:noWrap w:val="0"/>
            <w:vAlign w:val="center"/>
          </w:tcPr>
          <w:p w14:paraId="7C9201D4">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供水设备</w:t>
            </w:r>
          </w:p>
        </w:tc>
        <w:tc>
          <w:tcPr>
            <w:tcW w:w="1984" w:type="dxa"/>
            <w:noWrap w:val="0"/>
            <w:vAlign w:val="center"/>
          </w:tcPr>
          <w:p w14:paraId="5E604D35">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p>
        </w:tc>
      </w:tr>
      <w:tr w14:paraId="6C3D8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dxa"/>
            <w:noWrap w:val="0"/>
            <w:vAlign w:val="center"/>
          </w:tcPr>
          <w:p w14:paraId="26553D2A">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p>
        </w:tc>
        <w:tc>
          <w:tcPr>
            <w:tcW w:w="5251" w:type="dxa"/>
            <w:noWrap w:val="0"/>
            <w:vAlign w:val="center"/>
          </w:tcPr>
          <w:p w14:paraId="7746136C">
            <w:pPr>
              <w:keepNext w:val="0"/>
              <w:keepLines w:val="0"/>
              <w:widowControl/>
              <w:suppressLineNumbers w:val="0"/>
              <w:spacing w:before="0" w:beforeAutospacing="0" w:after="0" w:afterAutospacing="0" w:line="360" w:lineRule="auto"/>
              <w:ind w:left="0" w:right="0"/>
              <w:jc w:val="center"/>
              <w:outlineLvl w:val="9"/>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充电桩</w:t>
            </w:r>
          </w:p>
        </w:tc>
        <w:tc>
          <w:tcPr>
            <w:tcW w:w="1984" w:type="dxa"/>
            <w:noWrap w:val="0"/>
            <w:vAlign w:val="center"/>
          </w:tcPr>
          <w:p w14:paraId="73B0F235">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p>
        </w:tc>
      </w:tr>
      <w:tr w14:paraId="5DEB3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dxa"/>
            <w:noWrap w:val="0"/>
            <w:vAlign w:val="center"/>
          </w:tcPr>
          <w:p w14:paraId="2C30CF7B">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val="en-US" w:eastAsia="zh-CN"/>
              </w:rPr>
              <w:t>6</w:t>
            </w:r>
          </w:p>
        </w:tc>
        <w:tc>
          <w:tcPr>
            <w:tcW w:w="5251" w:type="dxa"/>
            <w:noWrap w:val="0"/>
            <w:vAlign w:val="center"/>
          </w:tcPr>
          <w:p w14:paraId="49DD09B1">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光伏发电</w:t>
            </w:r>
          </w:p>
        </w:tc>
        <w:tc>
          <w:tcPr>
            <w:tcW w:w="1984" w:type="dxa"/>
            <w:noWrap w:val="0"/>
            <w:vAlign w:val="center"/>
          </w:tcPr>
          <w:p w14:paraId="698A5AAA">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p>
        </w:tc>
      </w:tr>
      <w:tr w14:paraId="592B7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dxa"/>
            <w:noWrap w:val="0"/>
            <w:vAlign w:val="center"/>
          </w:tcPr>
          <w:p w14:paraId="0C2B19E9">
            <w:pPr>
              <w:keepNext w:val="0"/>
              <w:keepLines w:val="0"/>
              <w:widowControl/>
              <w:suppressLineNumbers w:val="0"/>
              <w:spacing w:before="0" w:beforeAutospacing="0" w:after="0" w:afterAutospacing="0" w:line="360" w:lineRule="auto"/>
              <w:ind w:left="0" w:right="0"/>
              <w:jc w:val="center"/>
              <w:outlineLvl w:val="9"/>
              <w:rPr>
                <w:rFonts w:hint="default"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7</w:t>
            </w:r>
          </w:p>
        </w:tc>
        <w:tc>
          <w:tcPr>
            <w:tcW w:w="5251" w:type="dxa"/>
            <w:noWrap w:val="0"/>
            <w:vAlign w:val="center"/>
          </w:tcPr>
          <w:p w14:paraId="0E774821">
            <w:pPr>
              <w:keepNext w:val="0"/>
              <w:keepLines w:val="0"/>
              <w:widowControl/>
              <w:suppressLineNumbers w:val="0"/>
              <w:spacing w:before="0" w:beforeAutospacing="0" w:after="0" w:afterAutospacing="0" w:line="360" w:lineRule="auto"/>
              <w:ind w:left="0" w:right="0"/>
              <w:jc w:val="center"/>
              <w:outlineLvl w:val="9"/>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配电箱</w:t>
            </w:r>
          </w:p>
        </w:tc>
        <w:tc>
          <w:tcPr>
            <w:tcW w:w="1984" w:type="dxa"/>
            <w:noWrap w:val="0"/>
            <w:vAlign w:val="center"/>
          </w:tcPr>
          <w:p w14:paraId="5EF63AE4">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p>
        </w:tc>
      </w:tr>
      <w:tr w14:paraId="53CF5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0" w:type="dxa"/>
            <w:noWrap w:val="0"/>
            <w:vAlign w:val="center"/>
          </w:tcPr>
          <w:p w14:paraId="594A393E">
            <w:pPr>
              <w:keepNext w:val="0"/>
              <w:keepLines w:val="0"/>
              <w:widowControl/>
              <w:suppressLineNumbers w:val="0"/>
              <w:spacing w:before="0" w:beforeAutospacing="0" w:after="0" w:afterAutospacing="0" w:line="360" w:lineRule="auto"/>
              <w:ind w:left="0" w:right="0"/>
              <w:jc w:val="center"/>
              <w:outlineLvl w:val="9"/>
              <w:rPr>
                <w:rFonts w:hint="default"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8</w:t>
            </w:r>
          </w:p>
        </w:tc>
        <w:tc>
          <w:tcPr>
            <w:tcW w:w="5251" w:type="dxa"/>
            <w:noWrap w:val="0"/>
            <w:vAlign w:val="center"/>
          </w:tcPr>
          <w:p w14:paraId="0703E868">
            <w:pPr>
              <w:keepNext w:val="0"/>
              <w:keepLines w:val="0"/>
              <w:widowControl/>
              <w:suppressLineNumbers w:val="0"/>
              <w:spacing w:before="0" w:beforeAutospacing="0" w:after="0" w:afterAutospacing="0" w:line="360" w:lineRule="auto"/>
              <w:ind w:left="0" w:right="0"/>
              <w:jc w:val="center"/>
              <w:outlineLvl w:val="9"/>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电线电缆</w:t>
            </w:r>
          </w:p>
        </w:tc>
        <w:tc>
          <w:tcPr>
            <w:tcW w:w="1984" w:type="dxa"/>
            <w:noWrap w:val="0"/>
            <w:vAlign w:val="center"/>
          </w:tcPr>
          <w:p w14:paraId="45A4176A">
            <w:pPr>
              <w:keepNext w:val="0"/>
              <w:keepLines w:val="0"/>
              <w:widowControl/>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p>
        </w:tc>
      </w:tr>
    </w:tbl>
    <w:p w14:paraId="63DF6B3D">
      <w:pPr>
        <w:pStyle w:val="14"/>
        <w:spacing w:line="360" w:lineRule="auto"/>
        <w:ind w:firstLine="480"/>
        <w:outlineLvl w:val="9"/>
        <w:rPr>
          <w:rFonts w:hint="eastAsia" w:ascii="宋体" w:hAnsi="宋体" w:eastAsia="宋体" w:cs="宋体"/>
          <w:color w:val="auto"/>
          <w:sz w:val="21"/>
          <w:szCs w:val="21"/>
          <w:highlight w:val="none"/>
        </w:rPr>
      </w:pPr>
    </w:p>
    <w:p w14:paraId="7C5A5818">
      <w:pPr>
        <w:pStyle w:val="14"/>
        <w:spacing w:line="360" w:lineRule="auto"/>
        <w:ind w:firstLine="48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1、本表所列材料设备</w:t>
      </w:r>
      <w:r>
        <w:rPr>
          <w:rFonts w:hint="eastAsia" w:ascii="宋体" w:hAnsi="宋体" w:eastAsia="宋体" w:cs="宋体"/>
          <w:color w:val="auto"/>
          <w:sz w:val="21"/>
          <w:szCs w:val="21"/>
          <w:highlight w:val="none"/>
          <w:lang w:val="en-US" w:eastAsia="zh-CN"/>
        </w:rPr>
        <w:t>根据金额大小</w:t>
      </w:r>
      <w:r>
        <w:rPr>
          <w:rFonts w:hint="eastAsia" w:ascii="宋体" w:hAnsi="宋体" w:eastAsia="宋体" w:cs="宋体"/>
          <w:color w:val="auto"/>
          <w:sz w:val="21"/>
          <w:szCs w:val="21"/>
          <w:highlight w:val="none"/>
        </w:rPr>
        <w:t>采用公开招标采购</w:t>
      </w:r>
      <w:r>
        <w:rPr>
          <w:rFonts w:hint="eastAsia" w:ascii="宋体" w:hAnsi="宋体" w:eastAsia="宋体" w:cs="宋体"/>
          <w:color w:val="auto"/>
          <w:sz w:val="21"/>
          <w:szCs w:val="21"/>
          <w:highlight w:val="none"/>
          <w:lang w:val="en-US" w:eastAsia="zh-CN"/>
        </w:rPr>
        <w:t>或直接认价</w:t>
      </w:r>
      <w:r>
        <w:rPr>
          <w:rFonts w:hint="eastAsia" w:ascii="宋体" w:hAnsi="宋体" w:eastAsia="宋体" w:cs="宋体"/>
          <w:color w:val="auto"/>
          <w:sz w:val="21"/>
          <w:szCs w:val="21"/>
          <w:highlight w:val="none"/>
        </w:rPr>
        <w:t>，由承包人委托代理进行招标采购。</w:t>
      </w:r>
    </w:p>
    <w:p w14:paraId="44ABFDB2">
      <w:pPr>
        <w:pStyle w:val="14"/>
        <w:spacing w:line="360" w:lineRule="auto"/>
        <w:ind w:firstLine="48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、本表所列材料设备的中标价，招标采购文件及合同中与价款相关的条款，均作为付款及结算的依据。</w:t>
      </w:r>
    </w:p>
    <w:p w14:paraId="36BDCB43">
      <w:pPr>
        <w:pStyle w:val="14"/>
        <w:spacing w:line="360" w:lineRule="auto"/>
        <w:ind w:firstLine="48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、承包人招标采购完成后，按照本合同要求向发包人报送认质认价报审表，报审表应后附中标资料及合同，中标价做为认价依据。</w:t>
      </w:r>
    </w:p>
    <w:p w14:paraId="491A97E8">
      <w:pPr>
        <w:pStyle w:val="14"/>
        <w:spacing w:line="360" w:lineRule="auto"/>
        <w:ind w:firstLine="480"/>
        <w:outlineLvl w:val="9"/>
        <w:rPr>
          <w:rFonts w:cs="宋体" w:asciiTheme="minorEastAsia" w:hAnsiTheme="minorEastAsia" w:eastAsiaTheme="minorEastAsia"/>
          <w:b/>
          <w:color w:val="auto"/>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、以上</w:t>
      </w:r>
      <w:r>
        <w:rPr>
          <w:rFonts w:hint="eastAsia" w:ascii="宋体" w:hAnsi="宋体" w:eastAsia="宋体" w:cs="宋体"/>
          <w:color w:val="auto"/>
          <w:sz w:val="21"/>
          <w:szCs w:val="21"/>
          <w:highlight w:val="none"/>
          <w:lang w:val="en-US" w:eastAsia="zh-CN"/>
        </w:rPr>
        <w:t>认价</w:t>
      </w:r>
      <w:r>
        <w:rPr>
          <w:rFonts w:hint="eastAsia" w:ascii="宋体" w:hAnsi="宋体" w:eastAsia="宋体" w:cs="宋体"/>
          <w:color w:val="auto"/>
          <w:sz w:val="21"/>
          <w:szCs w:val="21"/>
          <w:highlight w:val="none"/>
        </w:rPr>
        <w:t>工程的总承包服务费</w:t>
      </w:r>
      <w:r>
        <w:rPr>
          <w:rFonts w:hint="eastAsia" w:ascii="宋体" w:hAnsi="宋体" w:eastAsia="宋体" w:cs="宋体"/>
          <w:color w:val="auto"/>
          <w:sz w:val="21"/>
          <w:szCs w:val="21"/>
          <w:highlight w:val="none"/>
          <w:lang w:val="en-US" w:eastAsia="zh-CN"/>
        </w:rPr>
        <w:t>及</w:t>
      </w:r>
      <w:r>
        <w:rPr>
          <w:rFonts w:hint="eastAsia" w:ascii="宋体" w:hAnsi="宋体" w:eastAsia="宋体" w:cs="宋体"/>
          <w:color w:val="auto"/>
          <w:sz w:val="21"/>
          <w:szCs w:val="21"/>
          <w:highlight w:val="none"/>
        </w:rPr>
        <w:t>其规费、税金</w:t>
      </w:r>
      <w:r>
        <w:rPr>
          <w:rFonts w:hint="eastAsia" w:ascii="宋体" w:hAnsi="宋体" w:eastAsia="宋体" w:cs="宋体"/>
          <w:color w:val="auto"/>
          <w:sz w:val="21"/>
          <w:szCs w:val="21"/>
          <w:highlight w:val="none"/>
          <w:lang w:val="en-US" w:eastAsia="zh-CN"/>
        </w:rPr>
        <w:t>已包含在总包合同中标价中</w:t>
      </w:r>
      <w:r>
        <w:rPr>
          <w:rFonts w:hint="eastAsia" w:ascii="宋体" w:hAnsi="宋体" w:eastAsia="宋体" w:cs="宋体"/>
          <w:color w:val="auto"/>
          <w:sz w:val="21"/>
          <w:szCs w:val="21"/>
          <w:highlight w:val="none"/>
        </w:rPr>
        <w:t>。</w:t>
      </w:r>
      <w:r>
        <w:rPr>
          <w:rFonts w:hint="eastAsia" w:cs="宋体" w:asciiTheme="minorEastAsia" w:hAnsiTheme="minorEastAsia" w:eastAsiaTheme="minorEastAsia"/>
          <w:b/>
          <w:color w:val="auto"/>
          <w:szCs w:val="21"/>
          <w:highlight w:val="none"/>
        </w:rPr>
        <w:br w:type="page"/>
      </w:r>
    </w:p>
    <w:p w14:paraId="7F0A3E87">
      <w:pPr>
        <w:outlineLvl w:val="9"/>
        <w:rPr>
          <w:rFonts w:hint="eastAsia" w:cs="宋体" w:asciiTheme="minorEastAsia" w:hAnsiTheme="minorEastAsia" w:eastAsiaTheme="minorEastAsia"/>
          <w:b w:val="0"/>
          <w:bCs/>
          <w:color w:val="auto"/>
          <w:szCs w:val="21"/>
          <w:highlight w:val="none"/>
          <w:lang w:eastAsia="zh-CN"/>
        </w:rPr>
      </w:pPr>
      <w:r>
        <w:rPr>
          <w:rFonts w:hint="eastAsia" w:cs="宋体" w:asciiTheme="minorEastAsia" w:hAnsiTheme="minorEastAsia" w:eastAsiaTheme="minorEastAsia"/>
          <w:b w:val="0"/>
          <w:bCs/>
          <w:color w:val="auto"/>
          <w:szCs w:val="21"/>
          <w:highlight w:val="none"/>
        </w:rPr>
        <w:t>附件三十</w:t>
      </w:r>
      <w:r>
        <w:rPr>
          <w:rFonts w:hint="eastAsia" w:cs="宋体" w:asciiTheme="minorEastAsia" w:hAnsiTheme="minorEastAsia" w:eastAsiaTheme="minorEastAsia"/>
          <w:b w:val="0"/>
          <w:bCs/>
          <w:color w:val="auto"/>
          <w:szCs w:val="21"/>
          <w:highlight w:val="none"/>
          <w:lang w:val="en-US" w:eastAsia="zh-CN"/>
        </w:rPr>
        <w:t>七</w:t>
      </w:r>
    </w:p>
    <w:p w14:paraId="7ABDF7D0">
      <w:pPr>
        <w:ind w:firstLine="480"/>
        <w:outlineLvl w:val="9"/>
        <w:rPr>
          <w:rFonts w:cs="宋体" w:asciiTheme="minorEastAsia" w:hAnsiTheme="minorEastAsia" w:eastAsiaTheme="minorEastAsia"/>
          <w:color w:val="auto"/>
          <w:szCs w:val="21"/>
          <w:highlight w:val="none"/>
        </w:rPr>
      </w:pPr>
    </w:p>
    <w:p w14:paraId="51ADA7F7">
      <w:pPr>
        <w:adjustRightInd w:val="0"/>
        <w:snapToGrid w:val="0"/>
        <w:spacing w:line="360" w:lineRule="auto"/>
        <w:jc w:val="center"/>
        <w:outlineLvl w:val="9"/>
        <w:rPr>
          <w:rFonts w:cs="宋体" w:asciiTheme="minorEastAsia" w:hAnsiTheme="minorEastAsia" w:eastAsiaTheme="minorEastAsia"/>
          <w:b/>
          <w:bCs/>
          <w:color w:val="auto"/>
          <w:kern w:val="0"/>
          <w:sz w:val="32"/>
          <w:szCs w:val="32"/>
          <w:highlight w:val="none"/>
        </w:rPr>
      </w:pPr>
      <w:r>
        <w:rPr>
          <w:rFonts w:hint="eastAsia" w:cs="宋体" w:asciiTheme="minorEastAsia" w:hAnsiTheme="minorEastAsia" w:eastAsiaTheme="minorEastAsia"/>
          <w:b/>
          <w:bCs/>
          <w:color w:val="auto"/>
          <w:kern w:val="0"/>
          <w:sz w:val="32"/>
          <w:szCs w:val="32"/>
          <w:highlight w:val="none"/>
        </w:rPr>
        <w:t>总包对各</w:t>
      </w:r>
      <w:r>
        <w:rPr>
          <w:rFonts w:hint="eastAsia" w:asciiTheme="minorEastAsia" w:hAnsiTheme="minorEastAsia" w:eastAsiaTheme="minorEastAsia"/>
          <w:b/>
          <w:color w:val="auto"/>
          <w:sz w:val="32"/>
          <w:szCs w:val="32"/>
          <w:highlight w:val="none"/>
        </w:rPr>
        <w:t>专业分包工程的</w:t>
      </w:r>
      <w:r>
        <w:rPr>
          <w:rFonts w:hint="eastAsia" w:cs="宋体" w:asciiTheme="minorEastAsia" w:hAnsiTheme="minorEastAsia" w:eastAsiaTheme="minorEastAsia"/>
          <w:b/>
          <w:bCs/>
          <w:color w:val="auto"/>
          <w:kern w:val="0"/>
          <w:sz w:val="32"/>
          <w:szCs w:val="32"/>
          <w:highlight w:val="none"/>
        </w:rPr>
        <w:t>管理配合内容</w:t>
      </w:r>
    </w:p>
    <w:p w14:paraId="7A2910BE">
      <w:pPr>
        <w:tabs>
          <w:tab w:val="left" w:pos="993"/>
          <w:tab w:val="left" w:pos="2355"/>
        </w:tabs>
        <w:adjustRightInd w:val="0"/>
        <w:snapToGrid w:val="0"/>
        <w:spacing w:line="360" w:lineRule="auto"/>
        <w:outlineLvl w:val="9"/>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 xml:space="preserve">    </w:t>
      </w:r>
      <w:r>
        <w:rPr>
          <w:rFonts w:hint="eastAsia" w:asciiTheme="minorEastAsia" w:hAnsiTheme="minorEastAsia" w:eastAsiaTheme="minorEastAsia"/>
          <w:color w:val="auto"/>
          <w:sz w:val="21"/>
          <w:szCs w:val="21"/>
          <w:highlight w:val="none"/>
        </w:rPr>
        <w:t>下表中管理、配合内容包含承包人对各专业分包工程的施工配合、协调及总包管理所涉及的费用，包含总承包人对各专业工程承包人的施工质量、施工进度、安全文明施工、相互之间的协调与配合进行管理，提供现有临时施工道路、提供相应的工作面、提供符合要求的标高线（水平线）及轴线（垂直线）、提供现有垂直运输、施工通道、外脚手架、提供水电接驳点、提供场地供各专业工程承包人搭设临时仓库、配合各专业工程承包人对现场成品及半成品进行保护，负责提供垃圾堆放场地、垃圾外运、对竣工资料的归档与整理等进行管理的费用；材料设备采保费包含材料的卸车配合（提供货车能到达的指定地点等）、场内运转、清点、验货、接收、保管等一切后续工作涉及的费用。下表中管理费按专业分包工程结算造价×管理费率（材料设备采保费按材料设备采购结算造价×采保费率）计入总包税前工程造价，在总包结算时统一支付。承包人不再以任何理由向分包单位收取其他任何费用。</w:t>
      </w:r>
    </w:p>
    <w:p w14:paraId="0522C78A">
      <w:pPr>
        <w:adjustRightInd w:val="0"/>
        <w:snapToGrid w:val="0"/>
        <w:outlineLvl w:val="9"/>
        <w:rPr>
          <w:rFonts w:cs="宋体" w:asciiTheme="minorEastAsia" w:hAnsiTheme="minorEastAsia" w:eastAsiaTheme="minorEastAsia"/>
          <w:color w:val="auto"/>
          <w:sz w:val="24"/>
          <w:highlight w:val="none"/>
        </w:rPr>
      </w:pPr>
      <w:r>
        <w:rPr>
          <w:rFonts w:cs="宋体" w:asciiTheme="minorEastAsia" w:hAnsiTheme="minorEastAsia" w:eastAsiaTheme="minorEastAsia"/>
          <w:color w:val="auto"/>
          <w:sz w:val="24"/>
          <w:highlight w:val="none"/>
        </w:rPr>
        <w:br w:type="page"/>
      </w:r>
      <w:r>
        <w:rPr>
          <w:rFonts w:hint="eastAsia" w:cs="宋体" w:asciiTheme="minorEastAsia" w:hAnsiTheme="minorEastAsia" w:eastAsiaTheme="minorEastAsia"/>
          <w:color w:val="auto"/>
          <w:sz w:val="21"/>
          <w:szCs w:val="21"/>
          <w:highlight w:val="none"/>
        </w:rPr>
        <w:t>一、总包对幕墙工程的管理配合内容：</w:t>
      </w:r>
    </w:p>
    <w:tbl>
      <w:tblPr>
        <w:tblStyle w:val="56"/>
        <w:tblW w:w="10065"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843"/>
        <w:gridCol w:w="4110"/>
        <w:gridCol w:w="3402"/>
      </w:tblGrid>
      <w:tr w14:paraId="6C467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5D28B802">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序号</w:t>
            </w:r>
          </w:p>
        </w:tc>
        <w:tc>
          <w:tcPr>
            <w:tcW w:w="1843" w:type="dxa"/>
            <w:vAlign w:val="center"/>
          </w:tcPr>
          <w:p w14:paraId="6B39CA1D">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配合内容</w:t>
            </w:r>
          </w:p>
        </w:tc>
        <w:tc>
          <w:tcPr>
            <w:tcW w:w="4110" w:type="dxa"/>
            <w:vAlign w:val="center"/>
          </w:tcPr>
          <w:p w14:paraId="59FBE810">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标准</w:t>
            </w:r>
          </w:p>
        </w:tc>
        <w:tc>
          <w:tcPr>
            <w:tcW w:w="3402" w:type="dxa"/>
            <w:vAlign w:val="center"/>
          </w:tcPr>
          <w:p w14:paraId="3966E4ED">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备注</w:t>
            </w:r>
          </w:p>
        </w:tc>
      </w:tr>
      <w:tr w14:paraId="5C6AA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58D0E0A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p>
        </w:tc>
        <w:tc>
          <w:tcPr>
            <w:tcW w:w="1843" w:type="dxa"/>
            <w:vAlign w:val="center"/>
          </w:tcPr>
          <w:p w14:paraId="222D093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工作面尺寸</w:t>
            </w:r>
          </w:p>
        </w:tc>
        <w:tc>
          <w:tcPr>
            <w:tcW w:w="4110" w:type="dxa"/>
            <w:vAlign w:val="center"/>
          </w:tcPr>
          <w:p w14:paraId="6C20B2B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洞口尺寸误差±5mm。</w:t>
            </w:r>
          </w:p>
        </w:tc>
        <w:tc>
          <w:tcPr>
            <w:tcW w:w="3402" w:type="dxa"/>
            <w:vAlign w:val="center"/>
          </w:tcPr>
          <w:p w14:paraId="15B0AAC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总包提供的尺寸不符合标准的必须整改合格。</w:t>
            </w:r>
          </w:p>
        </w:tc>
      </w:tr>
      <w:tr w14:paraId="6E27E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52500AE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w:t>
            </w:r>
          </w:p>
        </w:tc>
        <w:tc>
          <w:tcPr>
            <w:tcW w:w="1843" w:type="dxa"/>
            <w:vAlign w:val="center"/>
          </w:tcPr>
          <w:p w14:paraId="72319E1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垂直运输、施工通道、现有脚手架</w:t>
            </w:r>
          </w:p>
        </w:tc>
        <w:tc>
          <w:tcPr>
            <w:tcW w:w="4110" w:type="dxa"/>
            <w:vAlign w:val="center"/>
          </w:tcPr>
          <w:p w14:paraId="6CF53BC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畅通、无障碍。水平施工洞口满足施工水平运输要求。提供现有脚手架。</w:t>
            </w:r>
          </w:p>
        </w:tc>
        <w:tc>
          <w:tcPr>
            <w:tcW w:w="3402" w:type="dxa"/>
            <w:vAlign w:val="center"/>
          </w:tcPr>
          <w:p w14:paraId="3E41CF6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5890C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6D75702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w:t>
            </w:r>
          </w:p>
        </w:tc>
        <w:tc>
          <w:tcPr>
            <w:tcW w:w="1843" w:type="dxa"/>
            <w:vAlign w:val="center"/>
          </w:tcPr>
          <w:p w14:paraId="2AED388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用水用电</w:t>
            </w:r>
          </w:p>
        </w:tc>
        <w:tc>
          <w:tcPr>
            <w:tcW w:w="4110" w:type="dxa"/>
            <w:vAlign w:val="center"/>
          </w:tcPr>
          <w:p w14:paraId="404D10D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1、总包每两层提供一个接电点、提供一个接水点。</w:t>
            </w:r>
          </w:p>
          <w:p w14:paraId="58FDF7B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2、提供的水电，能够满足分包方施工负荷要求。</w:t>
            </w:r>
          </w:p>
        </w:tc>
        <w:tc>
          <w:tcPr>
            <w:tcW w:w="3402" w:type="dxa"/>
            <w:vAlign w:val="center"/>
          </w:tcPr>
          <w:p w14:paraId="0BB1B84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水、电费数量以表读数为准，价格与总包使用水电费价格一致。</w:t>
            </w:r>
            <w:r>
              <w:rPr>
                <w:rFonts w:hint="eastAsia" w:cs="宋体" w:asciiTheme="minorEastAsia" w:hAnsiTheme="minorEastAsia" w:eastAsiaTheme="minorEastAsia"/>
                <w:color w:val="auto"/>
                <w:sz w:val="21"/>
                <w:szCs w:val="21"/>
                <w:highlight w:val="none"/>
                <w:lang w:val="en-US" w:eastAsia="zh-CN"/>
              </w:rPr>
              <w:t>无法挂表计量的水电费，按照分包工程中标价的1%计取。</w:t>
            </w:r>
          </w:p>
        </w:tc>
      </w:tr>
      <w:tr w14:paraId="750F4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0833679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w:t>
            </w:r>
          </w:p>
        </w:tc>
        <w:tc>
          <w:tcPr>
            <w:tcW w:w="1843" w:type="dxa"/>
            <w:vAlign w:val="center"/>
          </w:tcPr>
          <w:p w14:paraId="7DF602A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现场办公及库房用房</w:t>
            </w:r>
          </w:p>
        </w:tc>
        <w:tc>
          <w:tcPr>
            <w:tcW w:w="4110" w:type="dxa"/>
            <w:vAlign w:val="center"/>
          </w:tcPr>
          <w:p w14:paraId="0BD5159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提供办公用房不低于15平方米，库房约20平方米。</w:t>
            </w:r>
          </w:p>
        </w:tc>
        <w:tc>
          <w:tcPr>
            <w:tcW w:w="3402" w:type="dxa"/>
            <w:vAlign w:val="center"/>
          </w:tcPr>
          <w:p w14:paraId="55C0D18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47B8F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tcBorders>
              <w:top w:val="single" w:color="auto" w:sz="4" w:space="0"/>
              <w:left w:val="single" w:color="auto" w:sz="4" w:space="0"/>
              <w:bottom w:val="single" w:color="auto" w:sz="4" w:space="0"/>
              <w:right w:val="single" w:color="auto" w:sz="4" w:space="0"/>
            </w:tcBorders>
            <w:vAlign w:val="center"/>
          </w:tcPr>
          <w:p w14:paraId="41E4B0E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w:t>
            </w:r>
          </w:p>
        </w:tc>
        <w:tc>
          <w:tcPr>
            <w:tcW w:w="1843" w:type="dxa"/>
            <w:tcBorders>
              <w:top w:val="single" w:color="auto" w:sz="4" w:space="0"/>
              <w:left w:val="single" w:color="auto" w:sz="4" w:space="0"/>
              <w:bottom w:val="single" w:color="auto" w:sz="4" w:space="0"/>
              <w:right w:val="single" w:color="auto" w:sz="4" w:space="0"/>
            </w:tcBorders>
            <w:vAlign w:val="center"/>
          </w:tcPr>
          <w:p w14:paraId="5D0369C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提供50线及100线</w:t>
            </w:r>
          </w:p>
        </w:tc>
        <w:tc>
          <w:tcPr>
            <w:tcW w:w="4110" w:type="dxa"/>
            <w:tcBorders>
              <w:top w:val="single" w:color="auto" w:sz="4" w:space="0"/>
              <w:left w:val="single" w:color="auto" w:sz="4" w:space="0"/>
              <w:bottom w:val="single" w:color="auto" w:sz="4" w:space="0"/>
              <w:right w:val="single" w:color="auto" w:sz="4" w:space="0"/>
            </w:tcBorders>
            <w:vAlign w:val="center"/>
          </w:tcPr>
          <w:p w14:paraId="031F11C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总包单位向分包单位每层提供50线及100线。</w:t>
            </w:r>
          </w:p>
        </w:tc>
        <w:tc>
          <w:tcPr>
            <w:tcW w:w="3402" w:type="dxa"/>
            <w:tcBorders>
              <w:top w:val="single" w:color="auto" w:sz="4" w:space="0"/>
              <w:left w:val="single" w:color="auto" w:sz="4" w:space="0"/>
              <w:bottom w:val="single" w:color="auto" w:sz="4" w:space="0"/>
              <w:right w:val="single" w:color="auto" w:sz="4" w:space="0"/>
            </w:tcBorders>
            <w:vAlign w:val="center"/>
          </w:tcPr>
          <w:p w14:paraId="4AD59E1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02C87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2A6EA9D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6</w:t>
            </w:r>
          </w:p>
        </w:tc>
        <w:tc>
          <w:tcPr>
            <w:tcW w:w="1843" w:type="dxa"/>
            <w:vAlign w:val="center"/>
          </w:tcPr>
          <w:p w14:paraId="1E9DE26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建筑垃圾</w:t>
            </w:r>
          </w:p>
        </w:tc>
        <w:tc>
          <w:tcPr>
            <w:tcW w:w="4110" w:type="dxa"/>
            <w:vAlign w:val="center"/>
          </w:tcPr>
          <w:p w14:paraId="2D25101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总包单位向分包单位提供统一垃圾临时堆放点，由分包单位自行清运至临时堆放点，总包单位进行垃圾外运。总包</w:t>
            </w:r>
            <w:r>
              <w:rPr>
                <w:rFonts w:hint="eastAsia" w:cs="宋体" w:asciiTheme="minorEastAsia" w:hAnsiTheme="minorEastAsia" w:eastAsiaTheme="minorEastAsia"/>
                <w:color w:val="auto"/>
                <w:sz w:val="21"/>
                <w:szCs w:val="21"/>
                <w:highlight w:val="none"/>
                <w:lang w:val="en-US" w:eastAsia="zh-CN"/>
              </w:rPr>
              <w:t>单位不得额外收取分包单位垃圾费用，若</w:t>
            </w:r>
            <w:r>
              <w:rPr>
                <w:rFonts w:hint="eastAsia" w:cs="宋体" w:asciiTheme="minorEastAsia" w:hAnsiTheme="minorEastAsia" w:eastAsiaTheme="minorEastAsia"/>
                <w:color w:val="auto"/>
                <w:sz w:val="21"/>
                <w:szCs w:val="21"/>
                <w:highlight w:val="none"/>
              </w:rPr>
              <w:t>额外收取分包垃圾费，按</w:t>
            </w:r>
            <w:r>
              <w:rPr>
                <w:rFonts w:hint="eastAsia" w:cs="宋体" w:asciiTheme="minorEastAsia" w:hAnsiTheme="minorEastAsia" w:eastAsiaTheme="minorEastAsia"/>
                <w:color w:val="auto"/>
                <w:sz w:val="21"/>
                <w:szCs w:val="21"/>
                <w:highlight w:val="none"/>
                <w:lang w:val="en-US" w:eastAsia="zh-CN"/>
              </w:rPr>
              <w:t>300元/m3从总包结算</w:t>
            </w:r>
            <w:r>
              <w:rPr>
                <w:rFonts w:hint="eastAsia" w:cs="宋体" w:asciiTheme="minorEastAsia" w:hAnsiTheme="minorEastAsia" w:eastAsiaTheme="minorEastAsia"/>
                <w:color w:val="auto"/>
                <w:sz w:val="21"/>
                <w:szCs w:val="21"/>
                <w:highlight w:val="none"/>
              </w:rPr>
              <w:t>扣除。</w:t>
            </w:r>
          </w:p>
        </w:tc>
        <w:tc>
          <w:tcPr>
            <w:tcW w:w="3402" w:type="dxa"/>
            <w:vAlign w:val="center"/>
          </w:tcPr>
          <w:p w14:paraId="1927FD5D">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分包单位未清理或清理不到位，总包单位有权向分包单位提出书面清理通知，分包单位在接到书面通知后仍无动于衷或清理不干净，由总包单位清理，费用由分包单位承担。</w:t>
            </w:r>
          </w:p>
        </w:tc>
      </w:tr>
      <w:tr w14:paraId="2A6FE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6B36AA8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7</w:t>
            </w:r>
          </w:p>
        </w:tc>
        <w:tc>
          <w:tcPr>
            <w:tcW w:w="1843" w:type="dxa"/>
            <w:vAlign w:val="center"/>
          </w:tcPr>
          <w:p w14:paraId="3D55C1A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质量、进度、安全、文明施工、竣工验收数据等管理</w:t>
            </w:r>
          </w:p>
        </w:tc>
        <w:tc>
          <w:tcPr>
            <w:tcW w:w="4110" w:type="dxa"/>
            <w:vAlign w:val="center"/>
          </w:tcPr>
          <w:p w14:paraId="01FC5C8D">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总包要监督、检查分包方的质量、进度、安全、文明施工、竣工验收资料等应符合国家相关规定，施工组织和协调，并负责统一竣工验收、备案。</w:t>
            </w:r>
          </w:p>
        </w:tc>
        <w:tc>
          <w:tcPr>
            <w:tcW w:w="3402" w:type="dxa"/>
            <w:vAlign w:val="center"/>
          </w:tcPr>
          <w:p w14:paraId="36CE4DE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竣工数据归档费已包含在专业工程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用中。</w:t>
            </w:r>
          </w:p>
        </w:tc>
      </w:tr>
      <w:tr w14:paraId="39F1F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5388D51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8</w:t>
            </w:r>
          </w:p>
        </w:tc>
        <w:tc>
          <w:tcPr>
            <w:tcW w:w="1843" w:type="dxa"/>
            <w:vAlign w:val="center"/>
          </w:tcPr>
          <w:p w14:paraId="7AEAC16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成品保护</w:t>
            </w:r>
          </w:p>
        </w:tc>
        <w:tc>
          <w:tcPr>
            <w:tcW w:w="4110" w:type="dxa"/>
            <w:vAlign w:val="center"/>
          </w:tcPr>
          <w:p w14:paraId="5134A5BD">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1、分包单位施工内容全部结束，分包单位在经发包人及监理验收前应自行负责成品保护的责任。</w:t>
            </w:r>
          </w:p>
          <w:p w14:paraId="258CE8F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2、经发包人及监理验收合格，在向物业或精装修单位移交前总包单位应担负其成品保护的责任。</w:t>
            </w:r>
          </w:p>
        </w:tc>
        <w:tc>
          <w:tcPr>
            <w:tcW w:w="3402" w:type="dxa"/>
            <w:vAlign w:val="center"/>
          </w:tcPr>
          <w:p w14:paraId="17D8027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71F5D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vAlign w:val="center"/>
          </w:tcPr>
          <w:p w14:paraId="5E3C5EE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9</w:t>
            </w:r>
          </w:p>
        </w:tc>
        <w:tc>
          <w:tcPr>
            <w:tcW w:w="1843" w:type="dxa"/>
            <w:vAlign w:val="center"/>
          </w:tcPr>
          <w:p w14:paraId="3356D4A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交工清理</w:t>
            </w:r>
          </w:p>
        </w:tc>
        <w:tc>
          <w:tcPr>
            <w:tcW w:w="4110" w:type="dxa"/>
            <w:vAlign w:val="center"/>
          </w:tcPr>
          <w:p w14:paraId="3F86CA79">
            <w:pPr>
              <w:pStyle w:val="17"/>
              <w:keepNext w:val="0"/>
              <w:keepLines w:val="0"/>
              <w:suppressLineNumbers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竣工验收及移交物业时,总包单位均应负责清理幕墙表面污染，直至符合交工条件。</w:t>
            </w:r>
          </w:p>
        </w:tc>
        <w:tc>
          <w:tcPr>
            <w:tcW w:w="3402" w:type="dxa"/>
            <w:vAlign w:val="center"/>
          </w:tcPr>
          <w:p w14:paraId="0D17B7F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bl>
    <w:p w14:paraId="6175B3B6">
      <w:pPr>
        <w:adjustRightInd w:val="0"/>
        <w:snapToGrid w:val="0"/>
        <w:outlineLvl w:val="9"/>
        <w:rPr>
          <w:rFonts w:cs="宋体" w:asciiTheme="minorEastAsia" w:hAnsiTheme="minorEastAsia" w:eastAsiaTheme="minorEastAsia"/>
          <w:color w:val="auto"/>
          <w:sz w:val="24"/>
          <w:highlight w:val="none"/>
        </w:rPr>
      </w:pPr>
      <w:r>
        <w:rPr>
          <w:rFonts w:cs="宋体" w:asciiTheme="minorEastAsia" w:hAnsiTheme="minorEastAsia" w:eastAsiaTheme="minorEastAsia"/>
          <w:color w:val="auto"/>
          <w:sz w:val="24"/>
          <w:highlight w:val="none"/>
        </w:rPr>
        <w:br w:type="page"/>
      </w:r>
      <w:r>
        <w:rPr>
          <w:rFonts w:hint="eastAsia" w:cs="宋体" w:asciiTheme="minorEastAsia" w:hAnsiTheme="minorEastAsia" w:eastAsiaTheme="minorEastAsia"/>
          <w:color w:val="auto"/>
          <w:sz w:val="21"/>
          <w:szCs w:val="21"/>
          <w:highlight w:val="none"/>
        </w:rPr>
        <w:t>二、总包对外墙工程的管理配合内容：</w:t>
      </w:r>
    </w:p>
    <w:tbl>
      <w:tblPr>
        <w:tblStyle w:val="56"/>
        <w:tblW w:w="99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798"/>
        <w:gridCol w:w="4079"/>
        <w:gridCol w:w="3376"/>
      </w:tblGrid>
      <w:tr w14:paraId="1213C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14:paraId="0F1B6291">
            <w:pPr>
              <w:keepNext w:val="0"/>
              <w:keepLines w:val="0"/>
              <w:suppressLineNumbers w:val="0"/>
              <w:adjustRightInd w:val="0"/>
              <w:snapToGrid w:val="0"/>
              <w:spacing w:before="0" w:beforeAutospacing="0" w:after="0" w:afterAutospacing="0"/>
              <w:ind w:left="0" w:right="0"/>
              <w:jc w:val="center"/>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序号</w:t>
            </w:r>
          </w:p>
        </w:tc>
        <w:tc>
          <w:tcPr>
            <w:tcW w:w="1798" w:type="dxa"/>
            <w:vAlign w:val="center"/>
          </w:tcPr>
          <w:p w14:paraId="29B2BEA7">
            <w:pPr>
              <w:keepNext w:val="0"/>
              <w:keepLines w:val="0"/>
              <w:suppressLineNumbers w:val="0"/>
              <w:adjustRightInd w:val="0"/>
              <w:snapToGrid w:val="0"/>
              <w:spacing w:before="0" w:beforeAutospacing="0" w:after="0" w:afterAutospacing="0"/>
              <w:ind w:left="0" w:right="0"/>
              <w:jc w:val="center"/>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配合内容</w:t>
            </w:r>
          </w:p>
        </w:tc>
        <w:tc>
          <w:tcPr>
            <w:tcW w:w="4079" w:type="dxa"/>
            <w:vAlign w:val="center"/>
          </w:tcPr>
          <w:p w14:paraId="6392B0F3">
            <w:pPr>
              <w:keepNext w:val="0"/>
              <w:keepLines w:val="0"/>
              <w:suppressLineNumbers w:val="0"/>
              <w:adjustRightInd w:val="0"/>
              <w:snapToGrid w:val="0"/>
              <w:spacing w:before="0" w:beforeAutospacing="0" w:after="0" w:afterAutospacing="0"/>
              <w:ind w:left="0" w:right="0"/>
              <w:jc w:val="center"/>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标准</w:t>
            </w:r>
          </w:p>
        </w:tc>
        <w:tc>
          <w:tcPr>
            <w:tcW w:w="3376" w:type="dxa"/>
            <w:vAlign w:val="center"/>
          </w:tcPr>
          <w:p w14:paraId="0078C419">
            <w:pPr>
              <w:keepNext w:val="0"/>
              <w:keepLines w:val="0"/>
              <w:suppressLineNumbers w:val="0"/>
              <w:adjustRightInd w:val="0"/>
              <w:snapToGrid w:val="0"/>
              <w:spacing w:before="0" w:beforeAutospacing="0" w:after="0" w:afterAutospacing="0"/>
              <w:ind w:left="0" w:right="0"/>
              <w:jc w:val="center"/>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备注</w:t>
            </w:r>
          </w:p>
        </w:tc>
      </w:tr>
      <w:tr w14:paraId="001A0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9" w:hRule="atLeast"/>
          <w:jc w:val="center"/>
        </w:trPr>
        <w:tc>
          <w:tcPr>
            <w:tcW w:w="704" w:type="dxa"/>
            <w:vAlign w:val="center"/>
          </w:tcPr>
          <w:p w14:paraId="1C668E4D">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1798" w:type="dxa"/>
            <w:vAlign w:val="center"/>
          </w:tcPr>
          <w:p w14:paraId="2DD92173">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墙面垂直度及平整度</w:t>
            </w:r>
          </w:p>
        </w:tc>
        <w:tc>
          <w:tcPr>
            <w:tcW w:w="4079" w:type="dxa"/>
            <w:vAlign w:val="center"/>
          </w:tcPr>
          <w:p w14:paraId="4E7EAF9D">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1、混凝土墙面的质量允许偏差为：垂直度4mm)，平整度4mm，阴阳角方正4mm，阴阳角垂直4mm。</w:t>
            </w:r>
          </w:p>
          <w:p w14:paraId="0BA68C8E">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2、砖墙面砌体质量允许偏差为：垂直度4mm，平整度4mm。</w:t>
            </w:r>
          </w:p>
          <w:p w14:paraId="4914B4EB">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3、抹灰及外保温质量允许偏差：垂直度4mm，平整度4mm，阴阳角垂直度4mm，阴阳角方正4mm。</w:t>
            </w:r>
          </w:p>
        </w:tc>
        <w:tc>
          <w:tcPr>
            <w:tcW w:w="3376" w:type="dxa"/>
            <w:vAlign w:val="center"/>
          </w:tcPr>
          <w:p w14:paraId="43D95D79">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总包提供的尺寸不符合标准的必须整改合格。</w:t>
            </w:r>
          </w:p>
        </w:tc>
      </w:tr>
      <w:tr w14:paraId="4863A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9" w:hRule="atLeast"/>
          <w:jc w:val="center"/>
        </w:trPr>
        <w:tc>
          <w:tcPr>
            <w:tcW w:w="704" w:type="dxa"/>
            <w:vAlign w:val="center"/>
          </w:tcPr>
          <w:p w14:paraId="11EB05CA">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p>
        </w:tc>
        <w:tc>
          <w:tcPr>
            <w:tcW w:w="1798" w:type="dxa"/>
            <w:vAlign w:val="center"/>
          </w:tcPr>
          <w:p w14:paraId="18A36FF8">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垂直运输、施工通道、现有脚手架</w:t>
            </w:r>
          </w:p>
        </w:tc>
        <w:tc>
          <w:tcPr>
            <w:tcW w:w="4079" w:type="dxa"/>
            <w:vAlign w:val="center"/>
          </w:tcPr>
          <w:p w14:paraId="21B679AC">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1、畅通、无障碍。水平施工洞口满足施工水平运输要求。提供现有脚手架。</w:t>
            </w:r>
          </w:p>
        </w:tc>
        <w:tc>
          <w:tcPr>
            <w:tcW w:w="3376" w:type="dxa"/>
            <w:vAlign w:val="center"/>
          </w:tcPr>
          <w:p w14:paraId="4500A694">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此费用已包含在专业工程管理配合费中。</w:t>
            </w:r>
          </w:p>
        </w:tc>
      </w:tr>
      <w:tr w14:paraId="1F998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9" w:hRule="atLeast"/>
          <w:jc w:val="center"/>
        </w:trPr>
        <w:tc>
          <w:tcPr>
            <w:tcW w:w="704" w:type="dxa"/>
            <w:vAlign w:val="center"/>
          </w:tcPr>
          <w:p w14:paraId="3B0B2524">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p>
        </w:tc>
        <w:tc>
          <w:tcPr>
            <w:tcW w:w="1798" w:type="dxa"/>
            <w:vAlign w:val="center"/>
          </w:tcPr>
          <w:p w14:paraId="5FD3A15B">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施工用水用电</w:t>
            </w:r>
          </w:p>
        </w:tc>
        <w:tc>
          <w:tcPr>
            <w:tcW w:w="4079" w:type="dxa"/>
            <w:vAlign w:val="center"/>
          </w:tcPr>
          <w:p w14:paraId="1C936EF9">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1、总包每两层提供一个接电点、提供一个接水点。</w:t>
            </w:r>
          </w:p>
          <w:p w14:paraId="5EAD91F2">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2、提供水电，能够满足分包方施工负荷要求。</w:t>
            </w:r>
          </w:p>
        </w:tc>
        <w:tc>
          <w:tcPr>
            <w:tcW w:w="3376" w:type="dxa"/>
            <w:vAlign w:val="center"/>
          </w:tcPr>
          <w:p w14:paraId="1FD36AB5">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水、电费数量以表读数为准，价格与总包使用水电费价格一致</w:t>
            </w:r>
            <w:r>
              <w:rPr>
                <w:rFonts w:hint="eastAsia" w:ascii="宋体" w:hAnsi="宋体" w:eastAsia="宋体" w:cs="宋体"/>
                <w:color w:val="auto"/>
                <w:sz w:val="21"/>
                <w:szCs w:val="21"/>
                <w:highlight w:val="none"/>
                <w:lang w:val="en-US" w:eastAsia="zh-CN"/>
              </w:rPr>
              <w:t>无法挂表计量的水电费，按照分包工程中标价的1%计取。</w:t>
            </w:r>
          </w:p>
        </w:tc>
      </w:tr>
      <w:tr w14:paraId="5FDA9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704" w:type="dxa"/>
            <w:vAlign w:val="center"/>
          </w:tcPr>
          <w:p w14:paraId="6826A369">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w:t>
            </w:r>
          </w:p>
        </w:tc>
        <w:tc>
          <w:tcPr>
            <w:tcW w:w="1798" w:type="dxa"/>
            <w:vAlign w:val="center"/>
          </w:tcPr>
          <w:p w14:paraId="6329F23B">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现场办公及库房用房</w:t>
            </w:r>
          </w:p>
        </w:tc>
        <w:tc>
          <w:tcPr>
            <w:tcW w:w="4079" w:type="dxa"/>
            <w:vAlign w:val="center"/>
          </w:tcPr>
          <w:p w14:paraId="2A366024">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提供办公用房不低于15平方米，库房约20平方米。</w:t>
            </w:r>
          </w:p>
        </w:tc>
        <w:tc>
          <w:tcPr>
            <w:tcW w:w="3376" w:type="dxa"/>
            <w:vAlign w:val="center"/>
          </w:tcPr>
          <w:p w14:paraId="7DA063AA">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此费用已包含在专业工程管理配合费中。</w:t>
            </w:r>
          </w:p>
        </w:tc>
      </w:tr>
      <w:tr w14:paraId="60167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704" w:type="dxa"/>
            <w:vAlign w:val="center"/>
          </w:tcPr>
          <w:p w14:paraId="3543C09C">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p>
        </w:tc>
        <w:tc>
          <w:tcPr>
            <w:tcW w:w="1798" w:type="dxa"/>
            <w:vAlign w:val="center"/>
          </w:tcPr>
          <w:p w14:paraId="7AE3E112">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提供50线及100线</w:t>
            </w:r>
          </w:p>
        </w:tc>
        <w:tc>
          <w:tcPr>
            <w:tcW w:w="4079" w:type="dxa"/>
            <w:vAlign w:val="center"/>
          </w:tcPr>
          <w:p w14:paraId="410014ED">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总包单位向分包单位每层提供50线及100线。</w:t>
            </w:r>
          </w:p>
        </w:tc>
        <w:tc>
          <w:tcPr>
            <w:tcW w:w="3376" w:type="dxa"/>
            <w:vAlign w:val="center"/>
          </w:tcPr>
          <w:p w14:paraId="3A0D3687">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此费用已包含在专业工程管理配合费中。</w:t>
            </w:r>
          </w:p>
        </w:tc>
      </w:tr>
      <w:tr w14:paraId="26DFB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8" w:hRule="atLeast"/>
          <w:jc w:val="center"/>
        </w:trPr>
        <w:tc>
          <w:tcPr>
            <w:tcW w:w="704" w:type="dxa"/>
            <w:vAlign w:val="center"/>
          </w:tcPr>
          <w:p w14:paraId="12AF1CCA">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w:t>
            </w:r>
          </w:p>
        </w:tc>
        <w:tc>
          <w:tcPr>
            <w:tcW w:w="1798" w:type="dxa"/>
            <w:vAlign w:val="center"/>
          </w:tcPr>
          <w:p w14:paraId="42368858">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建筑垃圾</w:t>
            </w:r>
          </w:p>
        </w:tc>
        <w:tc>
          <w:tcPr>
            <w:tcW w:w="4079" w:type="dxa"/>
            <w:vAlign w:val="center"/>
          </w:tcPr>
          <w:p w14:paraId="2E6202C9">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总包单位向分包单位提供统一垃圾临时堆放点，由分包单位自行清运至临时堆放点，总包单位进行垃圾外运。总包</w:t>
            </w:r>
            <w:r>
              <w:rPr>
                <w:rFonts w:hint="eastAsia" w:ascii="宋体" w:hAnsi="宋体" w:eastAsia="宋体" w:cs="宋体"/>
                <w:color w:val="auto"/>
                <w:sz w:val="21"/>
                <w:szCs w:val="21"/>
                <w:highlight w:val="none"/>
                <w:lang w:val="en-US" w:eastAsia="zh-CN"/>
              </w:rPr>
              <w:t>单位不得额外收取分包单位垃圾费用，若</w:t>
            </w:r>
            <w:r>
              <w:rPr>
                <w:rFonts w:hint="eastAsia" w:ascii="宋体" w:hAnsi="宋体" w:eastAsia="宋体" w:cs="宋体"/>
                <w:color w:val="auto"/>
                <w:sz w:val="21"/>
                <w:szCs w:val="21"/>
                <w:highlight w:val="none"/>
              </w:rPr>
              <w:t>额外收取分包垃圾费</w:t>
            </w:r>
            <w:r>
              <w:rPr>
                <w:rFonts w:hint="eastAsia" w:ascii="宋体" w:hAnsi="宋体" w:eastAsia="宋体" w:cs="宋体"/>
                <w:color w:val="auto"/>
                <w:sz w:val="21"/>
                <w:szCs w:val="21"/>
                <w:highlight w:val="none"/>
                <w:u w:val="single"/>
              </w:rPr>
              <w:t>，按</w:t>
            </w:r>
            <w:r>
              <w:rPr>
                <w:rFonts w:hint="eastAsia" w:ascii="宋体" w:hAnsi="宋体" w:eastAsia="宋体" w:cs="宋体"/>
                <w:color w:val="auto"/>
                <w:sz w:val="21"/>
                <w:szCs w:val="21"/>
                <w:highlight w:val="none"/>
                <w:u w:val="single"/>
                <w:lang w:val="en-US" w:eastAsia="zh-CN"/>
              </w:rPr>
              <w:t>300元/m3从总包结算</w:t>
            </w:r>
            <w:r>
              <w:rPr>
                <w:rFonts w:hint="eastAsia" w:ascii="宋体" w:hAnsi="宋体" w:eastAsia="宋体" w:cs="宋体"/>
                <w:color w:val="auto"/>
                <w:sz w:val="21"/>
                <w:szCs w:val="21"/>
                <w:highlight w:val="none"/>
                <w:u w:val="single"/>
              </w:rPr>
              <w:t>扣除。</w:t>
            </w:r>
          </w:p>
        </w:tc>
        <w:tc>
          <w:tcPr>
            <w:tcW w:w="3376" w:type="dxa"/>
            <w:vAlign w:val="center"/>
          </w:tcPr>
          <w:p w14:paraId="7693D3E3">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分包单位未清理或清理不到位，总包单位有权向分包单位提出书面清理通知，分包单位在接到书面通知后仍无动于衷或清理不干净，由总包单位清理，费用由分包单位承担。</w:t>
            </w:r>
          </w:p>
        </w:tc>
      </w:tr>
      <w:tr w14:paraId="6FF00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9" w:hRule="atLeast"/>
          <w:jc w:val="center"/>
        </w:trPr>
        <w:tc>
          <w:tcPr>
            <w:tcW w:w="704" w:type="dxa"/>
            <w:vAlign w:val="center"/>
          </w:tcPr>
          <w:p w14:paraId="2A574022">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w:t>
            </w:r>
          </w:p>
        </w:tc>
        <w:tc>
          <w:tcPr>
            <w:tcW w:w="1798" w:type="dxa"/>
            <w:vAlign w:val="center"/>
          </w:tcPr>
          <w:p w14:paraId="3FAA3A14">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质量、进度、安全、文明施工、竣工验收数据等管理</w:t>
            </w:r>
          </w:p>
        </w:tc>
        <w:tc>
          <w:tcPr>
            <w:tcW w:w="4079" w:type="dxa"/>
            <w:vAlign w:val="center"/>
          </w:tcPr>
          <w:p w14:paraId="25080302">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总包要监督、检查分包方的质量、进度、安全、文明施工、竣工验收资料等应符合国家相关规定，施工组织和协调，并负责统一竣工验收、备案。</w:t>
            </w:r>
          </w:p>
        </w:tc>
        <w:tc>
          <w:tcPr>
            <w:tcW w:w="3376" w:type="dxa"/>
            <w:vAlign w:val="center"/>
          </w:tcPr>
          <w:p w14:paraId="4EA96D05">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竣工数据归档费已包含在专业工程管理配合费中。</w:t>
            </w:r>
          </w:p>
        </w:tc>
      </w:tr>
      <w:tr w14:paraId="6A989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8" w:hRule="atLeast"/>
          <w:jc w:val="center"/>
        </w:trPr>
        <w:tc>
          <w:tcPr>
            <w:tcW w:w="704" w:type="dxa"/>
            <w:vAlign w:val="center"/>
          </w:tcPr>
          <w:p w14:paraId="4CD5AD79">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8</w:t>
            </w:r>
          </w:p>
        </w:tc>
        <w:tc>
          <w:tcPr>
            <w:tcW w:w="1798" w:type="dxa"/>
            <w:vAlign w:val="center"/>
          </w:tcPr>
          <w:p w14:paraId="7EEF793F">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成品保护</w:t>
            </w:r>
          </w:p>
        </w:tc>
        <w:tc>
          <w:tcPr>
            <w:tcW w:w="4079" w:type="dxa"/>
            <w:vAlign w:val="center"/>
          </w:tcPr>
          <w:p w14:paraId="21478001">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1、分包单位施工内容全部结束，分包单位在经发包人及监理验收前应自行负责成品保护的责任。</w:t>
            </w:r>
          </w:p>
          <w:p w14:paraId="346BF897">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2、经发包人及监理验收合格，在向物业移交前总包单位应担负其成品保护的责任。</w:t>
            </w:r>
          </w:p>
        </w:tc>
        <w:tc>
          <w:tcPr>
            <w:tcW w:w="3376" w:type="dxa"/>
            <w:vAlign w:val="center"/>
          </w:tcPr>
          <w:p w14:paraId="305DD500">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此费用已包含在专业工程管理配合费中。</w:t>
            </w:r>
          </w:p>
        </w:tc>
      </w:tr>
      <w:tr w14:paraId="2A5C5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04" w:type="dxa"/>
            <w:vAlign w:val="center"/>
          </w:tcPr>
          <w:p w14:paraId="4EF61AC9">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9</w:t>
            </w:r>
          </w:p>
        </w:tc>
        <w:tc>
          <w:tcPr>
            <w:tcW w:w="1798" w:type="dxa"/>
            <w:vAlign w:val="center"/>
          </w:tcPr>
          <w:p w14:paraId="16EA4E5B">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交工清理</w:t>
            </w:r>
          </w:p>
        </w:tc>
        <w:tc>
          <w:tcPr>
            <w:tcW w:w="4079" w:type="dxa"/>
            <w:vAlign w:val="center"/>
          </w:tcPr>
          <w:p w14:paraId="33B4646D">
            <w:pPr>
              <w:pStyle w:val="17"/>
              <w:keepNext w:val="0"/>
              <w:keepLines w:val="0"/>
              <w:suppressLineNumbers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kern w:val="2"/>
                <w:sz w:val="21"/>
                <w:szCs w:val="21"/>
                <w:highlight w:val="none"/>
                <w:lang w:val="en-US" w:eastAsia="zh-CN" w:bidi="ar-SA"/>
              </w:rPr>
              <w:t>竣工验收及移交物业时,总包单位均应负责清理外墙表面污染，直至符合交工条件。</w:t>
            </w:r>
          </w:p>
        </w:tc>
        <w:tc>
          <w:tcPr>
            <w:tcW w:w="3376" w:type="dxa"/>
            <w:vAlign w:val="center"/>
          </w:tcPr>
          <w:p w14:paraId="004D6488">
            <w:pPr>
              <w:keepNext w:val="0"/>
              <w:keepLines w:val="0"/>
              <w:suppressLineNumbers w:val="0"/>
              <w:adjustRightInd w:val="0"/>
              <w:snapToGrid w:val="0"/>
              <w:spacing w:before="0" w:beforeAutospacing="0" w:after="0" w:afterAutospacing="0" w:line="360" w:lineRule="auto"/>
              <w:ind w:left="0" w:right="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此费用已包含在专业工程管理配合费中。</w:t>
            </w:r>
          </w:p>
        </w:tc>
      </w:tr>
    </w:tbl>
    <w:p w14:paraId="24CCB7F5">
      <w:pPr>
        <w:adjustRightInd w:val="0"/>
        <w:snapToGrid w:val="0"/>
        <w:outlineLvl w:val="9"/>
        <w:rPr>
          <w:rFonts w:cs="宋体" w:asciiTheme="minorEastAsia" w:hAnsiTheme="minorEastAsia" w:eastAsiaTheme="minorEastAsia"/>
          <w:color w:val="auto"/>
          <w:sz w:val="24"/>
          <w:highlight w:val="none"/>
        </w:rPr>
      </w:pPr>
      <w:r>
        <w:rPr>
          <w:rFonts w:cs="宋体" w:asciiTheme="minorEastAsia" w:hAnsiTheme="minorEastAsia" w:eastAsiaTheme="minorEastAsia"/>
          <w:color w:val="auto"/>
          <w:sz w:val="24"/>
          <w:highlight w:val="none"/>
        </w:rPr>
        <w:br w:type="page"/>
      </w:r>
      <w:r>
        <w:rPr>
          <w:rFonts w:hint="eastAsia" w:cs="宋体" w:asciiTheme="minorEastAsia" w:hAnsiTheme="minorEastAsia" w:eastAsiaTheme="minorEastAsia"/>
          <w:color w:val="auto"/>
          <w:sz w:val="21"/>
          <w:szCs w:val="21"/>
          <w:highlight w:val="none"/>
          <w:lang w:val="en-US" w:eastAsia="zh-CN"/>
        </w:rPr>
        <w:t>三</w:t>
      </w:r>
      <w:r>
        <w:rPr>
          <w:rFonts w:hint="eastAsia" w:cs="宋体" w:asciiTheme="minorEastAsia" w:hAnsiTheme="minorEastAsia" w:eastAsiaTheme="minorEastAsia"/>
          <w:color w:val="auto"/>
          <w:sz w:val="21"/>
          <w:szCs w:val="21"/>
          <w:highlight w:val="none"/>
        </w:rPr>
        <w:t>、总包对栏杆及钢结构工程的管理配合内容：</w:t>
      </w:r>
    </w:p>
    <w:tbl>
      <w:tblPr>
        <w:tblStyle w:val="56"/>
        <w:tblW w:w="101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1"/>
        <w:gridCol w:w="1701"/>
        <w:gridCol w:w="4111"/>
        <w:gridCol w:w="3555"/>
      </w:tblGrid>
      <w:tr w14:paraId="214AB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751" w:type="dxa"/>
            <w:vAlign w:val="center"/>
          </w:tcPr>
          <w:p w14:paraId="1312B5F8">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序号</w:t>
            </w:r>
          </w:p>
        </w:tc>
        <w:tc>
          <w:tcPr>
            <w:tcW w:w="1701" w:type="dxa"/>
            <w:vAlign w:val="center"/>
          </w:tcPr>
          <w:p w14:paraId="7F372EFE">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配合内容</w:t>
            </w:r>
          </w:p>
        </w:tc>
        <w:tc>
          <w:tcPr>
            <w:tcW w:w="4111" w:type="dxa"/>
            <w:vAlign w:val="center"/>
          </w:tcPr>
          <w:p w14:paraId="6B545D22">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标准</w:t>
            </w:r>
          </w:p>
        </w:tc>
        <w:tc>
          <w:tcPr>
            <w:tcW w:w="3555" w:type="dxa"/>
            <w:vAlign w:val="center"/>
          </w:tcPr>
          <w:p w14:paraId="6573185A">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备注</w:t>
            </w:r>
          </w:p>
        </w:tc>
      </w:tr>
      <w:tr w14:paraId="1D8FB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751" w:type="dxa"/>
            <w:vAlign w:val="center"/>
          </w:tcPr>
          <w:p w14:paraId="65D03FA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p>
        </w:tc>
        <w:tc>
          <w:tcPr>
            <w:tcW w:w="1701" w:type="dxa"/>
            <w:vAlign w:val="center"/>
          </w:tcPr>
          <w:p w14:paraId="391ADDB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洞口尺寸</w:t>
            </w:r>
          </w:p>
        </w:tc>
        <w:tc>
          <w:tcPr>
            <w:tcW w:w="4111" w:type="dxa"/>
            <w:vAlign w:val="center"/>
          </w:tcPr>
          <w:p w14:paraId="125ABF6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与设计图示尺寸误差±0.5mm。</w:t>
            </w:r>
          </w:p>
        </w:tc>
        <w:tc>
          <w:tcPr>
            <w:tcW w:w="3555" w:type="dxa"/>
            <w:vAlign w:val="center"/>
          </w:tcPr>
          <w:p w14:paraId="77F81B3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总包提供的尺寸不符合标准的必须整改合格。</w:t>
            </w:r>
          </w:p>
        </w:tc>
      </w:tr>
      <w:tr w14:paraId="0011F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7" w:hRule="atLeast"/>
          <w:jc w:val="center"/>
        </w:trPr>
        <w:tc>
          <w:tcPr>
            <w:tcW w:w="751" w:type="dxa"/>
            <w:vAlign w:val="center"/>
          </w:tcPr>
          <w:p w14:paraId="119D91B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w:t>
            </w:r>
          </w:p>
        </w:tc>
        <w:tc>
          <w:tcPr>
            <w:tcW w:w="1701" w:type="dxa"/>
            <w:vAlign w:val="center"/>
          </w:tcPr>
          <w:p w14:paraId="671CE28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垂直运输及施工通道</w:t>
            </w:r>
          </w:p>
        </w:tc>
        <w:tc>
          <w:tcPr>
            <w:tcW w:w="4111" w:type="dxa"/>
            <w:vAlign w:val="center"/>
          </w:tcPr>
          <w:p w14:paraId="229716F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畅通、无障碍。楼内水平施工洞口满足施工水平运输要求。提供现有脚手架。</w:t>
            </w:r>
          </w:p>
        </w:tc>
        <w:tc>
          <w:tcPr>
            <w:tcW w:w="3555" w:type="dxa"/>
            <w:vAlign w:val="center"/>
          </w:tcPr>
          <w:p w14:paraId="3CCE279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2C01D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7" w:hRule="atLeast"/>
          <w:jc w:val="center"/>
        </w:trPr>
        <w:tc>
          <w:tcPr>
            <w:tcW w:w="751" w:type="dxa"/>
            <w:vAlign w:val="center"/>
          </w:tcPr>
          <w:p w14:paraId="7336D43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w:t>
            </w:r>
          </w:p>
        </w:tc>
        <w:tc>
          <w:tcPr>
            <w:tcW w:w="1701" w:type="dxa"/>
            <w:vAlign w:val="center"/>
          </w:tcPr>
          <w:p w14:paraId="5DD9C73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用水用电</w:t>
            </w:r>
          </w:p>
        </w:tc>
        <w:tc>
          <w:tcPr>
            <w:tcW w:w="4111" w:type="dxa"/>
            <w:vAlign w:val="center"/>
          </w:tcPr>
          <w:p w14:paraId="674BD83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1、总包每三层提供一个接电点、提供一个接水点。</w:t>
            </w:r>
          </w:p>
          <w:p w14:paraId="09820CA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2、提供水电，能够满足分包方施工负荷要求。</w:t>
            </w:r>
          </w:p>
        </w:tc>
        <w:tc>
          <w:tcPr>
            <w:tcW w:w="3555" w:type="dxa"/>
            <w:vAlign w:val="center"/>
          </w:tcPr>
          <w:p w14:paraId="1A9EB9F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水、电费数量以表读数为准，价格与总包使用水电费价格一致。</w:t>
            </w:r>
            <w:r>
              <w:rPr>
                <w:rFonts w:hint="eastAsia" w:cs="宋体" w:asciiTheme="minorEastAsia" w:hAnsiTheme="minorEastAsia" w:eastAsiaTheme="minorEastAsia"/>
                <w:color w:val="auto"/>
                <w:sz w:val="21"/>
                <w:szCs w:val="21"/>
                <w:highlight w:val="none"/>
                <w:lang w:val="en-US" w:eastAsia="zh-CN"/>
              </w:rPr>
              <w:t>无法挂表计量的水电费，按照分包工程中标价的1%计取。</w:t>
            </w:r>
          </w:p>
        </w:tc>
      </w:tr>
      <w:tr w14:paraId="6B503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751" w:type="dxa"/>
            <w:vAlign w:val="center"/>
          </w:tcPr>
          <w:p w14:paraId="234D48D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w:t>
            </w:r>
          </w:p>
        </w:tc>
        <w:tc>
          <w:tcPr>
            <w:tcW w:w="1701" w:type="dxa"/>
            <w:vAlign w:val="center"/>
          </w:tcPr>
          <w:p w14:paraId="5D40CC5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提供50线及20线</w:t>
            </w:r>
          </w:p>
        </w:tc>
        <w:tc>
          <w:tcPr>
            <w:tcW w:w="4111" w:type="dxa"/>
            <w:vAlign w:val="center"/>
          </w:tcPr>
          <w:p w14:paraId="7FB8F5B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总包单位向分包单位每层提供50线及20线。</w:t>
            </w:r>
          </w:p>
        </w:tc>
        <w:tc>
          <w:tcPr>
            <w:tcW w:w="3555" w:type="dxa"/>
            <w:vAlign w:val="center"/>
          </w:tcPr>
          <w:p w14:paraId="34C47AC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7A1C1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751" w:type="dxa"/>
            <w:vAlign w:val="center"/>
          </w:tcPr>
          <w:p w14:paraId="79B8920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w:t>
            </w:r>
          </w:p>
        </w:tc>
        <w:tc>
          <w:tcPr>
            <w:tcW w:w="1701" w:type="dxa"/>
            <w:vAlign w:val="center"/>
          </w:tcPr>
          <w:p w14:paraId="2303F4E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现场办公及库房用房</w:t>
            </w:r>
          </w:p>
        </w:tc>
        <w:tc>
          <w:tcPr>
            <w:tcW w:w="4111" w:type="dxa"/>
            <w:vAlign w:val="center"/>
          </w:tcPr>
          <w:p w14:paraId="53DEE99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提供办公用房不低于15平方米，库房约20平方米。</w:t>
            </w:r>
          </w:p>
        </w:tc>
        <w:tc>
          <w:tcPr>
            <w:tcW w:w="3555" w:type="dxa"/>
            <w:vAlign w:val="center"/>
          </w:tcPr>
          <w:p w14:paraId="288C2F4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15623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5" w:hRule="atLeast"/>
          <w:jc w:val="center"/>
        </w:trPr>
        <w:tc>
          <w:tcPr>
            <w:tcW w:w="751" w:type="dxa"/>
            <w:vAlign w:val="center"/>
          </w:tcPr>
          <w:p w14:paraId="39A5087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6</w:t>
            </w:r>
          </w:p>
        </w:tc>
        <w:tc>
          <w:tcPr>
            <w:tcW w:w="1701" w:type="dxa"/>
            <w:vAlign w:val="center"/>
          </w:tcPr>
          <w:p w14:paraId="539B596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建筑垃圾</w:t>
            </w:r>
          </w:p>
        </w:tc>
        <w:tc>
          <w:tcPr>
            <w:tcW w:w="4111" w:type="dxa"/>
            <w:vAlign w:val="center"/>
          </w:tcPr>
          <w:p w14:paraId="650C032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总包单位向分包单位提供统一垃圾临时堆放点，由分包单位自行清运至临时堆放点，总包单位进行垃圾外运。总包</w:t>
            </w:r>
            <w:r>
              <w:rPr>
                <w:rFonts w:hint="eastAsia" w:cs="宋体" w:asciiTheme="minorEastAsia" w:hAnsiTheme="minorEastAsia" w:eastAsiaTheme="minorEastAsia"/>
                <w:color w:val="auto"/>
                <w:sz w:val="21"/>
                <w:szCs w:val="21"/>
                <w:highlight w:val="none"/>
                <w:lang w:val="en-US" w:eastAsia="zh-CN"/>
              </w:rPr>
              <w:t>单位不得额外收取分包单位垃圾费用，若</w:t>
            </w:r>
            <w:r>
              <w:rPr>
                <w:rFonts w:hint="eastAsia" w:cs="宋体" w:asciiTheme="minorEastAsia" w:hAnsiTheme="minorEastAsia" w:eastAsiaTheme="minorEastAsia"/>
                <w:color w:val="auto"/>
                <w:sz w:val="21"/>
                <w:szCs w:val="21"/>
                <w:highlight w:val="none"/>
              </w:rPr>
              <w:t>额外收取分包垃圾费，按</w:t>
            </w:r>
            <w:r>
              <w:rPr>
                <w:rFonts w:hint="eastAsia" w:cs="宋体" w:asciiTheme="minorEastAsia" w:hAnsiTheme="minorEastAsia" w:eastAsiaTheme="minorEastAsia"/>
                <w:color w:val="auto"/>
                <w:sz w:val="21"/>
                <w:szCs w:val="21"/>
                <w:highlight w:val="none"/>
                <w:u w:val="single"/>
                <w:lang w:val="en-US" w:eastAsia="zh-CN"/>
              </w:rPr>
              <w:t>300元/m3从总包结算</w:t>
            </w:r>
            <w:r>
              <w:rPr>
                <w:rFonts w:hint="eastAsia" w:cs="宋体" w:asciiTheme="minorEastAsia" w:hAnsiTheme="minorEastAsia" w:eastAsiaTheme="minorEastAsia"/>
                <w:color w:val="auto"/>
                <w:sz w:val="21"/>
                <w:szCs w:val="21"/>
                <w:highlight w:val="none"/>
                <w:u w:val="single"/>
              </w:rPr>
              <w:t>扣除。</w:t>
            </w:r>
          </w:p>
        </w:tc>
        <w:tc>
          <w:tcPr>
            <w:tcW w:w="3555" w:type="dxa"/>
            <w:vAlign w:val="center"/>
          </w:tcPr>
          <w:p w14:paraId="7A35E15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分包单位未清理或清理不到位，总包单位有权向分包单位提出书面清理通知，分包单位在接到书面通知后仍无动于衷或清理不干净，由总包单位清理，费用由分包单位承担。</w:t>
            </w:r>
          </w:p>
        </w:tc>
      </w:tr>
      <w:tr w14:paraId="6CFBD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7" w:hRule="atLeast"/>
          <w:jc w:val="center"/>
        </w:trPr>
        <w:tc>
          <w:tcPr>
            <w:tcW w:w="751" w:type="dxa"/>
            <w:vAlign w:val="center"/>
          </w:tcPr>
          <w:p w14:paraId="4E17565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7</w:t>
            </w:r>
          </w:p>
        </w:tc>
        <w:tc>
          <w:tcPr>
            <w:tcW w:w="1701" w:type="dxa"/>
            <w:vAlign w:val="center"/>
          </w:tcPr>
          <w:p w14:paraId="56E3867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质量、进度、安全、文明施工、竣工验收数据等管理。</w:t>
            </w:r>
          </w:p>
        </w:tc>
        <w:tc>
          <w:tcPr>
            <w:tcW w:w="4111" w:type="dxa"/>
            <w:vAlign w:val="center"/>
          </w:tcPr>
          <w:p w14:paraId="393F853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总包要监督、检查分包方的质量、进度、安全、文明施工、竣工验收资料等应符合国家相关规定，施工组织和协调，并负责统一竣工验收、备案。</w:t>
            </w:r>
          </w:p>
        </w:tc>
        <w:tc>
          <w:tcPr>
            <w:tcW w:w="3555" w:type="dxa"/>
            <w:vAlign w:val="center"/>
          </w:tcPr>
          <w:p w14:paraId="72CF338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竣工数据归档费已包含在专业工程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39813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5" w:hRule="atLeast"/>
          <w:jc w:val="center"/>
        </w:trPr>
        <w:tc>
          <w:tcPr>
            <w:tcW w:w="751" w:type="dxa"/>
            <w:vAlign w:val="center"/>
          </w:tcPr>
          <w:p w14:paraId="5819CAB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8</w:t>
            </w:r>
          </w:p>
        </w:tc>
        <w:tc>
          <w:tcPr>
            <w:tcW w:w="1701" w:type="dxa"/>
            <w:vAlign w:val="center"/>
          </w:tcPr>
          <w:p w14:paraId="2E27F8E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成品保护</w:t>
            </w:r>
          </w:p>
        </w:tc>
        <w:tc>
          <w:tcPr>
            <w:tcW w:w="4111" w:type="dxa"/>
            <w:vAlign w:val="center"/>
          </w:tcPr>
          <w:p w14:paraId="59C7A15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1、分包单位施工内容全部结束，分包单位在经发包人及监理验收前应自行负责成品保护的责任。</w:t>
            </w:r>
          </w:p>
          <w:p w14:paraId="2F60108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2、经发包人及监理验收合格，在向物业移交前总包单位应担负其成品保护的责任。</w:t>
            </w:r>
          </w:p>
        </w:tc>
        <w:tc>
          <w:tcPr>
            <w:tcW w:w="3555" w:type="dxa"/>
            <w:vAlign w:val="center"/>
          </w:tcPr>
          <w:p w14:paraId="2A45511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37B6E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 w:hRule="atLeast"/>
          <w:jc w:val="center"/>
        </w:trPr>
        <w:tc>
          <w:tcPr>
            <w:tcW w:w="751" w:type="dxa"/>
            <w:vAlign w:val="center"/>
          </w:tcPr>
          <w:p w14:paraId="007226F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9</w:t>
            </w:r>
          </w:p>
        </w:tc>
        <w:tc>
          <w:tcPr>
            <w:tcW w:w="1701" w:type="dxa"/>
            <w:vAlign w:val="center"/>
          </w:tcPr>
          <w:p w14:paraId="6783D8F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交工清理</w:t>
            </w:r>
          </w:p>
        </w:tc>
        <w:tc>
          <w:tcPr>
            <w:tcW w:w="4111" w:type="dxa"/>
            <w:vAlign w:val="center"/>
          </w:tcPr>
          <w:p w14:paraId="3C8C13AD">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竣工验收及移交物业时,总包单位均应负责清理栏杆及钢结构表面，直至符合交工条件。</w:t>
            </w:r>
          </w:p>
        </w:tc>
        <w:tc>
          <w:tcPr>
            <w:tcW w:w="3555" w:type="dxa"/>
            <w:vAlign w:val="center"/>
          </w:tcPr>
          <w:p w14:paraId="583B639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中，其中外口胶施工前，窗框与水泥砂浆基层清理工作由总包单位完成。</w:t>
            </w:r>
          </w:p>
        </w:tc>
      </w:tr>
    </w:tbl>
    <w:p w14:paraId="5CDF44CB">
      <w:pPr>
        <w:adjustRightInd w:val="0"/>
        <w:snapToGrid w:val="0"/>
        <w:outlineLvl w:val="9"/>
        <w:rPr>
          <w:rFonts w:cs="宋体" w:asciiTheme="minorEastAsia" w:hAnsiTheme="minorEastAsia" w:eastAsiaTheme="minorEastAsia"/>
          <w:color w:val="auto"/>
          <w:sz w:val="24"/>
          <w:highlight w:val="none"/>
        </w:rPr>
      </w:pPr>
    </w:p>
    <w:p w14:paraId="675DD6CF">
      <w:pPr>
        <w:adjustRightInd w:val="0"/>
        <w:snapToGrid w:val="0"/>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sz w:val="24"/>
          <w:highlight w:val="none"/>
        </w:rPr>
        <w:br w:type="page"/>
      </w:r>
      <w:r>
        <w:rPr>
          <w:rFonts w:hint="eastAsia" w:cs="宋体" w:asciiTheme="minorEastAsia" w:hAnsiTheme="minorEastAsia" w:eastAsiaTheme="minorEastAsia"/>
          <w:color w:val="auto"/>
          <w:sz w:val="21"/>
          <w:szCs w:val="21"/>
          <w:highlight w:val="none"/>
          <w:lang w:val="en-US" w:eastAsia="zh-CN"/>
        </w:rPr>
        <w:t>四</w:t>
      </w:r>
      <w:r>
        <w:rPr>
          <w:rFonts w:hint="eastAsia" w:cs="宋体" w:asciiTheme="minorEastAsia" w:hAnsiTheme="minorEastAsia" w:eastAsiaTheme="minorEastAsia"/>
          <w:color w:val="auto"/>
          <w:sz w:val="21"/>
          <w:szCs w:val="21"/>
          <w:highlight w:val="none"/>
        </w:rPr>
        <w:t>、总包对电梯的管理配合内容：</w:t>
      </w:r>
    </w:p>
    <w:tbl>
      <w:tblPr>
        <w:tblStyle w:val="56"/>
        <w:tblW w:w="10079"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703"/>
        <w:gridCol w:w="4117"/>
        <w:gridCol w:w="3548"/>
      </w:tblGrid>
      <w:tr w14:paraId="503EF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711" w:type="dxa"/>
            <w:vAlign w:val="center"/>
          </w:tcPr>
          <w:p w14:paraId="6C99DE21">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序号</w:t>
            </w:r>
          </w:p>
        </w:tc>
        <w:tc>
          <w:tcPr>
            <w:tcW w:w="1703" w:type="dxa"/>
            <w:vAlign w:val="center"/>
          </w:tcPr>
          <w:p w14:paraId="284A7523">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配合内容</w:t>
            </w:r>
          </w:p>
        </w:tc>
        <w:tc>
          <w:tcPr>
            <w:tcW w:w="4117" w:type="dxa"/>
            <w:vAlign w:val="center"/>
          </w:tcPr>
          <w:p w14:paraId="67977031">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标准</w:t>
            </w:r>
          </w:p>
        </w:tc>
        <w:tc>
          <w:tcPr>
            <w:tcW w:w="3548" w:type="dxa"/>
            <w:vAlign w:val="center"/>
          </w:tcPr>
          <w:p w14:paraId="5E145AE4">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备注</w:t>
            </w:r>
          </w:p>
        </w:tc>
      </w:tr>
      <w:tr w14:paraId="126E4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4" w:hRule="atLeast"/>
        </w:trPr>
        <w:tc>
          <w:tcPr>
            <w:tcW w:w="711" w:type="dxa"/>
            <w:vAlign w:val="center"/>
          </w:tcPr>
          <w:p w14:paraId="671834A0">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p>
        </w:tc>
        <w:tc>
          <w:tcPr>
            <w:tcW w:w="1703" w:type="dxa"/>
            <w:vAlign w:val="center"/>
          </w:tcPr>
          <w:p w14:paraId="62EFA5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jc w:val="center"/>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电梯井道尺寸</w:t>
            </w:r>
          </w:p>
        </w:tc>
        <w:tc>
          <w:tcPr>
            <w:tcW w:w="4117" w:type="dxa"/>
            <w:vAlign w:val="center"/>
          </w:tcPr>
          <w:p w14:paraId="778EC3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1、井道垂直度（≤H/1000且≤30mm）。</w:t>
            </w:r>
          </w:p>
          <w:p w14:paraId="4C22FA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2、砼墙面平整度（4mm）。</w:t>
            </w:r>
          </w:p>
          <w:p w14:paraId="6B5036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3、圈梁位置误差（±10mm（竖向），水平方向：8mm）。</w:t>
            </w:r>
          </w:p>
          <w:p w14:paraId="353951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240" w:right="0" w:hanging="210" w:hangingChars="10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4、井道长宽方向尺寸（0，+25mm）。</w:t>
            </w:r>
          </w:p>
          <w:p w14:paraId="639F90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240" w:right="0" w:hanging="210" w:hangingChars="10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5、底坑深度按图纸及规范要求。</w:t>
            </w:r>
          </w:p>
        </w:tc>
        <w:tc>
          <w:tcPr>
            <w:tcW w:w="3548" w:type="dxa"/>
            <w:vAlign w:val="center"/>
          </w:tcPr>
          <w:p w14:paraId="0CCA28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总包提供的尺寸不符合标准的必须整改合格。</w:t>
            </w:r>
          </w:p>
        </w:tc>
      </w:tr>
      <w:tr w14:paraId="01840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trPr>
        <w:tc>
          <w:tcPr>
            <w:tcW w:w="711" w:type="dxa"/>
            <w:vAlign w:val="center"/>
          </w:tcPr>
          <w:p w14:paraId="28D97AE5">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w:t>
            </w:r>
          </w:p>
        </w:tc>
        <w:tc>
          <w:tcPr>
            <w:tcW w:w="1703" w:type="dxa"/>
            <w:vAlign w:val="center"/>
          </w:tcPr>
          <w:p w14:paraId="20A51F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jc w:val="center"/>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垂直运输、施工通道、现有脚手架</w:t>
            </w:r>
          </w:p>
        </w:tc>
        <w:tc>
          <w:tcPr>
            <w:tcW w:w="4117" w:type="dxa"/>
            <w:vAlign w:val="center"/>
          </w:tcPr>
          <w:p w14:paraId="645E3E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畅通、无障碍。提供现有脚手架（总包垂直运输设备拆除除外）。</w:t>
            </w:r>
          </w:p>
        </w:tc>
        <w:tc>
          <w:tcPr>
            <w:tcW w:w="3548" w:type="dxa"/>
            <w:vAlign w:val="center"/>
          </w:tcPr>
          <w:p w14:paraId="4E76FA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1CB39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9" w:hRule="atLeast"/>
        </w:trPr>
        <w:tc>
          <w:tcPr>
            <w:tcW w:w="711" w:type="dxa"/>
            <w:vAlign w:val="center"/>
          </w:tcPr>
          <w:p w14:paraId="276F3CA7">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w:t>
            </w:r>
          </w:p>
        </w:tc>
        <w:tc>
          <w:tcPr>
            <w:tcW w:w="1703" w:type="dxa"/>
            <w:vAlign w:val="center"/>
          </w:tcPr>
          <w:p w14:paraId="176A29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jc w:val="center"/>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用水用电</w:t>
            </w:r>
          </w:p>
        </w:tc>
        <w:tc>
          <w:tcPr>
            <w:tcW w:w="4117" w:type="dxa"/>
            <w:vAlign w:val="center"/>
          </w:tcPr>
          <w:p w14:paraId="1CB3BC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1、总包机房层及每三层提供接电点，分包单位自行装表。</w:t>
            </w:r>
          </w:p>
          <w:p w14:paraId="278DCE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2、提供水电，能够满足分包方施工负荷要求。</w:t>
            </w:r>
          </w:p>
        </w:tc>
        <w:tc>
          <w:tcPr>
            <w:tcW w:w="3548" w:type="dxa"/>
            <w:vAlign w:val="center"/>
          </w:tcPr>
          <w:p w14:paraId="76187D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水、电费数量以表读数为准，价格与总包使用水电费价格一致。</w:t>
            </w:r>
            <w:r>
              <w:rPr>
                <w:rFonts w:hint="eastAsia" w:cs="宋体" w:asciiTheme="minorEastAsia" w:hAnsiTheme="minorEastAsia" w:eastAsiaTheme="minorEastAsia"/>
                <w:color w:val="auto"/>
                <w:sz w:val="21"/>
                <w:szCs w:val="21"/>
                <w:highlight w:val="none"/>
                <w:lang w:val="en-US" w:eastAsia="zh-CN"/>
              </w:rPr>
              <w:t>无法挂表计量的水电费，按照分包工程中标价的1%计取。</w:t>
            </w:r>
          </w:p>
        </w:tc>
      </w:tr>
      <w:tr w14:paraId="042E0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11" w:type="dxa"/>
            <w:vAlign w:val="center"/>
          </w:tcPr>
          <w:p w14:paraId="19EE5789">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w:t>
            </w:r>
          </w:p>
        </w:tc>
        <w:tc>
          <w:tcPr>
            <w:tcW w:w="1703" w:type="dxa"/>
            <w:vAlign w:val="center"/>
          </w:tcPr>
          <w:p w14:paraId="0BEDC5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jc w:val="center"/>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现场办公及库房用房</w:t>
            </w:r>
          </w:p>
        </w:tc>
        <w:tc>
          <w:tcPr>
            <w:tcW w:w="4117" w:type="dxa"/>
            <w:vAlign w:val="center"/>
          </w:tcPr>
          <w:p w14:paraId="2D2214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提供库房约50平方米。</w:t>
            </w:r>
          </w:p>
        </w:tc>
        <w:tc>
          <w:tcPr>
            <w:tcW w:w="3548" w:type="dxa"/>
            <w:vAlign w:val="center"/>
          </w:tcPr>
          <w:p w14:paraId="75C7C0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69638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11" w:type="dxa"/>
            <w:vAlign w:val="center"/>
          </w:tcPr>
          <w:p w14:paraId="458E6F3E">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w:t>
            </w:r>
          </w:p>
        </w:tc>
        <w:tc>
          <w:tcPr>
            <w:tcW w:w="1703" w:type="dxa"/>
            <w:vAlign w:val="center"/>
          </w:tcPr>
          <w:p w14:paraId="374F04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jc w:val="center"/>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特殊的安全配合</w:t>
            </w:r>
          </w:p>
        </w:tc>
        <w:tc>
          <w:tcPr>
            <w:tcW w:w="4117" w:type="dxa"/>
            <w:vAlign w:val="center"/>
          </w:tcPr>
          <w:p w14:paraId="01FEA0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所有层门预留孔必须设置不低于1.2米高的安全保护，且应有足够的强度。</w:t>
            </w:r>
          </w:p>
        </w:tc>
        <w:tc>
          <w:tcPr>
            <w:tcW w:w="3548" w:type="dxa"/>
            <w:vAlign w:val="center"/>
          </w:tcPr>
          <w:p w14:paraId="77AADE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当电梯厅门安装好以后才能拆除。</w:t>
            </w:r>
          </w:p>
        </w:tc>
      </w:tr>
      <w:tr w14:paraId="12E20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trPr>
        <w:tc>
          <w:tcPr>
            <w:tcW w:w="711" w:type="dxa"/>
            <w:vAlign w:val="center"/>
          </w:tcPr>
          <w:p w14:paraId="3ADDBB6B">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6</w:t>
            </w:r>
          </w:p>
        </w:tc>
        <w:tc>
          <w:tcPr>
            <w:tcW w:w="1703" w:type="dxa"/>
            <w:vAlign w:val="center"/>
          </w:tcPr>
          <w:p w14:paraId="6C2C1C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jc w:val="center"/>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工作面移交</w:t>
            </w:r>
          </w:p>
        </w:tc>
        <w:tc>
          <w:tcPr>
            <w:tcW w:w="4117" w:type="dxa"/>
            <w:vAlign w:val="center"/>
          </w:tcPr>
          <w:p w14:paraId="402C6626">
            <w:pPr>
              <w:keepNext w:val="0"/>
              <w:keepLines w:val="0"/>
              <w:pageBreakBefore w:val="0"/>
              <w:widowControl w:val="0"/>
              <w:suppressLineNumbers w:val="0"/>
              <w:tabs>
                <w:tab w:val="left" w:pos="360"/>
              </w:tabs>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1、总包负责对底坑垃圾清理到位。</w:t>
            </w:r>
          </w:p>
          <w:p w14:paraId="3AD56BB9">
            <w:pPr>
              <w:keepNext w:val="0"/>
              <w:keepLines w:val="0"/>
              <w:pageBreakBefore w:val="0"/>
              <w:widowControl w:val="0"/>
              <w:suppressLineNumbers w:val="0"/>
              <w:tabs>
                <w:tab w:val="left" w:pos="360"/>
              </w:tabs>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2、电梯机房卫生、门等内容的配合。</w:t>
            </w:r>
          </w:p>
          <w:p w14:paraId="3C31C409">
            <w:pPr>
              <w:keepNext w:val="0"/>
              <w:keepLines w:val="0"/>
              <w:pageBreakBefore w:val="0"/>
              <w:widowControl w:val="0"/>
              <w:suppressLineNumbers w:val="0"/>
              <w:tabs>
                <w:tab w:val="left" w:pos="360"/>
              </w:tabs>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3、其它土建配合。</w:t>
            </w:r>
          </w:p>
        </w:tc>
        <w:tc>
          <w:tcPr>
            <w:tcW w:w="3548" w:type="dxa"/>
            <w:vAlign w:val="center"/>
          </w:tcPr>
          <w:p w14:paraId="76D7AC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73F95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11" w:type="dxa"/>
            <w:vAlign w:val="center"/>
          </w:tcPr>
          <w:p w14:paraId="5E705A24">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7</w:t>
            </w:r>
          </w:p>
        </w:tc>
        <w:tc>
          <w:tcPr>
            <w:tcW w:w="1703" w:type="dxa"/>
            <w:vAlign w:val="center"/>
          </w:tcPr>
          <w:p w14:paraId="209DF1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jc w:val="center"/>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提供50线</w:t>
            </w:r>
          </w:p>
        </w:tc>
        <w:tc>
          <w:tcPr>
            <w:tcW w:w="4117" w:type="dxa"/>
            <w:vAlign w:val="center"/>
          </w:tcPr>
          <w:p w14:paraId="4E9963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总包单位向分包单位每层提供50线。</w:t>
            </w:r>
          </w:p>
        </w:tc>
        <w:tc>
          <w:tcPr>
            <w:tcW w:w="3548" w:type="dxa"/>
            <w:vAlign w:val="center"/>
          </w:tcPr>
          <w:p w14:paraId="0D9C2E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1697E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4" w:hRule="atLeast"/>
        </w:trPr>
        <w:tc>
          <w:tcPr>
            <w:tcW w:w="711" w:type="dxa"/>
            <w:vAlign w:val="center"/>
          </w:tcPr>
          <w:p w14:paraId="7E9E52AF">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8</w:t>
            </w:r>
          </w:p>
        </w:tc>
        <w:tc>
          <w:tcPr>
            <w:tcW w:w="1703" w:type="dxa"/>
            <w:vAlign w:val="center"/>
          </w:tcPr>
          <w:p w14:paraId="1F670A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jc w:val="center"/>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建筑垃圾</w:t>
            </w:r>
          </w:p>
        </w:tc>
        <w:tc>
          <w:tcPr>
            <w:tcW w:w="4117" w:type="dxa"/>
            <w:vAlign w:val="center"/>
          </w:tcPr>
          <w:p w14:paraId="4EE3EE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总包单位向分包单位提供统一垃圾临时堆放点，由分包单位自行清运至临时堆放点，总包单位进行垃圾外运。总包</w:t>
            </w:r>
            <w:r>
              <w:rPr>
                <w:rFonts w:hint="eastAsia" w:cs="宋体" w:asciiTheme="minorEastAsia" w:hAnsiTheme="minorEastAsia" w:eastAsiaTheme="minorEastAsia"/>
                <w:color w:val="auto"/>
                <w:sz w:val="21"/>
                <w:szCs w:val="21"/>
                <w:highlight w:val="none"/>
                <w:lang w:val="en-US" w:eastAsia="zh-CN"/>
              </w:rPr>
              <w:t>单位不得额外收取分包单位垃圾费用，若</w:t>
            </w:r>
            <w:r>
              <w:rPr>
                <w:rFonts w:hint="eastAsia" w:cs="宋体" w:asciiTheme="minorEastAsia" w:hAnsiTheme="minorEastAsia" w:eastAsiaTheme="minorEastAsia"/>
                <w:color w:val="auto"/>
                <w:sz w:val="21"/>
                <w:szCs w:val="21"/>
                <w:highlight w:val="none"/>
              </w:rPr>
              <w:t>额外收取分包垃圾费，按</w:t>
            </w:r>
            <w:r>
              <w:rPr>
                <w:rFonts w:hint="eastAsia" w:cs="宋体" w:asciiTheme="minorEastAsia" w:hAnsiTheme="minorEastAsia" w:eastAsiaTheme="minorEastAsia"/>
                <w:color w:val="auto"/>
                <w:sz w:val="21"/>
                <w:szCs w:val="21"/>
                <w:highlight w:val="none"/>
                <w:u w:val="single"/>
                <w:lang w:val="en-US" w:eastAsia="zh-CN"/>
              </w:rPr>
              <w:t>300元/m3从总包结算</w:t>
            </w:r>
            <w:r>
              <w:rPr>
                <w:rFonts w:hint="eastAsia" w:cs="宋体" w:asciiTheme="minorEastAsia" w:hAnsiTheme="minorEastAsia" w:eastAsiaTheme="minorEastAsia"/>
                <w:color w:val="auto"/>
                <w:sz w:val="21"/>
                <w:szCs w:val="21"/>
                <w:highlight w:val="none"/>
                <w:u w:val="single"/>
              </w:rPr>
              <w:t>扣除。</w:t>
            </w:r>
          </w:p>
        </w:tc>
        <w:tc>
          <w:tcPr>
            <w:tcW w:w="3548" w:type="dxa"/>
            <w:vAlign w:val="center"/>
          </w:tcPr>
          <w:p w14:paraId="381A8A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分包单位未清理或清理不到位，总包单位有权向分包单位提出书面清理通知，分包单位在接到书面通知后仍无动于衷或清理不干净，由总包单位清理，费用由分包单位承担。</w:t>
            </w:r>
          </w:p>
        </w:tc>
      </w:tr>
      <w:tr w14:paraId="23B5E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9" w:hRule="atLeast"/>
        </w:trPr>
        <w:tc>
          <w:tcPr>
            <w:tcW w:w="711" w:type="dxa"/>
            <w:vAlign w:val="center"/>
          </w:tcPr>
          <w:p w14:paraId="5EC31493">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9</w:t>
            </w:r>
          </w:p>
        </w:tc>
        <w:tc>
          <w:tcPr>
            <w:tcW w:w="1703" w:type="dxa"/>
            <w:vAlign w:val="center"/>
          </w:tcPr>
          <w:p w14:paraId="4BA64C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jc w:val="center"/>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质量、进度、安全、文明施工、竣工验收数据等管理。</w:t>
            </w:r>
          </w:p>
        </w:tc>
        <w:tc>
          <w:tcPr>
            <w:tcW w:w="4117" w:type="dxa"/>
            <w:vAlign w:val="center"/>
          </w:tcPr>
          <w:p w14:paraId="3AF6CA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总包要监督、检查分包方的质量、进度、安全、文明施工、竣工验收资料等应符合国家相关规定，施工组织和协调，并负责统一竣工验收、备案。</w:t>
            </w:r>
          </w:p>
        </w:tc>
        <w:tc>
          <w:tcPr>
            <w:tcW w:w="3548" w:type="dxa"/>
            <w:vAlign w:val="center"/>
          </w:tcPr>
          <w:p w14:paraId="70107D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竣工数据归档费已包含在专业工程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246AA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4" w:hRule="atLeast"/>
        </w:trPr>
        <w:tc>
          <w:tcPr>
            <w:tcW w:w="711" w:type="dxa"/>
            <w:vAlign w:val="center"/>
          </w:tcPr>
          <w:p w14:paraId="41AE3A20">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10</w:t>
            </w:r>
          </w:p>
        </w:tc>
        <w:tc>
          <w:tcPr>
            <w:tcW w:w="1703" w:type="dxa"/>
            <w:vAlign w:val="center"/>
          </w:tcPr>
          <w:p w14:paraId="5E8E78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jc w:val="center"/>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成品保护</w:t>
            </w:r>
          </w:p>
        </w:tc>
        <w:tc>
          <w:tcPr>
            <w:tcW w:w="4117" w:type="dxa"/>
            <w:vAlign w:val="center"/>
          </w:tcPr>
          <w:p w14:paraId="5FA4D0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1、分包单位施工内容全部结束，分包单位在经发包人及监理验收前应自行负责成品保护的责任。</w:t>
            </w:r>
          </w:p>
          <w:p w14:paraId="724250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2、经发包人及监理验收合格，在向物业移交前总包单位应担负其成品保护的责任。</w:t>
            </w:r>
          </w:p>
        </w:tc>
        <w:tc>
          <w:tcPr>
            <w:tcW w:w="3548" w:type="dxa"/>
            <w:vAlign w:val="center"/>
          </w:tcPr>
          <w:p w14:paraId="2374B8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1274D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711" w:type="dxa"/>
            <w:vAlign w:val="center"/>
          </w:tcPr>
          <w:p w14:paraId="049505A2">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11</w:t>
            </w:r>
          </w:p>
        </w:tc>
        <w:tc>
          <w:tcPr>
            <w:tcW w:w="1703" w:type="dxa"/>
            <w:vAlign w:val="center"/>
          </w:tcPr>
          <w:p w14:paraId="03AE903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jc w:val="center"/>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交工清理</w:t>
            </w:r>
          </w:p>
        </w:tc>
        <w:tc>
          <w:tcPr>
            <w:tcW w:w="4117" w:type="dxa"/>
            <w:vAlign w:val="center"/>
          </w:tcPr>
          <w:p w14:paraId="40B460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总包单位应负责清理电梯表面的污染及机房，直至符合交工条件。</w:t>
            </w:r>
          </w:p>
        </w:tc>
        <w:tc>
          <w:tcPr>
            <w:tcW w:w="3548" w:type="dxa"/>
            <w:vAlign w:val="center"/>
          </w:tcPr>
          <w:p w14:paraId="1F758A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88" w:lineRule="auto"/>
              <w:ind w:left="0" w:right="0"/>
              <w:textAlignment w:val="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bl>
    <w:p w14:paraId="5361C522">
      <w:pPr>
        <w:adjustRightInd w:val="0"/>
        <w:snapToGrid w:val="0"/>
        <w:outlineLvl w:val="9"/>
        <w:rPr>
          <w:rFonts w:cs="宋体" w:asciiTheme="minorEastAsia" w:hAnsiTheme="minorEastAsia" w:eastAsiaTheme="minorEastAsia"/>
          <w:color w:val="auto"/>
          <w:sz w:val="24"/>
          <w:highlight w:val="none"/>
        </w:rPr>
      </w:pPr>
    </w:p>
    <w:p w14:paraId="7FA4FBF4">
      <w:pPr>
        <w:pStyle w:val="109"/>
        <w:adjustRightInd w:val="0"/>
        <w:snapToGrid w:val="0"/>
        <w:outlineLvl w:val="9"/>
        <w:rPr>
          <w:rFonts w:asciiTheme="minorEastAsia" w:hAnsiTheme="minorEastAsia" w:eastAsiaTheme="minorEastAsia"/>
          <w:color w:val="auto"/>
          <w:highlight w:val="none"/>
        </w:rPr>
      </w:pPr>
      <w:r>
        <w:rPr>
          <w:rFonts w:asciiTheme="minorEastAsia" w:hAnsiTheme="minorEastAsia" w:eastAsiaTheme="minorEastAsia"/>
          <w:color w:val="auto"/>
          <w:highlight w:val="none"/>
        </w:rPr>
        <w:br w:type="page"/>
      </w:r>
      <w:r>
        <w:rPr>
          <w:rFonts w:hint="eastAsia" w:cs="宋体" w:asciiTheme="minorEastAsia" w:hAnsiTheme="minorEastAsia" w:eastAsiaTheme="minorEastAsia"/>
          <w:color w:val="auto"/>
          <w:sz w:val="21"/>
          <w:szCs w:val="21"/>
          <w:highlight w:val="none"/>
          <w:lang w:val="en-US" w:eastAsia="zh-CN"/>
        </w:rPr>
        <w:t>五</w:t>
      </w:r>
      <w:r>
        <w:rPr>
          <w:rFonts w:hint="eastAsia" w:cs="宋体" w:asciiTheme="minorEastAsia" w:hAnsiTheme="minorEastAsia" w:eastAsiaTheme="minorEastAsia"/>
          <w:color w:val="auto"/>
          <w:sz w:val="21"/>
          <w:szCs w:val="21"/>
          <w:highlight w:val="none"/>
        </w:rPr>
        <w:t>、总包对公区装修工程的管理配合内容：</w:t>
      </w:r>
    </w:p>
    <w:tbl>
      <w:tblPr>
        <w:tblStyle w:val="56"/>
        <w:tblW w:w="9959" w:type="dxa"/>
        <w:tblInd w:w="-31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02"/>
        <w:gridCol w:w="1683"/>
        <w:gridCol w:w="4068"/>
        <w:gridCol w:w="3506"/>
      </w:tblGrid>
      <w:tr w14:paraId="7DC6AF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7" w:hRule="atLeast"/>
        </w:trPr>
        <w:tc>
          <w:tcPr>
            <w:tcW w:w="702" w:type="dxa"/>
            <w:vAlign w:val="center"/>
          </w:tcPr>
          <w:p w14:paraId="66863C4E">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序号</w:t>
            </w:r>
          </w:p>
        </w:tc>
        <w:tc>
          <w:tcPr>
            <w:tcW w:w="1683" w:type="dxa"/>
            <w:vAlign w:val="center"/>
          </w:tcPr>
          <w:p w14:paraId="0FF48E58">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配合内容</w:t>
            </w:r>
          </w:p>
        </w:tc>
        <w:tc>
          <w:tcPr>
            <w:tcW w:w="4068" w:type="dxa"/>
            <w:vAlign w:val="center"/>
          </w:tcPr>
          <w:p w14:paraId="17C76432">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标准</w:t>
            </w:r>
          </w:p>
        </w:tc>
        <w:tc>
          <w:tcPr>
            <w:tcW w:w="3506" w:type="dxa"/>
            <w:vAlign w:val="center"/>
          </w:tcPr>
          <w:p w14:paraId="20630326">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备注</w:t>
            </w:r>
          </w:p>
        </w:tc>
      </w:tr>
      <w:tr w14:paraId="5FB6ED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1" w:hRule="atLeast"/>
        </w:trPr>
        <w:tc>
          <w:tcPr>
            <w:tcW w:w="702" w:type="dxa"/>
            <w:vAlign w:val="center"/>
          </w:tcPr>
          <w:p w14:paraId="43134554">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p>
        </w:tc>
        <w:tc>
          <w:tcPr>
            <w:tcW w:w="1683" w:type="dxa"/>
            <w:vAlign w:val="center"/>
          </w:tcPr>
          <w:p w14:paraId="0DC824D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工作面尺寸</w:t>
            </w:r>
          </w:p>
        </w:tc>
        <w:tc>
          <w:tcPr>
            <w:tcW w:w="4068" w:type="dxa"/>
            <w:vAlign w:val="center"/>
          </w:tcPr>
          <w:p w14:paraId="13501C8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1、墙面平直度（4mm）</w:t>
            </w:r>
          </w:p>
          <w:p w14:paraId="25E6270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2、墙面垂直度（4 mm）</w:t>
            </w:r>
          </w:p>
          <w:p w14:paraId="7E6619E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3、地面平整度（8 mm）</w:t>
            </w:r>
          </w:p>
          <w:p w14:paraId="5BA81FC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4、板顶标高（±5 mm）</w:t>
            </w:r>
          </w:p>
          <w:p w14:paraId="58B4EEC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5、墙面、地面无空鼓裂缝</w:t>
            </w:r>
          </w:p>
          <w:p w14:paraId="222B585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6、阴阳角方整（4 mm）</w:t>
            </w:r>
          </w:p>
          <w:p w14:paraId="542B0BD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7、板底标高（±5 mm）</w:t>
            </w:r>
          </w:p>
          <w:p w14:paraId="74CC9FA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8、梯板厚度（±5 mm）</w:t>
            </w:r>
          </w:p>
        </w:tc>
        <w:tc>
          <w:tcPr>
            <w:tcW w:w="3506" w:type="dxa"/>
            <w:vAlign w:val="center"/>
          </w:tcPr>
          <w:p w14:paraId="55EEAC8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总包单位提供的尺寸不符合标准的必须整改合格</w:t>
            </w:r>
          </w:p>
        </w:tc>
      </w:tr>
      <w:tr w14:paraId="0C4136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08" w:hRule="atLeast"/>
        </w:trPr>
        <w:tc>
          <w:tcPr>
            <w:tcW w:w="702" w:type="dxa"/>
            <w:vAlign w:val="center"/>
          </w:tcPr>
          <w:p w14:paraId="6A2D46AA">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w:t>
            </w:r>
          </w:p>
        </w:tc>
        <w:tc>
          <w:tcPr>
            <w:tcW w:w="1683" w:type="dxa"/>
            <w:vAlign w:val="center"/>
          </w:tcPr>
          <w:p w14:paraId="14C735D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垂直运输及施工通道、外脚手架</w:t>
            </w:r>
          </w:p>
        </w:tc>
        <w:tc>
          <w:tcPr>
            <w:tcW w:w="4068" w:type="dxa"/>
            <w:vAlign w:val="center"/>
          </w:tcPr>
          <w:p w14:paraId="5218F68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畅通、无障碍。水平施工洞口满足施工水平运输要求。提供现有脚手架。</w:t>
            </w:r>
          </w:p>
        </w:tc>
        <w:tc>
          <w:tcPr>
            <w:tcW w:w="3506" w:type="dxa"/>
            <w:vAlign w:val="center"/>
          </w:tcPr>
          <w:p w14:paraId="24935E6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71F819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60" w:hRule="atLeast"/>
        </w:trPr>
        <w:tc>
          <w:tcPr>
            <w:tcW w:w="702" w:type="dxa"/>
            <w:vAlign w:val="center"/>
          </w:tcPr>
          <w:p w14:paraId="00018D79">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w:t>
            </w:r>
          </w:p>
        </w:tc>
        <w:tc>
          <w:tcPr>
            <w:tcW w:w="1683" w:type="dxa"/>
            <w:vAlign w:val="center"/>
          </w:tcPr>
          <w:p w14:paraId="0FA6BF7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用水用电</w:t>
            </w:r>
          </w:p>
        </w:tc>
        <w:tc>
          <w:tcPr>
            <w:tcW w:w="4068" w:type="dxa"/>
            <w:vAlign w:val="center"/>
          </w:tcPr>
          <w:p w14:paraId="6D9DB93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1、总包单位每三层提供接水、电点，分包单位自行装表。</w:t>
            </w:r>
          </w:p>
          <w:p w14:paraId="06B157DB">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2、提供水电，能够满足分包方施工负荷要求。</w:t>
            </w:r>
          </w:p>
        </w:tc>
        <w:tc>
          <w:tcPr>
            <w:tcW w:w="3506" w:type="dxa"/>
            <w:vAlign w:val="center"/>
          </w:tcPr>
          <w:p w14:paraId="2A374F0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水、电费数量以表读数为准，价格与总包单位使用水电费价格一致。</w:t>
            </w:r>
            <w:r>
              <w:rPr>
                <w:rFonts w:hint="eastAsia" w:cs="宋体" w:asciiTheme="minorEastAsia" w:hAnsiTheme="minorEastAsia" w:eastAsiaTheme="minorEastAsia"/>
                <w:color w:val="auto"/>
                <w:sz w:val="21"/>
                <w:szCs w:val="21"/>
                <w:highlight w:val="none"/>
                <w:lang w:val="en-US" w:eastAsia="zh-CN"/>
              </w:rPr>
              <w:t>无法挂表计量的水电费，按照分包工程中标价的1%计取。</w:t>
            </w:r>
          </w:p>
        </w:tc>
      </w:tr>
      <w:tr w14:paraId="12927B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84" w:hRule="atLeast"/>
        </w:trPr>
        <w:tc>
          <w:tcPr>
            <w:tcW w:w="702" w:type="dxa"/>
            <w:vAlign w:val="center"/>
          </w:tcPr>
          <w:p w14:paraId="391EA37E">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w:t>
            </w:r>
          </w:p>
        </w:tc>
        <w:tc>
          <w:tcPr>
            <w:tcW w:w="1683" w:type="dxa"/>
            <w:vAlign w:val="center"/>
          </w:tcPr>
          <w:p w14:paraId="57391AB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现场办公及库房用房</w:t>
            </w:r>
          </w:p>
        </w:tc>
        <w:tc>
          <w:tcPr>
            <w:tcW w:w="4068" w:type="dxa"/>
            <w:vAlign w:val="center"/>
          </w:tcPr>
          <w:p w14:paraId="1E12F31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提供办公用房不低于15平方米、库房约70平方米</w:t>
            </w:r>
          </w:p>
        </w:tc>
        <w:tc>
          <w:tcPr>
            <w:tcW w:w="3506" w:type="dxa"/>
            <w:vAlign w:val="center"/>
          </w:tcPr>
          <w:p w14:paraId="3068344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412961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84" w:hRule="atLeast"/>
        </w:trPr>
        <w:tc>
          <w:tcPr>
            <w:tcW w:w="702" w:type="dxa"/>
            <w:vAlign w:val="center"/>
          </w:tcPr>
          <w:p w14:paraId="1399426A">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w:t>
            </w:r>
          </w:p>
        </w:tc>
        <w:tc>
          <w:tcPr>
            <w:tcW w:w="1683" w:type="dxa"/>
            <w:vAlign w:val="center"/>
          </w:tcPr>
          <w:p w14:paraId="1823B78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提供50线及20线</w:t>
            </w:r>
          </w:p>
        </w:tc>
        <w:tc>
          <w:tcPr>
            <w:tcW w:w="4068" w:type="dxa"/>
            <w:vAlign w:val="center"/>
          </w:tcPr>
          <w:p w14:paraId="2B798F5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总包单位向分包单位每层提供50线及20线。</w:t>
            </w:r>
          </w:p>
        </w:tc>
        <w:tc>
          <w:tcPr>
            <w:tcW w:w="3506" w:type="dxa"/>
            <w:vAlign w:val="center"/>
          </w:tcPr>
          <w:p w14:paraId="086FBF2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041E8F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34" w:hRule="atLeast"/>
        </w:trPr>
        <w:tc>
          <w:tcPr>
            <w:tcW w:w="702" w:type="dxa"/>
            <w:vAlign w:val="center"/>
          </w:tcPr>
          <w:p w14:paraId="04671734">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6</w:t>
            </w:r>
          </w:p>
        </w:tc>
        <w:tc>
          <w:tcPr>
            <w:tcW w:w="1683" w:type="dxa"/>
            <w:vAlign w:val="center"/>
          </w:tcPr>
          <w:p w14:paraId="37468C1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建筑垃圾</w:t>
            </w:r>
          </w:p>
        </w:tc>
        <w:tc>
          <w:tcPr>
            <w:tcW w:w="4068" w:type="dxa"/>
            <w:vAlign w:val="center"/>
          </w:tcPr>
          <w:p w14:paraId="4A6FBDC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总包单位向分包单位提供统一垃圾临时堆放点，由分包单位自行清运至临时堆放点，总包单位进行垃圾外运。总包</w:t>
            </w:r>
            <w:r>
              <w:rPr>
                <w:rFonts w:hint="eastAsia" w:cs="宋体" w:asciiTheme="minorEastAsia" w:hAnsiTheme="minorEastAsia" w:eastAsiaTheme="minorEastAsia"/>
                <w:color w:val="auto"/>
                <w:sz w:val="21"/>
                <w:szCs w:val="21"/>
                <w:highlight w:val="none"/>
                <w:lang w:val="en-US" w:eastAsia="zh-CN"/>
              </w:rPr>
              <w:t>单位不得额外收取分包单位垃圾费用，若</w:t>
            </w:r>
            <w:r>
              <w:rPr>
                <w:rFonts w:hint="eastAsia" w:cs="宋体" w:asciiTheme="minorEastAsia" w:hAnsiTheme="minorEastAsia" w:eastAsiaTheme="minorEastAsia"/>
                <w:color w:val="auto"/>
                <w:sz w:val="21"/>
                <w:szCs w:val="21"/>
                <w:highlight w:val="none"/>
              </w:rPr>
              <w:t>额外收取分包垃圾费，按</w:t>
            </w:r>
            <w:r>
              <w:rPr>
                <w:rFonts w:hint="eastAsia" w:cs="宋体" w:asciiTheme="minorEastAsia" w:hAnsiTheme="minorEastAsia" w:eastAsiaTheme="minorEastAsia"/>
                <w:color w:val="auto"/>
                <w:sz w:val="21"/>
                <w:szCs w:val="21"/>
                <w:highlight w:val="none"/>
                <w:u w:val="single"/>
                <w:lang w:val="en-US" w:eastAsia="zh-CN"/>
              </w:rPr>
              <w:t>300元/m3从总包结算</w:t>
            </w:r>
            <w:r>
              <w:rPr>
                <w:rFonts w:hint="eastAsia" w:cs="宋体" w:asciiTheme="minorEastAsia" w:hAnsiTheme="minorEastAsia" w:eastAsiaTheme="minorEastAsia"/>
                <w:color w:val="auto"/>
                <w:sz w:val="21"/>
                <w:szCs w:val="21"/>
                <w:highlight w:val="none"/>
                <w:u w:val="single"/>
              </w:rPr>
              <w:t>扣除。</w:t>
            </w:r>
          </w:p>
        </w:tc>
        <w:tc>
          <w:tcPr>
            <w:tcW w:w="3506" w:type="dxa"/>
            <w:vAlign w:val="center"/>
          </w:tcPr>
          <w:p w14:paraId="7909ABB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分包单位未清理或清理不到位，总包单位有权向分包单位提出书面清理通知，分包单位在接到书面通知后仍无动于衷或清理不干净，由总包单位清理，费用由分包单位承担。</w:t>
            </w:r>
          </w:p>
        </w:tc>
      </w:tr>
      <w:tr w14:paraId="6DB9F2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60" w:hRule="atLeast"/>
        </w:trPr>
        <w:tc>
          <w:tcPr>
            <w:tcW w:w="702" w:type="dxa"/>
            <w:vAlign w:val="center"/>
          </w:tcPr>
          <w:p w14:paraId="02FF8201">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7</w:t>
            </w:r>
          </w:p>
        </w:tc>
        <w:tc>
          <w:tcPr>
            <w:tcW w:w="1683" w:type="dxa"/>
            <w:vAlign w:val="center"/>
          </w:tcPr>
          <w:p w14:paraId="30CA1DC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质量、进度、安全、文明施工、竣工验收资料等管理</w:t>
            </w:r>
          </w:p>
        </w:tc>
        <w:tc>
          <w:tcPr>
            <w:tcW w:w="4068" w:type="dxa"/>
            <w:vAlign w:val="center"/>
          </w:tcPr>
          <w:p w14:paraId="1E6853F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总包要监督、检查分包方的质量、 进度、安全、文明施工、竣工验收资料等应符合国家相关规定，施工组织和协调，并负责统一竣工验收、备案。</w:t>
            </w:r>
          </w:p>
        </w:tc>
        <w:tc>
          <w:tcPr>
            <w:tcW w:w="3506" w:type="dxa"/>
            <w:vAlign w:val="center"/>
          </w:tcPr>
          <w:p w14:paraId="745D7F1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竣工资料归档费已包含在专业工程管理配合费中。</w:t>
            </w:r>
          </w:p>
        </w:tc>
      </w:tr>
      <w:tr w14:paraId="74BA21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34" w:hRule="atLeast"/>
        </w:trPr>
        <w:tc>
          <w:tcPr>
            <w:tcW w:w="702" w:type="dxa"/>
            <w:vAlign w:val="center"/>
          </w:tcPr>
          <w:p w14:paraId="2450B41B">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8</w:t>
            </w:r>
          </w:p>
        </w:tc>
        <w:tc>
          <w:tcPr>
            <w:tcW w:w="1683" w:type="dxa"/>
            <w:vAlign w:val="center"/>
          </w:tcPr>
          <w:p w14:paraId="1ADB888E">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成品保护</w:t>
            </w:r>
          </w:p>
        </w:tc>
        <w:tc>
          <w:tcPr>
            <w:tcW w:w="4068" w:type="dxa"/>
            <w:vAlign w:val="center"/>
          </w:tcPr>
          <w:p w14:paraId="7A79CBA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1、分包单位施工内容全部结束，分包单位在经发包人及监理验收前应自行负责成品保护的责任。</w:t>
            </w:r>
          </w:p>
          <w:p w14:paraId="4631972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2、经发包人及监理验收合格，在向物业移交前分包单位应担负其成品保护的责任。</w:t>
            </w:r>
          </w:p>
        </w:tc>
        <w:tc>
          <w:tcPr>
            <w:tcW w:w="3506" w:type="dxa"/>
            <w:vAlign w:val="center"/>
          </w:tcPr>
          <w:p w14:paraId="42FCB65A">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在分包单位进行地面或梯面硬质铺装施工时，总包单位应合理组织现场人流交通安排，避免对铺装面在未凝固前进行踩踏。</w:t>
            </w:r>
          </w:p>
        </w:tc>
      </w:tr>
      <w:tr w14:paraId="4C90C9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5" w:hRule="atLeast"/>
        </w:trPr>
        <w:tc>
          <w:tcPr>
            <w:tcW w:w="702" w:type="dxa"/>
            <w:vAlign w:val="center"/>
          </w:tcPr>
          <w:p w14:paraId="24E83DA7">
            <w:pPr>
              <w:keepNext w:val="0"/>
              <w:keepLines w:val="0"/>
              <w:suppressLineNumbers w:val="0"/>
              <w:adjustRightInd w:val="0"/>
              <w:snapToGrid w:val="0"/>
              <w:spacing w:before="0" w:beforeAutospacing="0" w:after="0" w:afterAutospacing="0"/>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9</w:t>
            </w:r>
          </w:p>
        </w:tc>
        <w:tc>
          <w:tcPr>
            <w:tcW w:w="1683" w:type="dxa"/>
            <w:vAlign w:val="center"/>
          </w:tcPr>
          <w:p w14:paraId="491033D6">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交工清理</w:t>
            </w:r>
          </w:p>
        </w:tc>
        <w:tc>
          <w:tcPr>
            <w:tcW w:w="4068" w:type="dxa"/>
            <w:vAlign w:val="center"/>
          </w:tcPr>
          <w:p w14:paraId="29D0821B">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分包单位交付物业前应负责清理，直至符合交工条件。</w:t>
            </w:r>
          </w:p>
        </w:tc>
        <w:tc>
          <w:tcPr>
            <w:tcW w:w="3506" w:type="dxa"/>
            <w:vAlign w:val="center"/>
          </w:tcPr>
          <w:p w14:paraId="1194F1CB">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p>
        </w:tc>
      </w:tr>
    </w:tbl>
    <w:p w14:paraId="09A2D5BC">
      <w:pPr>
        <w:pStyle w:val="109"/>
        <w:adjustRightInd w:val="0"/>
        <w:snapToGrid w:val="0"/>
        <w:outlineLvl w:val="9"/>
        <w:rPr>
          <w:rFonts w:asciiTheme="minorEastAsia" w:hAnsiTheme="minorEastAsia" w:eastAsiaTheme="minorEastAsia"/>
          <w:b w:val="0"/>
          <w:color w:val="auto"/>
          <w:sz w:val="24"/>
          <w:szCs w:val="24"/>
          <w:highlight w:val="none"/>
        </w:rPr>
      </w:pPr>
      <w:r>
        <w:rPr>
          <w:rFonts w:asciiTheme="minorEastAsia" w:hAnsiTheme="minorEastAsia" w:eastAsiaTheme="minorEastAsia"/>
          <w:color w:val="auto"/>
          <w:highlight w:val="none"/>
        </w:rPr>
        <w:br w:type="page"/>
      </w:r>
      <w:r>
        <w:rPr>
          <w:rFonts w:hint="eastAsia" w:asciiTheme="minorEastAsia" w:hAnsiTheme="minorEastAsia" w:eastAsiaTheme="minorEastAsia"/>
          <w:b w:val="0"/>
          <w:color w:val="auto"/>
          <w:sz w:val="21"/>
          <w:szCs w:val="21"/>
          <w:highlight w:val="none"/>
          <w:lang w:val="en-US" w:eastAsia="zh-CN"/>
        </w:rPr>
        <w:t>六</w:t>
      </w:r>
      <w:r>
        <w:rPr>
          <w:rFonts w:hint="eastAsia" w:asciiTheme="minorEastAsia" w:hAnsiTheme="minorEastAsia" w:eastAsiaTheme="minorEastAsia"/>
          <w:b w:val="0"/>
          <w:color w:val="auto"/>
          <w:sz w:val="21"/>
          <w:szCs w:val="21"/>
          <w:highlight w:val="none"/>
        </w:rPr>
        <w:t>、总包对景观绿化工程的</w:t>
      </w:r>
      <w:r>
        <w:rPr>
          <w:rFonts w:hint="eastAsia" w:cs="宋体" w:asciiTheme="minorEastAsia" w:hAnsiTheme="minorEastAsia" w:eastAsiaTheme="minorEastAsia"/>
          <w:b w:val="0"/>
          <w:color w:val="auto"/>
          <w:sz w:val="21"/>
          <w:szCs w:val="21"/>
          <w:highlight w:val="none"/>
        </w:rPr>
        <w:t>管理配合内容：</w:t>
      </w:r>
    </w:p>
    <w:tbl>
      <w:tblPr>
        <w:tblStyle w:val="56"/>
        <w:tblW w:w="100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1695"/>
        <w:gridCol w:w="4091"/>
        <w:gridCol w:w="3526"/>
      </w:tblGrid>
      <w:tr w14:paraId="728B0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14:paraId="66B608C6">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序号</w:t>
            </w:r>
          </w:p>
        </w:tc>
        <w:tc>
          <w:tcPr>
            <w:tcW w:w="1695" w:type="dxa"/>
            <w:tcBorders>
              <w:top w:val="single" w:color="auto" w:sz="4" w:space="0"/>
              <w:left w:val="nil"/>
              <w:bottom w:val="single" w:color="auto" w:sz="4" w:space="0"/>
              <w:right w:val="single" w:color="auto" w:sz="4" w:space="0"/>
            </w:tcBorders>
            <w:vAlign w:val="center"/>
          </w:tcPr>
          <w:p w14:paraId="1B50F3B0">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配合内容</w:t>
            </w:r>
          </w:p>
        </w:tc>
        <w:tc>
          <w:tcPr>
            <w:tcW w:w="4091" w:type="dxa"/>
            <w:tcBorders>
              <w:top w:val="single" w:color="auto" w:sz="4" w:space="0"/>
              <w:left w:val="nil"/>
              <w:bottom w:val="single" w:color="auto" w:sz="4" w:space="0"/>
              <w:right w:val="single" w:color="auto" w:sz="4" w:space="0"/>
            </w:tcBorders>
            <w:vAlign w:val="center"/>
          </w:tcPr>
          <w:p w14:paraId="3728F917">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标准</w:t>
            </w:r>
          </w:p>
        </w:tc>
        <w:tc>
          <w:tcPr>
            <w:tcW w:w="3526" w:type="dxa"/>
            <w:tcBorders>
              <w:top w:val="single" w:color="auto" w:sz="4" w:space="0"/>
              <w:left w:val="nil"/>
              <w:bottom w:val="single" w:color="auto" w:sz="4" w:space="0"/>
              <w:right w:val="single" w:color="auto" w:sz="4" w:space="0"/>
            </w:tcBorders>
            <w:vAlign w:val="center"/>
          </w:tcPr>
          <w:p w14:paraId="1974C1A6">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备注</w:t>
            </w:r>
          </w:p>
        </w:tc>
      </w:tr>
      <w:tr w14:paraId="4B234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14:paraId="53BFF17A">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w:t>
            </w:r>
          </w:p>
        </w:tc>
        <w:tc>
          <w:tcPr>
            <w:tcW w:w="1695" w:type="dxa"/>
            <w:tcBorders>
              <w:top w:val="single" w:color="auto" w:sz="4" w:space="0"/>
              <w:left w:val="nil"/>
              <w:bottom w:val="single" w:color="auto" w:sz="4" w:space="0"/>
              <w:right w:val="single" w:color="auto" w:sz="4" w:space="0"/>
            </w:tcBorders>
            <w:vAlign w:val="center"/>
          </w:tcPr>
          <w:p w14:paraId="70F3018D">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工作面尺寸</w:t>
            </w:r>
          </w:p>
        </w:tc>
        <w:tc>
          <w:tcPr>
            <w:tcW w:w="4091" w:type="dxa"/>
            <w:tcBorders>
              <w:top w:val="single" w:color="auto" w:sz="4" w:space="0"/>
              <w:left w:val="nil"/>
              <w:bottom w:val="single" w:color="auto" w:sz="4" w:space="0"/>
              <w:right w:val="single" w:color="auto" w:sz="4" w:space="0"/>
            </w:tcBorders>
            <w:vAlign w:val="center"/>
          </w:tcPr>
          <w:p w14:paraId="61461C76">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洞口尺寸误差±5mm。</w:t>
            </w:r>
          </w:p>
        </w:tc>
        <w:tc>
          <w:tcPr>
            <w:tcW w:w="3526" w:type="dxa"/>
            <w:tcBorders>
              <w:top w:val="single" w:color="auto" w:sz="4" w:space="0"/>
              <w:left w:val="nil"/>
              <w:bottom w:val="single" w:color="auto" w:sz="4" w:space="0"/>
              <w:right w:val="single" w:color="auto" w:sz="4" w:space="0"/>
            </w:tcBorders>
            <w:vAlign w:val="center"/>
          </w:tcPr>
          <w:p w14:paraId="02DB5C65">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总包提供的尺寸不符合标准的必须整改合格。</w:t>
            </w:r>
          </w:p>
        </w:tc>
      </w:tr>
      <w:tr w14:paraId="13A9A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2"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14:paraId="485A60EF">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w:t>
            </w:r>
          </w:p>
        </w:tc>
        <w:tc>
          <w:tcPr>
            <w:tcW w:w="1695" w:type="dxa"/>
            <w:tcBorders>
              <w:top w:val="single" w:color="auto" w:sz="4" w:space="0"/>
              <w:left w:val="nil"/>
              <w:bottom w:val="single" w:color="auto" w:sz="4" w:space="0"/>
              <w:right w:val="single" w:color="auto" w:sz="4" w:space="0"/>
            </w:tcBorders>
            <w:vAlign w:val="center"/>
          </w:tcPr>
          <w:p w14:paraId="5CC9883A">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用水用电</w:t>
            </w:r>
          </w:p>
        </w:tc>
        <w:tc>
          <w:tcPr>
            <w:tcW w:w="4091" w:type="dxa"/>
            <w:tcBorders>
              <w:top w:val="single" w:color="auto" w:sz="4" w:space="0"/>
              <w:left w:val="nil"/>
              <w:bottom w:val="single" w:color="auto" w:sz="4" w:space="0"/>
              <w:right w:val="single" w:color="auto" w:sz="4" w:space="0"/>
            </w:tcBorders>
            <w:vAlign w:val="center"/>
          </w:tcPr>
          <w:p w14:paraId="5CCD46B3">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1、总包单位提供接水、电点，分包单位自行装表。</w:t>
            </w:r>
          </w:p>
          <w:p w14:paraId="61D9C16A">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2、提供水电，能够满足分包方施工负荷要求。</w:t>
            </w:r>
          </w:p>
        </w:tc>
        <w:tc>
          <w:tcPr>
            <w:tcW w:w="3526" w:type="dxa"/>
            <w:tcBorders>
              <w:top w:val="single" w:color="auto" w:sz="4" w:space="0"/>
              <w:left w:val="nil"/>
              <w:bottom w:val="single" w:color="auto" w:sz="4" w:space="0"/>
              <w:right w:val="single" w:color="auto" w:sz="4" w:space="0"/>
            </w:tcBorders>
            <w:vAlign w:val="center"/>
          </w:tcPr>
          <w:p w14:paraId="57F21DA8">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水、电费数量以表读数为准，价格与总包使用水电费价格一致。</w:t>
            </w:r>
            <w:r>
              <w:rPr>
                <w:rFonts w:hint="eastAsia" w:cs="宋体" w:asciiTheme="minorEastAsia" w:hAnsiTheme="minorEastAsia" w:eastAsiaTheme="minorEastAsia"/>
                <w:color w:val="auto"/>
                <w:sz w:val="21"/>
                <w:szCs w:val="21"/>
                <w:highlight w:val="none"/>
                <w:lang w:val="en-US" w:eastAsia="zh-CN"/>
              </w:rPr>
              <w:t>无法挂表计量的水电费，按照分包工程中标价的1%计取。</w:t>
            </w:r>
          </w:p>
        </w:tc>
      </w:tr>
      <w:tr w14:paraId="09D47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14:paraId="316EF1E7">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w:t>
            </w:r>
          </w:p>
        </w:tc>
        <w:tc>
          <w:tcPr>
            <w:tcW w:w="1695" w:type="dxa"/>
            <w:tcBorders>
              <w:top w:val="single" w:color="auto" w:sz="4" w:space="0"/>
              <w:left w:val="nil"/>
              <w:bottom w:val="single" w:color="auto" w:sz="4" w:space="0"/>
              <w:right w:val="single" w:color="auto" w:sz="4" w:space="0"/>
            </w:tcBorders>
            <w:vAlign w:val="center"/>
          </w:tcPr>
          <w:p w14:paraId="585FF69B">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现场办公及库房用房</w:t>
            </w:r>
          </w:p>
        </w:tc>
        <w:tc>
          <w:tcPr>
            <w:tcW w:w="4091" w:type="dxa"/>
            <w:tcBorders>
              <w:top w:val="single" w:color="auto" w:sz="4" w:space="0"/>
              <w:left w:val="nil"/>
              <w:bottom w:val="single" w:color="auto" w:sz="4" w:space="0"/>
              <w:right w:val="single" w:color="auto" w:sz="4" w:space="0"/>
            </w:tcBorders>
            <w:vAlign w:val="center"/>
          </w:tcPr>
          <w:p w14:paraId="353AAA51">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总包提供材料堆放场地，满足进场材料堆放要求。</w:t>
            </w:r>
          </w:p>
        </w:tc>
        <w:tc>
          <w:tcPr>
            <w:tcW w:w="3526" w:type="dxa"/>
            <w:tcBorders>
              <w:top w:val="single" w:color="auto" w:sz="4" w:space="0"/>
              <w:left w:val="nil"/>
              <w:bottom w:val="single" w:color="auto" w:sz="4" w:space="0"/>
              <w:right w:val="single" w:color="auto" w:sz="4" w:space="0"/>
            </w:tcBorders>
            <w:vAlign w:val="center"/>
          </w:tcPr>
          <w:p w14:paraId="44CEA09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28EBD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14:paraId="68586979">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4</w:t>
            </w:r>
          </w:p>
        </w:tc>
        <w:tc>
          <w:tcPr>
            <w:tcW w:w="1695" w:type="dxa"/>
            <w:tcBorders>
              <w:top w:val="single" w:color="auto" w:sz="4" w:space="0"/>
              <w:left w:val="nil"/>
              <w:bottom w:val="single" w:color="auto" w:sz="4" w:space="0"/>
              <w:right w:val="single" w:color="auto" w:sz="4" w:space="0"/>
            </w:tcBorders>
            <w:vAlign w:val="center"/>
          </w:tcPr>
          <w:p w14:paraId="205B532D">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提供50线</w:t>
            </w:r>
          </w:p>
        </w:tc>
        <w:tc>
          <w:tcPr>
            <w:tcW w:w="4091" w:type="dxa"/>
            <w:tcBorders>
              <w:top w:val="single" w:color="auto" w:sz="4" w:space="0"/>
              <w:left w:val="nil"/>
              <w:bottom w:val="single" w:color="auto" w:sz="4" w:space="0"/>
              <w:right w:val="single" w:color="auto" w:sz="4" w:space="0"/>
            </w:tcBorders>
            <w:vAlign w:val="center"/>
          </w:tcPr>
          <w:p w14:paraId="61AE5BDB">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总包单位向分包单位每层提供50线。</w:t>
            </w:r>
          </w:p>
        </w:tc>
        <w:tc>
          <w:tcPr>
            <w:tcW w:w="3526" w:type="dxa"/>
            <w:tcBorders>
              <w:top w:val="single" w:color="auto" w:sz="4" w:space="0"/>
              <w:left w:val="nil"/>
              <w:bottom w:val="single" w:color="auto" w:sz="4" w:space="0"/>
              <w:right w:val="single" w:color="auto" w:sz="4" w:space="0"/>
            </w:tcBorders>
            <w:vAlign w:val="center"/>
          </w:tcPr>
          <w:p w14:paraId="0871339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71880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2"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14:paraId="0A7816C0">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w:t>
            </w:r>
          </w:p>
        </w:tc>
        <w:tc>
          <w:tcPr>
            <w:tcW w:w="1695" w:type="dxa"/>
            <w:tcBorders>
              <w:top w:val="single" w:color="auto" w:sz="4" w:space="0"/>
              <w:left w:val="nil"/>
              <w:bottom w:val="single" w:color="auto" w:sz="4" w:space="0"/>
              <w:right w:val="single" w:color="auto" w:sz="4" w:space="0"/>
            </w:tcBorders>
            <w:vAlign w:val="center"/>
          </w:tcPr>
          <w:p w14:paraId="216AE114">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建筑垃圾</w:t>
            </w:r>
          </w:p>
        </w:tc>
        <w:tc>
          <w:tcPr>
            <w:tcW w:w="4091" w:type="dxa"/>
            <w:tcBorders>
              <w:top w:val="single" w:color="auto" w:sz="4" w:space="0"/>
              <w:left w:val="nil"/>
              <w:bottom w:val="single" w:color="auto" w:sz="4" w:space="0"/>
              <w:right w:val="single" w:color="auto" w:sz="4" w:space="0"/>
            </w:tcBorders>
            <w:vAlign w:val="center"/>
          </w:tcPr>
          <w:p w14:paraId="5BD74DA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总包单位向分包单位提供统一垃圾临时堆放点，由分包单位自行清运至临时堆放点，总包单位进行垃圾外运。总包</w:t>
            </w:r>
            <w:r>
              <w:rPr>
                <w:rFonts w:hint="eastAsia" w:cs="宋体" w:asciiTheme="minorEastAsia" w:hAnsiTheme="minorEastAsia" w:eastAsiaTheme="minorEastAsia"/>
                <w:color w:val="auto"/>
                <w:sz w:val="21"/>
                <w:szCs w:val="21"/>
                <w:highlight w:val="none"/>
                <w:lang w:val="en-US" w:eastAsia="zh-CN"/>
              </w:rPr>
              <w:t>单位不得额外收取分包单位垃圾费用，若</w:t>
            </w:r>
            <w:r>
              <w:rPr>
                <w:rFonts w:hint="eastAsia" w:cs="宋体" w:asciiTheme="minorEastAsia" w:hAnsiTheme="minorEastAsia" w:eastAsiaTheme="minorEastAsia"/>
                <w:color w:val="auto"/>
                <w:sz w:val="21"/>
                <w:szCs w:val="21"/>
                <w:highlight w:val="none"/>
              </w:rPr>
              <w:t>额外收取分包垃圾费，按</w:t>
            </w:r>
            <w:r>
              <w:rPr>
                <w:rFonts w:hint="eastAsia" w:cs="宋体" w:asciiTheme="minorEastAsia" w:hAnsiTheme="minorEastAsia" w:eastAsiaTheme="minorEastAsia"/>
                <w:color w:val="auto"/>
                <w:sz w:val="21"/>
                <w:szCs w:val="21"/>
                <w:highlight w:val="none"/>
                <w:u w:val="single"/>
                <w:lang w:val="en-US" w:eastAsia="zh-CN"/>
              </w:rPr>
              <w:t>300元/m3从总包结算</w:t>
            </w:r>
            <w:r>
              <w:rPr>
                <w:rFonts w:hint="eastAsia" w:cs="宋体" w:asciiTheme="minorEastAsia" w:hAnsiTheme="minorEastAsia" w:eastAsiaTheme="minorEastAsia"/>
                <w:color w:val="auto"/>
                <w:sz w:val="21"/>
                <w:szCs w:val="21"/>
                <w:highlight w:val="none"/>
                <w:u w:val="single"/>
              </w:rPr>
              <w:t>扣除。</w:t>
            </w:r>
          </w:p>
        </w:tc>
        <w:tc>
          <w:tcPr>
            <w:tcW w:w="3526" w:type="dxa"/>
            <w:tcBorders>
              <w:top w:val="single" w:color="auto" w:sz="4" w:space="0"/>
              <w:left w:val="nil"/>
              <w:bottom w:val="single" w:color="auto" w:sz="4" w:space="0"/>
              <w:right w:val="single" w:color="auto" w:sz="4" w:space="0"/>
            </w:tcBorders>
            <w:vAlign w:val="center"/>
          </w:tcPr>
          <w:p w14:paraId="56B961E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分包单位未清理或清理不到位，总包单位有权向分包单位提出书面清理通知，分包单位在接到书面通知后仍无动于衷或清理不干净，由总包单位清理，费用由分包单位承担。</w:t>
            </w:r>
          </w:p>
        </w:tc>
      </w:tr>
      <w:tr w14:paraId="2F39B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2"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14:paraId="70B410CF">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6</w:t>
            </w:r>
          </w:p>
        </w:tc>
        <w:tc>
          <w:tcPr>
            <w:tcW w:w="1695" w:type="dxa"/>
            <w:tcBorders>
              <w:top w:val="single" w:color="auto" w:sz="4" w:space="0"/>
              <w:left w:val="nil"/>
              <w:bottom w:val="single" w:color="auto" w:sz="4" w:space="0"/>
              <w:right w:val="single" w:color="auto" w:sz="4" w:space="0"/>
            </w:tcBorders>
            <w:vAlign w:val="center"/>
          </w:tcPr>
          <w:p w14:paraId="6119CBAE">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质量、进度、安全、文明施工、竣工验收资料等管理</w:t>
            </w:r>
          </w:p>
        </w:tc>
        <w:tc>
          <w:tcPr>
            <w:tcW w:w="4091" w:type="dxa"/>
            <w:tcBorders>
              <w:top w:val="single" w:color="auto" w:sz="4" w:space="0"/>
              <w:left w:val="nil"/>
              <w:bottom w:val="single" w:color="auto" w:sz="4" w:space="0"/>
              <w:right w:val="single" w:color="auto" w:sz="4" w:space="0"/>
            </w:tcBorders>
            <w:vAlign w:val="center"/>
          </w:tcPr>
          <w:p w14:paraId="633DAAD3">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总包要监督、检查分包方的质量、进度、安全、文明施工、竣工验收资料等应符合国家相关规定，施工组织和协调，并负责统一竣工验收、备案。</w:t>
            </w:r>
          </w:p>
        </w:tc>
        <w:tc>
          <w:tcPr>
            <w:tcW w:w="3526" w:type="dxa"/>
            <w:tcBorders>
              <w:top w:val="single" w:color="auto" w:sz="4" w:space="0"/>
              <w:left w:val="nil"/>
              <w:bottom w:val="single" w:color="auto" w:sz="4" w:space="0"/>
              <w:right w:val="single" w:color="auto" w:sz="4" w:space="0"/>
            </w:tcBorders>
            <w:vAlign w:val="center"/>
          </w:tcPr>
          <w:p w14:paraId="3EA44B8B">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竣工资料归档费已包含在专业工程管理配合费中。</w:t>
            </w:r>
          </w:p>
        </w:tc>
      </w:tr>
      <w:tr w14:paraId="460AF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2"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14:paraId="503843D1">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7</w:t>
            </w:r>
          </w:p>
        </w:tc>
        <w:tc>
          <w:tcPr>
            <w:tcW w:w="1695" w:type="dxa"/>
            <w:tcBorders>
              <w:top w:val="single" w:color="auto" w:sz="4" w:space="0"/>
              <w:left w:val="nil"/>
              <w:bottom w:val="single" w:color="auto" w:sz="4" w:space="0"/>
              <w:right w:val="single" w:color="auto" w:sz="4" w:space="0"/>
            </w:tcBorders>
            <w:vAlign w:val="center"/>
          </w:tcPr>
          <w:p w14:paraId="17779FE1">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成品保护</w:t>
            </w:r>
          </w:p>
        </w:tc>
        <w:tc>
          <w:tcPr>
            <w:tcW w:w="4091" w:type="dxa"/>
            <w:tcBorders>
              <w:top w:val="single" w:color="auto" w:sz="4" w:space="0"/>
              <w:left w:val="nil"/>
              <w:bottom w:val="single" w:color="auto" w:sz="4" w:space="0"/>
              <w:right w:val="single" w:color="auto" w:sz="4" w:space="0"/>
            </w:tcBorders>
            <w:vAlign w:val="center"/>
          </w:tcPr>
          <w:p w14:paraId="389DCE7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1、分包单位施工内容全部结束，分包单位在经发包人及监理验收前应自行负责成品保护的责任。</w:t>
            </w:r>
          </w:p>
          <w:p w14:paraId="379991E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2、经发包人及监理验收合格，在向物业移交前总包单位应担负其成品保护的责任。</w:t>
            </w:r>
          </w:p>
        </w:tc>
        <w:tc>
          <w:tcPr>
            <w:tcW w:w="3526" w:type="dxa"/>
            <w:tcBorders>
              <w:top w:val="single" w:color="auto" w:sz="4" w:space="0"/>
              <w:left w:val="nil"/>
              <w:bottom w:val="single" w:color="auto" w:sz="4" w:space="0"/>
              <w:right w:val="single" w:color="auto" w:sz="4" w:space="0"/>
            </w:tcBorders>
            <w:vAlign w:val="center"/>
          </w:tcPr>
          <w:p w14:paraId="5DEF82B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2B8AA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2" w:hRule="atLeast"/>
          <w:jc w:val="center"/>
        </w:trPr>
        <w:tc>
          <w:tcPr>
            <w:tcW w:w="706" w:type="dxa"/>
            <w:tcBorders>
              <w:top w:val="single" w:color="auto" w:sz="4" w:space="0"/>
              <w:left w:val="single" w:color="auto" w:sz="4" w:space="0"/>
              <w:bottom w:val="single" w:color="auto" w:sz="4" w:space="0"/>
              <w:right w:val="single" w:color="auto" w:sz="4" w:space="0"/>
            </w:tcBorders>
            <w:vAlign w:val="center"/>
          </w:tcPr>
          <w:p w14:paraId="00B27031">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8</w:t>
            </w:r>
          </w:p>
        </w:tc>
        <w:tc>
          <w:tcPr>
            <w:tcW w:w="1695" w:type="dxa"/>
            <w:tcBorders>
              <w:top w:val="single" w:color="auto" w:sz="4" w:space="0"/>
              <w:left w:val="nil"/>
              <w:bottom w:val="single" w:color="auto" w:sz="4" w:space="0"/>
              <w:right w:val="single" w:color="auto" w:sz="4" w:space="0"/>
            </w:tcBorders>
            <w:vAlign w:val="center"/>
          </w:tcPr>
          <w:p w14:paraId="7C6B5FA1">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交工清理</w:t>
            </w:r>
          </w:p>
        </w:tc>
        <w:tc>
          <w:tcPr>
            <w:tcW w:w="4091" w:type="dxa"/>
            <w:tcBorders>
              <w:top w:val="single" w:color="auto" w:sz="4" w:space="0"/>
              <w:left w:val="nil"/>
              <w:bottom w:val="single" w:color="auto" w:sz="4" w:space="0"/>
              <w:right w:val="single" w:color="auto" w:sz="4" w:space="0"/>
            </w:tcBorders>
            <w:vAlign w:val="center"/>
          </w:tcPr>
          <w:p w14:paraId="4A53C11F">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总包单位负责交工清理工作，直至符合交工条件。</w:t>
            </w:r>
          </w:p>
        </w:tc>
        <w:tc>
          <w:tcPr>
            <w:tcW w:w="3526" w:type="dxa"/>
            <w:tcBorders>
              <w:top w:val="single" w:color="auto" w:sz="4" w:space="0"/>
              <w:left w:val="nil"/>
              <w:bottom w:val="single" w:color="auto" w:sz="4" w:space="0"/>
              <w:right w:val="single" w:color="auto" w:sz="4" w:space="0"/>
            </w:tcBorders>
            <w:vAlign w:val="center"/>
          </w:tcPr>
          <w:p w14:paraId="479A447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bl>
    <w:p w14:paraId="76256C3C">
      <w:pPr>
        <w:adjustRightInd w:val="0"/>
        <w:snapToGrid w:val="0"/>
        <w:outlineLvl w:val="9"/>
        <w:rPr>
          <w:rFonts w:asciiTheme="minorEastAsia" w:hAnsiTheme="minorEastAsia" w:eastAsiaTheme="minorEastAsia"/>
          <w:color w:val="auto"/>
          <w:sz w:val="24"/>
          <w:highlight w:val="none"/>
        </w:rPr>
      </w:pPr>
    </w:p>
    <w:p w14:paraId="001529D7">
      <w:pPr>
        <w:adjustRightInd w:val="0"/>
        <w:snapToGrid w:val="0"/>
        <w:outlineLvl w:val="9"/>
        <w:rPr>
          <w:rFonts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br w:type="page"/>
      </w:r>
      <w:r>
        <w:rPr>
          <w:rFonts w:hint="eastAsia" w:asciiTheme="minorEastAsia" w:hAnsiTheme="minorEastAsia" w:eastAsiaTheme="minorEastAsia"/>
          <w:color w:val="auto"/>
          <w:sz w:val="21"/>
          <w:szCs w:val="21"/>
          <w:highlight w:val="none"/>
          <w:lang w:val="en-US" w:eastAsia="zh-CN"/>
        </w:rPr>
        <w:t>七</w:t>
      </w:r>
      <w:r>
        <w:rPr>
          <w:rFonts w:hint="eastAsia" w:asciiTheme="minorEastAsia" w:hAnsiTheme="minorEastAsia" w:eastAsiaTheme="minorEastAsia"/>
          <w:color w:val="auto"/>
          <w:sz w:val="21"/>
          <w:szCs w:val="21"/>
          <w:highlight w:val="none"/>
        </w:rPr>
        <w:t>、总包对标识工程、车库划线工程等的管理配合内容：</w:t>
      </w:r>
    </w:p>
    <w:tbl>
      <w:tblPr>
        <w:tblStyle w:val="56"/>
        <w:tblW w:w="100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727"/>
        <w:gridCol w:w="4080"/>
        <w:gridCol w:w="3527"/>
      </w:tblGrid>
      <w:tr w14:paraId="10177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704" w:type="dxa"/>
            <w:tcBorders>
              <w:top w:val="single" w:color="auto" w:sz="4" w:space="0"/>
              <w:left w:val="single" w:color="auto" w:sz="4" w:space="0"/>
              <w:bottom w:val="single" w:color="auto" w:sz="4" w:space="0"/>
              <w:right w:val="single" w:color="auto" w:sz="4" w:space="0"/>
            </w:tcBorders>
            <w:vAlign w:val="center"/>
          </w:tcPr>
          <w:p w14:paraId="75855396">
            <w:pPr>
              <w:keepNext w:val="0"/>
              <w:keepLines w:val="0"/>
              <w:suppressLineNumbers w:val="0"/>
              <w:adjustRightInd w:val="0"/>
              <w:snapToGrid w:val="0"/>
              <w:spacing w:before="0" w:beforeAutospacing="0" w:after="0" w:afterAutospacing="0"/>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序号</w:t>
            </w:r>
          </w:p>
        </w:tc>
        <w:tc>
          <w:tcPr>
            <w:tcW w:w="1727" w:type="dxa"/>
            <w:tcBorders>
              <w:top w:val="single" w:color="auto" w:sz="4" w:space="0"/>
              <w:left w:val="nil"/>
              <w:bottom w:val="single" w:color="auto" w:sz="4" w:space="0"/>
              <w:right w:val="single" w:color="auto" w:sz="4" w:space="0"/>
            </w:tcBorders>
            <w:vAlign w:val="center"/>
          </w:tcPr>
          <w:p w14:paraId="1DFF83E5">
            <w:pPr>
              <w:keepNext w:val="0"/>
              <w:keepLines w:val="0"/>
              <w:suppressLineNumbers w:val="0"/>
              <w:adjustRightInd w:val="0"/>
              <w:snapToGrid w:val="0"/>
              <w:spacing w:before="0" w:beforeAutospacing="0" w:after="0" w:afterAutospacing="0"/>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配合内容</w:t>
            </w:r>
          </w:p>
        </w:tc>
        <w:tc>
          <w:tcPr>
            <w:tcW w:w="4080" w:type="dxa"/>
            <w:tcBorders>
              <w:top w:val="single" w:color="auto" w:sz="4" w:space="0"/>
              <w:left w:val="nil"/>
              <w:bottom w:val="single" w:color="auto" w:sz="4" w:space="0"/>
              <w:right w:val="single" w:color="auto" w:sz="4" w:space="0"/>
            </w:tcBorders>
            <w:vAlign w:val="center"/>
          </w:tcPr>
          <w:p w14:paraId="364AA5E5">
            <w:pPr>
              <w:keepNext w:val="0"/>
              <w:keepLines w:val="0"/>
              <w:suppressLineNumbers w:val="0"/>
              <w:adjustRightInd w:val="0"/>
              <w:snapToGrid w:val="0"/>
              <w:spacing w:before="0" w:beforeAutospacing="0" w:after="0" w:afterAutospacing="0"/>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标准</w:t>
            </w:r>
          </w:p>
        </w:tc>
        <w:tc>
          <w:tcPr>
            <w:tcW w:w="3527" w:type="dxa"/>
            <w:tcBorders>
              <w:top w:val="single" w:color="auto" w:sz="4" w:space="0"/>
              <w:left w:val="nil"/>
              <w:bottom w:val="single" w:color="auto" w:sz="4" w:space="0"/>
              <w:right w:val="single" w:color="auto" w:sz="4" w:space="0"/>
            </w:tcBorders>
            <w:vAlign w:val="center"/>
          </w:tcPr>
          <w:p w14:paraId="0E624B24">
            <w:pPr>
              <w:keepNext w:val="0"/>
              <w:keepLines w:val="0"/>
              <w:suppressLineNumbers w:val="0"/>
              <w:adjustRightInd w:val="0"/>
              <w:snapToGrid w:val="0"/>
              <w:spacing w:before="0" w:beforeAutospacing="0" w:after="0" w:afterAutospacing="0"/>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备注</w:t>
            </w:r>
          </w:p>
        </w:tc>
      </w:tr>
      <w:tr w14:paraId="69503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04" w:type="dxa"/>
            <w:tcBorders>
              <w:top w:val="single" w:color="auto" w:sz="4" w:space="0"/>
              <w:left w:val="single" w:color="auto" w:sz="4" w:space="0"/>
              <w:bottom w:val="single" w:color="auto" w:sz="4" w:space="0"/>
              <w:right w:val="single" w:color="auto" w:sz="4" w:space="0"/>
            </w:tcBorders>
            <w:vAlign w:val="center"/>
          </w:tcPr>
          <w:p w14:paraId="7BEBA12E">
            <w:pPr>
              <w:keepNext w:val="0"/>
              <w:keepLines w:val="0"/>
              <w:suppressLineNumbers w:val="0"/>
              <w:adjustRightInd w:val="0"/>
              <w:snapToGrid w:val="0"/>
              <w:spacing w:before="0" w:beforeAutospacing="0" w:after="0" w:afterAutospacing="0"/>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w:t>
            </w:r>
          </w:p>
        </w:tc>
        <w:tc>
          <w:tcPr>
            <w:tcW w:w="1727" w:type="dxa"/>
            <w:tcBorders>
              <w:top w:val="single" w:color="auto" w:sz="4" w:space="0"/>
              <w:left w:val="nil"/>
              <w:bottom w:val="single" w:color="auto" w:sz="4" w:space="0"/>
              <w:right w:val="single" w:color="auto" w:sz="4" w:space="0"/>
            </w:tcBorders>
            <w:vAlign w:val="center"/>
          </w:tcPr>
          <w:p w14:paraId="7519EC94">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垂直运输及施工通道</w:t>
            </w:r>
          </w:p>
        </w:tc>
        <w:tc>
          <w:tcPr>
            <w:tcW w:w="4080" w:type="dxa"/>
            <w:tcBorders>
              <w:top w:val="single" w:color="auto" w:sz="4" w:space="0"/>
              <w:left w:val="nil"/>
              <w:bottom w:val="single" w:color="auto" w:sz="4" w:space="0"/>
              <w:right w:val="single" w:color="auto" w:sz="4" w:space="0"/>
            </w:tcBorders>
            <w:vAlign w:val="center"/>
          </w:tcPr>
          <w:p w14:paraId="7CBDCBF6">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畅通、无障碍（总包垂直运输设备拆除除外）。</w:t>
            </w:r>
          </w:p>
        </w:tc>
        <w:tc>
          <w:tcPr>
            <w:tcW w:w="3527" w:type="dxa"/>
            <w:tcBorders>
              <w:top w:val="single" w:color="auto" w:sz="4" w:space="0"/>
              <w:left w:val="nil"/>
              <w:bottom w:val="single" w:color="auto" w:sz="4" w:space="0"/>
              <w:right w:val="single" w:color="auto" w:sz="4" w:space="0"/>
            </w:tcBorders>
            <w:vAlign w:val="center"/>
          </w:tcPr>
          <w:p w14:paraId="12EC1837">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6449A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 w:hRule="atLeast"/>
          <w:jc w:val="center"/>
        </w:trPr>
        <w:tc>
          <w:tcPr>
            <w:tcW w:w="704" w:type="dxa"/>
            <w:tcBorders>
              <w:top w:val="single" w:color="auto" w:sz="4" w:space="0"/>
              <w:left w:val="single" w:color="auto" w:sz="4" w:space="0"/>
              <w:bottom w:val="single" w:color="auto" w:sz="4" w:space="0"/>
              <w:right w:val="single" w:color="auto" w:sz="4" w:space="0"/>
            </w:tcBorders>
            <w:vAlign w:val="center"/>
          </w:tcPr>
          <w:p w14:paraId="10A621CC">
            <w:pPr>
              <w:keepNext w:val="0"/>
              <w:keepLines w:val="0"/>
              <w:suppressLineNumbers w:val="0"/>
              <w:adjustRightInd w:val="0"/>
              <w:snapToGrid w:val="0"/>
              <w:spacing w:before="0" w:beforeAutospacing="0" w:after="0" w:afterAutospacing="0"/>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w:t>
            </w:r>
          </w:p>
        </w:tc>
        <w:tc>
          <w:tcPr>
            <w:tcW w:w="1727" w:type="dxa"/>
            <w:tcBorders>
              <w:top w:val="single" w:color="auto" w:sz="4" w:space="0"/>
              <w:left w:val="nil"/>
              <w:bottom w:val="single" w:color="auto" w:sz="4" w:space="0"/>
              <w:right w:val="single" w:color="auto" w:sz="4" w:space="0"/>
            </w:tcBorders>
            <w:vAlign w:val="center"/>
          </w:tcPr>
          <w:p w14:paraId="7AC3C4B8">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用水用电</w:t>
            </w:r>
          </w:p>
        </w:tc>
        <w:tc>
          <w:tcPr>
            <w:tcW w:w="4080" w:type="dxa"/>
            <w:tcBorders>
              <w:top w:val="single" w:color="auto" w:sz="4" w:space="0"/>
              <w:left w:val="nil"/>
              <w:bottom w:val="single" w:color="auto" w:sz="4" w:space="0"/>
              <w:right w:val="single" w:color="auto" w:sz="4" w:space="0"/>
            </w:tcBorders>
            <w:vAlign w:val="center"/>
          </w:tcPr>
          <w:p w14:paraId="16722BD8">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1、总包单位提供接水、电点，分包单位自行装表</w:t>
            </w:r>
          </w:p>
          <w:p w14:paraId="5F981F3B">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2、提供水电，能够满足分包方施工负荷要求。</w:t>
            </w:r>
          </w:p>
        </w:tc>
        <w:tc>
          <w:tcPr>
            <w:tcW w:w="3527" w:type="dxa"/>
            <w:tcBorders>
              <w:top w:val="single" w:color="auto" w:sz="4" w:space="0"/>
              <w:left w:val="nil"/>
              <w:bottom w:val="single" w:color="auto" w:sz="4" w:space="0"/>
              <w:right w:val="single" w:color="auto" w:sz="4" w:space="0"/>
            </w:tcBorders>
            <w:vAlign w:val="center"/>
          </w:tcPr>
          <w:p w14:paraId="6F16C3F7">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水、电费数量以表读数为准，价格与总包使用水电费价格一致。</w:t>
            </w:r>
            <w:r>
              <w:rPr>
                <w:rFonts w:hint="eastAsia" w:cs="宋体" w:asciiTheme="minorEastAsia" w:hAnsiTheme="minorEastAsia" w:eastAsiaTheme="minorEastAsia"/>
                <w:color w:val="auto"/>
                <w:sz w:val="21"/>
                <w:szCs w:val="21"/>
                <w:highlight w:val="none"/>
                <w:lang w:val="en-US" w:eastAsia="zh-CN"/>
              </w:rPr>
              <w:t>无法挂表计量的水电费，按照分包工程中标价的1%计取。</w:t>
            </w:r>
          </w:p>
        </w:tc>
      </w:tr>
      <w:tr w14:paraId="6F85B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04" w:type="dxa"/>
            <w:tcBorders>
              <w:top w:val="single" w:color="auto" w:sz="4" w:space="0"/>
              <w:left w:val="single" w:color="auto" w:sz="4" w:space="0"/>
              <w:bottom w:val="single" w:color="auto" w:sz="4" w:space="0"/>
              <w:right w:val="single" w:color="auto" w:sz="4" w:space="0"/>
            </w:tcBorders>
            <w:vAlign w:val="center"/>
          </w:tcPr>
          <w:p w14:paraId="5BB32649">
            <w:pPr>
              <w:keepNext w:val="0"/>
              <w:keepLines w:val="0"/>
              <w:suppressLineNumbers w:val="0"/>
              <w:adjustRightInd w:val="0"/>
              <w:snapToGrid w:val="0"/>
              <w:spacing w:before="0" w:beforeAutospacing="0" w:after="0" w:afterAutospacing="0"/>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w:t>
            </w:r>
          </w:p>
        </w:tc>
        <w:tc>
          <w:tcPr>
            <w:tcW w:w="1727" w:type="dxa"/>
            <w:tcBorders>
              <w:top w:val="single" w:color="auto" w:sz="4" w:space="0"/>
              <w:left w:val="nil"/>
              <w:bottom w:val="single" w:color="auto" w:sz="4" w:space="0"/>
              <w:right w:val="single" w:color="auto" w:sz="4" w:space="0"/>
            </w:tcBorders>
            <w:vAlign w:val="center"/>
          </w:tcPr>
          <w:p w14:paraId="3C93A231">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现场办公及库房用房</w:t>
            </w:r>
          </w:p>
        </w:tc>
        <w:tc>
          <w:tcPr>
            <w:tcW w:w="4080" w:type="dxa"/>
            <w:tcBorders>
              <w:top w:val="single" w:color="auto" w:sz="4" w:space="0"/>
              <w:left w:val="nil"/>
              <w:bottom w:val="single" w:color="auto" w:sz="4" w:space="0"/>
              <w:right w:val="single" w:color="auto" w:sz="4" w:space="0"/>
            </w:tcBorders>
            <w:vAlign w:val="center"/>
          </w:tcPr>
          <w:p w14:paraId="5C430045">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总包提供材料堆放场地，满足进场材料堆放要求。</w:t>
            </w:r>
          </w:p>
        </w:tc>
        <w:tc>
          <w:tcPr>
            <w:tcW w:w="3527" w:type="dxa"/>
            <w:tcBorders>
              <w:top w:val="single" w:color="auto" w:sz="4" w:space="0"/>
              <w:left w:val="nil"/>
              <w:bottom w:val="single" w:color="auto" w:sz="4" w:space="0"/>
              <w:right w:val="single" w:color="auto" w:sz="4" w:space="0"/>
            </w:tcBorders>
            <w:vAlign w:val="center"/>
          </w:tcPr>
          <w:p w14:paraId="76CE6EF6">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51F1E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04" w:type="dxa"/>
            <w:tcBorders>
              <w:top w:val="single" w:color="auto" w:sz="4" w:space="0"/>
              <w:left w:val="single" w:color="auto" w:sz="4" w:space="0"/>
              <w:bottom w:val="single" w:color="auto" w:sz="4" w:space="0"/>
              <w:right w:val="single" w:color="auto" w:sz="4" w:space="0"/>
            </w:tcBorders>
            <w:vAlign w:val="center"/>
          </w:tcPr>
          <w:p w14:paraId="4BBA2560">
            <w:pPr>
              <w:keepNext w:val="0"/>
              <w:keepLines w:val="0"/>
              <w:suppressLineNumbers w:val="0"/>
              <w:adjustRightInd w:val="0"/>
              <w:snapToGrid w:val="0"/>
              <w:spacing w:before="0" w:beforeAutospacing="0" w:after="0" w:afterAutospacing="0"/>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4</w:t>
            </w:r>
          </w:p>
        </w:tc>
        <w:tc>
          <w:tcPr>
            <w:tcW w:w="1727" w:type="dxa"/>
            <w:tcBorders>
              <w:top w:val="single" w:color="auto" w:sz="4" w:space="0"/>
              <w:left w:val="nil"/>
              <w:bottom w:val="single" w:color="auto" w:sz="4" w:space="0"/>
              <w:right w:val="single" w:color="auto" w:sz="4" w:space="0"/>
            </w:tcBorders>
            <w:vAlign w:val="center"/>
          </w:tcPr>
          <w:p w14:paraId="1A552C85">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提供50线</w:t>
            </w:r>
          </w:p>
        </w:tc>
        <w:tc>
          <w:tcPr>
            <w:tcW w:w="4080" w:type="dxa"/>
            <w:tcBorders>
              <w:top w:val="single" w:color="auto" w:sz="4" w:space="0"/>
              <w:left w:val="nil"/>
              <w:bottom w:val="single" w:color="auto" w:sz="4" w:space="0"/>
              <w:right w:val="single" w:color="auto" w:sz="4" w:space="0"/>
            </w:tcBorders>
            <w:vAlign w:val="center"/>
          </w:tcPr>
          <w:p w14:paraId="64DFF0A4">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总包单位向分包单位提供50线。</w:t>
            </w:r>
          </w:p>
        </w:tc>
        <w:tc>
          <w:tcPr>
            <w:tcW w:w="3527" w:type="dxa"/>
            <w:tcBorders>
              <w:top w:val="single" w:color="auto" w:sz="4" w:space="0"/>
              <w:left w:val="nil"/>
              <w:bottom w:val="single" w:color="auto" w:sz="4" w:space="0"/>
              <w:right w:val="single" w:color="auto" w:sz="4" w:space="0"/>
            </w:tcBorders>
            <w:vAlign w:val="center"/>
          </w:tcPr>
          <w:p w14:paraId="7193A58B">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135BF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2" w:hRule="atLeast"/>
          <w:jc w:val="center"/>
        </w:trPr>
        <w:tc>
          <w:tcPr>
            <w:tcW w:w="704" w:type="dxa"/>
            <w:tcBorders>
              <w:top w:val="single" w:color="auto" w:sz="4" w:space="0"/>
              <w:left w:val="single" w:color="auto" w:sz="4" w:space="0"/>
              <w:bottom w:val="single" w:color="auto" w:sz="4" w:space="0"/>
              <w:right w:val="single" w:color="auto" w:sz="4" w:space="0"/>
            </w:tcBorders>
            <w:vAlign w:val="center"/>
          </w:tcPr>
          <w:p w14:paraId="545FB1B0">
            <w:pPr>
              <w:keepNext w:val="0"/>
              <w:keepLines w:val="0"/>
              <w:suppressLineNumbers w:val="0"/>
              <w:adjustRightInd w:val="0"/>
              <w:snapToGrid w:val="0"/>
              <w:spacing w:before="0" w:beforeAutospacing="0" w:after="0" w:afterAutospacing="0"/>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5</w:t>
            </w:r>
          </w:p>
        </w:tc>
        <w:tc>
          <w:tcPr>
            <w:tcW w:w="1727" w:type="dxa"/>
            <w:tcBorders>
              <w:top w:val="single" w:color="auto" w:sz="4" w:space="0"/>
              <w:left w:val="nil"/>
              <w:bottom w:val="single" w:color="auto" w:sz="4" w:space="0"/>
              <w:right w:val="single" w:color="auto" w:sz="4" w:space="0"/>
            </w:tcBorders>
            <w:vAlign w:val="center"/>
          </w:tcPr>
          <w:p w14:paraId="6B671607">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恢复</w:t>
            </w:r>
          </w:p>
        </w:tc>
        <w:tc>
          <w:tcPr>
            <w:tcW w:w="4080" w:type="dxa"/>
            <w:tcBorders>
              <w:top w:val="single" w:color="auto" w:sz="4" w:space="0"/>
              <w:left w:val="nil"/>
              <w:bottom w:val="single" w:color="auto" w:sz="4" w:space="0"/>
              <w:right w:val="single" w:color="auto" w:sz="4" w:space="0"/>
            </w:tcBorders>
            <w:vAlign w:val="center"/>
          </w:tcPr>
          <w:p w14:paraId="14C862DE">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总包单位配合标识等安装后在主体结构上留下的洞口填塞及收口收边工作。</w:t>
            </w:r>
          </w:p>
        </w:tc>
        <w:tc>
          <w:tcPr>
            <w:tcW w:w="3527" w:type="dxa"/>
            <w:tcBorders>
              <w:top w:val="single" w:color="auto" w:sz="4" w:space="0"/>
              <w:left w:val="nil"/>
              <w:bottom w:val="single" w:color="auto" w:sz="4" w:space="0"/>
              <w:right w:val="single" w:color="auto" w:sz="4" w:space="0"/>
            </w:tcBorders>
            <w:vAlign w:val="center"/>
          </w:tcPr>
          <w:p w14:paraId="2FDC6AF8">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32A3C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4" w:hRule="atLeast"/>
          <w:jc w:val="center"/>
        </w:trPr>
        <w:tc>
          <w:tcPr>
            <w:tcW w:w="704" w:type="dxa"/>
            <w:tcBorders>
              <w:top w:val="single" w:color="auto" w:sz="4" w:space="0"/>
              <w:left w:val="single" w:color="auto" w:sz="4" w:space="0"/>
              <w:bottom w:val="single" w:color="auto" w:sz="4" w:space="0"/>
              <w:right w:val="single" w:color="auto" w:sz="4" w:space="0"/>
            </w:tcBorders>
            <w:vAlign w:val="center"/>
          </w:tcPr>
          <w:p w14:paraId="3E1D1EBF">
            <w:pPr>
              <w:keepNext w:val="0"/>
              <w:keepLines w:val="0"/>
              <w:suppressLineNumbers w:val="0"/>
              <w:adjustRightInd w:val="0"/>
              <w:snapToGrid w:val="0"/>
              <w:spacing w:before="0" w:beforeAutospacing="0" w:after="0" w:afterAutospacing="0"/>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6</w:t>
            </w:r>
          </w:p>
        </w:tc>
        <w:tc>
          <w:tcPr>
            <w:tcW w:w="1727" w:type="dxa"/>
            <w:tcBorders>
              <w:top w:val="single" w:color="auto" w:sz="4" w:space="0"/>
              <w:left w:val="nil"/>
              <w:bottom w:val="single" w:color="auto" w:sz="4" w:space="0"/>
              <w:right w:val="single" w:color="auto" w:sz="4" w:space="0"/>
            </w:tcBorders>
            <w:vAlign w:val="center"/>
          </w:tcPr>
          <w:p w14:paraId="092031B2">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建筑垃圾</w:t>
            </w:r>
          </w:p>
        </w:tc>
        <w:tc>
          <w:tcPr>
            <w:tcW w:w="4080" w:type="dxa"/>
            <w:tcBorders>
              <w:top w:val="single" w:color="auto" w:sz="4" w:space="0"/>
              <w:left w:val="nil"/>
              <w:bottom w:val="single" w:color="auto" w:sz="4" w:space="0"/>
              <w:right w:val="single" w:color="auto" w:sz="4" w:space="0"/>
            </w:tcBorders>
            <w:vAlign w:val="center"/>
          </w:tcPr>
          <w:p w14:paraId="6DD6658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总包单位向分包单位提供统一垃圾临时堆放点，由分包单位自行清运至临时堆放点，总包单位进行垃圾外运。总包</w:t>
            </w:r>
            <w:r>
              <w:rPr>
                <w:rFonts w:hint="eastAsia" w:cs="宋体" w:asciiTheme="minorEastAsia" w:hAnsiTheme="minorEastAsia" w:eastAsiaTheme="minorEastAsia"/>
                <w:color w:val="auto"/>
                <w:sz w:val="21"/>
                <w:szCs w:val="21"/>
                <w:highlight w:val="none"/>
                <w:lang w:val="en-US" w:eastAsia="zh-CN"/>
              </w:rPr>
              <w:t>单位不得额外收取分包单位垃圾费用，若</w:t>
            </w:r>
            <w:r>
              <w:rPr>
                <w:rFonts w:hint="eastAsia" w:cs="宋体" w:asciiTheme="minorEastAsia" w:hAnsiTheme="minorEastAsia" w:eastAsiaTheme="minorEastAsia"/>
                <w:color w:val="auto"/>
                <w:sz w:val="21"/>
                <w:szCs w:val="21"/>
                <w:highlight w:val="none"/>
              </w:rPr>
              <w:t>额外收取分包垃圾费，按</w:t>
            </w:r>
            <w:r>
              <w:rPr>
                <w:rFonts w:hint="eastAsia" w:cs="宋体" w:asciiTheme="minorEastAsia" w:hAnsiTheme="minorEastAsia" w:eastAsiaTheme="minorEastAsia"/>
                <w:color w:val="auto"/>
                <w:sz w:val="21"/>
                <w:szCs w:val="21"/>
                <w:highlight w:val="none"/>
                <w:u w:val="single"/>
                <w:lang w:val="en-US" w:eastAsia="zh-CN"/>
              </w:rPr>
              <w:t>300元/m3从总包结算</w:t>
            </w:r>
            <w:r>
              <w:rPr>
                <w:rFonts w:hint="eastAsia" w:cs="宋体" w:asciiTheme="minorEastAsia" w:hAnsiTheme="minorEastAsia" w:eastAsiaTheme="minorEastAsia"/>
                <w:color w:val="auto"/>
                <w:sz w:val="21"/>
                <w:szCs w:val="21"/>
                <w:highlight w:val="none"/>
                <w:u w:val="single"/>
              </w:rPr>
              <w:t>扣除。</w:t>
            </w:r>
          </w:p>
        </w:tc>
        <w:tc>
          <w:tcPr>
            <w:tcW w:w="3527" w:type="dxa"/>
            <w:tcBorders>
              <w:top w:val="single" w:color="auto" w:sz="4" w:space="0"/>
              <w:left w:val="nil"/>
              <w:bottom w:val="single" w:color="auto" w:sz="4" w:space="0"/>
              <w:right w:val="single" w:color="auto" w:sz="4" w:space="0"/>
            </w:tcBorders>
            <w:vAlign w:val="center"/>
          </w:tcPr>
          <w:p w14:paraId="6E4F06C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分包单位未清理或清理不到位，总包单位有权向分包单位提出书面清理通知，分包单位在接到书面通知后仍无动于衷或清理不干净，由总包单位清理，费用由分包单位承担。</w:t>
            </w:r>
          </w:p>
        </w:tc>
      </w:tr>
      <w:tr w14:paraId="720A4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 w:hRule="atLeast"/>
          <w:jc w:val="center"/>
        </w:trPr>
        <w:tc>
          <w:tcPr>
            <w:tcW w:w="704" w:type="dxa"/>
            <w:tcBorders>
              <w:top w:val="single" w:color="auto" w:sz="4" w:space="0"/>
              <w:left w:val="single" w:color="auto" w:sz="4" w:space="0"/>
              <w:bottom w:val="single" w:color="auto" w:sz="4" w:space="0"/>
              <w:right w:val="single" w:color="auto" w:sz="4" w:space="0"/>
            </w:tcBorders>
            <w:vAlign w:val="center"/>
          </w:tcPr>
          <w:p w14:paraId="02D9A388">
            <w:pPr>
              <w:keepNext w:val="0"/>
              <w:keepLines w:val="0"/>
              <w:suppressLineNumbers w:val="0"/>
              <w:adjustRightInd w:val="0"/>
              <w:snapToGrid w:val="0"/>
              <w:spacing w:before="0" w:beforeAutospacing="0" w:after="0" w:afterAutospacing="0"/>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7</w:t>
            </w:r>
          </w:p>
        </w:tc>
        <w:tc>
          <w:tcPr>
            <w:tcW w:w="1727" w:type="dxa"/>
            <w:tcBorders>
              <w:top w:val="single" w:color="auto" w:sz="4" w:space="0"/>
              <w:left w:val="nil"/>
              <w:bottom w:val="single" w:color="auto" w:sz="4" w:space="0"/>
              <w:right w:val="single" w:color="auto" w:sz="4" w:space="0"/>
            </w:tcBorders>
            <w:vAlign w:val="center"/>
          </w:tcPr>
          <w:p w14:paraId="076C4CDE">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质量、进度、安全、文明施工、竣工验收资料等管理</w:t>
            </w:r>
          </w:p>
        </w:tc>
        <w:tc>
          <w:tcPr>
            <w:tcW w:w="4080" w:type="dxa"/>
            <w:tcBorders>
              <w:top w:val="single" w:color="auto" w:sz="4" w:space="0"/>
              <w:left w:val="nil"/>
              <w:bottom w:val="single" w:color="auto" w:sz="4" w:space="0"/>
              <w:right w:val="single" w:color="auto" w:sz="4" w:space="0"/>
            </w:tcBorders>
            <w:vAlign w:val="center"/>
          </w:tcPr>
          <w:p w14:paraId="65B73EB4">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总包要监督、检查分包方的质量、进度、安全、文明施工、竣工验收资料等应符合国家相关规定，施工组织和协调，并负责统一竣工验收，备案。</w:t>
            </w:r>
          </w:p>
        </w:tc>
        <w:tc>
          <w:tcPr>
            <w:tcW w:w="3527" w:type="dxa"/>
            <w:tcBorders>
              <w:top w:val="single" w:color="auto" w:sz="4" w:space="0"/>
              <w:left w:val="nil"/>
              <w:bottom w:val="single" w:color="auto" w:sz="4" w:space="0"/>
              <w:right w:val="single" w:color="auto" w:sz="4" w:space="0"/>
            </w:tcBorders>
            <w:vAlign w:val="center"/>
          </w:tcPr>
          <w:p w14:paraId="3DC640E6">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竣工资料归档费已包含在专业工程管理配合费中。</w:t>
            </w:r>
          </w:p>
        </w:tc>
      </w:tr>
      <w:tr w14:paraId="36632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4" w:hRule="atLeast"/>
          <w:jc w:val="center"/>
        </w:trPr>
        <w:tc>
          <w:tcPr>
            <w:tcW w:w="704" w:type="dxa"/>
            <w:tcBorders>
              <w:top w:val="single" w:color="auto" w:sz="4" w:space="0"/>
              <w:left w:val="single" w:color="auto" w:sz="4" w:space="0"/>
              <w:bottom w:val="single" w:color="auto" w:sz="4" w:space="0"/>
              <w:right w:val="single" w:color="auto" w:sz="4" w:space="0"/>
            </w:tcBorders>
            <w:vAlign w:val="center"/>
          </w:tcPr>
          <w:p w14:paraId="31B56021">
            <w:pPr>
              <w:keepNext w:val="0"/>
              <w:keepLines w:val="0"/>
              <w:suppressLineNumbers w:val="0"/>
              <w:adjustRightInd w:val="0"/>
              <w:snapToGrid w:val="0"/>
              <w:spacing w:before="0" w:beforeAutospacing="0" w:after="0" w:afterAutospacing="0"/>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8</w:t>
            </w:r>
          </w:p>
        </w:tc>
        <w:tc>
          <w:tcPr>
            <w:tcW w:w="1727" w:type="dxa"/>
            <w:tcBorders>
              <w:top w:val="single" w:color="auto" w:sz="4" w:space="0"/>
              <w:left w:val="nil"/>
              <w:bottom w:val="single" w:color="auto" w:sz="4" w:space="0"/>
              <w:right w:val="single" w:color="auto" w:sz="4" w:space="0"/>
            </w:tcBorders>
            <w:vAlign w:val="center"/>
          </w:tcPr>
          <w:p w14:paraId="4D9C17AA">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成品保护</w:t>
            </w:r>
          </w:p>
        </w:tc>
        <w:tc>
          <w:tcPr>
            <w:tcW w:w="4080" w:type="dxa"/>
            <w:tcBorders>
              <w:top w:val="single" w:color="auto" w:sz="4" w:space="0"/>
              <w:left w:val="nil"/>
              <w:bottom w:val="single" w:color="auto" w:sz="4" w:space="0"/>
              <w:right w:val="single" w:color="auto" w:sz="4" w:space="0"/>
            </w:tcBorders>
            <w:vAlign w:val="center"/>
          </w:tcPr>
          <w:p w14:paraId="7E16CCC5">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1、分包单位施工内容全部结束，分包单位在经发包人及监理验收前应自行负责成品保护的责任。</w:t>
            </w:r>
          </w:p>
          <w:p w14:paraId="192813C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2、经发包人及监理验收合格，在向物业移交前总包单位应担负其成品保护的责任。</w:t>
            </w:r>
          </w:p>
        </w:tc>
        <w:tc>
          <w:tcPr>
            <w:tcW w:w="3527" w:type="dxa"/>
            <w:tcBorders>
              <w:top w:val="single" w:color="auto" w:sz="4" w:space="0"/>
              <w:left w:val="nil"/>
              <w:bottom w:val="single" w:color="auto" w:sz="4" w:space="0"/>
              <w:right w:val="single" w:color="auto" w:sz="4" w:space="0"/>
            </w:tcBorders>
            <w:vAlign w:val="center"/>
          </w:tcPr>
          <w:p w14:paraId="24E1B44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40AA0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704" w:type="dxa"/>
            <w:tcBorders>
              <w:top w:val="single" w:color="auto" w:sz="4" w:space="0"/>
              <w:left w:val="single" w:color="auto" w:sz="4" w:space="0"/>
              <w:bottom w:val="single" w:color="auto" w:sz="4" w:space="0"/>
              <w:right w:val="single" w:color="auto" w:sz="4" w:space="0"/>
            </w:tcBorders>
            <w:vAlign w:val="center"/>
          </w:tcPr>
          <w:p w14:paraId="1AA51E72">
            <w:pPr>
              <w:keepNext w:val="0"/>
              <w:keepLines w:val="0"/>
              <w:suppressLineNumbers w:val="0"/>
              <w:adjustRightInd w:val="0"/>
              <w:snapToGrid w:val="0"/>
              <w:spacing w:before="0" w:beforeAutospacing="0" w:after="0" w:afterAutospacing="0"/>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9</w:t>
            </w:r>
          </w:p>
        </w:tc>
        <w:tc>
          <w:tcPr>
            <w:tcW w:w="1727" w:type="dxa"/>
            <w:tcBorders>
              <w:top w:val="single" w:color="auto" w:sz="4" w:space="0"/>
              <w:left w:val="nil"/>
              <w:bottom w:val="single" w:color="auto" w:sz="4" w:space="0"/>
              <w:right w:val="single" w:color="auto" w:sz="4" w:space="0"/>
            </w:tcBorders>
            <w:vAlign w:val="center"/>
          </w:tcPr>
          <w:p w14:paraId="47DF5273">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交工清理</w:t>
            </w:r>
          </w:p>
        </w:tc>
        <w:tc>
          <w:tcPr>
            <w:tcW w:w="4080" w:type="dxa"/>
            <w:tcBorders>
              <w:top w:val="single" w:color="auto" w:sz="4" w:space="0"/>
              <w:left w:val="nil"/>
              <w:bottom w:val="single" w:color="auto" w:sz="4" w:space="0"/>
              <w:right w:val="single" w:color="auto" w:sz="4" w:space="0"/>
            </w:tcBorders>
            <w:vAlign w:val="center"/>
          </w:tcPr>
          <w:p w14:paraId="11D1C1A9">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总包单位负责交工清理工作，直至符合交工条件。</w:t>
            </w:r>
          </w:p>
        </w:tc>
        <w:tc>
          <w:tcPr>
            <w:tcW w:w="3527" w:type="dxa"/>
            <w:tcBorders>
              <w:top w:val="single" w:color="auto" w:sz="4" w:space="0"/>
              <w:left w:val="nil"/>
              <w:bottom w:val="single" w:color="auto" w:sz="4" w:space="0"/>
              <w:right w:val="single" w:color="auto" w:sz="4" w:space="0"/>
            </w:tcBorders>
            <w:vAlign w:val="center"/>
          </w:tcPr>
          <w:p w14:paraId="4BA6738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bl>
    <w:p w14:paraId="54639172">
      <w:pPr>
        <w:adjustRightInd w:val="0"/>
        <w:snapToGrid w:val="0"/>
        <w:outlineLvl w:val="9"/>
        <w:rPr>
          <w:rFonts w:asciiTheme="minorEastAsia" w:hAnsiTheme="minorEastAsia" w:eastAsiaTheme="minorEastAsia"/>
          <w:color w:val="auto"/>
          <w:sz w:val="24"/>
          <w:highlight w:val="none"/>
        </w:rPr>
      </w:pPr>
    </w:p>
    <w:p w14:paraId="07F09895">
      <w:pPr>
        <w:adjustRightInd w:val="0"/>
        <w:snapToGrid w:val="0"/>
        <w:outlineLvl w:val="9"/>
        <w:rPr>
          <w:rFonts w:asciiTheme="minorEastAsia" w:hAnsiTheme="minorEastAsia" w:eastAsiaTheme="minorEastAsia"/>
          <w:color w:val="auto"/>
          <w:sz w:val="24"/>
          <w:highlight w:val="none"/>
        </w:rPr>
      </w:pPr>
      <w:r>
        <w:rPr>
          <w:rFonts w:asciiTheme="minorEastAsia" w:hAnsiTheme="minorEastAsia" w:eastAsiaTheme="minorEastAsia"/>
          <w:color w:val="auto"/>
          <w:highlight w:val="none"/>
        </w:rPr>
        <w:br w:type="page"/>
      </w:r>
      <w:r>
        <w:rPr>
          <w:rFonts w:hint="eastAsia" w:asciiTheme="minorEastAsia" w:hAnsiTheme="minorEastAsia" w:eastAsiaTheme="minorEastAsia"/>
          <w:color w:val="auto"/>
          <w:sz w:val="21"/>
          <w:szCs w:val="21"/>
          <w:highlight w:val="none"/>
          <w:lang w:val="en-US" w:eastAsia="zh-CN"/>
        </w:rPr>
        <w:t>八</w:t>
      </w:r>
      <w:r>
        <w:rPr>
          <w:rFonts w:hint="eastAsia" w:asciiTheme="minorEastAsia" w:hAnsiTheme="minorEastAsia" w:eastAsiaTheme="minorEastAsia"/>
          <w:color w:val="auto"/>
          <w:sz w:val="21"/>
          <w:szCs w:val="21"/>
          <w:highlight w:val="none"/>
        </w:rPr>
        <w:t>、总包对高低压变配电工程（专变）的管理配合内容：</w:t>
      </w:r>
    </w:p>
    <w:tbl>
      <w:tblPr>
        <w:tblStyle w:val="56"/>
        <w:tblW w:w="100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1705"/>
        <w:gridCol w:w="4120"/>
        <w:gridCol w:w="3542"/>
      </w:tblGrid>
      <w:tr w14:paraId="46B97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531EB94F">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序号</w:t>
            </w:r>
          </w:p>
        </w:tc>
        <w:tc>
          <w:tcPr>
            <w:tcW w:w="1705" w:type="dxa"/>
            <w:tcBorders>
              <w:top w:val="single" w:color="auto" w:sz="4" w:space="0"/>
              <w:left w:val="nil"/>
              <w:bottom w:val="single" w:color="auto" w:sz="4" w:space="0"/>
              <w:right w:val="single" w:color="auto" w:sz="4" w:space="0"/>
            </w:tcBorders>
            <w:vAlign w:val="center"/>
          </w:tcPr>
          <w:p w14:paraId="0E9DDB98">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配合内容</w:t>
            </w:r>
          </w:p>
        </w:tc>
        <w:tc>
          <w:tcPr>
            <w:tcW w:w="4120" w:type="dxa"/>
            <w:tcBorders>
              <w:top w:val="single" w:color="auto" w:sz="4" w:space="0"/>
              <w:left w:val="nil"/>
              <w:bottom w:val="single" w:color="auto" w:sz="4" w:space="0"/>
              <w:right w:val="single" w:color="auto" w:sz="4" w:space="0"/>
            </w:tcBorders>
            <w:vAlign w:val="center"/>
          </w:tcPr>
          <w:p w14:paraId="69F5E277">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标准</w:t>
            </w:r>
          </w:p>
        </w:tc>
        <w:tc>
          <w:tcPr>
            <w:tcW w:w="3542" w:type="dxa"/>
            <w:tcBorders>
              <w:top w:val="single" w:color="auto" w:sz="4" w:space="0"/>
              <w:left w:val="nil"/>
              <w:bottom w:val="single" w:color="auto" w:sz="4" w:space="0"/>
              <w:right w:val="single" w:color="auto" w:sz="4" w:space="0"/>
            </w:tcBorders>
            <w:vAlign w:val="center"/>
          </w:tcPr>
          <w:p w14:paraId="5DEE2529">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备注</w:t>
            </w:r>
          </w:p>
        </w:tc>
      </w:tr>
      <w:tr w14:paraId="3CDB0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207FE553">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w:t>
            </w:r>
          </w:p>
        </w:tc>
        <w:tc>
          <w:tcPr>
            <w:tcW w:w="1705" w:type="dxa"/>
            <w:tcBorders>
              <w:top w:val="single" w:color="auto" w:sz="4" w:space="0"/>
              <w:left w:val="nil"/>
              <w:bottom w:val="single" w:color="auto" w:sz="4" w:space="0"/>
              <w:right w:val="single" w:color="auto" w:sz="4" w:space="0"/>
            </w:tcBorders>
            <w:vAlign w:val="center"/>
          </w:tcPr>
          <w:p w14:paraId="22439587">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工作面尺寸</w:t>
            </w:r>
          </w:p>
        </w:tc>
        <w:tc>
          <w:tcPr>
            <w:tcW w:w="4120" w:type="dxa"/>
            <w:tcBorders>
              <w:top w:val="single" w:color="auto" w:sz="4" w:space="0"/>
              <w:left w:val="nil"/>
              <w:bottom w:val="single" w:color="auto" w:sz="4" w:space="0"/>
              <w:right w:val="single" w:color="auto" w:sz="4" w:space="0"/>
            </w:tcBorders>
            <w:vAlign w:val="center"/>
          </w:tcPr>
          <w:p w14:paraId="1CE26F93">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洞口尺寸误差±5mm。</w:t>
            </w:r>
          </w:p>
        </w:tc>
        <w:tc>
          <w:tcPr>
            <w:tcW w:w="3542" w:type="dxa"/>
            <w:tcBorders>
              <w:top w:val="single" w:color="auto" w:sz="4" w:space="0"/>
              <w:left w:val="nil"/>
              <w:bottom w:val="single" w:color="auto" w:sz="4" w:space="0"/>
              <w:right w:val="single" w:color="auto" w:sz="4" w:space="0"/>
            </w:tcBorders>
            <w:vAlign w:val="center"/>
          </w:tcPr>
          <w:p w14:paraId="06F4102C">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总包提供的尺寸不符合标准的必须整改合格。</w:t>
            </w:r>
          </w:p>
        </w:tc>
      </w:tr>
      <w:tr w14:paraId="31BB9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55AAB491">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w:t>
            </w:r>
          </w:p>
        </w:tc>
        <w:tc>
          <w:tcPr>
            <w:tcW w:w="1705" w:type="dxa"/>
            <w:tcBorders>
              <w:top w:val="single" w:color="auto" w:sz="4" w:space="0"/>
              <w:left w:val="nil"/>
              <w:bottom w:val="single" w:color="auto" w:sz="4" w:space="0"/>
              <w:right w:val="single" w:color="auto" w:sz="4" w:space="0"/>
            </w:tcBorders>
            <w:vAlign w:val="center"/>
          </w:tcPr>
          <w:p w14:paraId="08FC2CDD">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垂直运输及施工通道</w:t>
            </w:r>
          </w:p>
        </w:tc>
        <w:tc>
          <w:tcPr>
            <w:tcW w:w="4120" w:type="dxa"/>
            <w:tcBorders>
              <w:top w:val="single" w:color="auto" w:sz="4" w:space="0"/>
              <w:left w:val="nil"/>
              <w:bottom w:val="single" w:color="auto" w:sz="4" w:space="0"/>
              <w:right w:val="single" w:color="auto" w:sz="4" w:space="0"/>
            </w:tcBorders>
            <w:vAlign w:val="center"/>
          </w:tcPr>
          <w:p w14:paraId="034C1111">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畅通、无障碍（总包垂直运输设备拆除除外）。</w:t>
            </w:r>
          </w:p>
        </w:tc>
        <w:tc>
          <w:tcPr>
            <w:tcW w:w="3542" w:type="dxa"/>
            <w:tcBorders>
              <w:top w:val="single" w:color="auto" w:sz="4" w:space="0"/>
              <w:left w:val="nil"/>
              <w:bottom w:val="single" w:color="auto" w:sz="4" w:space="0"/>
              <w:right w:val="single" w:color="auto" w:sz="4" w:space="0"/>
            </w:tcBorders>
            <w:vAlign w:val="center"/>
          </w:tcPr>
          <w:p w14:paraId="13A5683C">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63867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69BF3E18">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w:t>
            </w:r>
          </w:p>
        </w:tc>
        <w:tc>
          <w:tcPr>
            <w:tcW w:w="1705" w:type="dxa"/>
            <w:tcBorders>
              <w:top w:val="single" w:color="auto" w:sz="4" w:space="0"/>
              <w:left w:val="nil"/>
              <w:bottom w:val="single" w:color="auto" w:sz="4" w:space="0"/>
              <w:right w:val="single" w:color="auto" w:sz="4" w:space="0"/>
            </w:tcBorders>
            <w:vAlign w:val="center"/>
          </w:tcPr>
          <w:p w14:paraId="5C7DDA17">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用水用电</w:t>
            </w:r>
          </w:p>
        </w:tc>
        <w:tc>
          <w:tcPr>
            <w:tcW w:w="4120" w:type="dxa"/>
            <w:tcBorders>
              <w:top w:val="single" w:color="auto" w:sz="4" w:space="0"/>
              <w:left w:val="nil"/>
              <w:bottom w:val="single" w:color="auto" w:sz="4" w:space="0"/>
              <w:right w:val="single" w:color="auto" w:sz="4" w:space="0"/>
            </w:tcBorders>
            <w:vAlign w:val="center"/>
          </w:tcPr>
          <w:p w14:paraId="5F9D5EC2">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1、总包单位提供接水、电点，分包单位自行装表。</w:t>
            </w:r>
          </w:p>
          <w:p w14:paraId="1342CA98">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2、提供水电，能够满足分包方施工负荷要求。</w:t>
            </w:r>
          </w:p>
        </w:tc>
        <w:tc>
          <w:tcPr>
            <w:tcW w:w="3542" w:type="dxa"/>
            <w:tcBorders>
              <w:top w:val="single" w:color="auto" w:sz="4" w:space="0"/>
              <w:left w:val="nil"/>
              <w:bottom w:val="single" w:color="auto" w:sz="4" w:space="0"/>
              <w:right w:val="single" w:color="auto" w:sz="4" w:space="0"/>
            </w:tcBorders>
            <w:vAlign w:val="center"/>
          </w:tcPr>
          <w:p w14:paraId="0DF77D8F">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水、电费数量以表读数为准，价格与总包使用水电费价格一致。</w:t>
            </w:r>
            <w:r>
              <w:rPr>
                <w:rFonts w:hint="eastAsia" w:cs="宋体" w:asciiTheme="minorEastAsia" w:hAnsiTheme="minorEastAsia" w:eastAsiaTheme="minorEastAsia"/>
                <w:color w:val="auto"/>
                <w:sz w:val="21"/>
                <w:szCs w:val="21"/>
                <w:highlight w:val="none"/>
                <w:lang w:val="en-US" w:eastAsia="zh-CN"/>
              </w:rPr>
              <w:t>无法挂表计量的水电费，按照分包工程中标价的1%计取。</w:t>
            </w:r>
          </w:p>
        </w:tc>
      </w:tr>
      <w:tr w14:paraId="6CAE4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4C632D23">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4</w:t>
            </w:r>
          </w:p>
        </w:tc>
        <w:tc>
          <w:tcPr>
            <w:tcW w:w="1705" w:type="dxa"/>
            <w:tcBorders>
              <w:top w:val="single" w:color="auto" w:sz="4" w:space="0"/>
              <w:left w:val="nil"/>
              <w:bottom w:val="single" w:color="auto" w:sz="4" w:space="0"/>
              <w:right w:val="single" w:color="auto" w:sz="4" w:space="0"/>
            </w:tcBorders>
            <w:vAlign w:val="center"/>
          </w:tcPr>
          <w:p w14:paraId="751C845F">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现场办公及库房用房</w:t>
            </w:r>
          </w:p>
        </w:tc>
        <w:tc>
          <w:tcPr>
            <w:tcW w:w="4120" w:type="dxa"/>
            <w:tcBorders>
              <w:top w:val="single" w:color="auto" w:sz="4" w:space="0"/>
              <w:left w:val="nil"/>
              <w:bottom w:val="single" w:color="auto" w:sz="4" w:space="0"/>
              <w:right w:val="single" w:color="auto" w:sz="4" w:space="0"/>
            </w:tcBorders>
            <w:vAlign w:val="center"/>
          </w:tcPr>
          <w:p w14:paraId="7F62C8B8">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总包提供材料堆放场地，满足进场材料堆放要求。</w:t>
            </w:r>
          </w:p>
        </w:tc>
        <w:tc>
          <w:tcPr>
            <w:tcW w:w="3542" w:type="dxa"/>
            <w:tcBorders>
              <w:top w:val="single" w:color="auto" w:sz="4" w:space="0"/>
              <w:left w:val="nil"/>
              <w:bottom w:val="single" w:color="auto" w:sz="4" w:space="0"/>
              <w:right w:val="single" w:color="auto" w:sz="4" w:space="0"/>
            </w:tcBorders>
            <w:vAlign w:val="center"/>
          </w:tcPr>
          <w:p w14:paraId="63F6AD64">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5D1EC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10FF0588">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5</w:t>
            </w:r>
          </w:p>
        </w:tc>
        <w:tc>
          <w:tcPr>
            <w:tcW w:w="1705" w:type="dxa"/>
            <w:tcBorders>
              <w:top w:val="single" w:color="auto" w:sz="4" w:space="0"/>
              <w:left w:val="nil"/>
              <w:bottom w:val="single" w:color="auto" w:sz="4" w:space="0"/>
              <w:right w:val="single" w:color="auto" w:sz="4" w:space="0"/>
            </w:tcBorders>
            <w:vAlign w:val="center"/>
          </w:tcPr>
          <w:p w14:paraId="504576E5">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提供50线</w:t>
            </w:r>
          </w:p>
        </w:tc>
        <w:tc>
          <w:tcPr>
            <w:tcW w:w="4120" w:type="dxa"/>
            <w:tcBorders>
              <w:top w:val="single" w:color="auto" w:sz="4" w:space="0"/>
              <w:left w:val="nil"/>
              <w:bottom w:val="single" w:color="auto" w:sz="4" w:space="0"/>
              <w:right w:val="single" w:color="auto" w:sz="4" w:space="0"/>
            </w:tcBorders>
            <w:vAlign w:val="center"/>
          </w:tcPr>
          <w:p w14:paraId="0CBB0BAF">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总包单位向分包单位每层提供50线。</w:t>
            </w:r>
          </w:p>
        </w:tc>
        <w:tc>
          <w:tcPr>
            <w:tcW w:w="3542" w:type="dxa"/>
            <w:tcBorders>
              <w:top w:val="single" w:color="auto" w:sz="4" w:space="0"/>
              <w:left w:val="nil"/>
              <w:bottom w:val="single" w:color="auto" w:sz="4" w:space="0"/>
              <w:right w:val="single" w:color="auto" w:sz="4" w:space="0"/>
            </w:tcBorders>
            <w:vAlign w:val="center"/>
          </w:tcPr>
          <w:p w14:paraId="6FE86FA8">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5D52D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6"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2C0F40A3">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6</w:t>
            </w:r>
          </w:p>
        </w:tc>
        <w:tc>
          <w:tcPr>
            <w:tcW w:w="1705" w:type="dxa"/>
            <w:tcBorders>
              <w:top w:val="single" w:color="auto" w:sz="4" w:space="0"/>
              <w:left w:val="nil"/>
              <w:bottom w:val="single" w:color="auto" w:sz="4" w:space="0"/>
              <w:right w:val="single" w:color="auto" w:sz="4" w:space="0"/>
            </w:tcBorders>
            <w:vAlign w:val="center"/>
          </w:tcPr>
          <w:p w14:paraId="2BF09504">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建筑垃圾</w:t>
            </w:r>
          </w:p>
        </w:tc>
        <w:tc>
          <w:tcPr>
            <w:tcW w:w="4120" w:type="dxa"/>
            <w:tcBorders>
              <w:top w:val="single" w:color="auto" w:sz="4" w:space="0"/>
              <w:left w:val="nil"/>
              <w:bottom w:val="single" w:color="auto" w:sz="4" w:space="0"/>
              <w:right w:val="single" w:color="auto" w:sz="4" w:space="0"/>
            </w:tcBorders>
            <w:vAlign w:val="center"/>
          </w:tcPr>
          <w:p w14:paraId="43ACCDB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总包单位向分包单位提供统一垃圾临时堆放点，由分包单位自行清运至临时堆放点，总包单位进行垃圾外运。总包</w:t>
            </w:r>
            <w:r>
              <w:rPr>
                <w:rFonts w:hint="eastAsia" w:cs="宋体" w:asciiTheme="minorEastAsia" w:hAnsiTheme="minorEastAsia" w:eastAsiaTheme="minorEastAsia"/>
                <w:color w:val="auto"/>
                <w:sz w:val="21"/>
                <w:szCs w:val="21"/>
                <w:highlight w:val="none"/>
                <w:lang w:val="en-US" w:eastAsia="zh-CN"/>
              </w:rPr>
              <w:t>单位不得额外收取分包单位垃圾费用，若</w:t>
            </w:r>
            <w:r>
              <w:rPr>
                <w:rFonts w:hint="eastAsia" w:cs="宋体" w:asciiTheme="minorEastAsia" w:hAnsiTheme="minorEastAsia" w:eastAsiaTheme="minorEastAsia"/>
                <w:color w:val="auto"/>
                <w:sz w:val="21"/>
                <w:szCs w:val="21"/>
                <w:highlight w:val="none"/>
              </w:rPr>
              <w:t>额外收取分包垃圾费，按</w:t>
            </w:r>
            <w:r>
              <w:rPr>
                <w:rFonts w:hint="eastAsia" w:cs="宋体" w:asciiTheme="minorEastAsia" w:hAnsiTheme="minorEastAsia" w:eastAsiaTheme="minorEastAsia"/>
                <w:color w:val="auto"/>
                <w:sz w:val="21"/>
                <w:szCs w:val="21"/>
                <w:highlight w:val="none"/>
                <w:u w:val="single"/>
                <w:lang w:val="en-US" w:eastAsia="zh-CN"/>
              </w:rPr>
              <w:t>300元/m3从总包结算</w:t>
            </w:r>
            <w:r>
              <w:rPr>
                <w:rFonts w:hint="eastAsia" w:cs="宋体" w:asciiTheme="minorEastAsia" w:hAnsiTheme="minorEastAsia" w:eastAsiaTheme="minorEastAsia"/>
                <w:color w:val="auto"/>
                <w:sz w:val="21"/>
                <w:szCs w:val="21"/>
                <w:highlight w:val="none"/>
                <w:u w:val="single"/>
              </w:rPr>
              <w:t>扣除。</w:t>
            </w:r>
          </w:p>
        </w:tc>
        <w:tc>
          <w:tcPr>
            <w:tcW w:w="3542" w:type="dxa"/>
            <w:tcBorders>
              <w:top w:val="single" w:color="auto" w:sz="4" w:space="0"/>
              <w:left w:val="nil"/>
              <w:bottom w:val="single" w:color="auto" w:sz="4" w:space="0"/>
              <w:right w:val="single" w:color="auto" w:sz="4" w:space="0"/>
            </w:tcBorders>
            <w:vAlign w:val="center"/>
          </w:tcPr>
          <w:p w14:paraId="5EB81D1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分包单位未清理或清理不到位，总包单位有权向分包单位提出书面清理通知，分包单位在接到书面通知后仍无动于衷或清理不干净，由总包单位清理，费用由分包单位承担。</w:t>
            </w:r>
          </w:p>
        </w:tc>
      </w:tr>
      <w:tr w14:paraId="41186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08CFF4D9">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7</w:t>
            </w:r>
          </w:p>
        </w:tc>
        <w:tc>
          <w:tcPr>
            <w:tcW w:w="1705" w:type="dxa"/>
            <w:tcBorders>
              <w:top w:val="single" w:color="auto" w:sz="4" w:space="0"/>
              <w:left w:val="nil"/>
              <w:bottom w:val="single" w:color="auto" w:sz="4" w:space="0"/>
              <w:right w:val="single" w:color="auto" w:sz="4" w:space="0"/>
            </w:tcBorders>
            <w:vAlign w:val="center"/>
          </w:tcPr>
          <w:p w14:paraId="25994017">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质量、进度、安全、文明施工、竣工验收资料等管理</w:t>
            </w:r>
          </w:p>
        </w:tc>
        <w:tc>
          <w:tcPr>
            <w:tcW w:w="4120" w:type="dxa"/>
            <w:tcBorders>
              <w:top w:val="single" w:color="auto" w:sz="4" w:space="0"/>
              <w:left w:val="nil"/>
              <w:bottom w:val="single" w:color="auto" w:sz="4" w:space="0"/>
              <w:right w:val="single" w:color="auto" w:sz="4" w:space="0"/>
            </w:tcBorders>
            <w:vAlign w:val="center"/>
          </w:tcPr>
          <w:p w14:paraId="2536653F">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总包要监督、检查分包方的质量、进度、安全、文明施工、竣工验收资料等应符合国家相关规定，施工组织和协调，并负责统一竣工验收、备案。</w:t>
            </w:r>
          </w:p>
        </w:tc>
        <w:tc>
          <w:tcPr>
            <w:tcW w:w="3542" w:type="dxa"/>
            <w:tcBorders>
              <w:top w:val="single" w:color="auto" w:sz="4" w:space="0"/>
              <w:left w:val="nil"/>
              <w:bottom w:val="single" w:color="auto" w:sz="4" w:space="0"/>
              <w:right w:val="single" w:color="auto" w:sz="4" w:space="0"/>
            </w:tcBorders>
            <w:vAlign w:val="center"/>
          </w:tcPr>
          <w:p w14:paraId="38C48058">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竣工资料归档费已包含在专业工程管理配合费中。</w:t>
            </w:r>
          </w:p>
        </w:tc>
      </w:tr>
      <w:tr w14:paraId="4B036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6"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472BD714">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8</w:t>
            </w:r>
          </w:p>
        </w:tc>
        <w:tc>
          <w:tcPr>
            <w:tcW w:w="1705" w:type="dxa"/>
            <w:tcBorders>
              <w:top w:val="single" w:color="auto" w:sz="4" w:space="0"/>
              <w:left w:val="nil"/>
              <w:bottom w:val="single" w:color="auto" w:sz="4" w:space="0"/>
              <w:right w:val="single" w:color="auto" w:sz="4" w:space="0"/>
            </w:tcBorders>
            <w:vAlign w:val="center"/>
          </w:tcPr>
          <w:p w14:paraId="4D3244D0">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成品保护</w:t>
            </w:r>
          </w:p>
        </w:tc>
        <w:tc>
          <w:tcPr>
            <w:tcW w:w="4120" w:type="dxa"/>
            <w:tcBorders>
              <w:top w:val="single" w:color="auto" w:sz="4" w:space="0"/>
              <w:left w:val="nil"/>
              <w:bottom w:val="single" w:color="auto" w:sz="4" w:space="0"/>
              <w:right w:val="single" w:color="auto" w:sz="4" w:space="0"/>
            </w:tcBorders>
            <w:vAlign w:val="center"/>
          </w:tcPr>
          <w:p w14:paraId="240D809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1、分包单位施工内容全部结束，分包单位在经发包人及监理验收前应自行负责成品保护的责任。</w:t>
            </w:r>
          </w:p>
          <w:p w14:paraId="1F8AE49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2、经发包人及监理验收合格，在向物业移交前总包单位应担负其成品保护的责任。</w:t>
            </w:r>
          </w:p>
        </w:tc>
        <w:tc>
          <w:tcPr>
            <w:tcW w:w="3542" w:type="dxa"/>
            <w:tcBorders>
              <w:top w:val="single" w:color="auto" w:sz="4" w:space="0"/>
              <w:left w:val="nil"/>
              <w:bottom w:val="single" w:color="auto" w:sz="4" w:space="0"/>
              <w:right w:val="single" w:color="auto" w:sz="4" w:space="0"/>
            </w:tcBorders>
            <w:vAlign w:val="center"/>
          </w:tcPr>
          <w:p w14:paraId="139696D4">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7520E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731" w:type="dxa"/>
            <w:tcBorders>
              <w:top w:val="single" w:color="auto" w:sz="4" w:space="0"/>
              <w:left w:val="single" w:color="auto" w:sz="4" w:space="0"/>
              <w:bottom w:val="single" w:color="auto" w:sz="4" w:space="0"/>
              <w:right w:val="single" w:color="auto" w:sz="4" w:space="0"/>
            </w:tcBorders>
            <w:vAlign w:val="center"/>
          </w:tcPr>
          <w:p w14:paraId="27606425">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9</w:t>
            </w:r>
          </w:p>
        </w:tc>
        <w:tc>
          <w:tcPr>
            <w:tcW w:w="1705" w:type="dxa"/>
            <w:tcBorders>
              <w:top w:val="single" w:color="auto" w:sz="4" w:space="0"/>
              <w:left w:val="nil"/>
              <w:bottom w:val="single" w:color="auto" w:sz="4" w:space="0"/>
              <w:right w:val="single" w:color="auto" w:sz="4" w:space="0"/>
            </w:tcBorders>
            <w:vAlign w:val="center"/>
          </w:tcPr>
          <w:p w14:paraId="1CC6E5D3">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交工清理</w:t>
            </w:r>
          </w:p>
        </w:tc>
        <w:tc>
          <w:tcPr>
            <w:tcW w:w="4120" w:type="dxa"/>
            <w:tcBorders>
              <w:top w:val="single" w:color="auto" w:sz="4" w:space="0"/>
              <w:left w:val="nil"/>
              <w:bottom w:val="single" w:color="auto" w:sz="4" w:space="0"/>
              <w:right w:val="single" w:color="auto" w:sz="4" w:space="0"/>
            </w:tcBorders>
            <w:vAlign w:val="center"/>
          </w:tcPr>
          <w:p w14:paraId="55B2CCA7">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总包单位负责交工清理工作，直至符合交工条件。</w:t>
            </w:r>
          </w:p>
        </w:tc>
        <w:tc>
          <w:tcPr>
            <w:tcW w:w="3542" w:type="dxa"/>
            <w:tcBorders>
              <w:top w:val="single" w:color="auto" w:sz="4" w:space="0"/>
              <w:left w:val="nil"/>
              <w:bottom w:val="single" w:color="auto" w:sz="4" w:space="0"/>
              <w:right w:val="single" w:color="auto" w:sz="4" w:space="0"/>
            </w:tcBorders>
            <w:vAlign w:val="center"/>
          </w:tcPr>
          <w:p w14:paraId="322A921F">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bl>
    <w:p w14:paraId="2D8CBF40">
      <w:pPr>
        <w:pStyle w:val="109"/>
        <w:adjustRightInd w:val="0"/>
        <w:snapToGrid w:val="0"/>
        <w:outlineLvl w:val="9"/>
        <w:rPr>
          <w:rFonts w:asciiTheme="minorEastAsia" w:hAnsiTheme="minorEastAsia" w:eastAsiaTheme="minorEastAsia"/>
          <w:b w:val="0"/>
          <w:color w:val="auto"/>
          <w:szCs w:val="24"/>
          <w:highlight w:val="none"/>
        </w:rPr>
      </w:pPr>
    </w:p>
    <w:p w14:paraId="02A8FB74">
      <w:pPr>
        <w:adjustRightInd w:val="0"/>
        <w:snapToGrid w:val="0"/>
        <w:outlineLvl w:val="9"/>
        <w:rPr>
          <w:rFonts w:asciiTheme="minorEastAsia" w:hAnsiTheme="minorEastAsia" w:eastAsiaTheme="minorEastAsia"/>
          <w:color w:val="auto"/>
          <w:sz w:val="24"/>
          <w:highlight w:val="none"/>
        </w:rPr>
      </w:pPr>
      <w:r>
        <w:rPr>
          <w:rFonts w:asciiTheme="minorEastAsia" w:hAnsiTheme="minorEastAsia" w:eastAsiaTheme="minorEastAsia"/>
          <w:b/>
          <w:color w:val="auto"/>
          <w:sz w:val="24"/>
          <w:highlight w:val="none"/>
        </w:rPr>
        <w:br w:type="page"/>
      </w:r>
      <w:r>
        <w:rPr>
          <w:rFonts w:hint="eastAsia" w:asciiTheme="minorEastAsia" w:hAnsiTheme="minorEastAsia" w:eastAsiaTheme="minorEastAsia"/>
          <w:color w:val="auto"/>
          <w:sz w:val="21"/>
          <w:szCs w:val="21"/>
          <w:highlight w:val="none"/>
          <w:lang w:val="en-US" w:eastAsia="zh-CN"/>
        </w:rPr>
        <w:t>九</w:t>
      </w:r>
      <w:r>
        <w:rPr>
          <w:rFonts w:hint="eastAsia" w:asciiTheme="minorEastAsia" w:hAnsiTheme="minorEastAsia" w:eastAsiaTheme="minorEastAsia"/>
          <w:color w:val="auto"/>
          <w:sz w:val="21"/>
          <w:szCs w:val="21"/>
          <w:highlight w:val="none"/>
        </w:rPr>
        <w:t>、总包对安防工程的管理配合内容：</w:t>
      </w:r>
    </w:p>
    <w:tbl>
      <w:tblPr>
        <w:tblStyle w:val="56"/>
        <w:tblW w:w="10238"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2"/>
        <w:gridCol w:w="1730"/>
        <w:gridCol w:w="4182"/>
        <w:gridCol w:w="3604"/>
      </w:tblGrid>
      <w:tr w14:paraId="32711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22" w:type="dxa"/>
            <w:tcBorders>
              <w:top w:val="single" w:color="auto" w:sz="4" w:space="0"/>
              <w:left w:val="single" w:color="auto" w:sz="4" w:space="0"/>
              <w:bottom w:val="single" w:color="auto" w:sz="4" w:space="0"/>
              <w:right w:val="single" w:color="auto" w:sz="4" w:space="0"/>
            </w:tcBorders>
            <w:vAlign w:val="center"/>
          </w:tcPr>
          <w:p w14:paraId="4ADCC96A">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序号</w:t>
            </w:r>
          </w:p>
        </w:tc>
        <w:tc>
          <w:tcPr>
            <w:tcW w:w="1730" w:type="dxa"/>
            <w:tcBorders>
              <w:top w:val="single" w:color="auto" w:sz="4" w:space="0"/>
              <w:left w:val="nil"/>
              <w:bottom w:val="single" w:color="auto" w:sz="4" w:space="0"/>
              <w:right w:val="single" w:color="auto" w:sz="4" w:space="0"/>
            </w:tcBorders>
            <w:vAlign w:val="center"/>
          </w:tcPr>
          <w:p w14:paraId="26362EFB">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配合内容</w:t>
            </w:r>
          </w:p>
        </w:tc>
        <w:tc>
          <w:tcPr>
            <w:tcW w:w="4182" w:type="dxa"/>
            <w:tcBorders>
              <w:top w:val="single" w:color="auto" w:sz="4" w:space="0"/>
              <w:left w:val="nil"/>
              <w:bottom w:val="single" w:color="auto" w:sz="4" w:space="0"/>
              <w:right w:val="single" w:color="auto" w:sz="4" w:space="0"/>
            </w:tcBorders>
            <w:vAlign w:val="center"/>
          </w:tcPr>
          <w:p w14:paraId="7F2321C0">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标准</w:t>
            </w:r>
          </w:p>
        </w:tc>
        <w:tc>
          <w:tcPr>
            <w:tcW w:w="3604" w:type="dxa"/>
            <w:tcBorders>
              <w:top w:val="single" w:color="auto" w:sz="4" w:space="0"/>
              <w:left w:val="nil"/>
              <w:bottom w:val="single" w:color="auto" w:sz="4" w:space="0"/>
              <w:right w:val="single" w:color="auto" w:sz="4" w:space="0"/>
            </w:tcBorders>
            <w:vAlign w:val="center"/>
          </w:tcPr>
          <w:p w14:paraId="4EC9DB49">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备注</w:t>
            </w:r>
          </w:p>
        </w:tc>
      </w:tr>
      <w:tr w14:paraId="224CE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trPr>
        <w:tc>
          <w:tcPr>
            <w:tcW w:w="722" w:type="dxa"/>
            <w:tcBorders>
              <w:top w:val="single" w:color="auto" w:sz="4" w:space="0"/>
              <w:left w:val="single" w:color="auto" w:sz="4" w:space="0"/>
              <w:bottom w:val="single" w:color="auto" w:sz="4" w:space="0"/>
              <w:right w:val="single" w:color="auto" w:sz="4" w:space="0"/>
            </w:tcBorders>
            <w:vAlign w:val="center"/>
          </w:tcPr>
          <w:p w14:paraId="29AD13A3">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w:t>
            </w:r>
          </w:p>
        </w:tc>
        <w:tc>
          <w:tcPr>
            <w:tcW w:w="1730" w:type="dxa"/>
            <w:tcBorders>
              <w:top w:val="single" w:color="auto" w:sz="4" w:space="0"/>
              <w:left w:val="nil"/>
              <w:bottom w:val="single" w:color="auto" w:sz="4" w:space="0"/>
              <w:right w:val="single" w:color="auto" w:sz="4" w:space="0"/>
            </w:tcBorders>
            <w:vAlign w:val="center"/>
          </w:tcPr>
          <w:p w14:paraId="28AB9DE0">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工作面交界尺寸</w:t>
            </w:r>
          </w:p>
        </w:tc>
        <w:tc>
          <w:tcPr>
            <w:tcW w:w="4182" w:type="dxa"/>
            <w:tcBorders>
              <w:top w:val="single" w:color="auto" w:sz="4" w:space="0"/>
              <w:left w:val="nil"/>
              <w:bottom w:val="single" w:color="auto" w:sz="4" w:space="0"/>
              <w:right w:val="single" w:color="auto" w:sz="4" w:space="0"/>
            </w:tcBorders>
            <w:vAlign w:val="center"/>
          </w:tcPr>
          <w:p w14:paraId="16D74BEA">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asciiTheme="minorEastAsia" w:hAnsiTheme="minorEastAsia" w:eastAsiaTheme="minorEastAsia"/>
                <w:color w:val="auto"/>
                <w:sz w:val="21"/>
                <w:szCs w:val="21"/>
                <w:highlight w:val="none"/>
              </w:rPr>
              <w:fldChar w:fldCharType="begin"/>
            </w:r>
            <w:r>
              <w:rPr>
                <w:rFonts w:asciiTheme="minorEastAsia" w:hAnsiTheme="minorEastAsia" w:eastAsiaTheme="minorEastAsia"/>
                <w:color w:val="auto"/>
                <w:sz w:val="21"/>
                <w:szCs w:val="21"/>
                <w:highlight w:val="none"/>
              </w:rPr>
              <w:instrText xml:space="preserve"> = 1 \* GB3 </w:instrText>
            </w:r>
            <w:r>
              <w:rPr>
                <w:rFonts w:asciiTheme="minorEastAsia" w:hAnsiTheme="minorEastAsia" w:eastAsiaTheme="minorEastAsia"/>
                <w:color w:val="auto"/>
                <w:sz w:val="21"/>
                <w:szCs w:val="21"/>
                <w:highlight w:val="none"/>
              </w:rPr>
              <w:fldChar w:fldCharType="separate"/>
            </w:r>
            <w:r>
              <w:rPr>
                <w:rFonts w:hint="eastAsia" w:asciiTheme="minorEastAsia" w:hAnsiTheme="minorEastAsia" w:eastAsiaTheme="minorEastAsia"/>
                <w:color w:val="auto"/>
                <w:sz w:val="21"/>
                <w:szCs w:val="21"/>
                <w:highlight w:val="none"/>
              </w:rPr>
              <w:t>①</w:t>
            </w:r>
            <w:r>
              <w:rPr>
                <w:rFonts w:asciiTheme="minorEastAsia" w:hAnsiTheme="minorEastAsia" w:eastAsiaTheme="minorEastAsia"/>
                <w:color w:val="auto"/>
                <w:sz w:val="21"/>
                <w:szCs w:val="21"/>
                <w:highlight w:val="none"/>
              </w:rPr>
              <w:fldChar w:fldCharType="end"/>
            </w:r>
            <w:r>
              <w:rPr>
                <w:rFonts w:hint="eastAsia" w:asciiTheme="minorEastAsia" w:hAnsiTheme="minorEastAsia" w:eastAsiaTheme="minorEastAsia"/>
                <w:color w:val="auto"/>
                <w:sz w:val="21"/>
                <w:szCs w:val="21"/>
                <w:highlight w:val="none"/>
              </w:rPr>
              <w:t>埋盒误差±2mm。</w:t>
            </w:r>
          </w:p>
          <w:p w14:paraId="0B06ACE0">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②预埋管通畅。</w:t>
            </w:r>
          </w:p>
        </w:tc>
        <w:tc>
          <w:tcPr>
            <w:tcW w:w="3604" w:type="dxa"/>
            <w:tcBorders>
              <w:top w:val="single" w:color="auto" w:sz="4" w:space="0"/>
              <w:left w:val="nil"/>
              <w:bottom w:val="single" w:color="auto" w:sz="4" w:space="0"/>
              <w:right w:val="single" w:color="auto" w:sz="4" w:space="0"/>
            </w:tcBorders>
            <w:vAlign w:val="center"/>
          </w:tcPr>
          <w:p w14:paraId="4E8BCA5A">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总包提供的预埋盒位置不符合要求必须整改合格。</w:t>
            </w:r>
          </w:p>
        </w:tc>
      </w:tr>
      <w:tr w14:paraId="42691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trPr>
        <w:tc>
          <w:tcPr>
            <w:tcW w:w="722" w:type="dxa"/>
            <w:tcBorders>
              <w:top w:val="single" w:color="auto" w:sz="4" w:space="0"/>
              <w:left w:val="single" w:color="auto" w:sz="4" w:space="0"/>
              <w:bottom w:val="single" w:color="auto" w:sz="4" w:space="0"/>
              <w:right w:val="single" w:color="auto" w:sz="4" w:space="0"/>
            </w:tcBorders>
            <w:vAlign w:val="center"/>
          </w:tcPr>
          <w:p w14:paraId="50A4C8E4">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w:t>
            </w:r>
          </w:p>
        </w:tc>
        <w:tc>
          <w:tcPr>
            <w:tcW w:w="1730" w:type="dxa"/>
            <w:tcBorders>
              <w:top w:val="single" w:color="auto" w:sz="4" w:space="0"/>
              <w:left w:val="nil"/>
              <w:bottom w:val="single" w:color="auto" w:sz="4" w:space="0"/>
              <w:right w:val="single" w:color="auto" w:sz="4" w:space="0"/>
            </w:tcBorders>
            <w:vAlign w:val="center"/>
          </w:tcPr>
          <w:p w14:paraId="0B136BA2">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垂直运输及施工通道</w:t>
            </w:r>
          </w:p>
        </w:tc>
        <w:tc>
          <w:tcPr>
            <w:tcW w:w="4182" w:type="dxa"/>
            <w:tcBorders>
              <w:top w:val="single" w:color="auto" w:sz="4" w:space="0"/>
              <w:left w:val="nil"/>
              <w:bottom w:val="single" w:color="auto" w:sz="4" w:space="0"/>
              <w:right w:val="single" w:color="auto" w:sz="4" w:space="0"/>
            </w:tcBorders>
            <w:vAlign w:val="center"/>
          </w:tcPr>
          <w:p w14:paraId="17A456B6">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畅通、无障碍（总包垂直运输设备拆除除外）。</w:t>
            </w:r>
          </w:p>
        </w:tc>
        <w:tc>
          <w:tcPr>
            <w:tcW w:w="3604" w:type="dxa"/>
            <w:tcBorders>
              <w:top w:val="single" w:color="auto" w:sz="4" w:space="0"/>
              <w:left w:val="nil"/>
              <w:bottom w:val="single" w:color="auto" w:sz="4" w:space="0"/>
              <w:right w:val="single" w:color="auto" w:sz="4" w:space="0"/>
            </w:tcBorders>
            <w:vAlign w:val="center"/>
          </w:tcPr>
          <w:p w14:paraId="26FE2F1B">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6A03D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2" w:hRule="atLeast"/>
        </w:trPr>
        <w:tc>
          <w:tcPr>
            <w:tcW w:w="722" w:type="dxa"/>
            <w:tcBorders>
              <w:top w:val="single" w:color="auto" w:sz="4" w:space="0"/>
              <w:left w:val="single" w:color="auto" w:sz="4" w:space="0"/>
              <w:bottom w:val="single" w:color="auto" w:sz="4" w:space="0"/>
              <w:right w:val="single" w:color="auto" w:sz="4" w:space="0"/>
            </w:tcBorders>
            <w:vAlign w:val="center"/>
          </w:tcPr>
          <w:p w14:paraId="6BDB7191">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w:t>
            </w:r>
          </w:p>
        </w:tc>
        <w:tc>
          <w:tcPr>
            <w:tcW w:w="1730" w:type="dxa"/>
            <w:tcBorders>
              <w:top w:val="single" w:color="auto" w:sz="4" w:space="0"/>
              <w:left w:val="nil"/>
              <w:bottom w:val="single" w:color="auto" w:sz="4" w:space="0"/>
              <w:right w:val="single" w:color="auto" w:sz="4" w:space="0"/>
            </w:tcBorders>
            <w:vAlign w:val="center"/>
          </w:tcPr>
          <w:p w14:paraId="45F9C44F">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用水用电</w:t>
            </w:r>
          </w:p>
        </w:tc>
        <w:tc>
          <w:tcPr>
            <w:tcW w:w="4182" w:type="dxa"/>
            <w:tcBorders>
              <w:top w:val="single" w:color="auto" w:sz="4" w:space="0"/>
              <w:left w:val="nil"/>
              <w:bottom w:val="single" w:color="auto" w:sz="4" w:space="0"/>
              <w:right w:val="single" w:color="auto" w:sz="4" w:space="0"/>
            </w:tcBorders>
            <w:vAlign w:val="center"/>
          </w:tcPr>
          <w:p w14:paraId="30E77FC5">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1、总包每三层提供接电点。</w:t>
            </w:r>
          </w:p>
          <w:p w14:paraId="36136665">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2、提供水电，能够满足分包方施工负荷要求。</w:t>
            </w:r>
          </w:p>
        </w:tc>
        <w:tc>
          <w:tcPr>
            <w:tcW w:w="3604" w:type="dxa"/>
            <w:tcBorders>
              <w:top w:val="single" w:color="auto" w:sz="4" w:space="0"/>
              <w:left w:val="nil"/>
              <w:bottom w:val="single" w:color="auto" w:sz="4" w:space="0"/>
              <w:right w:val="single" w:color="auto" w:sz="4" w:space="0"/>
            </w:tcBorders>
            <w:vAlign w:val="center"/>
          </w:tcPr>
          <w:p w14:paraId="4B40106A">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水、电费数量以表读数为准，价格与总包使用水电费价格一致。</w:t>
            </w:r>
            <w:r>
              <w:rPr>
                <w:rFonts w:hint="eastAsia" w:cs="宋体" w:asciiTheme="minorEastAsia" w:hAnsiTheme="minorEastAsia" w:eastAsiaTheme="minorEastAsia"/>
                <w:color w:val="auto"/>
                <w:sz w:val="21"/>
                <w:szCs w:val="21"/>
                <w:highlight w:val="none"/>
                <w:lang w:val="en-US" w:eastAsia="zh-CN"/>
              </w:rPr>
              <w:t>无法挂表计量的水电费，按照分包工程中标价的1%计取。</w:t>
            </w:r>
          </w:p>
        </w:tc>
      </w:tr>
      <w:tr w14:paraId="6B2A8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trPr>
        <w:tc>
          <w:tcPr>
            <w:tcW w:w="722" w:type="dxa"/>
            <w:tcBorders>
              <w:top w:val="single" w:color="auto" w:sz="4" w:space="0"/>
              <w:left w:val="single" w:color="auto" w:sz="4" w:space="0"/>
              <w:bottom w:val="single" w:color="auto" w:sz="4" w:space="0"/>
              <w:right w:val="single" w:color="auto" w:sz="4" w:space="0"/>
            </w:tcBorders>
            <w:vAlign w:val="center"/>
          </w:tcPr>
          <w:p w14:paraId="179EF6DF">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4</w:t>
            </w:r>
          </w:p>
        </w:tc>
        <w:tc>
          <w:tcPr>
            <w:tcW w:w="1730" w:type="dxa"/>
            <w:tcBorders>
              <w:top w:val="single" w:color="auto" w:sz="4" w:space="0"/>
              <w:left w:val="nil"/>
              <w:bottom w:val="single" w:color="auto" w:sz="4" w:space="0"/>
              <w:right w:val="single" w:color="auto" w:sz="4" w:space="0"/>
            </w:tcBorders>
            <w:vAlign w:val="center"/>
          </w:tcPr>
          <w:p w14:paraId="3D0AA19D">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现场办公及库房用房</w:t>
            </w:r>
          </w:p>
        </w:tc>
        <w:tc>
          <w:tcPr>
            <w:tcW w:w="4182" w:type="dxa"/>
            <w:tcBorders>
              <w:top w:val="single" w:color="auto" w:sz="4" w:space="0"/>
              <w:left w:val="nil"/>
              <w:bottom w:val="single" w:color="auto" w:sz="4" w:space="0"/>
              <w:right w:val="single" w:color="auto" w:sz="4" w:space="0"/>
            </w:tcBorders>
            <w:vAlign w:val="center"/>
          </w:tcPr>
          <w:p w14:paraId="292463D1">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总包提供材料堆放场地，满足进场材料堆放要求。</w:t>
            </w:r>
          </w:p>
        </w:tc>
        <w:tc>
          <w:tcPr>
            <w:tcW w:w="3604" w:type="dxa"/>
            <w:tcBorders>
              <w:top w:val="single" w:color="auto" w:sz="4" w:space="0"/>
              <w:left w:val="nil"/>
              <w:bottom w:val="single" w:color="auto" w:sz="4" w:space="0"/>
              <w:right w:val="single" w:color="auto" w:sz="4" w:space="0"/>
            </w:tcBorders>
            <w:vAlign w:val="center"/>
          </w:tcPr>
          <w:p w14:paraId="1269AE1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11BB3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7" w:hRule="atLeast"/>
        </w:trPr>
        <w:tc>
          <w:tcPr>
            <w:tcW w:w="722" w:type="dxa"/>
            <w:tcBorders>
              <w:top w:val="single" w:color="auto" w:sz="4" w:space="0"/>
              <w:left w:val="single" w:color="auto" w:sz="4" w:space="0"/>
              <w:bottom w:val="single" w:color="auto" w:sz="4" w:space="0"/>
              <w:right w:val="single" w:color="auto" w:sz="4" w:space="0"/>
            </w:tcBorders>
            <w:vAlign w:val="center"/>
          </w:tcPr>
          <w:p w14:paraId="5558D84D">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5</w:t>
            </w:r>
          </w:p>
        </w:tc>
        <w:tc>
          <w:tcPr>
            <w:tcW w:w="1730" w:type="dxa"/>
            <w:tcBorders>
              <w:top w:val="single" w:color="auto" w:sz="4" w:space="0"/>
              <w:left w:val="nil"/>
              <w:bottom w:val="single" w:color="auto" w:sz="4" w:space="0"/>
              <w:right w:val="single" w:color="auto" w:sz="4" w:space="0"/>
            </w:tcBorders>
            <w:vAlign w:val="center"/>
          </w:tcPr>
          <w:p w14:paraId="47577E71">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建筑垃圾</w:t>
            </w:r>
          </w:p>
        </w:tc>
        <w:tc>
          <w:tcPr>
            <w:tcW w:w="4182" w:type="dxa"/>
            <w:tcBorders>
              <w:top w:val="single" w:color="auto" w:sz="4" w:space="0"/>
              <w:left w:val="nil"/>
              <w:bottom w:val="single" w:color="auto" w:sz="4" w:space="0"/>
              <w:right w:val="single" w:color="auto" w:sz="4" w:space="0"/>
            </w:tcBorders>
            <w:vAlign w:val="center"/>
          </w:tcPr>
          <w:p w14:paraId="310786E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总包单位向分包单位提供统一垃圾临时堆放点，由分包单位自行清运至临时堆放点，总包单位进行垃圾外运。总包</w:t>
            </w:r>
            <w:r>
              <w:rPr>
                <w:rFonts w:hint="eastAsia" w:cs="宋体" w:asciiTheme="minorEastAsia" w:hAnsiTheme="minorEastAsia" w:eastAsiaTheme="minorEastAsia"/>
                <w:color w:val="auto"/>
                <w:sz w:val="21"/>
                <w:szCs w:val="21"/>
                <w:highlight w:val="none"/>
                <w:lang w:val="en-US" w:eastAsia="zh-CN"/>
              </w:rPr>
              <w:t>单位不得额外收取分包单位垃圾费用，若</w:t>
            </w:r>
            <w:r>
              <w:rPr>
                <w:rFonts w:hint="eastAsia" w:cs="宋体" w:asciiTheme="minorEastAsia" w:hAnsiTheme="minorEastAsia" w:eastAsiaTheme="minorEastAsia"/>
                <w:color w:val="auto"/>
                <w:sz w:val="21"/>
                <w:szCs w:val="21"/>
                <w:highlight w:val="none"/>
              </w:rPr>
              <w:t>额外收取分包垃圾费，按</w:t>
            </w:r>
            <w:r>
              <w:rPr>
                <w:rFonts w:hint="eastAsia" w:cs="宋体" w:asciiTheme="minorEastAsia" w:hAnsiTheme="minorEastAsia" w:eastAsiaTheme="minorEastAsia"/>
                <w:color w:val="auto"/>
                <w:sz w:val="21"/>
                <w:szCs w:val="21"/>
                <w:highlight w:val="none"/>
                <w:u w:val="single"/>
                <w:lang w:val="en-US" w:eastAsia="zh-CN"/>
              </w:rPr>
              <w:t>300元/m3从总包结算</w:t>
            </w:r>
            <w:r>
              <w:rPr>
                <w:rFonts w:hint="eastAsia" w:cs="宋体" w:asciiTheme="minorEastAsia" w:hAnsiTheme="minorEastAsia" w:eastAsiaTheme="minorEastAsia"/>
                <w:color w:val="auto"/>
                <w:sz w:val="21"/>
                <w:szCs w:val="21"/>
                <w:highlight w:val="none"/>
                <w:u w:val="single"/>
              </w:rPr>
              <w:t>扣除。</w:t>
            </w:r>
          </w:p>
        </w:tc>
        <w:tc>
          <w:tcPr>
            <w:tcW w:w="3604" w:type="dxa"/>
            <w:tcBorders>
              <w:top w:val="single" w:color="auto" w:sz="4" w:space="0"/>
              <w:left w:val="nil"/>
              <w:bottom w:val="single" w:color="auto" w:sz="4" w:space="0"/>
              <w:right w:val="single" w:color="auto" w:sz="4" w:space="0"/>
            </w:tcBorders>
            <w:vAlign w:val="center"/>
          </w:tcPr>
          <w:p w14:paraId="1778E2A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分包单位未清理或清理不到位，总包单位有权向分包单位提出书面清理通知，分包单位在接到书面通知后仍无动于衷或清理不干净，由总包单位清理，费用由分包单位承担。</w:t>
            </w:r>
          </w:p>
        </w:tc>
      </w:tr>
      <w:tr w14:paraId="0BD1C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2" w:hRule="atLeast"/>
        </w:trPr>
        <w:tc>
          <w:tcPr>
            <w:tcW w:w="722" w:type="dxa"/>
            <w:tcBorders>
              <w:top w:val="single" w:color="auto" w:sz="4" w:space="0"/>
              <w:left w:val="single" w:color="auto" w:sz="4" w:space="0"/>
              <w:bottom w:val="single" w:color="auto" w:sz="4" w:space="0"/>
              <w:right w:val="single" w:color="auto" w:sz="4" w:space="0"/>
            </w:tcBorders>
            <w:vAlign w:val="center"/>
          </w:tcPr>
          <w:p w14:paraId="2B347413">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6</w:t>
            </w:r>
          </w:p>
        </w:tc>
        <w:tc>
          <w:tcPr>
            <w:tcW w:w="1730" w:type="dxa"/>
            <w:tcBorders>
              <w:top w:val="single" w:color="auto" w:sz="4" w:space="0"/>
              <w:left w:val="nil"/>
              <w:bottom w:val="single" w:color="auto" w:sz="4" w:space="0"/>
              <w:right w:val="single" w:color="auto" w:sz="4" w:space="0"/>
            </w:tcBorders>
            <w:vAlign w:val="center"/>
          </w:tcPr>
          <w:p w14:paraId="20BEBC5B">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质量、进度、安全、文明施工、竣工验收资料等管理</w:t>
            </w:r>
          </w:p>
        </w:tc>
        <w:tc>
          <w:tcPr>
            <w:tcW w:w="4182" w:type="dxa"/>
            <w:tcBorders>
              <w:top w:val="single" w:color="auto" w:sz="4" w:space="0"/>
              <w:left w:val="nil"/>
              <w:bottom w:val="single" w:color="auto" w:sz="4" w:space="0"/>
              <w:right w:val="single" w:color="auto" w:sz="4" w:space="0"/>
            </w:tcBorders>
            <w:vAlign w:val="center"/>
          </w:tcPr>
          <w:p w14:paraId="4653E47A">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总包要监督、检查分包方的质量、进度、安全、文明施工、竣工验收资料等应符合国家相关规定，施工组织和协调，并负责统一竣工验收、备案。</w:t>
            </w:r>
          </w:p>
        </w:tc>
        <w:tc>
          <w:tcPr>
            <w:tcW w:w="3604" w:type="dxa"/>
            <w:tcBorders>
              <w:top w:val="single" w:color="auto" w:sz="4" w:space="0"/>
              <w:left w:val="nil"/>
              <w:bottom w:val="single" w:color="auto" w:sz="4" w:space="0"/>
              <w:right w:val="single" w:color="auto" w:sz="4" w:space="0"/>
            </w:tcBorders>
            <w:vAlign w:val="center"/>
          </w:tcPr>
          <w:p w14:paraId="3F9242CD">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竣工资料归档费已包含在专业工程管理配合费中。</w:t>
            </w:r>
          </w:p>
        </w:tc>
      </w:tr>
      <w:tr w14:paraId="66DCB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7" w:hRule="atLeast"/>
        </w:trPr>
        <w:tc>
          <w:tcPr>
            <w:tcW w:w="722" w:type="dxa"/>
            <w:tcBorders>
              <w:top w:val="single" w:color="auto" w:sz="4" w:space="0"/>
              <w:left w:val="single" w:color="auto" w:sz="4" w:space="0"/>
              <w:bottom w:val="single" w:color="auto" w:sz="4" w:space="0"/>
              <w:right w:val="single" w:color="auto" w:sz="4" w:space="0"/>
            </w:tcBorders>
            <w:vAlign w:val="center"/>
          </w:tcPr>
          <w:p w14:paraId="317429A7">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7</w:t>
            </w:r>
          </w:p>
        </w:tc>
        <w:tc>
          <w:tcPr>
            <w:tcW w:w="1730" w:type="dxa"/>
            <w:tcBorders>
              <w:top w:val="single" w:color="auto" w:sz="4" w:space="0"/>
              <w:left w:val="nil"/>
              <w:bottom w:val="single" w:color="auto" w:sz="4" w:space="0"/>
              <w:right w:val="single" w:color="auto" w:sz="4" w:space="0"/>
            </w:tcBorders>
            <w:vAlign w:val="center"/>
          </w:tcPr>
          <w:p w14:paraId="4319F149">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成品保护</w:t>
            </w:r>
          </w:p>
        </w:tc>
        <w:tc>
          <w:tcPr>
            <w:tcW w:w="4182" w:type="dxa"/>
            <w:tcBorders>
              <w:top w:val="single" w:color="auto" w:sz="4" w:space="0"/>
              <w:left w:val="nil"/>
              <w:bottom w:val="single" w:color="auto" w:sz="4" w:space="0"/>
              <w:right w:val="single" w:color="auto" w:sz="4" w:space="0"/>
            </w:tcBorders>
            <w:vAlign w:val="center"/>
          </w:tcPr>
          <w:p w14:paraId="1C3C60F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1、分包单位施工内容全部结束，分包单位在经发包人及监理验收前应自行负责成品保护的责任。</w:t>
            </w:r>
          </w:p>
          <w:p w14:paraId="28766CD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2、经发包人及监理验收合格，在向物业移交前总包单位应担负其成品保护的责任。</w:t>
            </w:r>
          </w:p>
        </w:tc>
        <w:tc>
          <w:tcPr>
            <w:tcW w:w="3604" w:type="dxa"/>
            <w:tcBorders>
              <w:top w:val="single" w:color="auto" w:sz="4" w:space="0"/>
              <w:left w:val="nil"/>
              <w:bottom w:val="single" w:color="auto" w:sz="4" w:space="0"/>
              <w:right w:val="single" w:color="auto" w:sz="4" w:space="0"/>
            </w:tcBorders>
            <w:vAlign w:val="center"/>
          </w:tcPr>
          <w:p w14:paraId="0CE81A48">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17B26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8" w:hRule="atLeast"/>
        </w:trPr>
        <w:tc>
          <w:tcPr>
            <w:tcW w:w="722" w:type="dxa"/>
            <w:tcBorders>
              <w:top w:val="single" w:color="auto" w:sz="4" w:space="0"/>
              <w:left w:val="single" w:color="auto" w:sz="4" w:space="0"/>
              <w:bottom w:val="single" w:color="auto" w:sz="4" w:space="0"/>
              <w:right w:val="single" w:color="auto" w:sz="4" w:space="0"/>
            </w:tcBorders>
            <w:vAlign w:val="center"/>
          </w:tcPr>
          <w:p w14:paraId="3EAA9333">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8</w:t>
            </w:r>
          </w:p>
        </w:tc>
        <w:tc>
          <w:tcPr>
            <w:tcW w:w="1730" w:type="dxa"/>
            <w:tcBorders>
              <w:top w:val="single" w:color="auto" w:sz="4" w:space="0"/>
              <w:left w:val="nil"/>
              <w:bottom w:val="single" w:color="auto" w:sz="4" w:space="0"/>
              <w:right w:val="single" w:color="auto" w:sz="4" w:space="0"/>
            </w:tcBorders>
            <w:vAlign w:val="center"/>
          </w:tcPr>
          <w:p w14:paraId="20E4709F">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交工清理</w:t>
            </w:r>
          </w:p>
        </w:tc>
        <w:tc>
          <w:tcPr>
            <w:tcW w:w="4182" w:type="dxa"/>
            <w:tcBorders>
              <w:top w:val="single" w:color="auto" w:sz="4" w:space="0"/>
              <w:left w:val="nil"/>
              <w:bottom w:val="single" w:color="auto" w:sz="4" w:space="0"/>
              <w:right w:val="single" w:color="auto" w:sz="4" w:space="0"/>
            </w:tcBorders>
            <w:vAlign w:val="center"/>
          </w:tcPr>
          <w:p w14:paraId="4176C0AE">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总包单位负责交工清理工作，直至符合交工条件。</w:t>
            </w:r>
          </w:p>
        </w:tc>
        <w:tc>
          <w:tcPr>
            <w:tcW w:w="3604" w:type="dxa"/>
            <w:tcBorders>
              <w:top w:val="single" w:color="auto" w:sz="4" w:space="0"/>
              <w:left w:val="nil"/>
              <w:bottom w:val="single" w:color="auto" w:sz="4" w:space="0"/>
              <w:right w:val="single" w:color="auto" w:sz="4" w:space="0"/>
            </w:tcBorders>
            <w:vAlign w:val="center"/>
          </w:tcPr>
          <w:p w14:paraId="045D53C0">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bl>
    <w:p w14:paraId="62BAFB16">
      <w:pPr>
        <w:adjustRightInd w:val="0"/>
        <w:snapToGrid w:val="0"/>
        <w:outlineLvl w:val="9"/>
        <w:rPr>
          <w:rFonts w:cs="宋体" w:asciiTheme="minorEastAsia" w:hAnsiTheme="minorEastAsia" w:eastAsiaTheme="minorEastAsia"/>
          <w:color w:val="auto"/>
          <w:sz w:val="24"/>
          <w:highlight w:val="none"/>
        </w:rPr>
      </w:pPr>
      <w:r>
        <w:rPr>
          <w:rFonts w:cs="宋体" w:asciiTheme="minorEastAsia" w:hAnsiTheme="minorEastAsia" w:eastAsiaTheme="minorEastAsia"/>
          <w:color w:val="auto"/>
          <w:sz w:val="24"/>
          <w:highlight w:val="none"/>
        </w:rPr>
        <w:br w:type="page"/>
      </w:r>
      <w:r>
        <w:rPr>
          <w:rFonts w:hint="eastAsia" w:asciiTheme="minorEastAsia" w:hAnsiTheme="minorEastAsia" w:eastAsiaTheme="minorEastAsia"/>
          <w:color w:val="auto"/>
          <w:sz w:val="21"/>
          <w:szCs w:val="21"/>
          <w:highlight w:val="none"/>
        </w:rPr>
        <w:t>十、总包对火灾报警工程的管理配合内容：</w:t>
      </w:r>
    </w:p>
    <w:tbl>
      <w:tblPr>
        <w:tblStyle w:val="56"/>
        <w:tblW w:w="10059"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700"/>
        <w:gridCol w:w="4109"/>
        <w:gridCol w:w="3541"/>
      </w:tblGrid>
      <w:tr w14:paraId="61FAC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709" w:type="dxa"/>
            <w:tcBorders>
              <w:top w:val="single" w:color="auto" w:sz="4" w:space="0"/>
              <w:left w:val="single" w:color="auto" w:sz="4" w:space="0"/>
              <w:bottom w:val="single" w:color="auto" w:sz="4" w:space="0"/>
              <w:right w:val="single" w:color="auto" w:sz="4" w:space="0"/>
            </w:tcBorders>
            <w:vAlign w:val="center"/>
          </w:tcPr>
          <w:p w14:paraId="419611D8">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序号</w:t>
            </w:r>
          </w:p>
        </w:tc>
        <w:tc>
          <w:tcPr>
            <w:tcW w:w="1700" w:type="dxa"/>
            <w:tcBorders>
              <w:top w:val="single" w:color="auto" w:sz="4" w:space="0"/>
              <w:left w:val="nil"/>
              <w:bottom w:val="single" w:color="auto" w:sz="4" w:space="0"/>
              <w:right w:val="single" w:color="auto" w:sz="4" w:space="0"/>
            </w:tcBorders>
            <w:vAlign w:val="center"/>
          </w:tcPr>
          <w:p w14:paraId="6E561CE3">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配合内容</w:t>
            </w:r>
          </w:p>
        </w:tc>
        <w:tc>
          <w:tcPr>
            <w:tcW w:w="4109" w:type="dxa"/>
            <w:tcBorders>
              <w:top w:val="single" w:color="auto" w:sz="4" w:space="0"/>
              <w:left w:val="nil"/>
              <w:bottom w:val="single" w:color="auto" w:sz="4" w:space="0"/>
              <w:right w:val="single" w:color="auto" w:sz="4" w:space="0"/>
            </w:tcBorders>
            <w:vAlign w:val="center"/>
          </w:tcPr>
          <w:p w14:paraId="3AE05299">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标准</w:t>
            </w:r>
          </w:p>
        </w:tc>
        <w:tc>
          <w:tcPr>
            <w:tcW w:w="3541" w:type="dxa"/>
            <w:tcBorders>
              <w:top w:val="single" w:color="auto" w:sz="4" w:space="0"/>
              <w:left w:val="nil"/>
              <w:bottom w:val="single" w:color="auto" w:sz="4" w:space="0"/>
              <w:right w:val="single" w:color="auto" w:sz="4" w:space="0"/>
            </w:tcBorders>
            <w:vAlign w:val="center"/>
          </w:tcPr>
          <w:p w14:paraId="24D8B428">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备注</w:t>
            </w:r>
          </w:p>
        </w:tc>
      </w:tr>
      <w:tr w14:paraId="5CA0E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trPr>
        <w:tc>
          <w:tcPr>
            <w:tcW w:w="709" w:type="dxa"/>
            <w:tcBorders>
              <w:top w:val="single" w:color="auto" w:sz="4" w:space="0"/>
              <w:left w:val="single" w:color="auto" w:sz="4" w:space="0"/>
              <w:bottom w:val="single" w:color="auto" w:sz="4" w:space="0"/>
              <w:right w:val="single" w:color="auto" w:sz="4" w:space="0"/>
            </w:tcBorders>
            <w:vAlign w:val="center"/>
          </w:tcPr>
          <w:p w14:paraId="6631BF0B">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w:t>
            </w:r>
          </w:p>
        </w:tc>
        <w:tc>
          <w:tcPr>
            <w:tcW w:w="1700" w:type="dxa"/>
            <w:tcBorders>
              <w:top w:val="single" w:color="auto" w:sz="4" w:space="0"/>
              <w:left w:val="nil"/>
              <w:bottom w:val="single" w:color="auto" w:sz="4" w:space="0"/>
              <w:right w:val="single" w:color="auto" w:sz="4" w:space="0"/>
            </w:tcBorders>
            <w:vAlign w:val="center"/>
          </w:tcPr>
          <w:p w14:paraId="43331E9B">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工作面交界尺寸</w:t>
            </w:r>
          </w:p>
        </w:tc>
        <w:tc>
          <w:tcPr>
            <w:tcW w:w="4109" w:type="dxa"/>
            <w:tcBorders>
              <w:top w:val="single" w:color="auto" w:sz="4" w:space="0"/>
              <w:left w:val="nil"/>
              <w:bottom w:val="single" w:color="auto" w:sz="4" w:space="0"/>
              <w:right w:val="single" w:color="auto" w:sz="4" w:space="0"/>
            </w:tcBorders>
            <w:vAlign w:val="center"/>
          </w:tcPr>
          <w:p w14:paraId="7BD26661">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asciiTheme="minorEastAsia" w:hAnsiTheme="minorEastAsia" w:eastAsiaTheme="minorEastAsia"/>
                <w:color w:val="auto"/>
                <w:sz w:val="21"/>
                <w:szCs w:val="21"/>
                <w:highlight w:val="none"/>
              </w:rPr>
              <w:fldChar w:fldCharType="begin"/>
            </w:r>
            <w:r>
              <w:rPr>
                <w:rFonts w:asciiTheme="minorEastAsia" w:hAnsiTheme="minorEastAsia" w:eastAsiaTheme="minorEastAsia"/>
                <w:color w:val="auto"/>
                <w:sz w:val="21"/>
                <w:szCs w:val="21"/>
                <w:highlight w:val="none"/>
              </w:rPr>
              <w:instrText xml:space="preserve"> = 1 \* GB3 </w:instrText>
            </w:r>
            <w:r>
              <w:rPr>
                <w:rFonts w:asciiTheme="minorEastAsia" w:hAnsiTheme="minorEastAsia" w:eastAsiaTheme="minorEastAsia"/>
                <w:color w:val="auto"/>
                <w:sz w:val="21"/>
                <w:szCs w:val="21"/>
                <w:highlight w:val="none"/>
              </w:rPr>
              <w:fldChar w:fldCharType="separate"/>
            </w:r>
            <w:r>
              <w:rPr>
                <w:rFonts w:hint="eastAsia" w:asciiTheme="minorEastAsia" w:hAnsiTheme="minorEastAsia" w:eastAsiaTheme="minorEastAsia"/>
                <w:color w:val="auto"/>
                <w:sz w:val="21"/>
                <w:szCs w:val="21"/>
                <w:highlight w:val="none"/>
              </w:rPr>
              <w:t>①</w:t>
            </w:r>
            <w:r>
              <w:rPr>
                <w:rFonts w:asciiTheme="minorEastAsia" w:hAnsiTheme="minorEastAsia" w:eastAsiaTheme="minorEastAsia"/>
                <w:color w:val="auto"/>
                <w:sz w:val="21"/>
                <w:szCs w:val="21"/>
                <w:highlight w:val="none"/>
              </w:rPr>
              <w:fldChar w:fldCharType="end"/>
            </w:r>
            <w:r>
              <w:rPr>
                <w:rFonts w:hint="eastAsia" w:asciiTheme="minorEastAsia" w:hAnsiTheme="minorEastAsia" w:eastAsiaTheme="minorEastAsia"/>
                <w:color w:val="auto"/>
                <w:sz w:val="21"/>
                <w:szCs w:val="21"/>
                <w:highlight w:val="none"/>
              </w:rPr>
              <w:t>埋盒误差±2mm。</w:t>
            </w:r>
          </w:p>
          <w:p w14:paraId="7CEB5B4B">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②预埋管通畅。</w:t>
            </w:r>
          </w:p>
        </w:tc>
        <w:tc>
          <w:tcPr>
            <w:tcW w:w="3541" w:type="dxa"/>
            <w:tcBorders>
              <w:top w:val="single" w:color="auto" w:sz="4" w:space="0"/>
              <w:left w:val="nil"/>
              <w:bottom w:val="single" w:color="auto" w:sz="4" w:space="0"/>
              <w:right w:val="single" w:color="auto" w:sz="4" w:space="0"/>
            </w:tcBorders>
            <w:vAlign w:val="center"/>
          </w:tcPr>
          <w:p w14:paraId="25484537">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总包提供的预埋盒位置不符合要求必须整改合格。</w:t>
            </w:r>
          </w:p>
        </w:tc>
      </w:tr>
      <w:tr w14:paraId="63BD1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trPr>
        <w:tc>
          <w:tcPr>
            <w:tcW w:w="709" w:type="dxa"/>
            <w:tcBorders>
              <w:top w:val="single" w:color="auto" w:sz="4" w:space="0"/>
              <w:left w:val="single" w:color="auto" w:sz="4" w:space="0"/>
              <w:bottom w:val="single" w:color="auto" w:sz="4" w:space="0"/>
              <w:right w:val="single" w:color="auto" w:sz="4" w:space="0"/>
            </w:tcBorders>
            <w:vAlign w:val="center"/>
          </w:tcPr>
          <w:p w14:paraId="1D66932D">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w:t>
            </w:r>
          </w:p>
        </w:tc>
        <w:tc>
          <w:tcPr>
            <w:tcW w:w="1700" w:type="dxa"/>
            <w:tcBorders>
              <w:top w:val="single" w:color="auto" w:sz="4" w:space="0"/>
              <w:left w:val="nil"/>
              <w:bottom w:val="single" w:color="auto" w:sz="4" w:space="0"/>
              <w:right w:val="single" w:color="auto" w:sz="4" w:space="0"/>
            </w:tcBorders>
            <w:vAlign w:val="center"/>
          </w:tcPr>
          <w:p w14:paraId="311354FB">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垂直运输及施工通道</w:t>
            </w:r>
          </w:p>
        </w:tc>
        <w:tc>
          <w:tcPr>
            <w:tcW w:w="4109" w:type="dxa"/>
            <w:tcBorders>
              <w:top w:val="single" w:color="auto" w:sz="4" w:space="0"/>
              <w:left w:val="nil"/>
              <w:bottom w:val="single" w:color="auto" w:sz="4" w:space="0"/>
              <w:right w:val="single" w:color="auto" w:sz="4" w:space="0"/>
            </w:tcBorders>
            <w:vAlign w:val="center"/>
          </w:tcPr>
          <w:p w14:paraId="335533D4">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畅通、无障碍（总包垂直运输设备拆除除外）。</w:t>
            </w:r>
          </w:p>
        </w:tc>
        <w:tc>
          <w:tcPr>
            <w:tcW w:w="3541" w:type="dxa"/>
            <w:tcBorders>
              <w:top w:val="single" w:color="auto" w:sz="4" w:space="0"/>
              <w:left w:val="nil"/>
              <w:bottom w:val="single" w:color="auto" w:sz="4" w:space="0"/>
              <w:right w:val="single" w:color="auto" w:sz="4" w:space="0"/>
            </w:tcBorders>
            <w:vAlign w:val="center"/>
          </w:tcPr>
          <w:p w14:paraId="003813C3">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016F0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0" w:hRule="atLeast"/>
        </w:trPr>
        <w:tc>
          <w:tcPr>
            <w:tcW w:w="709" w:type="dxa"/>
            <w:tcBorders>
              <w:top w:val="single" w:color="auto" w:sz="4" w:space="0"/>
              <w:left w:val="single" w:color="auto" w:sz="4" w:space="0"/>
              <w:bottom w:val="single" w:color="auto" w:sz="4" w:space="0"/>
              <w:right w:val="single" w:color="auto" w:sz="4" w:space="0"/>
            </w:tcBorders>
            <w:vAlign w:val="center"/>
          </w:tcPr>
          <w:p w14:paraId="2DE6D94C">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w:t>
            </w:r>
          </w:p>
        </w:tc>
        <w:tc>
          <w:tcPr>
            <w:tcW w:w="1700" w:type="dxa"/>
            <w:tcBorders>
              <w:top w:val="single" w:color="auto" w:sz="4" w:space="0"/>
              <w:left w:val="nil"/>
              <w:bottom w:val="single" w:color="auto" w:sz="4" w:space="0"/>
              <w:right w:val="single" w:color="auto" w:sz="4" w:space="0"/>
            </w:tcBorders>
            <w:vAlign w:val="center"/>
          </w:tcPr>
          <w:p w14:paraId="6CC60516">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用水用电</w:t>
            </w:r>
          </w:p>
        </w:tc>
        <w:tc>
          <w:tcPr>
            <w:tcW w:w="4109" w:type="dxa"/>
            <w:tcBorders>
              <w:top w:val="single" w:color="auto" w:sz="4" w:space="0"/>
              <w:left w:val="nil"/>
              <w:bottom w:val="single" w:color="auto" w:sz="4" w:space="0"/>
              <w:right w:val="single" w:color="auto" w:sz="4" w:space="0"/>
            </w:tcBorders>
            <w:vAlign w:val="center"/>
          </w:tcPr>
          <w:p w14:paraId="5B998767">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1、总包每三层提供接电点。</w:t>
            </w:r>
          </w:p>
          <w:p w14:paraId="6843C697">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2、提供水电，能够满足分包方施工负荷要求。</w:t>
            </w:r>
          </w:p>
        </w:tc>
        <w:tc>
          <w:tcPr>
            <w:tcW w:w="3541" w:type="dxa"/>
            <w:tcBorders>
              <w:top w:val="single" w:color="auto" w:sz="4" w:space="0"/>
              <w:left w:val="nil"/>
              <w:bottom w:val="single" w:color="auto" w:sz="4" w:space="0"/>
              <w:right w:val="single" w:color="auto" w:sz="4" w:space="0"/>
            </w:tcBorders>
            <w:vAlign w:val="center"/>
          </w:tcPr>
          <w:p w14:paraId="51498522">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水、电费数量以表读数为准，价格与总包使用水电费价格一致。</w:t>
            </w:r>
            <w:r>
              <w:rPr>
                <w:rFonts w:hint="eastAsia" w:cs="宋体" w:asciiTheme="minorEastAsia" w:hAnsiTheme="minorEastAsia" w:eastAsiaTheme="minorEastAsia"/>
                <w:color w:val="auto"/>
                <w:sz w:val="21"/>
                <w:szCs w:val="21"/>
                <w:highlight w:val="none"/>
                <w:lang w:val="en-US" w:eastAsia="zh-CN"/>
              </w:rPr>
              <w:t>无法挂表计量的水电费，按照分包工程中标价的1%计取。</w:t>
            </w:r>
          </w:p>
        </w:tc>
      </w:tr>
      <w:tr w14:paraId="3D36B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trPr>
        <w:tc>
          <w:tcPr>
            <w:tcW w:w="709" w:type="dxa"/>
            <w:tcBorders>
              <w:top w:val="single" w:color="auto" w:sz="4" w:space="0"/>
              <w:left w:val="single" w:color="auto" w:sz="4" w:space="0"/>
              <w:bottom w:val="single" w:color="auto" w:sz="4" w:space="0"/>
              <w:right w:val="single" w:color="auto" w:sz="4" w:space="0"/>
            </w:tcBorders>
            <w:vAlign w:val="center"/>
          </w:tcPr>
          <w:p w14:paraId="7F2A737D">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4</w:t>
            </w:r>
          </w:p>
        </w:tc>
        <w:tc>
          <w:tcPr>
            <w:tcW w:w="1700" w:type="dxa"/>
            <w:tcBorders>
              <w:top w:val="single" w:color="auto" w:sz="4" w:space="0"/>
              <w:left w:val="nil"/>
              <w:bottom w:val="single" w:color="auto" w:sz="4" w:space="0"/>
              <w:right w:val="single" w:color="auto" w:sz="4" w:space="0"/>
            </w:tcBorders>
            <w:vAlign w:val="center"/>
          </w:tcPr>
          <w:p w14:paraId="71CD1874">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现场办公及库房用房</w:t>
            </w:r>
          </w:p>
        </w:tc>
        <w:tc>
          <w:tcPr>
            <w:tcW w:w="4109" w:type="dxa"/>
            <w:tcBorders>
              <w:top w:val="single" w:color="auto" w:sz="4" w:space="0"/>
              <w:left w:val="nil"/>
              <w:bottom w:val="single" w:color="auto" w:sz="4" w:space="0"/>
              <w:right w:val="single" w:color="auto" w:sz="4" w:space="0"/>
            </w:tcBorders>
            <w:vAlign w:val="center"/>
          </w:tcPr>
          <w:p w14:paraId="080BA873">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总包提供材料堆放场地，满足进场材料堆放要求。</w:t>
            </w:r>
          </w:p>
        </w:tc>
        <w:tc>
          <w:tcPr>
            <w:tcW w:w="3541" w:type="dxa"/>
            <w:tcBorders>
              <w:top w:val="single" w:color="auto" w:sz="4" w:space="0"/>
              <w:left w:val="nil"/>
              <w:bottom w:val="single" w:color="auto" w:sz="4" w:space="0"/>
              <w:right w:val="single" w:color="auto" w:sz="4" w:space="0"/>
            </w:tcBorders>
            <w:vAlign w:val="center"/>
          </w:tcPr>
          <w:p w14:paraId="1F921E0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1BA2C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4" w:hRule="atLeast"/>
        </w:trPr>
        <w:tc>
          <w:tcPr>
            <w:tcW w:w="709" w:type="dxa"/>
            <w:tcBorders>
              <w:top w:val="single" w:color="auto" w:sz="4" w:space="0"/>
              <w:left w:val="single" w:color="auto" w:sz="4" w:space="0"/>
              <w:bottom w:val="single" w:color="auto" w:sz="4" w:space="0"/>
              <w:right w:val="single" w:color="auto" w:sz="4" w:space="0"/>
            </w:tcBorders>
            <w:vAlign w:val="center"/>
          </w:tcPr>
          <w:p w14:paraId="09879ABE">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5</w:t>
            </w:r>
          </w:p>
        </w:tc>
        <w:tc>
          <w:tcPr>
            <w:tcW w:w="1700" w:type="dxa"/>
            <w:tcBorders>
              <w:top w:val="single" w:color="auto" w:sz="4" w:space="0"/>
              <w:left w:val="nil"/>
              <w:bottom w:val="single" w:color="auto" w:sz="4" w:space="0"/>
              <w:right w:val="single" w:color="auto" w:sz="4" w:space="0"/>
            </w:tcBorders>
            <w:vAlign w:val="center"/>
          </w:tcPr>
          <w:p w14:paraId="6D6C6973">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建筑垃圾</w:t>
            </w:r>
          </w:p>
        </w:tc>
        <w:tc>
          <w:tcPr>
            <w:tcW w:w="4109" w:type="dxa"/>
            <w:tcBorders>
              <w:top w:val="single" w:color="auto" w:sz="4" w:space="0"/>
              <w:left w:val="nil"/>
              <w:bottom w:val="single" w:color="auto" w:sz="4" w:space="0"/>
              <w:right w:val="single" w:color="auto" w:sz="4" w:space="0"/>
            </w:tcBorders>
            <w:vAlign w:val="center"/>
          </w:tcPr>
          <w:p w14:paraId="40D4E82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总包单位向分包单位提供统一垃圾临时堆放点，由分包单位自行清运至临时堆放点，总包单位进行垃圾外运。总包</w:t>
            </w:r>
            <w:r>
              <w:rPr>
                <w:rFonts w:hint="eastAsia" w:cs="宋体" w:asciiTheme="minorEastAsia" w:hAnsiTheme="minorEastAsia" w:eastAsiaTheme="minorEastAsia"/>
                <w:color w:val="auto"/>
                <w:sz w:val="21"/>
                <w:szCs w:val="21"/>
                <w:highlight w:val="none"/>
                <w:lang w:val="en-US" w:eastAsia="zh-CN"/>
              </w:rPr>
              <w:t>单位不得额外收取分包单位垃圾费用，若</w:t>
            </w:r>
            <w:r>
              <w:rPr>
                <w:rFonts w:hint="eastAsia" w:cs="宋体" w:asciiTheme="minorEastAsia" w:hAnsiTheme="minorEastAsia" w:eastAsiaTheme="minorEastAsia"/>
                <w:color w:val="auto"/>
                <w:sz w:val="21"/>
                <w:szCs w:val="21"/>
                <w:highlight w:val="none"/>
              </w:rPr>
              <w:t>额外收取分包垃圾费，按</w:t>
            </w:r>
            <w:r>
              <w:rPr>
                <w:rFonts w:hint="eastAsia" w:cs="宋体" w:asciiTheme="minorEastAsia" w:hAnsiTheme="minorEastAsia" w:eastAsiaTheme="minorEastAsia"/>
                <w:color w:val="auto"/>
                <w:sz w:val="21"/>
                <w:szCs w:val="21"/>
                <w:highlight w:val="none"/>
                <w:u w:val="single"/>
                <w:lang w:val="en-US" w:eastAsia="zh-CN"/>
              </w:rPr>
              <w:t>300元/m3从总包结算</w:t>
            </w:r>
            <w:r>
              <w:rPr>
                <w:rFonts w:hint="eastAsia" w:cs="宋体" w:asciiTheme="minorEastAsia" w:hAnsiTheme="minorEastAsia" w:eastAsiaTheme="minorEastAsia"/>
                <w:color w:val="auto"/>
                <w:sz w:val="21"/>
                <w:szCs w:val="21"/>
                <w:highlight w:val="none"/>
                <w:u w:val="single"/>
              </w:rPr>
              <w:t>扣除。</w:t>
            </w:r>
          </w:p>
        </w:tc>
        <w:tc>
          <w:tcPr>
            <w:tcW w:w="3541" w:type="dxa"/>
            <w:tcBorders>
              <w:top w:val="single" w:color="auto" w:sz="4" w:space="0"/>
              <w:left w:val="nil"/>
              <w:bottom w:val="single" w:color="auto" w:sz="4" w:space="0"/>
              <w:right w:val="single" w:color="auto" w:sz="4" w:space="0"/>
            </w:tcBorders>
            <w:vAlign w:val="center"/>
          </w:tcPr>
          <w:p w14:paraId="16C857F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分包单位未清理或清理不到位，总包单位有权向分包单位提出书面清理通知，分包单位在接到书面通知后仍无动于衷或清理不干净，由总包单位清理，费用由分包单位承担。</w:t>
            </w:r>
          </w:p>
        </w:tc>
      </w:tr>
      <w:tr w14:paraId="078BF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0" w:hRule="atLeast"/>
        </w:trPr>
        <w:tc>
          <w:tcPr>
            <w:tcW w:w="709" w:type="dxa"/>
            <w:tcBorders>
              <w:top w:val="single" w:color="auto" w:sz="4" w:space="0"/>
              <w:left w:val="single" w:color="auto" w:sz="4" w:space="0"/>
              <w:bottom w:val="single" w:color="auto" w:sz="4" w:space="0"/>
              <w:right w:val="single" w:color="auto" w:sz="4" w:space="0"/>
            </w:tcBorders>
            <w:vAlign w:val="center"/>
          </w:tcPr>
          <w:p w14:paraId="664F0B73">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6</w:t>
            </w:r>
          </w:p>
        </w:tc>
        <w:tc>
          <w:tcPr>
            <w:tcW w:w="1700" w:type="dxa"/>
            <w:tcBorders>
              <w:top w:val="single" w:color="auto" w:sz="4" w:space="0"/>
              <w:left w:val="nil"/>
              <w:bottom w:val="single" w:color="auto" w:sz="4" w:space="0"/>
              <w:right w:val="single" w:color="auto" w:sz="4" w:space="0"/>
            </w:tcBorders>
            <w:vAlign w:val="center"/>
          </w:tcPr>
          <w:p w14:paraId="07171CC0">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质量、进度、安全、文明施工、竣工验收资料等管理</w:t>
            </w:r>
          </w:p>
        </w:tc>
        <w:tc>
          <w:tcPr>
            <w:tcW w:w="4109" w:type="dxa"/>
            <w:tcBorders>
              <w:top w:val="single" w:color="auto" w:sz="4" w:space="0"/>
              <w:left w:val="nil"/>
              <w:bottom w:val="single" w:color="auto" w:sz="4" w:space="0"/>
              <w:right w:val="single" w:color="auto" w:sz="4" w:space="0"/>
            </w:tcBorders>
            <w:vAlign w:val="center"/>
          </w:tcPr>
          <w:p w14:paraId="758F6CD0">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总包要监督、检查分包方的质量、进度、安全、文明施工、竣工验收资料等应符合国家相关规定，施工组织和协调，并负责统一竣工验收、备案。</w:t>
            </w:r>
          </w:p>
        </w:tc>
        <w:tc>
          <w:tcPr>
            <w:tcW w:w="3541" w:type="dxa"/>
            <w:tcBorders>
              <w:top w:val="single" w:color="auto" w:sz="4" w:space="0"/>
              <w:left w:val="nil"/>
              <w:bottom w:val="single" w:color="auto" w:sz="4" w:space="0"/>
              <w:right w:val="single" w:color="auto" w:sz="4" w:space="0"/>
            </w:tcBorders>
            <w:vAlign w:val="center"/>
          </w:tcPr>
          <w:p w14:paraId="5335DA14">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竣工资料归档费已包含在专业工程管理配合费中。</w:t>
            </w:r>
          </w:p>
        </w:tc>
      </w:tr>
      <w:tr w14:paraId="476AE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4" w:hRule="atLeast"/>
        </w:trPr>
        <w:tc>
          <w:tcPr>
            <w:tcW w:w="709" w:type="dxa"/>
            <w:tcBorders>
              <w:top w:val="single" w:color="auto" w:sz="4" w:space="0"/>
              <w:left w:val="single" w:color="auto" w:sz="4" w:space="0"/>
              <w:bottom w:val="single" w:color="auto" w:sz="4" w:space="0"/>
              <w:right w:val="single" w:color="auto" w:sz="4" w:space="0"/>
            </w:tcBorders>
            <w:vAlign w:val="center"/>
          </w:tcPr>
          <w:p w14:paraId="6A6EE98F">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7</w:t>
            </w:r>
          </w:p>
        </w:tc>
        <w:tc>
          <w:tcPr>
            <w:tcW w:w="1700" w:type="dxa"/>
            <w:tcBorders>
              <w:top w:val="single" w:color="auto" w:sz="4" w:space="0"/>
              <w:left w:val="nil"/>
              <w:bottom w:val="single" w:color="auto" w:sz="4" w:space="0"/>
              <w:right w:val="single" w:color="auto" w:sz="4" w:space="0"/>
            </w:tcBorders>
            <w:vAlign w:val="center"/>
          </w:tcPr>
          <w:p w14:paraId="5A07CA75">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成品保护</w:t>
            </w:r>
          </w:p>
        </w:tc>
        <w:tc>
          <w:tcPr>
            <w:tcW w:w="4109" w:type="dxa"/>
            <w:tcBorders>
              <w:top w:val="single" w:color="auto" w:sz="4" w:space="0"/>
              <w:left w:val="nil"/>
              <w:bottom w:val="single" w:color="auto" w:sz="4" w:space="0"/>
              <w:right w:val="single" w:color="auto" w:sz="4" w:space="0"/>
            </w:tcBorders>
            <w:vAlign w:val="center"/>
          </w:tcPr>
          <w:p w14:paraId="76C24C2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1、分包单位施工内容全部结束，分包单位在经发包人及监理验收前应自行负责成品保护的责任。</w:t>
            </w:r>
          </w:p>
          <w:p w14:paraId="70D5DD8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2、经发包人及监理验收合格，在向物业移交前总包单位应担负其成品保护的责任。</w:t>
            </w:r>
          </w:p>
        </w:tc>
        <w:tc>
          <w:tcPr>
            <w:tcW w:w="3541" w:type="dxa"/>
            <w:tcBorders>
              <w:top w:val="single" w:color="auto" w:sz="4" w:space="0"/>
              <w:left w:val="nil"/>
              <w:bottom w:val="single" w:color="auto" w:sz="4" w:space="0"/>
              <w:right w:val="single" w:color="auto" w:sz="4" w:space="0"/>
            </w:tcBorders>
            <w:vAlign w:val="center"/>
          </w:tcPr>
          <w:p w14:paraId="7016EAE0">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5F0DF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trPr>
        <w:tc>
          <w:tcPr>
            <w:tcW w:w="709" w:type="dxa"/>
            <w:tcBorders>
              <w:top w:val="single" w:color="auto" w:sz="4" w:space="0"/>
              <w:left w:val="single" w:color="auto" w:sz="4" w:space="0"/>
              <w:bottom w:val="single" w:color="auto" w:sz="4" w:space="0"/>
              <w:right w:val="single" w:color="auto" w:sz="4" w:space="0"/>
            </w:tcBorders>
            <w:vAlign w:val="center"/>
          </w:tcPr>
          <w:p w14:paraId="61425E17">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8</w:t>
            </w:r>
          </w:p>
        </w:tc>
        <w:tc>
          <w:tcPr>
            <w:tcW w:w="1700" w:type="dxa"/>
            <w:tcBorders>
              <w:top w:val="single" w:color="auto" w:sz="4" w:space="0"/>
              <w:left w:val="nil"/>
              <w:bottom w:val="single" w:color="auto" w:sz="4" w:space="0"/>
              <w:right w:val="single" w:color="auto" w:sz="4" w:space="0"/>
            </w:tcBorders>
            <w:vAlign w:val="center"/>
          </w:tcPr>
          <w:p w14:paraId="15412A01">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交工清理</w:t>
            </w:r>
          </w:p>
        </w:tc>
        <w:tc>
          <w:tcPr>
            <w:tcW w:w="4109" w:type="dxa"/>
            <w:tcBorders>
              <w:top w:val="single" w:color="auto" w:sz="4" w:space="0"/>
              <w:left w:val="nil"/>
              <w:bottom w:val="single" w:color="auto" w:sz="4" w:space="0"/>
              <w:right w:val="single" w:color="auto" w:sz="4" w:space="0"/>
            </w:tcBorders>
            <w:vAlign w:val="center"/>
          </w:tcPr>
          <w:p w14:paraId="01145B66">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总包单位负责交工清理工作，直至符合交工条件。</w:t>
            </w:r>
          </w:p>
        </w:tc>
        <w:tc>
          <w:tcPr>
            <w:tcW w:w="3541" w:type="dxa"/>
            <w:tcBorders>
              <w:top w:val="single" w:color="auto" w:sz="4" w:space="0"/>
              <w:left w:val="nil"/>
              <w:bottom w:val="single" w:color="auto" w:sz="4" w:space="0"/>
              <w:right w:val="single" w:color="auto" w:sz="4" w:space="0"/>
            </w:tcBorders>
            <w:vAlign w:val="center"/>
          </w:tcPr>
          <w:p w14:paraId="0618626E">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bl>
    <w:p w14:paraId="04E97B2C">
      <w:pPr>
        <w:adjustRightInd w:val="0"/>
        <w:snapToGrid w:val="0"/>
        <w:outlineLvl w:val="9"/>
        <w:rPr>
          <w:rFonts w:cs="宋体" w:asciiTheme="minorEastAsia" w:hAnsiTheme="minorEastAsia" w:eastAsiaTheme="minorEastAsia"/>
          <w:color w:val="auto"/>
          <w:sz w:val="24"/>
          <w:highlight w:val="none"/>
        </w:rPr>
      </w:pPr>
      <w:r>
        <w:rPr>
          <w:rFonts w:cs="宋体" w:asciiTheme="minorEastAsia" w:hAnsiTheme="minorEastAsia" w:eastAsiaTheme="minorEastAsia"/>
          <w:color w:val="auto"/>
          <w:sz w:val="24"/>
          <w:highlight w:val="none"/>
        </w:rPr>
        <w:br w:type="page"/>
      </w:r>
      <w:r>
        <w:rPr>
          <w:rFonts w:hint="eastAsia" w:cs="宋体" w:asciiTheme="minorEastAsia" w:hAnsiTheme="minorEastAsia" w:eastAsiaTheme="minorEastAsia"/>
          <w:color w:val="auto"/>
          <w:sz w:val="21"/>
          <w:szCs w:val="21"/>
          <w:highlight w:val="none"/>
        </w:rPr>
        <w:t>十</w:t>
      </w:r>
      <w:r>
        <w:rPr>
          <w:rFonts w:hint="eastAsia" w:cs="宋体" w:asciiTheme="minorEastAsia" w:hAnsiTheme="minorEastAsia" w:eastAsiaTheme="minorEastAsia"/>
          <w:color w:val="auto"/>
          <w:sz w:val="21"/>
          <w:szCs w:val="21"/>
          <w:highlight w:val="none"/>
          <w:lang w:val="en-US" w:eastAsia="zh-CN"/>
        </w:rPr>
        <w:t>一</w:t>
      </w:r>
      <w:r>
        <w:rPr>
          <w:rFonts w:hint="eastAsia" w:cs="宋体" w:asciiTheme="minorEastAsia" w:hAnsiTheme="minorEastAsia" w:eastAsiaTheme="minorEastAsia"/>
          <w:color w:val="auto"/>
          <w:sz w:val="21"/>
          <w:szCs w:val="21"/>
          <w:highlight w:val="none"/>
        </w:rPr>
        <w:t>、总包对夜景亮化工程</w:t>
      </w:r>
      <w:r>
        <w:rPr>
          <w:rFonts w:hint="eastAsia" w:asciiTheme="minorEastAsia" w:hAnsiTheme="minorEastAsia" w:eastAsiaTheme="minorEastAsia"/>
          <w:color w:val="auto"/>
          <w:sz w:val="21"/>
          <w:szCs w:val="21"/>
          <w:highlight w:val="none"/>
        </w:rPr>
        <w:t>的管理配合内容：</w:t>
      </w:r>
    </w:p>
    <w:tbl>
      <w:tblPr>
        <w:tblStyle w:val="56"/>
        <w:tblW w:w="10218"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727"/>
        <w:gridCol w:w="4174"/>
        <w:gridCol w:w="3597"/>
      </w:tblGrid>
      <w:tr w14:paraId="53C12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720" w:type="dxa"/>
            <w:vAlign w:val="center"/>
          </w:tcPr>
          <w:p w14:paraId="6A56CB1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序号</w:t>
            </w:r>
          </w:p>
        </w:tc>
        <w:tc>
          <w:tcPr>
            <w:tcW w:w="1727" w:type="dxa"/>
            <w:vAlign w:val="center"/>
          </w:tcPr>
          <w:p w14:paraId="4029DAB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配合内容</w:t>
            </w:r>
          </w:p>
        </w:tc>
        <w:tc>
          <w:tcPr>
            <w:tcW w:w="4174" w:type="dxa"/>
            <w:vAlign w:val="center"/>
          </w:tcPr>
          <w:p w14:paraId="62E2328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标准</w:t>
            </w:r>
          </w:p>
        </w:tc>
        <w:tc>
          <w:tcPr>
            <w:tcW w:w="3597" w:type="dxa"/>
            <w:vAlign w:val="center"/>
          </w:tcPr>
          <w:p w14:paraId="24E4B9B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备注</w:t>
            </w:r>
          </w:p>
        </w:tc>
      </w:tr>
      <w:tr w14:paraId="4B2D3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720" w:type="dxa"/>
            <w:vAlign w:val="center"/>
          </w:tcPr>
          <w:p w14:paraId="5CD6312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w:t>
            </w:r>
          </w:p>
        </w:tc>
        <w:tc>
          <w:tcPr>
            <w:tcW w:w="1727" w:type="dxa"/>
            <w:vAlign w:val="center"/>
          </w:tcPr>
          <w:p w14:paraId="5290993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工作面尺寸</w:t>
            </w:r>
          </w:p>
        </w:tc>
        <w:tc>
          <w:tcPr>
            <w:tcW w:w="4174" w:type="dxa"/>
            <w:vAlign w:val="center"/>
          </w:tcPr>
          <w:p w14:paraId="3074B42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洞口尺寸误差±5mm。</w:t>
            </w:r>
          </w:p>
        </w:tc>
        <w:tc>
          <w:tcPr>
            <w:tcW w:w="3597" w:type="dxa"/>
            <w:vAlign w:val="center"/>
          </w:tcPr>
          <w:p w14:paraId="4B775EA7">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总包提供的尺寸不符合标准的必须整改合格。</w:t>
            </w:r>
          </w:p>
        </w:tc>
      </w:tr>
      <w:tr w14:paraId="3B6B6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5" w:hRule="atLeast"/>
        </w:trPr>
        <w:tc>
          <w:tcPr>
            <w:tcW w:w="720" w:type="dxa"/>
            <w:vAlign w:val="center"/>
          </w:tcPr>
          <w:p w14:paraId="4C7346D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w:t>
            </w:r>
          </w:p>
        </w:tc>
        <w:tc>
          <w:tcPr>
            <w:tcW w:w="1727" w:type="dxa"/>
            <w:vAlign w:val="center"/>
          </w:tcPr>
          <w:p w14:paraId="23511AF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垂直运输、施工通道、现有脚手架</w:t>
            </w:r>
          </w:p>
        </w:tc>
        <w:tc>
          <w:tcPr>
            <w:tcW w:w="4174" w:type="dxa"/>
            <w:vAlign w:val="center"/>
          </w:tcPr>
          <w:p w14:paraId="22E5DCD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畅通、无障碍。水平施工洞口满足施工水平运输要求。提供现有脚手架。</w:t>
            </w:r>
          </w:p>
        </w:tc>
        <w:tc>
          <w:tcPr>
            <w:tcW w:w="3597" w:type="dxa"/>
            <w:vAlign w:val="center"/>
          </w:tcPr>
          <w:p w14:paraId="74A5D3A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4658B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8" w:hRule="atLeast"/>
        </w:trPr>
        <w:tc>
          <w:tcPr>
            <w:tcW w:w="720" w:type="dxa"/>
            <w:vAlign w:val="center"/>
          </w:tcPr>
          <w:p w14:paraId="588F0EC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3</w:t>
            </w:r>
          </w:p>
        </w:tc>
        <w:tc>
          <w:tcPr>
            <w:tcW w:w="1727" w:type="dxa"/>
            <w:vAlign w:val="center"/>
          </w:tcPr>
          <w:p w14:paraId="56C1BD30">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用水用电</w:t>
            </w:r>
          </w:p>
        </w:tc>
        <w:tc>
          <w:tcPr>
            <w:tcW w:w="4174" w:type="dxa"/>
            <w:vAlign w:val="center"/>
          </w:tcPr>
          <w:p w14:paraId="6059D99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1、总包每两层提供一个接电点、提供一个接水点。</w:t>
            </w:r>
          </w:p>
          <w:p w14:paraId="06614A2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2、提供水电，能够满足分包方施工负荷要求。</w:t>
            </w:r>
          </w:p>
        </w:tc>
        <w:tc>
          <w:tcPr>
            <w:tcW w:w="3597" w:type="dxa"/>
            <w:vAlign w:val="center"/>
          </w:tcPr>
          <w:p w14:paraId="496A39E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水、电费数量以表读数为准，价格与总包使用水电费价格一致</w:t>
            </w:r>
            <w:r>
              <w:rPr>
                <w:rFonts w:hint="eastAsia" w:cs="宋体" w:asciiTheme="minorEastAsia" w:hAnsiTheme="minorEastAsia" w:eastAsiaTheme="minorEastAsia"/>
                <w:color w:val="auto"/>
                <w:sz w:val="21"/>
                <w:szCs w:val="21"/>
                <w:highlight w:val="none"/>
                <w:lang w:eastAsia="zh-CN"/>
              </w:rPr>
              <w:t>。</w:t>
            </w:r>
            <w:r>
              <w:rPr>
                <w:rFonts w:hint="eastAsia" w:cs="宋体" w:asciiTheme="minorEastAsia" w:hAnsiTheme="minorEastAsia" w:eastAsiaTheme="minorEastAsia"/>
                <w:color w:val="auto"/>
                <w:sz w:val="21"/>
                <w:szCs w:val="21"/>
                <w:highlight w:val="none"/>
                <w:lang w:val="en-US" w:eastAsia="zh-CN"/>
              </w:rPr>
              <w:t>无法挂表计量的水电费，按照分包工程中标价的1%计取。</w:t>
            </w:r>
          </w:p>
        </w:tc>
      </w:tr>
      <w:tr w14:paraId="34CA2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720" w:type="dxa"/>
            <w:vAlign w:val="center"/>
          </w:tcPr>
          <w:p w14:paraId="63831C0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w:t>
            </w:r>
          </w:p>
        </w:tc>
        <w:tc>
          <w:tcPr>
            <w:tcW w:w="1727" w:type="dxa"/>
            <w:vAlign w:val="center"/>
          </w:tcPr>
          <w:p w14:paraId="17B9186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现场办公及库房用房</w:t>
            </w:r>
          </w:p>
        </w:tc>
        <w:tc>
          <w:tcPr>
            <w:tcW w:w="4174" w:type="dxa"/>
            <w:vAlign w:val="center"/>
          </w:tcPr>
          <w:p w14:paraId="4A296BCE">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总包提供材料堆放场地，满足进场材料堆放要求。</w:t>
            </w:r>
          </w:p>
        </w:tc>
        <w:tc>
          <w:tcPr>
            <w:tcW w:w="3597" w:type="dxa"/>
            <w:vAlign w:val="center"/>
          </w:tcPr>
          <w:p w14:paraId="28A4237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0ACBB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720" w:type="dxa"/>
            <w:tcBorders>
              <w:top w:val="single" w:color="auto" w:sz="4" w:space="0"/>
              <w:left w:val="single" w:color="auto" w:sz="4" w:space="0"/>
              <w:bottom w:val="single" w:color="auto" w:sz="4" w:space="0"/>
              <w:right w:val="single" w:color="auto" w:sz="4" w:space="0"/>
            </w:tcBorders>
            <w:vAlign w:val="center"/>
          </w:tcPr>
          <w:p w14:paraId="53ED115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w:t>
            </w:r>
          </w:p>
        </w:tc>
        <w:tc>
          <w:tcPr>
            <w:tcW w:w="1727" w:type="dxa"/>
            <w:tcBorders>
              <w:top w:val="single" w:color="auto" w:sz="4" w:space="0"/>
              <w:left w:val="single" w:color="auto" w:sz="4" w:space="0"/>
              <w:bottom w:val="single" w:color="auto" w:sz="4" w:space="0"/>
              <w:right w:val="single" w:color="auto" w:sz="4" w:space="0"/>
            </w:tcBorders>
            <w:vAlign w:val="center"/>
          </w:tcPr>
          <w:p w14:paraId="46AC55D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提供50线及100线</w:t>
            </w:r>
          </w:p>
        </w:tc>
        <w:tc>
          <w:tcPr>
            <w:tcW w:w="4174" w:type="dxa"/>
            <w:tcBorders>
              <w:top w:val="single" w:color="auto" w:sz="4" w:space="0"/>
              <w:left w:val="single" w:color="auto" w:sz="4" w:space="0"/>
              <w:bottom w:val="single" w:color="auto" w:sz="4" w:space="0"/>
              <w:right w:val="single" w:color="auto" w:sz="4" w:space="0"/>
            </w:tcBorders>
            <w:vAlign w:val="center"/>
          </w:tcPr>
          <w:p w14:paraId="185636F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总包单位向分包单位每层提供50线及100线。</w:t>
            </w:r>
          </w:p>
        </w:tc>
        <w:tc>
          <w:tcPr>
            <w:tcW w:w="3597" w:type="dxa"/>
            <w:tcBorders>
              <w:top w:val="single" w:color="auto" w:sz="4" w:space="0"/>
              <w:left w:val="single" w:color="auto" w:sz="4" w:space="0"/>
              <w:bottom w:val="single" w:color="auto" w:sz="4" w:space="0"/>
              <w:right w:val="single" w:color="auto" w:sz="4" w:space="0"/>
            </w:tcBorders>
            <w:vAlign w:val="center"/>
          </w:tcPr>
          <w:p w14:paraId="1B7F1AC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2D500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0" w:hRule="atLeast"/>
        </w:trPr>
        <w:tc>
          <w:tcPr>
            <w:tcW w:w="720" w:type="dxa"/>
            <w:vAlign w:val="center"/>
          </w:tcPr>
          <w:p w14:paraId="7E18103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6</w:t>
            </w:r>
          </w:p>
        </w:tc>
        <w:tc>
          <w:tcPr>
            <w:tcW w:w="1727" w:type="dxa"/>
            <w:vAlign w:val="center"/>
          </w:tcPr>
          <w:p w14:paraId="0BD6B8C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建筑垃圾</w:t>
            </w:r>
          </w:p>
        </w:tc>
        <w:tc>
          <w:tcPr>
            <w:tcW w:w="4174" w:type="dxa"/>
            <w:vAlign w:val="center"/>
          </w:tcPr>
          <w:p w14:paraId="4F426BC8">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总包单位向分包单位提供统一垃圾临时堆放点，由分包单位自行清运至临时堆放点，总包单位进行垃圾外运。总包</w:t>
            </w:r>
            <w:r>
              <w:rPr>
                <w:rFonts w:hint="eastAsia" w:cs="宋体" w:asciiTheme="minorEastAsia" w:hAnsiTheme="minorEastAsia" w:eastAsiaTheme="minorEastAsia"/>
                <w:color w:val="auto"/>
                <w:sz w:val="21"/>
                <w:szCs w:val="21"/>
                <w:highlight w:val="none"/>
                <w:lang w:val="en-US" w:eastAsia="zh-CN"/>
              </w:rPr>
              <w:t>单位不得额外收取分包单位垃圾费用，若</w:t>
            </w:r>
            <w:r>
              <w:rPr>
                <w:rFonts w:hint="eastAsia" w:cs="宋体" w:asciiTheme="minorEastAsia" w:hAnsiTheme="minorEastAsia" w:eastAsiaTheme="minorEastAsia"/>
                <w:color w:val="auto"/>
                <w:sz w:val="21"/>
                <w:szCs w:val="21"/>
                <w:highlight w:val="none"/>
              </w:rPr>
              <w:t>额外收取分包垃圾费，按</w:t>
            </w:r>
            <w:r>
              <w:rPr>
                <w:rFonts w:hint="eastAsia" w:cs="宋体" w:asciiTheme="minorEastAsia" w:hAnsiTheme="minorEastAsia" w:eastAsiaTheme="minorEastAsia"/>
                <w:color w:val="auto"/>
                <w:sz w:val="21"/>
                <w:szCs w:val="21"/>
                <w:highlight w:val="none"/>
                <w:u w:val="single"/>
                <w:lang w:val="en-US" w:eastAsia="zh-CN"/>
              </w:rPr>
              <w:t>300元/m3从总包结算</w:t>
            </w:r>
            <w:r>
              <w:rPr>
                <w:rFonts w:hint="eastAsia" w:cs="宋体" w:asciiTheme="minorEastAsia" w:hAnsiTheme="minorEastAsia" w:eastAsiaTheme="minorEastAsia"/>
                <w:color w:val="auto"/>
                <w:sz w:val="21"/>
                <w:szCs w:val="21"/>
                <w:highlight w:val="none"/>
                <w:u w:val="single"/>
              </w:rPr>
              <w:t>扣除。</w:t>
            </w:r>
          </w:p>
        </w:tc>
        <w:tc>
          <w:tcPr>
            <w:tcW w:w="3597" w:type="dxa"/>
            <w:vAlign w:val="center"/>
          </w:tcPr>
          <w:p w14:paraId="69146656">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分包单位未清理或清理不到位，总包单位有权向分包单位提出书面清理通知，分包单位在接到书面通知后仍无动于衷或清理不干净，由总包单位清理，费用由分包单位承担。</w:t>
            </w:r>
          </w:p>
        </w:tc>
      </w:tr>
      <w:tr w14:paraId="02BE5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8" w:hRule="atLeast"/>
        </w:trPr>
        <w:tc>
          <w:tcPr>
            <w:tcW w:w="720" w:type="dxa"/>
            <w:vAlign w:val="center"/>
          </w:tcPr>
          <w:p w14:paraId="170A3DF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7</w:t>
            </w:r>
          </w:p>
        </w:tc>
        <w:tc>
          <w:tcPr>
            <w:tcW w:w="1727" w:type="dxa"/>
            <w:vAlign w:val="center"/>
          </w:tcPr>
          <w:p w14:paraId="47AE058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质量、进度、安全、文明施工、竣工验收数据等管理。</w:t>
            </w:r>
          </w:p>
        </w:tc>
        <w:tc>
          <w:tcPr>
            <w:tcW w:w="4174" w:type="dxa"/>
            <w:vAlign w:val="center"/>
          </w:tcPr>
          <w:p w14:paraId="2571573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总包要监督、检查分包方的质量、进度、安全、文明施工、竣工验收资料等应符合国家相关规定，施工组织和协调，并负责统一竣工验收、备案。</w:t>
            </w:r>
          </w:p>
        </w:tc>
        <w:tc>
          <w:tcPr>
            <w:tcW w:w="3597" w:type="dxa"/>
            <w:vAlign w:val="center"/>
          </w:tcPr>
          <w:p w14:paraId="7E5E69FD">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竣工数据归档费已包含在专业工程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075EB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0" w:hRule="atLeast"/>
        </w:trPr>
        <w:tc>
          <w:tcPr>
            <w:tcW w:w="720" w:type="dxa"/>
            <w:vAlign w:val="center"/>
          </w:tcPr>
          <w:p w14:paraId="4D5AD16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8</w:t>
            </w:r>
          </w:p>
        </w:tc>
        <w:tc>
          <w:tcPr>
            <w:tcW w:w="1727" w:type="dxa"/>
            <w:vAlign w:val="center"/>
          </w:tcPr>
          <w:p w14:paraId="410757F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成品保护</w:t>
            </w:r>
          </w:p>
        </w:tc>
        <w:tc>
          <w:tcPr>
            <w:tcW w:w="4174" w:type="dxa"/>
            <w:vAlign w:val="center"/>
          </w:tcPr>
          <w:p w14:paraId="6F639F5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1、分包单位施工内容全部结束，分包单位在经发包人及监理验收前应自行负责成品保护的责任。</w:t>
            </w:r>
          </w:p>
          <w:p w14:paraId="0B98546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2、经发包人及监理验收合格，在向物业移交前总包单位应担负其成品保护的责任。</w:t>
            </w:r>
          </w:p>
        </w:tc>
        <w:tc>
          <w:tcPr>
            <w:tcW w:w="3597" w:type="dxa"/>
            <w:vAlign w:val="center"/>
          </w:tcPr>
          <w:p w14:paraId="7E197B0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24423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trPr>
        <w:tc>
          <w:tcPr>
            <w:tcW w:w="720" w:type="dxa"/>
            <w:vAlign w:val="center"/>
          </w:tcPr>
          <w:p w14:paraId="7C1559D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9</w:t>
            </w:r>
          </w:p>
        </w:tc>
        <w:tc>
          <w:tcPr>
            <w:tcW w:w="1727" w:type="dxa"/>
            <w:vAlign w:val="center"/>
          </w:tcPr>
          <w:p w14:paraId="0ECD5A8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交工清理</w:t>
            </w:r>
          </w:p>
        </w:tc>
        <w:tc>
          <w:tcPr>
            <w:tcW w:w="4174" w:type="dxa"/>
            <w:vAlign w:val="center"/>
          </w:tcPr>
          <w:p w14:paraId="17A11E4B">
            <w:pPr>
              <w:pStyle w:val="17"/>
              <w:keepNext w:val="0"/>
              <w:keepLines w:val="0"/>
              <w:suppressLineNumbers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kern w:val="2"/>
                <w:sz w:val="21"/>
                <w:szCs w:val="21"/>
                <w:highlight w:val="none"/>
                <w:lang w:val="en-US" w:eastAsia="zh-CN" w:bidi="ar-SA"/>
              </w:rPr>
              <w:t>总包单位负责交工清理工作，直至符合交工条件。</w:t>
            </w:r>
          </w:p>
        </w:tc>
        <w:tc>
          <w:tcPr>
            <w:tcW w:w="3597" w:type="dxa"/>
            <w:vAlign w:val="center"/>
          </w:tcPr>
          <w:p w14:paraId="4FCB7FB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bl>
    <w:p w14:paraId="3FA14766">
      <w:pPr>
        <w:pStyle w:val="109"/>
        <w:adjustRightInd w:val="0"/>
        <w:snapToGrid w:val="0"/>
        <w:outlineLvl w:val="9"/>
        <w:rPr>
          <w:rFonts w:asciiTheme="minorEastAsia" w:hAnsiTheme="minorEastAsia" w:eastAsiaTheme="minorEastAsia"/>
          <w:b w:val="0"/>
          <w:color w:val="auto"/>
          <w:szCs w:val="24"/>
          <w:highlight w:val="none"/>
        </w:rPr>
      </w:pPr>
    </w:p>
    <w:p w14:paraId="41C57735">
      <w:pPr>
        <w:adjustRightInd w:val="0"/>
        <w:snapToGrid w:val="0"/>
        <w:spacing w:line="360" w:lineRule="auto"/>
        <w:outlineLvl w:val="9"/>
        <w:rPr>
          <w:rFonts w:asciiTheme="minorEastAsia" w:hAnsiTheme="minorEastAsia" w:eastAsiaTheme="minorEastAsia"/>
          <w:color w:val="auto"/>
          <w:sz w:val="24"/>
          <w:highlight w:val="none"/>
        </w:rPr>
      </w:pPr>
      <w:r>
        <w:rPr>
          <w:rFonts w:asciiTheme="minorEastAsia" w:hAnsiTheme="minorEastAsia" w:eastAsiaTheme="minorEastAsia"/>
          <w:b/>
          <w:color w:val="auto"/>
          <w:sz w:val="24"/>
          <w:highlight w:val="none"/>
        </w:rPr>
        <w:br w:type="page"/>
      </w:r>
      <w:r>
        <w:rPr>
          <w:rFonts w:hint="eastAsia" w:asciiTheme="minorEastAsia" w:hAnsiTheme="minorEastAsia" w:eastAsiaTheme="minorEastAsia"/>
          <w:color w:val="auto"/>
          <w:sz w:val="21"/>
          <w:szCs w:val="21"/>
          <w:highlight w:val="none"/>
        </w:rPr>
        <w:t>十</w:t>
      </w:r>
      <w:r>
        <w:rPr>
          <w:rFonts w:hint="eastAsia" w:asciiTheme="minorEastAsia" w:hAnsiTheme="minorEastAsia" w:eastAsiaTheme="minorEastAsia"/>
          <w:color w:val="auto"/>
          <w:sz w:val="21"/>
          <w:szCs w:val="21"/>
          <w:highlight w:val="none"/>
          <w:lang w:val="en-US" w:eastAsia="zh-CN"/>
        </w:rPr>
        <w:t>二</w:t>
      </w:r>
      <w:r>
        <w:rPr>
          <w:rFonts w:hint="eastAsia" w:asciiTheme="minorEastAsia" w:hAnsiTheme="minorEastAsia" w:eastAsiaTheme="minorEastAsia"/>
          <w:color w:val="auto"/>
          <w:sz w:val="21"/>
          <w:szCs w:val="21"/>
          <w:highlight w:val="none"/>
        </w:rPr>
        <w:t>、总包对自来水、天然气、有限电视、网络、电话等（个别未提及配合内容根据现场实际情况确定）的管理配合内容：</w:t>
      </w:r>
    </w:p>
    <w:tbl>
      <w:tblPr>
        <w:tblStyle w:val="56"/>
        <w:tblW w:w="10065"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701"/>
        <w:gridCol w:w="4111"/>
        <w:gridCol w:w="3543"/>
      </w:tblGrid>
      <w:tr w14:paraId="53F9B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tcBorders>
              <w:top w:val="single" w:color="auto" w:sz="4" w:space="0"/>
              <w:left w:val="single" w:color="auto" w:sz="4" w:space="0"/>
              <w:bottom w:val="single" w:color="auto" w:sz="4" w:space="0"/>
              <w:right w:val="single" w:color="auto" w:sz="4" w:space="0"/>
            </w:tcBorders>
            <w:vAlign w:val="center"/>
          </w:tcPr>
          <w:p w14:paraId="24E745CE">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序号</w:t>
            </w:r>
          </w:p>
        </w:tc>
        <w:tc>
          <w:tcPr>
            <w:tcW w:w="1701" w:type="dxa"/>
            <w:tcBorders>
              <w:top w:val="single" w:color="auto" w:sz="4" w:space="0"/>
              <w:left w:val="nil"/>
              <w:bottom w:val="single" w:color="auto" w:sz="4" w:space="0"/>
              <w:right w:val="single" w:color="auto" w:sz="4" w:space="0"/>
            </w:tcBorders>
            <w:vAlign w:val="center"/>
          </w:tcPr>
          <w:p w14:paraId="6A2C9B80">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配合内容</w:t>
            </w:r>
          </w:p>
        </w:tc>
        <w:tc>
          <w:tcPr>
            <w:tcW w:w="4111" w:type="dxa"/>
            <w:tcBorders>
              <w:top w:val="single" w:color="auto" w:sz="4" w:space="0"/>
              <w:left w:val="nil"/>
              <w:bottom w:val="single" w:color="auto" w:sz="4" w:space="0"/>
              <w:right w:val="single" w:color="auto" w:sz="4" w:space="0"/>
            </w:tcBorders>
            <w:vAlign w:val="center"/>
          </w:tcPr>
          <w:p w14:paraId="3CA14312">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标准</w:t>
            </w:r>
          </w:p>
        </w:tc>
        <w:tc>
          <w:tcPr>
            <w:tcW w:w="3543" w:type="dxa"/>
            <w:tcBorders>
              <w:top w:val="single" w:color="auto" w:sz="4" w:space="0"/>
              <w:left w:val="nil"/>
              <w:bottom w:val="single" w:color="auto" w:sz="4" w:space="0"/>
              <w:right w:val="single" w:color="auto" w:sz="4" w:space="0"/>
            </w:tcBorders>
            <w:vAlign w:val="center"/>
          </w:tcPr>
          <w:p w14:paraId="4304C8EF">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b/>
                <w:bCs/>
                <w:color w:val="auto"/>
                <w:sz w:val="21"/>
                <w:szCs w:val="21"/>
                <w:highlight w:val="none"/>
              </w:rPr>
            </w:pPr>
            <w:r>
              <w:rPr>
                <w:rFonts w:hint="eastAsia" w:asciiTheme="minorEastAsia" w:hAnsiTheme="minorEastAsia" w:eastAsiaTheme="minorEastAsia"/>
                <w:b/>
                <w:bCs/>
                <w:color w:val="auto"/>
                <w:sz w:val="21"/>
                <w:szCs w:val="21"/>
                <w:highlight w:val="none"/>
              </w:rPr>
              <w:t>备注</w:t>
            </w:r>
          </w:p>
        </w:tc>
      </w:tr>
      <w:tr w14:paraId="4A86E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tcBorders>
              <w:top w:val="single" w:color="auto" w:sz="4" w:space="0"/>
              <w:left w:val="single" w:color="auto" w:sz="4" w:space="0"/>
              <w:bottom w:val="single" w:color="auto" w:sz="4" w:space="0"/>
              <w:right w:val="single" w:color="auto" w:sz="4" w:space="0"/>
            </w:tcBorders>
            <w:vAlign w:val="center"/>
          </w:tcPr>
          <w:p w14:paraId="5BDBE8CA">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w:t>
            </w:r>
          </w:p>
        </w:tc>
        <w:tc>
          <w:tcPr>
            <w:tcW w:w="1701" w:type="dxa"/>
            <w:tcBorders>
              <w:top w:val="single" w:color="auto" w:sz="4" w:space="0"/>
              <w:left w:val="nil"/>
              <w:bottom w:val="single" w:color="auto" w:sz="4" w:space="0"/>
              <w:right w:val="single" w:color="auto" w:sz="4" w:space="0"/>
            </w:tcBorders>
            <w:vAlign w:val="center"/>
          </w:tcPr>
          <w:p w14:paraId="06983626">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工作面交界尺寸</w:t>
            </w:r>
          </w:p>
        </w:tc>
        <w:tc>
          <w:tcPr>
            <w:tcW w:w="4111" w:type="dxa"/>
            <w:tcBorders>
              <w:top w:val="single" w:color="auto" w:sz="4" w:space="0"/>
              <w:left w:val="nil"/>
              <w:bottom w:val="single" w:color="auto" w:sz="4" w:space="0"/>
              <w:right w:val="single" w:color="auto" w:sz="4" w:space="0"/>
            </w:tcBorders>
            <w:vAlign w:val="center"/>
          </w:tcPr>
          <w:p w14:paraId="73226EFC">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asciiTheme="minorEastAsia" w:hAnsiTheme="minorEastAsia" w:eastAsiaTheme="minorEastAsia"/>
                <w:color w:val="auto"/>
                <w:sz w:val="21"/>
                <w:szCs w:val="21"/>
                <w:highlight w:val="none"/>
              </w:rPr>
              <w:fldChar w:fldCharType="begin"/>
            </w:r>
            <w:r>
              <w:rPr>
                <w:rFonts w:asciiTheme="minorEastAsia" w:hAnsiTheme="minorEastAsia" w:eastAsiaTheme="minorEastAsia"/>
                <w:color w:val="auto"/>
                <w:sz w:val="21"/>
                <w:szCs w:val="21"/>
                <w:highlight w:val="none"/>
              </w:rPr>
              <w:instrText xml:space="preserve"> = 1 \* GB3 </w:instrText>
            </w:r>
            <w:r>
              <w:rPr>
                <w:rFonts w:asciiTheme="minorEastAsia" w:hAnsiTheme="minorEastAsia" w:eastAsiaTheme="minorEastAsia"/>
                <w:color w:val="auto"/>
                <w:sz w:val="21"/>
                <w:szCs w:val="21"/>
                <w:highlight w:val="none"/>
              </w:rPr>
              <w:fldChar w:fldCharType="separate"/>
            </w:r>
            <w:r>
              <w:rPr>
                <w:rFonts w:hint="eastAsia" w:asciiTheme="minorEastAsia" w:hAnsiTheme="minorEastAsia" w:eastAsiaTheme="minorEastAsia"/>
                <w:color w:val="auto"/>
                <w:sz w:val="21"/>
                <w:szCs w:val="21"/>
                <w:highlight w:val="none"/>
              </w:rPr>
              <w:t>①</w:t>
            </w:r>
            <w:r>
              <w:rPr>
                <w:rFonts w:asciiTheme="minorEastAsia" w:hAnsiTheme="minorEastAsia" w:eastAsiaTheme="minorEastAsia"/>
                <w:color w:val="auto"/>
                <w:sz w:val="21"/>
                <w:szCs w:val="21"/>
                <w:highlight w:val="none"/>
              </w:rPr>
              <w:fldChar w:fldCharType="end"/>
            </w:r>
            <w:r>
              <w:rPr>
                <w:rFonts w:hint="eastAsia" w:asciiTheme="minorEastAsia" w:hAnsiTheme="minorEastAsia" w:eastAsiaTheme="minorEastAsia"/>
                <w:color w:val="auto"/>
                <w:sz w:val="21"/>
                <w:szCs w:val="21"/>
                <w:highlight w:val="none"/>
              </w:rPr>
              <w:t>埋盒误差±2mm</w:t>
            </w:r>
          </w:p>
          <w:p w14:paraId="4FF397FF">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②预埋管通畅</w:t>
            </w:r>
          </w:p>
        </w:tc>
        <w:tc>
          <w:tcPr>
            <w:tcW w:w="3543" w:type="dxa"/>
            <w:tcBorders>
              <w:top w:val="single" w:color="auto" w:sz="4" w:space="0"/>
              <w:left w:val="nil"/>
              <w:bottom w:val="single" w:color="auto" w:sz="4" w:space="0"/>
              <w:right w:val="single" w:color="auto" w:sz="4" w:space="0"/>
            </w:tcBorders>
            <w:vAlign w:val="center"/>
          </w:tcPr>
          <w:p w14:paraId="62A54546">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总包提供的预埋盒位置不符合要求必须整改合格。</w:t>
            </w:r>
          </w:p>
        </w:tc>
      </w:tr>
      <w:tr w14:paraId="0C8DF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tcBorders>
              <w:top w:val="single" w:color="auto" w:sz="4" w:space="0"/>
              <w:left w:val="single" w:color="auto" w:sz="4" w:space="0"/>
              <w:bottom w:val="single" w:color="auto" w:sz="4" w:space="0"/>
              <w:right w:val="single" w:color="auto" w:sz="4" w:space="0"/>
            </w:tcBorders>
            <w:vAlign w:val="center"/>
          </w:tcPr>
          <w:p w14:paraId="127EBEC7">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w:t>
            </w:r>
          </w:p>
        </w:tc>
        <w:tc>
          <w:tcPr>
            <w:tcW w:w="1701" w:type="dxa"/>
            <w:tcBorders>
              <w:top w:val="single" w:color="auto" w:sz="4" w:space="0"/>
              <w:left w:val="nil"/>
              <w:bottom w:val="single" w:color="auto" w:sz="4" w:space="0"/>
              <w:right w:val="single" w:color="auto" w:sz="4" w:space="0"/>
            </w:tcBorders>
            <w:vAlign w:val="center"/>
          </w:tcPr>
          <w:p w14:paraId="51937D0D">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垂直运输及施工通道</w:t>
            </w:r>
          </w:p>
        </w:tc>
        <w:tc>
          <w:tcPr>
            <w:tcW w:w="4111" w:type="dxa"/>
            <w:tcBorders>
              <w:top w:val="single" w:color="auto" w:sz="4" w:space="0"/>
              <w:left w:val="nil"/>
              <w:bottom w:val="single" w:color="auto" w:sz="4" w:space="0"/>
              <w:right w:val="single" w:color="auto" w:sz="4" w:space="0"/>
            </w:tcBorders>
            <w:vAlign w:val="center"/>
          </w:tcPr>
          <w:p w14:paraId="7AE0F7C8">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畅通、无障碍（总包垂直运输设备拆除除外）。</w:t>
            </w:r>
          </w:p>
        </w:tc>
        <w:tc>
          <w:tcPr>
            <w:tcW w:w="3543" w:type="dxa"/>
            <w:tcBorders>
              <w:top w:val="single" w:color="auto" w:sz="4" w:space="0"/>
              <w:left w:val="nil"/>
              <w:bottom w:val="single" w:color="auto" w:sz="4" w:space="0"/>
              <w:right w:val="single" w:color="auto" w:sz="4" w:space="0"/>
            </w:tcBorders>
            <w:vAlign w:val="center"/>
          </w:tcPr>
          <w:p w14:paraId="6B32D86F">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7D38D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tcBorders>
              <w:top w:val="single" w:color="auto" w:sz="4" w:space="0"/>
              <w:left w:val="single" w:color="auto" w:sz="4" w:space="0"/>
              <w:bottom w:val="single" w:color="auto" w:sz="4" w:space="0"/>
              <w:right w:val="single" w:color="auto" w:sz="4" w:space="0"/>
            </w:tcBorders>
            <w:vAlign w:val="center"/>
          </w:tcPr>
          <w:p w14:paraId="70AD63A7">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w:t>
            </w:r>
          </w:p>
        </w:tc>
        <w:tc>
          <w:tcPr>
            <w:tcW w:w="1701" w:type="dxa"/>
            <w:tcBorders>
              <w:top w:val="single" w:color="auto" w:sz="4" w:space="0"/>
              <w:left w:val="nil"/>
              <w:bottom w:val="single" w:color="auto" w:sz="4" w:space="0"/>
              <w:right w:val="single" w:color="auto" w:sz="4" w:space="0"/>
            </w:tcBorders>
            <w:vAlign w:val="center"/>
          </w:tcPr>
          <w:p w14:paraId="5D5B9CA2">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用水用电</w:t>
            </w:r>
          </w:p>
        </w:tc>
        <w:tc>
          <w:tcPr>
            <w:tcW w:w="4111" w:type="dxa"/>
            <w:tcBorders>
              <w:top w:val="single" w:color="auto" w:sz="4" w:space="0"/>
              <w:left w:val="nil"/>
              <w:bottom w:val="single" w:color="auto" w:sz="4" w:space="0"/>
              <w:right w:val="single" w:color="auto" w:sz="4" w:space="0"/>
            </w:tcBorders>
            <w:vAlign w:val="center"/>
          </w:tcPr>
          <w:p w14:paraId="62D46D7F">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1、总包每三层提供接电点。</w:t>
            </w:r>
          </w:p>
          <w:p w14:paraId="7179D89E">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2、提供水电，能够满足分包方施工负荷要求。</w:t>
            </w:r>
          </w:p>
        </w:tc>
        <w:tc>
          <w:tcPr>
            <w:tcW w:w="3543" w:type="dxa"/>
            <w:tcBorders>
              <w:top w:val="single" w:color="auto" w:sz="4" w:space="0"/>
              <w:left w:val="nil"/>
              <w:bottom w:val="single" w:color="auto" w:sz="4" w:space="0"/>
              <w:right w:val="single" w:color="auto" w:sz="4" w:space="0"/>
            </w:tcBorders>
            <w:vAlign w:val="center"/>
          </w:tcPr>
          <w:p w14:paraId="28771940">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水、电费数量以表读数为准，价格与总包使用水电费价格一致。</w:t>
            </w:r>
            <w:r>
              <w:rPr>
                <w:rFonts w:hint="eastAsia" w:cs="宋体" w:asciiTheme="minorEastAsia" w:hAnsiTheme="minorEastAsia" w:eastAsiaTheme="minorEastAsia"/>
                <w:color w:val="auto"/>
                <w:sz w:val="21"/>
                <w:szCs w:val="21"/>
                <w:highlight w:val="none"/>
                <w:lang w:val="en-US" w:eastAsia="zh-CN"/>
              </w:rPr>
              <w:t>无法挂表计量的水电费，按照分包工程中标价的1%计取。</w:t>
            </w:r>
          </w:p>
        </w:tc>
      </w:tr>
      <w:tr w14:paraId="12DF6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tcBorders>
              <w:top w:val="single" w:color="auto" w:sz="4" w:space="0"/>
              <w:left w:val="single" w:color="auto" w:sz="4" w:space="0"/>
              <w:bottom w:val="single" w:color="auto" w:sz="4" w:space="0"/>
              <w:right w:val="single" w:color="auto" w:sz="4" w:space="0"/>
            </w:tcBorders>
            <w:vAlign w:val="center"/>
          </w:tcPr>
          <w:p w14:paraId="3CF92D3C">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4</w:t>
            </w:r>
          </w:p>
        </w:tc>
        <w:tc>
          <w:tcPr>
            <w:tcW w:w="1701" w:type="dxa"/>
            <w:tcBorders>
              <w:top w:val="single" w:color="auto" w:sz="4" w:space="0"/>
              <w:left w:val="nil"/>
              <w:bottom w:val="single" w:color="auto" w:sz="4" w:space="0"/>
              <w:right w:val="single" w:color="auto" w:sz="4" w:space="0"/>
            </w:tcBorders>
            <w:vAlign w:val="center"/>
          </w:tcPr>
          <w:p w14:paraId="72C98F2D">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吊洞（天然气）</w:t>
            </w:r>
          </w:p>
        </w:tc>
        <w:tc>
          <w:tcPr>
            <w:tcW w:w="4111" w:type="dxa"/>
            <w:tcBorders>
              <w:top w:val="single" w:color="auto" w:sz="4" w:space="0"/>
              <w:left w:val="nil"/>
              <w:bottom w:val="single" w:color="auto" w:sz="4" w:space="0"/>
              <w:right w:val="single" w:color="auto" w:sz="4" w:space="0"/>
            </w:tcBorders>
            <w:vAlign w:val="center"/>
          </w:tcPr>
          <w:p w14:paraId="12EEC117">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总包单位在接到分包单位安装验收合格后，进行天然气立管穿楼板处的吊洞处理。</w:t>
            </w:r>
          </w:p>
        </w:tc>
        <w:tc>
          <w:tcPr>
            <w:tcW w:w="3543" w:type="dxa"/>
            <w:tcBorders>
              <w:top w:val="single" w:color="auto" w:sz="4" w:space="0"/>
              <w:left w:val="nil"/>
              <w:bottom w:val="single" w:color="auto" w:sz="4" w:space="0"/>
              <w:right w:val="single" w:color="auto" w:sz="4" w:space="0"/>
            </w:tcBorders>
            <w:vAlign w:val="center"/>
          </w:tcPr>
          <w:p w14:paraId="0344CD28">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总包单位只负责一次吊洞处理，若在总包按照程序吊洞处理工作完成后，因分包方原因二次吊洞，由分包方负责二次吊洞的费用。</w:t>
            </w:r>
          </w:p>
        </w:tc>
      </w:tr>
      <w:tr w14:paraId="7C386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tcBorders>
              <w:top w:val="single" w:color="auto" w:sz="4" w:space="0"/>
              <w:left w:val="single" w:color="auto" w:sz="4" w:space="0"/>
              <w:bottom w:val="single" w:color="auto" w:sz="4" w:space="0"/>
              <w:right w:val="single" w:color="auto" w:sz="4" w:space="0"/>
            </w:tcBorders>
            <w:vAlign w:val="center"/>
          </w:tcPr>
          <w:p w14:paraId="0E5AF1B3">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5</w:t>
            </w:r>
          </w:p>
        </w:tc>
        <w:tc>
          <w:tcPr>
            <w:tcW w:w="1701" w:type="dxa"/>
            <w:tcBorders>
              <w:top w:val="single" w:color="auto" w:sz="4" w:space="0"/>
              <w:left w:val="nil"/>
              <w:bottom w:val="single" w:color="auto" w:sz="4" w:space="0"/>
              <w:right w:val="single" w:color="auto" w:sz="4" w:space="0"/>
            </w:tcBorders>
            <w:vAlign w:val="center"/>
          </w:tcPr>
          <w:p w14:paraId="05D0FCF3">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建筑垃圾</w:t>
            </w:r>
          </w:p>
        </w:tc>
        <w:tc>
          <w:tcPr>
            <w:tcW w:w="4111" w:type="dxa"/>
            <w:tcBorders>
              <w:top w:val="single" w:color="auto" w:sz="4" w:space="0"/>
              <w:left w:val="nil"/>
              <w:bottom w:val="single" w:color="auto" w:sz="4" w:space="0"/>
              <w:right w:val="single" w:color="auto" w:sz="4" w:space="0"/>
            </w:tcBorders>
            <w:vAlign w:val="center"/>
          </w:tcPr>
          <w:p w14:paraId="4BDF61B3">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总包单位向分包单位提供统一垃圾临时堆放点，由分包单位自行清运至临时堆放点，总包单位进行垃圾外运。总包</w:t>
            </w:r>
            <w:r>
              <w:rPr>
                <w:rFonts w:hint="eastAsia" w:cs="宋体" w:asciiTheme="minorEastAsia" w:hAnsiTheme="minorEastAsia" w:eastAsiaTheme="minorEastAsia"/>
                <w:color w:val="auto"/>
                <w:sz w:val="21"/>
                <w:szCs w:val="21"/>
                <w:highlight w:val="none"/>
                <w:lang w:val="en-US" w:eastAsia="zh-CN"/>
              </w:rPr>
              <w:t>单位不得额外收取分包单位垃圾费用，若</w:t>
            </w:r>
            <w:r>
              <w:rPr>
                <w:rFonts w:hint="eastAsia" w:cs="宋体" w:asciiTheme="minorEastAsia" w:hAnsiTheme="minorEastAsia" w:eastAsiaTheme="minorEastAsia"/>
                <w:color w:val="auto"/>
                <w:sz w:val="21"/>
                <w:szCs w:val="21"/>
                <w:highlight w:val="none"/>
              </w:rPr>
              <w:t>额外收取分包垃圾费，按</w:t>
            </w:r>
            <w:r>
              <w:rPr>
                <w:rFonts w:hint="eastAsia" w:cs="宋体" w:asciiTheme="minorEastAsia" w:hAnsiTheme="minorEastAsia" w:eastAsiaTheme="minorEastAsia"/>
                <w:color w:val="auto"/>
                <w:sz w:val="21"/>
                <w:szCs w:val="21"/>
                <w:highlight w:val="none"/>
                <w:u w:val="single"/>
                <w:lang w:val="en-US" w:eastAsia="zh-CN"/>
              </w:rPr>
              <w:t>300元/m3从总包结算</w:t>
            </w:r>
            <w:r>
              <w:rPr>
                <w:rFonts w:hint="eastAsia" w:cs="宋体" w:asciiTheme="minorEastAsia" w:hAnsiTheme="minorEastAsia" w:eastAsiaTheme="minorEastAsia"/>
                <w:color w:val="auto"/>
                <w:sz w:val="21"/>
                <w:szCs w:val="21"/>
                <w:highlight w:val="none"/>
                <w:u w:val="single"/>
              </w:rPr>
              <w:t>扣除。</w:t>
            </w:r>
          </w:p>
        </w:tc>
        <w:tc>
          <w:tcPr>
            <w:tcW w:w="3543" w:type="dxa"/>
            <w:tcBorders>
              <w:top w:val="single" w:color="auto" w:sz="4" w:space="0"/>
              <w:left w:val="nil"/>
              <w:bottom w:val="single" w:color="auto" w:sz="4" w:space="0"/>
              <w:right w:val="single" w:color="auto" w:sz="4" w:space="0"/>
            </w:tcBorders>
            <w:vAlign w:val="center"/>
          </w:tcPr>
          <w:p w14:paraId="49A7653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分包单位未清理或清理不到位，总包单位有权向分包单位提出书面清理通知，分包单位在接到书面通知后仍无动于衷或清理不干净，由总包单位清理，费用由分包单位承担。</w:t>
            </w:r>
          </w:p>
        </w:tc>
      </w:tr>
      <w:tr w14:paraId="76719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tcBorders>
              <w:top w:val="single" w:color="auto" w:sz="4" w:space="0"/>
              <w:left w:val="single" w:color="auto" w:sz="4" w:space="0"/>
              <w:bottom w:val="single" w:color="auto" w:sz="4" w:space="0"/>
              <w:right w:val="single" w:color="auto" w:sz="4" w:space="0"/>
            </w:tcBorders>
            <w:vAlign w:val="center"/>
          </w:tcPr>
          <w:p w14:paraId="44A0B479">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6</w:t>
            </w:r>
          </w:p>
        </w:tc>
        <w:tc>
          <w:tcPr>
            <w:tcW w:w="1701" w:type="dxa"/>
            <w:tcBorders>
              <w:top w:val="single" w:color="auto" w:sz="4" w:space="0"/>
              <w:left w:val="nil"/>
              <w:bottom w:val="single" w:color="auto" w:sz="4" w:space="0"/>
              <w:right w:val="single" w:color="auto" w:sz="4" w:space="0"/>
            </w:tcBorders>
            <w:vAlign w:val="center"/>
          </w:tcPr>
          <w:p w14:paraId="65F0E2E6">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质量、进度、安全、文明施工、竣工验收资料等管理。</w:t>
            </w:r>
          </w:p>
        </w:tc>
        <w:tc>
          <w:tcPr>
            <w:tcW w:w="4111" w:type="dxa"/>
            <w:tcBorders>
              <w:top w:val="single" w:color="auto" w:sz="4" w:space="0"/>
              <w:left w:val="nil"/>
              <w:bottom w:val="single" w:color="auto" w:sz="4" w:space="0"/>
              <w:right w:val="single" w:color="auto" w:sz="4" w:space="0"/>
            </w:tcBorders>
            <w:vAlign w:val="center"/>
          </w:tcPr>
          <w:p w14:paraId="28FDAEC4">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总包要监督、检查分包方的质量、进度、安全、文明施工、竣工验收资料等应符合国家相关规定，施工组织和协调，并负责统一竣工验收、备案。</w:t>
            </w:r>
          </w:p>
        </w:tc>
        <w:tc>
          <w:tcPr>
            <w:tcW w:w="3543" w:type="dxa"/>
            <w:tcBorders>
              <w:top w:val="single" w:color="auto" w:sz="4" w:space="0"/>
              <w:left w:val="nil"/>
              <w:bottom w:val="single" w:color="auto" w:sz="4" w:space="0"/>
              <w:right w:val="single" w:color="auto" w:sz="4" w:space="0"/>
            </w:tcBorders>
            <w:vAlign w:val="center"/>
          </w:tcPr>
          <w:p w14:paraId="634B72FE">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竣工资料归档费已包含在专业工程管理配合费中。</w:t>
            </w:r>
          </w:p>
        </w:tc>
      </w:tr>
      <w:tr w14:paraId="7B088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tcBorders>
              <w:top w:val="single" w:color="auto" w:sz="4" w:space="0"/>
              <w:left w:val="single" w:color="auto" w:sz="4" w:space="0"/>
              <w:bottom w:val="single" w:color="auto" w:sz="4" w:space="0"/>
              <w:right w:val="single" w:color="auto" w:sz="4" w:space="0"/>
            </w:tcBorders>
            <w:vAlign w:val="center"/>
          </w:tcPr>
          <w:p w14:paraId="3F452E39">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7</w:t>
            </w:r>
          </w:p>
        </w:tc>
        <w:tc>
          <w:tcPr>
            <w:tcW w:w="1701" w:type="dxa"/>
            <w:tcBorders>
              <w:top w:val="single" w:color="auto" w:sz="4" w:space="0"/>
              <w:left w:val="nil"/>
              <w:bottom w:val="single" w:color="auto" w:sz="4" w:space="0"/>
              <w:right w:val="single" w:color="auto" w:sz="4" w:space="0"/>
            </w:tcBorders>
            <w:vAlign w:val="center"/>
          </w:tcPr>
          <w:p w14:paraId="64874B59">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成品保护</w:t>
            </w:r>
          </w:p>
        </w:tc>
        <w:tc>
          <w:tcPr>
            <w:tcW w:w="4111" w:type="dxa"/>
            <w:tcBorders>
              <w:top w:val="single" w:color="auto" w:sz="4" w:space="0"/>
              <w:left w:val="nil"/>
              <w:bottom w:val="single" w:color="auto" w:sz="4" w:space="0"/>
              <w:right w:val="single" w:color="auto" w:sz="4" w:space="0"/>
            </w:tcBorders>
            <w:vAlign w:val="center"/>
          </w:tcPr>
          <w:p w14:paraId="760D965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1、分包单位施工内容全部结束，分包单位在经发包人及监理验收前应自行负责成品保护的责任。</w:t>
            </w:r>
          </w:p>
          <w:p w14:paraId="415FEDB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2、经发包人及监理验收合格，在向物业移交前总包单位应担负其成品保护的责任。</w:t>
            </w:r>
          </w:p>
        </w:tc>
        <w:tc>
          <w:tcPr>
            <w:tcW w:w="3543" w:type="dxa"/>
            <w:tcBorders>
              <w:top w:val="single" w:color="auto" w:sz="4" w:space="0"/>
              <w:left w:val="nil"/>
              <w:bottom w:val="single" w:color="auto" w:sz="4" w:space="0"/>
              <w:right w:val="single" w:color="auto" w:sz="4" w:space="0"/>
            </w:tcBorders>
            <w:vAlign w:val="center"/>
          </w:tcPr>
          <w:p w14:paraId="41862A79">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r w14:paraId="1FBA5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dxa"/>
            <w:tcBorders>
              <w:top w:val="single" w:color="auto" w:sz="4" w:space="0"/>
              <w:left w:val="single" w:color="auto" w:sz="4" w:space="0"/>
              <w:bottom w:val="single" w:color="auto" w:sz="4" w:space="0"/>
              <w:right w:val="single" w:color="auto" w:sz="4" w:space="0"/>
            </w:tcBorders>
            <w:vAlign w:val="center"/>
          </w:tcPr>
          <w:p w14:paraId="62040B88">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9</w:t>
            </w:r>
          </w:p>
        </w:tc>
        <w:tc>
          <w:tcPr>
            <w:tcW w:w="1701" w:type="dxa"/>
            <w:tcBorders>
              <w:top w:val="single" w:color="auto" w:sz="4" w:space="0"/>
              <w:left w:val="nil"/>
              <w:bottom w:val="single" w:color="auto" w:sz="4" w:space="0"/>
              <w:right w:val="single" w:color="auto" w:sz="4" w:space="0"/>
            </w:tcBorders>
            <w:vAlign w:val="center"/>
          </w:tcPr>
          <w:p w14:paraId="14232E31">
            <w:pPr>
              <w:keepNext w:val="0"/>
              <w:keepLines w:val="0"/>
              <w:suppressLineNumbers w:val="0"/>
              <w:adjustRightInd w:val="0"/>
              <w:snapToGrid w:val="0"/>
              <w:spacing w:before="0" w:beforeAutospacing="0" w:after="0" w:afterAutospacing="0" w:line="360" w:lineRule="auto"/>
              <w:ind w:left="0" w:right="0"/>
              <w:jc w:val="center"/>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交工清理</w:t>
            </w:r>
          </w:p>
        </w:tc>
        <w:tc>
          <w:tcPr>
            <w:tcW w:w="4111" w:type="dxa"/>
            <w:tcBorders>
              <w:top w:val="single" w:color="auto" w:sz="4" w:space="0"/>
              <w:left w:val="nil"/>
              <w:bottom w:val="single" w:color="auto" w:sz="4" w:space="0"/>
              <w:right w:val="single" w:color="auto" w:sz="4" w:space="0"/>
            </w:tcBorders>
            <w:vAlign w:val="center"/>
          </w:tcPr>
          <w:p w14:paraId="2F9CBAAB">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总包单位负责交工清理工作，直至符合交工条件。</w:t>
            </w:r>
          </w:p>
        </w:tc>
        <w:tc>
          <w:tcPr>
            <w:tcW w:w="3543" w:type="dxa"/>
            <w:tcBorders>
              <w:top w:val="single" w:color="auto" w:sz="4" w:space="0"/>
              <w:left w:val="nil"/>
              <w:bottom w:val="single" w:color="auto" w:sz="4" w:space="0"/>
              <w:right w:val="single" w:color="auto" w:sz="4" w:space="0"/>
            </w:tcBorders>
            <w:vAlign w:val="center"/>
          </w:tcPr>
          <w:p w14:paraId="4A4A8AC0">
            <w:pPr>
              <w:keepNext w:val="0"/>
              <w:keepLines w:val="0"/>
              <w:suppressLineNumbers w:val="0"/>
              <w:adjustRightInd w:val="0"/>
              <w:snapToGrid w:val="0"/>
              <w:spacing w:before="0" w:beforeAutospacing="0" w:after="0" w:afterAutospacing="0" w:line="360" w:lineRule="auto"/>
              <w:ind w:left="0" w:right="0"/>
              <w:outlineLvl w:val="9"/>
              <w:rPr>
                <w:rFonts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此费用已包含在专业工程</w:t>
            </w:r>
            <w:r>
              <w:rPr>
                <w:rFonts w:hint="eastAsia" w:asciiTheme="minorEastAsia" w:hAnsiTheme="minorEastAsia" w:eastAsiaTheme="minorEastAsia"/>
                <w:color w:val="auto"/>
                <w:sz w:val="21"/>
                <w:szCs w:val="21"/>
                <w:highlight w:val="none"/>
              </w:rPr>
              <w:t>管理配合费</w:t>
            </w:r>
            <w:r>
              <w:rPr>
                <w:rFonts w:hint="eastAsia" w:cs="宋体" w:asciiTheme="minorEastAsia" w:hAnsiTheme="minorEastAsia" w:eastAsiaTheme="minorEastAsia"/>
                <w:color w:val="auto"/>
                <w:sz w:val="21"/>
                <w:szCs w:val="21"/>
                <w:highlight w:val="none"/>
              </w:rPr>
              <w:t>中。</w:t>
            </w:r>
          </w:p>
        </w:tc>
      </w:tr>
    </w:tbl>
    <w:p w14:paraId="77378816">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cs="宋体" w:asciiTheme="minorEastAsia" w:hAnsiTheme="minorEastAsia" w:eastAsiaTheme="minorEastAsia"/>
          <w:bCs/>
          <w:color w:val="auto"/>
          <w:kern w:val="0"/>
          <w:sz w:val="21"/>
          <w:szCs w:val="21"/>
          <w:highlight w:val="none"/>
        </w:rPr>
      </w:pPr>
      <w:r>
        <w:rPr>
          <w:rFonts w:hint="eastAsia" w:asciiTheme="minorEastAsia" w:hAnsiTheme="minorEastAsia" w:eastAsiaTheme="minorEastAsia"/>
          <w:color w:val="auto"/>
          <w:sz w:val="21"/>
          <w:szCs w:val="21"/>
          <w:highlight w:val="none"/>
        </w:rPr>
        <w:t>注：</w:t>
      </w:r>
      <w:r>
        <w:rPr>
          <w:rFonts w:hint="eastAsia" w:cs="宋体" w:asciiTheme="minorEastAsia" w:hAnsiTheme="minorEastAsia" w:eastAsiaTheme="minorEastAsia"/>
          <w:bCs/>
          <w:color w:val="auto"/>
          <w:kern w:val="0"/>
          <w:sz w:val="21"/>
          <w:szCs w:val="21"/>
          <w:highlight w:val="none"/>
        </w:rPr>
        <w:t>本附件未列的总承包方对专业分包工程配合内容参考上表中类似工程执行，所有分包单位需根据需要配合总包、建设单位及装配式构件厂家进行装配式构件前期设计等工作。本附件未列的专业分包工程，分包单位施工内容全部结束，分包单位在经建设单位及监理方验收前应自行负责成品保护的责任。经发包人及监理方验收合格，在向物业移交前总包单位应负成品保护的责任。如总包在施工过程中不予配合，甲方有权暂停支付管理费或从任何一笔款项中扣除相应费用。</w:t>
      </w:r>
    </w:p>
    <w:p w14:paraId="16077D7E">
      <w:pPr>
        <w:adjustRightInd w:val="0"/>
        <w:snapToGrid w:val="0"/>
        <w:spacing w:line="360" w:lineRule="auto"/>
        <w:outlineLvl w:val="9"/>
        <w:rPr>
          <w:rFonts w:cs="宋体" w:asciiTheme="minorEastAsia" w:hAnsiTheme="minorEastAsia" w:eastAsiaTheme="minorEastAsia"/>
          <w:bCs/>
          <w:color w:val="auto"/>
          <w:kern w:val="0"/>
          <w:szCs w:val="21"/>
          <w:highlight w:val="none"/>
          <w:lang w:eastAsia="zh-TW"/>
        </w:rPr>
        <w:sectPr>
          <w:pgSz w:w="11906" w:h="16838"/>
          <w:pgMar w:top="851" w:right="1361" w:bottom="851" w:left="1361" w:header="567" w:footer="567" w:gutter="0"/>
          <w:pgBorders>
            <w:top w:val="none" w:sz="0" w:space="0"/>
            <w:left w:val="none" w:sz="0" w:space="0"/>
            <w:bottom w:val="none" w:sz="0" w:space="0"/>
            <w:right w:val="none" w:sz="0" w:space="0"/>
          </w:pgBorders>
          <w:cols w:space="720" w:num="1"/>
          <w:titlePg/>
          <w:docGrid w:linePitch="312" w:charSpace="0"/>
        </w:sectPr>
      </w:pPr>
    </w:p>
    <w:p w14:paraId="727A2603">
      <w:pPr>
        <w:adjustRightInd w:val="0"/>
        <w:snapToGrid w:val="0"/>
        <w:spacing w:line="360" w:lineRule="auto"/>
        <w:outlineLvl w:val="9"/>
        <w:rPr>
          <w:rFonts w:cs="宋体" w:asciiTheme="minorEastAsia" w:hAnsiTheme="minorEastAsia" w:eastAsiaTheme="minorEastAsia"/>
          <w:bCs/>
          <w:color w:val="auto"/>
          <w:kern w:val="0"/>
          <w:sz w:val="21"/>
          <w:szCs w:val="21"/>
          <w:highlight w:val="none"/>
        </w:rPr>
      </w:pPr>
      <w:r>
        <w:rPr>
          <w:rFonts w:hint="eastAsia" w:cs="宋体" w:asciiTheme="minorEastAsia" w:hAnsiTheme="minorEastAsia" w:eastAsiaTheme="minorEastAsia"/>
          <w:bCs/>
          <w:color w:val="auto"/>
          <w:kern w:val="0"/>
          <w:sz w:val="21"/>
          <w:szCs w:val="21"/>
          <w:highlight w:val="none"/>
        </w:rPr>
        <w:t>附件</w:t>
      </w:r>
      <w:r>
        <w:rPr>
          <w:rFonts w:hint="eastAsia" w:cs="宋体" w:asciiTheme="minorEastAsia" w:hAnsiTheme="minorEastAsia" w:eastAsiaTheme="minorEastAsia"/>
          <w:bCs/>
          <w:color w:val="auto"/>
          <w:kern w:val="0"/>
          <w:sz w:val="21"/>
          <w:szCs w:val="21"/>
          <w:highlight w:val="none"/>
          <w:lang w:val="en-US" w:eastAsia="zh-CN"/>
        </w:rPr>
        <w:t>三十八</w:t>
      </w:r>
      <w:r>
        <w:rPr>
          <w:rFonts w:hint="eastAsia" w:cs="宋体" w:asciiTheme="minorEastAsia" w:hAnsiTheme="minorEastAsia" w:eastAsiaTheme="minorEastAsia"/>
          <w:bCs/>
          <w:color w:val="auto"/>
          <w:kern w:val="0"/>
          <w:sz w:val="21"/>
          <w:szCs w:val="21"/>
          <w:highlight w:val="none"/>
        </w:rPr>
        <w:t>：</w:t>
      </w:r>
    </w:p>
    <w:p w14:paraId="7BB4FC4A">
      <w:pPr>
        <w:adjustRightInd w:val="0"/>
        <w:snapToGrid w:val="0"/>
        <w:spacing w:line="360" w:lineRule="auto"/>
        <w:jc w:val="center"/>
        <w:outlineLvl w:val="9"/>
        <w:rPr>
          <w:rFonts w:cs="宋体" w:asciiTheme="minorEastAsia" w:hAnsiTheme="minorEastAsia" w:eastAsiaTheme="minorEastAsia"/>
          <w:b/>
          <w:bCs/>
          <w:color w:val="auto"/>
          <w:kern w:val="0"/>
          <w:sz w:val="32"/>
          <w:szCs w:val="32"/>
          <w:highlight w:val="none"/>
        </w:rPr>
      </w:pPr>
      <w:r>
        <w:rPr>
          <w:rFonts w:hint="eastAsia" w:cs="宋体" w:asciiTheme="minorEastAsia" w:hAnsiTheme="minorEastAsia" w:eastAsiaTheme="minorEastAsia"/>
          <w:b/>
          <w:bCs/>
          <w:color w:val="auto"/>
          <w:kern w:val="0"/>
          <w:sz w:val="32"/>
          <w:szCs w:val="32"/>
          <w:highlight w:val="none"/>
        </w:rPr>
        <w:t>暂估价工程及材料设备付款、结算及质保期约定</w:t>
      </w:r>
    </w:p>
    <w:tbl>
      <w:tblPr>
        <w:tblStyle w:val="56"/>
        <w:tblW w:w="13516" w:type="dxa"/>
        <w:tblInd w:w="-17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57"/>
        <w:gridCol w:w="2099"/>
        <w:gridCol w:w="9317"/>
        <w:gridCol w:w="1443"/>
      </w:tblGrid>
      <w:tr w14:paraId="452BC6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4F86D7F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kern w:val="0"/>
                <w:sz w:val="21"/>
                <w:szCs w:val="21"/>
                <w:highlight w:val="none"/>
              </w:rPr>
            </w:pPr>
            <w:r>
              <w:rPr>
                <w:rFonts w:hint="eastAsia" w:cs="宋体" w:asciiTheme="minorEastAsia" w:hAnsiTheme="minorEastAsia" w:eastAsiaTheme="minorEastAsia"/>
                <w:b/>
                <w:color w:val="auto"/>
                <w:kern w:val="0"/>
                <w:sz w:val="21"/>
                <w:szCs w:val="21"/>
                <w:highlight w:val="none"/>
              </w:rPr>
              <w:t>序号</w:t>
            </w:r>
          </w:p>
        </w:tc>
        <w:tc>
          <w:tcPr>
            <w:tcW w:w="2099" w:type="dxa"/>
            <w:vAlign w:val="center"/>
          </w:tcPr>
          <w:p w14:paraId="6EBD728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kern w:val="0"/>
                <w:sz w:val="21"/>
                <w:szCs w:val="21"/>
                <w:highlight w:val="none"/>
              </w:rPr>
            </w:pPr>
            <w:r>
              <w:rPr>
                <w:rFonts w:hint="eastAsia" w:cs="宋体" w:asciiTheme="minorEastAsia" w:hAnsiTheme="minorEastAsia" w:eastAsiaTheme="minorEastAsia"/>
                <w:b/>
                <w:color w:val="auto"/>
                <w:kern w:val="0"/>
                <w:sz w:val="21"/>
                <w:szCs w:val="21"/>
                <w:highlight w:val="none"/>
              </w:rPr>
              <w:t>合同类型</w:t>
            </w:r>
          </w:p>
        </w:tc>
        <w:tc>
          <w:tcPr>
            <w:tcW w:w="9317" w:type="dxa"/>
            <w:vAlign w:val="center"/>
          </w:tcPr>
          <w:p w14:paraId="1345676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kern w:val="0"/>
                <w:sz w:val="21"/>
                <w:szCs w:val="21"/>
                <w:highlight w:val="none"/>
              </w:rPr>
            </w:pPr>
            <w:r>
              <w:rPr>
                <w:rFonts w:hint="eastAsia" w:cs="宋体" w:asciiTheme="minorEastAsia" w:hAnsiTheme="minorEastAsia" w:eastAsiaTheme="minorEastAsia"/>
                <w:b/>
                <w:color w:val="auto"/>
                <w:kern w:val="0"/>
                <w:sz w:val="21"/>
                <w:szCs w:val="21"/>
                <w:highlight w:val="none"/>
              </w:rPr>
              <w:t>进度款支付及结算</w:t>
            </w:r>
          </w:p>
        </w:tc>
        <w:tc>
          <w:tcPr>
            <w:tcW w:w="1443" w:type="dxa"/>
            <w:vAlign w:val="center"/>
          </w:tcPr>
          <w:p w14:paraId="1ACAE491">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b/>
                <w:color w:val="auto"/>
                <w:kern w:val="0"/>
                <w:sz w:val="21"/>
                <w:szCs w:val="21"/>
                <w:highlight w:val="none"/>
              </w:rPr>
            </w:pPr>
            <w:r>
              <w:rPr>
                <w:rFonts w:hint="eastAsia" w:cs="宋体" w:asciiTheme="minorEastAsia" w:hAnsiTheme="minorEastAsia" w:eastAsiaTheme="minorEastAsia"/>
                <w:b/>
                <w:color w:val="auto"/>
                <w:kern w:val="0"/>
                <w:sz w:val="21"/>
                <w:szCs w:val="21"/>
                <w:highlight w:val="none"/>
              </w:rPr>
              <w:t>质保期</w:t>
            </w:r>
          </w:p>
        </w:tc>
      </w:tr>
      <w:tr w14:paraId="314235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7D42C28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1</w:t>
            </w:r>
          </w:p>
        </w:tc>
        <w:tc>
          <w:tcPr>
            <w:tcW w:w="2099" w:type="dxa"/>
            <w:vAlign w:val="center"/>
          </w:tcPr>
          <w:p w14:paraId="7E95B92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幕墙工程</w:t>
            </w:r>
          </w:p>
        </w:tc>
        <w:tc>
          <w:tcPr>
            <w:tcW w:w="9317" w:type="dxa"/>
            <w:vAlign w:val="center"/>
          </w:tcPr>
          <w:p w14:paraId="4794591D">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1、本合同按总包标段划分进行分阶段独立付款、结算。</w:t>
            </w:r>
          </w:p>
          <w:p w14:paraId="78AA5B42">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2、支付的时间和比例：</w:t>
            </w:r>
          </w:p>
          <w:p w14:paraId="3824F122">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（1）每月按已完成工程量申报进度款，并按建设单位审核后的已完成工程量提供全额发票后，进度款按审核后的已完成工程量的75%支付（铝型材、钢龙骨占比为30%，玻璃、石材、铝板（面层）占比70%）。</w:t>
            </w:r>
          </w:p>
          <w:p w14:paraId="6F5051A4">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（2）总包竣工验收完成且幕墙工程结算完成并提供剩余全额发票后，支付至幕墙工程结算价款的90%。</w:t>
            </w:r>
          </w:p>
          <w:p w14:paraId="35AEEFF9">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（3）总包竣工决算完成支付至幕墙工程结算价款的97%。</w:t>
            </w:r>
          </w:p>
          <w:p w14:paraId="304D8D08">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（4）本工程质量保证金为3%，保修期五年，保修期自建设单位移交物业之日起计算，满五年且办理完质量保证金退还申请单手续后支付质量保证金本金。</w:t>
            </w:r>
          </w:p>
          <w:p w14:paraId="337AD6A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3、承包人按月形象进度申报进度款，发包人每个月付款一次。</w:t>
            </w:r>
          </w:p>
        </w:tc>
        <w:tc>
          <w:tcPr>
            <w:tcW w:w="1443" w:type="dxa"/>
            <w:vAlign w:val="center"/>
          </w:tcPr>
          <w:p w14:paraId="347BAB6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5年</w:t>
            </w:r>
          </w:p>
        </w:tc>
      </w:tr>
      <w:tr w14:paraId="3BDE1E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7A9BA57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w:t>
            </w:r>
          </w:p>
        </w:tc>
        <w:tc>
          <w:tcPr>
            <w:tcW w:w="2099" w:type="dxa"/>
            <w:vAlign w:val="center"/>
          </w:tcPr>
          <w:p w14:paraId="254AC1E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外墙</w:t>
            </w:r>
            <w:r>
              <w:rPr>
                <w:rFonts w:hint="eastAsia" w:asciiTheme="minorEastAsia" w:hAnsiTheme="minorEastAsia" w:eastAsiaTheme="minorEastAsia"/>
                <w:color w:val="auto"/>
                <w:sz w:val="21"/>
                <w:szCs w:val="21"/>
                <w:highlight w:val="none"/>
                <w:lang w:val="en-US" w:eastAsia="zh-CN"/>
              </w:rPr>
              <w:t>保温</w:t>
            </w:r>
            <w:r>
              <w:rPr>
                <w:rFonts w:hint="eastAsia" w:asciiTheme="minorEastAsia" w:hAnsiTheme="minorEastAsia" w:eastAsiaTheme="minorEastAsia"/>
                <w:color w:val="auto"/>
                <w:sz w:val="21"/>
                <w:szCs w:val="21"/>
                <w:highlight w:val="none"/>
              </w:rPr>
              <w:t>工程</w:t>
            </w:r>
          </w:p>
        </w:tc>
        <w:tc>
          <w:tcPr>
            <w:tcW w:w="9317" w:type="dxa"/>
            <w:vAlign w:val="center"/>
          </w:tcPr>
          <w:p w14:paraId="22B45244">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1、本合同按总包标段划分进行分阶段独立付款、结算。</w:t>
            </w:r>
          </w:p>
          <w:p w14:paraId="699327BE">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2、支付的时间和比例：</w:t>
            </w:r>
          </w:p>
          <w:p w14:paraId="398496D6">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（1）每月按已完成工程量申报进度款，并按建设单位审核后的已完成工程量提供全额发票后，进度款按审核后的已完成工程量的75%支付。</w:t>
            </w:r>
          </w:p>
          <w:p w14:paraId="6783204B">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（2）总包竣工验收完成且外墙保温及涂料工程结算完成并提供剩余全额发票后，支付至外墙保温及涂料工程结算价款的90%。</w:t>
            </w:r>
          </w:p>
          <w:p w14:paraId="58B22E5B">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（3）总包竣工决算完成支付至外墙保温及涂料工程结算价款的97%。</w:t>
            </w:r>
          </w:p>
          <w:p w14:paraId="14E6B59A">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4）本工程质量保证金为3%，保修期五年，保修期自建设单位移交物业之日起计算。满二年且办理完质量保证金退还手续后支付质量保证金本金的70%，满五年且办理完质量保证金退还申请单手续后支付剩余质量保证金本金。</w:t>
            </w:r>
          </w:p>
          <w:p w14:paraId="36356CF1">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3、承包人每月按已完成工程量申报进度款，发包人每个月付款一次。</w:t>
            </w:r>
          </w:p>
        </w:tc>
        <w:tc>
          <w:tcPr>
            <w:tcW w:w="1443" w:type="dxa"/>
            <w:vAlign w:val="center"/>
          </w:tcPr>
          <w:p w14:paraId="7CE2C29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2年、5年</w:t>
            </w:r>
          </w:p>
        </w:tc>
      </w:tr>
      <w:tr w14:paraId="2A31D9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68B2C88E">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3</w:t>
            </w:r>
          </w:p>
        </w:tc>
        <w:tc>
          <w:tcPr>
            <w:tcW w:w="2099" w:type="dxa"/>
            <w:vAlign w:val="center"/>
          </w:tcPr>
          <w:p w14:paraId="77D8C93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门窗工程</w:t>
            </w:r>
          </w:p>
        </w:tc>
        <w:tc>
          <w:tcPr>
            <w:tcW w:w="9317" w:type="dxa"/>
            <w:vAlign w:val="center"/>
          </w:tcPr>
          <w:p w14:paraId="132EEDC4">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1、本合同按总包标段划分进行分阶段独立付款、结算。</w:t>
            </w:r>
          </w:p>
          <w:p w14:paraId="0BB7EB28">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2、支付的时间和比例：</w:t>
            </w:r>
          </w:p>
          <w:p w14:paraId="34BAA00A">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（1）每月按已完成工程量申报进度款，并按建设单位审核后的已完成工程量提供全额发票后，进度款按审核后的已完成工程量的75%支付（窗框及窗扇占比65%，玻璃占比35%）。</w:t>
            </w:r>
          </w:p>
          <w:p w14:paraId="2CAA3751">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（2）总包竣工验收完成且门窗工程结算完成并提供剩余全额发票后，支付至门窗工程结算价款的90%。</w:t>
            </w:r>
          </w:p>
          <w:p w14:paraId="230DAAEF">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（3）总包竣工决算完成支付至门窗工程结算价款的97%。</w:t>
            </w:r>
          </w:p>
          <w:p w14:paraId="23DC1ED4">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4）本工程质量保证金为3%，保修期五年，保修期自建设单位移交物业之日起计算，满二年且办理完质量保证金退还手续后支付质量保证金本金的70%，满五年且办理完质量保证金退还申请单手续后支付剩余质量保证金本金。</w:t>
            </w:r>
          </w:p>
          <w:p w14:paraId="168A5FD0">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3、承包人按月形象进度申报进度款，发包人每个月付款一次。</w:t>
            </w:r>
          </w:p>
        </w:tc>
        <w:tc>
          <w:tcPr>
            <w:tcW w:w="1443" w:type="dxa"/>
            <w:vAlign w:val="center"/>
          </w:tcPr>
          <w:p w14:paraId="05DA355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2年、5年</w:t>
            </w:r>
          </w:p>
        </w:tc>
      </w:tr>
      <w:tr w14:paraId="327B6F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073732F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4</w:t>
            </w:r>
          </w:p>
        </w:tc>
        <w:tc>
          <w:tcPr>
            <w:tcW w:w="2099" w:type="dxa"/>
            <w:vAlign w:val="center"/>
          </w:tcPr>
          <w:p w14:paraId="73FBD972">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栏杆及钢结构工程</w:t>
            </w:r>
          </w:p>
        </w:tc>
        <w:tc>
          <w:tcPr>
            <w:tcW w:w="9317" w:type="dxa"/>
            <w:vAlign w:val="center"/>
          </w:tcPr>
          <w:p w14:paraId="7DA5D992">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1、本合同按总包标段划分进行分阶段独立付款、结算。</w:t>
            </w:r>
          </w:p>
          <w:p w14:paraId="4109B4C7">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2、支付的时间和比例：</w:t>
            </w:r>
          </w:p>
          <w:p w14:paraId="79622F7F">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（1）每月按已完成工程量申报进度款，并按建设单位审核后的已完成工程量提供全额发票后，进度款按审核后的已完成工程量的75%支付。</w:t>
            </w:r>
          </w:p>
          <w:p w14:paraId="73ECDD68">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（2）总包竣工验收完成且</w:t>
            </w:r>
            <w:r>
              <w:rPr>
                <w:rFonts w:hint="eastAsia" w:cs="宋体" w:asciiTheme="minorEastAsia" w:hAnsiTheme="minorEastAsia" w:eastAsiaTheme="minorEastAsia"/>
                <w:color w:val="auto"/>
                <w:kern w:val="0"/>
                <w:sz w:val="21"/>
                <w:szCs w:val="21"/>
                <w:highlight w:val="none"/>
              </w:rPr>
              <w:t>栏杆及钢结构</w:t>
            </w:r>
            <w:r>
              <w:rPr>
                <w:rFonts w:hint="eastAsia" w:asciiTheme="minorEastAsia" w:hAnsiTheme="minorEastAsia" w:eastAsiaTheme="minorEastAsia"/>
                <w:color w:val="auto"/>
                <w:sz w:val="21"/>
                <w:szCs w:val="21"/>
                <w:highlight w:val="none"/>
              </w:rPr>
              <w:t>工程结算完成并提供剩余全额发票后，支付至</w:t>
            </w:r>
            <w:r>
              <w:rPr>
                <w:rFonts w:hint="eastAsia" w:cs="宋体" w:asciiTheme="minorEastAsia" w:hAnsiTheme="minorEastAsia" w:eastAsiaTheme="minorEastAsia"/>
                <w:color w:val="auto"/>
                <w:kern w:val="0"/>
                <w:sz w:val="21"/>
                <w:szCs w:val="21"/>
                <w:highlight w:val="none"/>
              </w:rPr>
              <w:t>栏杆及钢结构</w:t>
            </w:r>
            <w:r>
              <w:rPr>
                <w:rFonts w:hint="eastAsia" w:asciiTheme="minorEastAsia" w:hAnsiTheme="minorEastAsia" w:eastAsiaTheme="minorEastAsia"/>
                <w:color w:val="auto"/>
                <w:sz w:val="21"/>
                <w:szCs w:val="21"/>
                <w:highlight w:val="none"/>
              </w:rPr>
              <w:t>工程结算价款的90%。</w:t>
            </w:r>
          </w:p>
          <w:p w14:paraId="3D8B34C5">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（3）总包竣工决算完成支付至</w:t>
            </w:r>
            <w:r>
              <w:rPr>
                <w:rFonts w:hint="eastAsia" w:cs="宋体" w:asciiTheme="minorEastAsia" w:hAnsiTheme="minorEastAsia" w:eastAsiaTheme="minorEastAsia"/>
                <w:color w:val="auto"/>
                <w:kern w:val="0"/>
                <w:sz w:val="21"/>
                <w:szCs w:val="21"/>
                <w:highlight w:val="none"/>
              </w:rPr>
              <w:t>栏杆及钢结构</w:t>
            </w:r>
            <w:r>
              <w:rPr>
                <w:rFonts w:hint="eastAsia" w:asciiTheme="minorEastAsia" w:hAnsiTheme="minorEastAsia" w:eastAsiaTheme="minorEastAsia"/>
                <w:color w:val="auto"/>
                <w:sz w:val="21"/>
                <w:szCs w:val="21"/>
                <w:highlight w:val="none"/>
              </w:rPr>
              <w:t>工程结算价款的97%。</w:t>
            </w:r>
          </w:p>
          <w:p w14:paraId="1420F559">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（4）本工程质量保证金为3%，保修期二年，保修期自建设单位移交物业之日起计算，满二年且办理完质量保证金退还手续后支付全部质量保证金本金。</w:t>
            </w:r>
          </w:p>
          <w:p w14:paraId="6FCE06A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3、承包人每月按已完成工程量申报进度款，发包人每个月付款一次。</w:t>
            </w:r>
          </w:p>
        </w:tc>
        <w:tc>
          <w:tcPr>
            <w:tcW w:w="1443" w:type="dxa"/>
            <w:vAlign w:val="center"/>
          </w:tcPr>
          <w:p w14:paraId="5EFE970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2年</w:t>
            </w:r>
          </w:p>
        </w:tc>
      </w:tr>
      <w:tr w14:paraId="177AB8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00AA93C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5</w:t>
            </w:r>
          </w:p>
        </w:tc>
        <w:tc>
          <w:tcPr>
            <w:tcW w:w="2099" w:type="dxa"/>
            <w:vAlign w:val="center"/>
          </w:tcPr>
          <w:p w14:paraId="6272D45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公共部分装修工程</w:t>
            </w:r>
          </w:p>
        </w:tc>
        <w:tc>
          <w:tcPr>
            <w:tcW w:w="9317" w:type="dxa"/>
            <w:vAlign w:val="center"/>
          </w:tcPr>
          <w:p w14:paraId="1C61869B">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1、本合同按总包标段划分进行分阶段独立付款、结算。</w:t>
            </w:r>
          </w:p>
          <w:p w14:paraId="31E7B337">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2、支付的时间和比例：</w:t>
            </w:r>
          </w:p>
          <w:p w14:paraId="76094193">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（1）每月按已完成工程量申报进度款，并按建设单位审核后的已完成工程量提供全额发票后，进度款按审核后的已完成工程量的75%支付。</w:t>
            </w:r>
          </w:p>
          <w:p w14:paraId="197758C3">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（2）总包竣工验收完成且</w:t>
            </w:r>
            <w:r>
              <w:rPr>
                <w:rFonts w:hint="eastAsia" w:cs="宋体" w:asciiTheme="minorEastAsia" w:hAnsiTheme="minorEastAsia" w:eastAsiaTheme="minorEastAsia"/>
                <w:color w:val="auto"/>
                <w:kern w:val="0"/>
                <w:sz w:val="21"/>
                <w:szCs w:val="21"/>
                <w:highlight w:val="none"/>
              </w:rPr>
              <w:t>公共部分装修</w:t>
            </w:r>
            <w:r>
              <w:rPr>
                <w:rFonts w:hint="eastAsia" w:asciiTheme="minorEastAsia" w:hAnsiTheme="minorEastAsia" w:eastAsiaTheme="minorEastAsia"/>
                <w:color w:val="auto"/>
                <w:sz w:val="21"/>
                <w:szCs w:val="21"/>
                <w:highlight w:val="none"/>
              </w:rPr>
              <w:t>工程结算完成并提供剩余全额发票后，支付至</w:t>
            </w:r>
            <w:r>
              <w:rPr>
                <w:rFonts w:hint="eastAsia" w:cs="宋体" w:asciiTheme="minorEastAsia" w:hAnsiTheme="minorEastAsia" w:eastAsiaTheme="minorEastAsia"/>
                <w:color w:val="auto"/>
                <w:kern w:val="0"/>
                <w:sz w:val="21"/>
                <w:szCs w:val="21"/>
                <w:highlight w:val="none"/>
              </w:rPr>
              <w:t>公共部分装修</w:t>
            </w:r>
            <w:r>
              <w:rPr>
                <w:rFonts w:hint="eastAsia" w:asciiTheme="minorEastAsia" w:hAnsiTheme="minorEastAsia" w:eastAsiaTheme="minorEastAsia"/>
                <w:color w:val="auto"/>
                <w:sz w:val="21"/>
                <w:szCs w:val="21"/>
                <w:highlight w:val="none"/>
              </w:rPr>
              <w:t>工程结算价款的90%。</w:t>
            </w:r>
          </w:p>
          <w:p w14:paraId="2E2D94A8">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（3）总包竣工决算完成支付至</w:t>
            </w:r>
            <w:r>
              <w:rPr>
                <w:rFonts w:hint="eastAsia" w:cs="宋体" w:asciiTheme="minorEastAsia" w:hAnsiTheme="minorEastAsia" w:eastAsiaTheme="minorEastAsia"/>
                <w:color w:val="auto"/>
                <w:kern w:val="0"/>
                <w:sz w:val="21"/>
                <w:szCs w:val="21"/>
                <w:highlight w:val="none"/>
              </w:rPr>
              <w:t>公共部分装修</w:t>
            </w:r>
            <w:r>
              <w:rPr>
                <w:rFonts w:hint="eastAsia" w:asciiTheme="minorEastAsia" w:hAnsiTheme="minorEastAsia" w:eastAsiaTheme="minorEastAsia"/>
                <w:color w:val="auto"/>
                <w:sz w:val="21"/>
                <w:szCs w:val="21"/>
                <w:highlight w:val="none"/>
              </w:rPr>
              <w:t>工程结算价款的97%。</w:t>
            </w:r>
          </w:p>
          <w:p w14:paraId="30A869CD">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lang w:val="en-US" w:eastAsia="zh-CN"/>
              </w:rPr>
            </w:pPr>
            <w:r>
              <w:rPr>
                <w:rFonts w:hint="eastAsia" w:asciiTheme="minorEastAsia" w:hAnsiTheme="minorEastAsia" w:eastAsiaTheme="minorEastAsia"/>
                <w:color w:val="auto"/>
                <w:sz w:val="21"/>
                <w:szCs w:val="21"/>
                <w:highlight w:val="none"/>
              </w:rPr>
              <w:t>（4）本工程质量保证金为3%，保修期二年，保修期自建设单位移交物业之日起计算，满二年且办理完质量保证金退还手续后支付全部质量保证金本金</w:t>
            </w:r>
            <w:r>
              <w:rPr>
                <w:rFonts w:hint="eastAsia" w:asciiTheme="minorEastAsia" w:hAnsiTheme="minorEastAsia" w:eastAsiaTheme="minorEastAsia"/>
                <w:color w:val="auto"/>
                <w:sz w:val="21"/>
                <w:szCs w:val="21"/>
                <w:highlight w:val="none"/>
                <w:lang w:eastAsia="zh-CN"/>
              </w:rPr>
              <w:t>（</w:t>
            </w:r>
            <w:r>
              <w:rPr>
                <w:rFonts w:hint="eastAsia" w:asciiTheme="minorEastAsia" w:hAnsiTheme="minorEastAsia" w:eastAsiaTheme="minorEastAsia"/>
                <w:color w:val="auto"/>
                <w:sz w:val="21"/>
                <w:szCs w:val="21"/>
                <w:highlight w:val="none"/>
                <w:lang w:val="en-US" w:eastAsia="zh-CN"/>
              </w:rPr>
              <w:t>不含防水</w:t>
            </w:r>
            <w:r>
              <w:rPr>
                <w:rFonts w:hint="eastAsia" w:asciiTheme="minorEastAsia" w:hAnsiTheme="minorEastAsia" w:eastAsiaTheme="minorEastAsia"/>
                <w:color w:val="auto"/>
                <w:sz w:val="21"/>
                <w:szCs w:val="21"/>
                <w:highlight w:val="none"/>
                <w:lang w:eastAsia="zh-CN"/>
              </w:rPr>
              <w:t>）</w:t>
            </w:r>
            <w:r>
              <w:rPr>
                <w:rFonts w:hint="eastAsia" w:asciiTheme="minorEastAsia" w:hAnsiTheme="minorEastAsia" w:eastAsiaTheme="minorEastAsia"/>
                <w:color w:val="auto"/>
                <w:sz w:val="21"/>
                <w:szCs w:val="21"/>
                <w:highlight w:val="none"/>
              </w:rPr>
              <w:t>。</w:t>
            </w:r>
            <w:r>
              <w:rPr>
                <w:rFonts w:hint="eastAsia" w:asciiTheme="minorEastAsia" w:hAnsiTheme="minorEastAsia" w:eastAsiaTheme="minorEastAsia"/>
                <w:color w:val="auto"/>
                <w:sz w:val="21"/>
                <w:szCs w:val="21"/>
                <w:highlight w:val="none"/>
                <w:lang w:val="en-US" w:eastAsia="zh-CN"/>
              </w:rPr>
              <w:t>满五年</w:t>
            </w:r>
            <w:r>
              <w:rPr>
                <w:rFonts w:hint="eastAsia" w:asciiTheme="minorEastAsia" w:hAnsiTheme="minorEastAsia" w:eastAsiaTheme="minorEastAsia"/>
                <w:color w:val="auto"/>
                <w:sz w:val="21"/>
                <w:szCs w:val="21"/>
                <w:highlight w:val="none"/>
              </w:rPr>
              <w:t>且办理完质量保证金退还手续后支付</w:t>
            </w:r>
            <w:r>
              <w:rPr>
                <w:rFonts w:hint="eastAsia" w:asciiTheme="minorEastAsia" w:hAnsiTheme="minorEastAsia" w:eastAsiaTheme="minorEastAsia"/>
                <w:color w:val="auto"/>
                <w:sz w:val="21"/>
                <w:szCs w:val="21"/>
                <w:highlight w:val="none"/>
                <w:lang w:val="en-US" w:eastAsia="zh-CN"/>
              </w:rPr>
              <w:t>剩余</w:t>
            </w:r>
            <w:r>
              <w:rPr>
                <w:rFonts w:hint="eastAsia" w:asciiTheme="minorEastAsia" w:hAnsiTheme="minorEastAsia" w:eastAsiaTheme="minorEastAsia"/>
                <w:color w:val="auto"/>
                <w:sz w:val="21"/>
                <w:szCs w:val="21"/>
                <w:highlight w:val="none"/>
              </w:rPr>
              <w:t>质量保证金本金</w:t>
            </w:r>
            <w:r>
              <w:rPr>
                <w:rFonts w:hint="eastAsia" w:asciiTheme="minorEastAsia" w:hAnsiTheme="minorEastAsia" w:eastAsiaTheme="minorEastAsia"/>
                <w:color w:val="auto"/>
                <w:sz w:val="21"/>
                <w:szCs w:val="21"/>
                <w:highlight w:val="none"/>
                <w:lang w:eastAsia="zh-CN"/>
              </w:rPr>
              <w:t>。</w:t>
            </w:r>
          </w:p>
          <w:p w14:paraId="77DFDEB4">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3、承包人每月按已完成工程量申报进度款，发包人每个月付款一次。</w:t>
            </w:r>
          </w:p>
        </w:tc>
        <w:tc>
          <w:tcPr>
            <w:tcW w:w="1443" w:type="dxa"/>
            <w:vAlign w:val="center"/>
          </w:tcPr>
          <w:p w14:paraId="005C4BA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2年，防水5年</w:t>
            </w:r>
          </w:p>
        </w:tc>
      </w:tr>
      <w:tr w14:paraId="43A23B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6908F839">
            <w:pPr>
              <w:keepNext w:val="0"/>
              <w:keepLines w:val="0"/>
              <w:suppressLineNumbers w:val="0"/>
              <w:adjustRightInd w:val="0"/>
              <w:snapToGrid w:val="0"/>
              <w:spacing w:before="0" w:beforeAutospacing="0" w:after="0" w:afterAutospacing="0" w:line="360" w:lineRule="auto"/>
              <w:ind w:left="0" w:right="0"/>
              <w:jc w:val="center"/>
              <w:outlineLvl w:val="9"/>
              <w:rPr>
                <w:rFonts w:hint="eastAsia" w:cs="宋体" w:asciiTheme="minorEastAsia" w:hAnsiTheme="minorEastAsia" w:eastAsiaTheme="minorEastAsia"/>
                <w:color w:val="auto"/>
                <w:kern w:val="0"/>
                <w:sz w:val="21"/>
                <w:szCs w:val="21"/>
                <w:highlight w:val="none"/>
                <w:lang w:val="en-US" w:eastAsia="zh-CN"/>
              </w:rPr>
            </w:pPr>
            <w:r>
              <w:rPr>
                <w:rFonts w:hint="eastAsia" w:cs="宋体" w:asciiTheme="minorEastAsia" w:hAnsiTheme="minorEastAsia" w:eastAsiaTheme="minorEastAsia"/>
                <w:color w:val="auto"/>
                <w:kern w:val="0"/>
                <w:sz w:val="21"/>
                <w:szCs w:val="21"/>
                <w:highlight w:val="none"/>
                <w:lang w:val="en-US" w:eastAsia="zh-CN"/>
              </w:rPr>
              <w:t>6</w:t>
            </w:r>
          </w:p>
        </w:tc>
        <w:tc>
          <w:tcPr>
            <w:tcW w:w="2099" w:type="dxa"/>
            <w:vAlign w:val="center"/>
          </w:tcPr>
          <w:p w14:paraId="19E1A4E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bCs w:val="0"/>
                <w:color w:val="auto"/>
                <w:kern w:val="0"/>
                <w:sz w:val="21"/>
                <w:szCs w:val="21"/>
                <w:highlight w:val="none"/>
                <w:lang w:val="en-US" w:eastAsia="zh-CN"/>
              </w:rPr>
              <w:t>景观工程</w:t>
            </w:r>
          </w:p>
        </w:tc>
        <w:tc>
          <w:tcPr>
            <w:tcW w:w="9317" w:type="dxa"/>
            <w:vAlign w:val="center"/>
          </w:tcPr>
          <w:p w14:paraId="4DDC59F5">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1、本合同按总包标段划分进行分阶段独立付款、结算。</w:t>
            </w:r>
          </w:p>
          <w:p w14:paraId="0C3A8707">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2、支付的时间和比例：</w:t>
            </w:r>
          </w:p>
          <w:p w14:paraId="720D5285">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（1）每月按已完成工程量申报进度款，并按建设单位审核后的已完成工程量提供全额发票后，进度款按审核后的已完成工程量的75%支付。</w:t>
            </w:r>
          </w:p>
          <w:p w14:paraId="7554DF58">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（2）总包竣工验收完成且</w:t>
            </w:r>
            <w:r>
              <w:rPr>
                <w:rFonts w:hint="eastAsia" w:cs="宋体" w:asciiTheme="minorEastAsia" w:hAnsiTheme="minorEastAsia" w:eastAsiaTheme="minorEastAsia"/>
                <w:bCs w:val="0"/>
                <w:color w:val="auto"/>
                <w:kern w:val="0"/>
                <w:sz w:val="21"/>
                <w:szCs w:val="21"/>
                <w:highlight w:val="none"/>
                <w:lang w:val="en-US" w:eastAsia="zh-CN"/>
              </w:rPr>
              <w:t>景观</w:t>
            </w:r>
            <w:r>
              <w:rPr>
                <w:rFonts w:hint="eastAsia" w:cs="宋体" w:asciiTheme="minorEastAsia" w:hAnsiTheme="minorEastAsia" w:eastAsiaTheme="minorEastAsia"/>
                <w:color w:val="auto"/>
                <w:kern w:val="0"/>
                <w:sz w:val="21"/>
                <w:szCs w:val="21"/>
                <w:highlight w:val="none"/>
              </w:rPr>
              <w:t>工程结算完成并提供剩余全额发票后，支付至</w:t>
            </w:r>
            <w:r>
              <w:rPr>
                <w:rFonts w:hint="eastAsia" w:cs="宋体" w:asciiTheme="minorEastAsia" w:hAnsiTheme="minorEastAsia" w:eastAsiaTheme="minorEastAsia"/>
                <w:bCs w:val="0"/>
                <w:color w:val="auto"/>
                <w:kern w:val="0"/>
                <w:sz w:val="21"/>
                <w:szCs w:val="21"/>
                <w:highlight w:val="none"/>
                <w:lang w:val="en-US" w:eastAsia="zh-CN"/>
              </w:rPr>
              <w:t>景观</w:t>
            </w:r>
            <w:r>
              <w:rPr>
                <w:rFonts w:hint="eastAsia" w:cs="宋体" w:asciiTheme="minorEastAsia" w:hAnsiTheme="minorEastAsia" w:eastAsiaTheme="minorEastAsia"/>
                <w:color w:val="auto"/>
                <w:kern w:val="0"/>
                <w:sz w:val="21"/>
                <w:szCs w:val="21"/>
                <w:highlight w:val="none"/>
              </w:rPr>
              <w:t>工程结算价款的90%。</w:t>
            </w:r>
          </w:p>
          <w:p w14:paraId="729AE207">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（3）总包竣工决算完成支付至</w:t>
            </w:r>
            <w:r>
              <w:rPr>
                <w:rFonts w:hint="eastAsia" w:cs="宋体" w:asciiTheme="minorEastAsia" w:hAnsiTheme="minorEastAsia" w:eastAsiaTheme="minorEastAsia"/>
                <w:bCs w:val="0"/>
                <w:color w:val="auto"/>
                <w:kern w:val="0"/>
                <w:sz w:val="21"/>
                <w:szCs w:val="21"/>
                <w:highlight w:val="none"/>
                <w:lang w:val="en-US" w:eastAsia="zh-CN"/>
              </w:rPr>
              <w:t>景观</w:t>
            </w:r>
            <w:r>
              <w:rPr>
                <w:rFonts w:hint="eastAsia" w:cs="宋体" w:asciiTheme="minorEastAsia" w:hAnsiTheme="minorEastAsia" w:eastAsiaTheme="minorEastAsia"/>
                <w:color w:val="auto"/>
                <w:kern w:val="0"/>
                <w:sz w:val="21"/>
                <w:szCs w:val="21"/>
                <w:highlight w:val="none"/>
              </w:rPr>
              <w:t>工程结算价款的97%。</w:t>
            </w:r>
          </w:p>
          <w:p w14:paraId="111E969C">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（4）本工程质量保证金为3%，保修期二年，保修期自建设单位移交物业之日起计算，满二年且办理完质量保证金退还手续后支付全部质量保证金本金。</w:t>
            </w:r>
          </w:p>
          <w:p w14:paraId="36F5C73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3、承包人每月按已完成工程量申报进度款，发包人每个月付款一次。</w:t>
            </w:r>
          </w:p>
        </w:tc>
        <w:tc>
          <w:tcPr>
            <w:tcW w:w="1443" w:type="dxa"/>
            <w:vAlign w:val="center"/>
          </w:tcPr>
          <w:p w14:paraId="2075A9A6">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2年</w:t>
            </w:r>
          </w:p>
        </w:tc>
      </w:tr>
      <w:tr w14:paraId="622606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44876D93">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7</w:t>
            </w:r>
          </w:p>
        </w:tc>
        <w:tc>
          <w:tcPr>
            <w:tcW w:w="2099" w:type="dxa"/>
            <w:vAlign w:val="center"/>
          </w:tcPr>
          <w:p w14:paraId="2DA30518">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安防工程</w:t>
            </w:r>
          </w:p>
        </w:tc>
        <w:tc>
          <w:tcPr>
            <w:tcW w:w="9317" w:type="dxa"/>
            <w:vAlign w:val="center"/>
          </w:tcPr>
          <w:p w14:paraId="6A25B7F4">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1、本合同按总包标段划分进行分阶段独立付款、结算。</w:t>
            </w:r>
          </w:p>
          <w:p w14:paraId="5F81CD5F">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2、支付的时间和比例：</w:t>
            </w:r>
          </w:p>
          <w:p w14:paraId="4DEB744E">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（1）每月按已完成工程量申报进度款，并按建设单位审核后的已完成工程量提供全额发票后，进度款按审核后的已完成工程量的75%支付。</w:t>
            </w:r>
          </w:p>
          <w:p w14:paraId="1DEDAF65">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（2）总包竣工验收完成且安防工程结算完成并提供剩余全额发票后，支付至安防工程结算价款的90%。</w:t>
            </w:r>
          </w:p>
          <w:p w14:paraId="129B2B73">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（3）总包竣工决算完成支付至安防工程结算价款的97%。</w:t>
            </w:r>
          </w:p>
          <w:p w14:paraId="6E61AC1B">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（4）本工程质量保证金为3%，保修期二年，保修期自建设单位移交物业之日起计算，满二年且办理完质量保证金退还手续后支付全部质量保证金本金。</w:t>
            </w:r>
          </w:p>
          <w:p w14:paraId="7FE0476A">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3、承包人每月按已完成工程量申报进度款，发包人每个月付款一次。</w:t>
            </w:r>
          </w:p>
        </w:tc>
        <w:tc>
          <w:tcPr>
            <w:tcW w:w="1443" w:type="dxa"/>
            <w:vAlign w:val="center"/>
          </w:tcPr>
          <w:p w14:paraId="32F60694">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2年</w:t>
            </w:r>
          </w:p>
        </w:tc>
      </w:tr>
      <w:tr w14:paraId="1D4CC0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2CBB042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8</w:t>
            </w:r>
          </w:p>
        </w:tc>
        <w:tc>
          <w:tcPr>
            <w:tcW w:w="2099" w:type="dxa"/>
            <w:vAlign w:val="center"/>
          </w:tcPr>
          <w:p w14:paraId="12436C5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火灾报警工程</w:t>
            </w:r>
          </w:p>
        </w:tc>
        <w:tc>
          <w:tcPr>
            <w:tcW w:w="9317" w:type="dxa"/>
            <w:vAlign w:val="center"/>
          </w:tcPr>
          <w:p w14:paraId="673BC4F6">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1、本合同按总包标段划分进行分阶段独立付款、结算。</w:t>
            </w:r>
          </w:p>
          <w:p w14:paraId="44DA8905">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2、支付的时间和比例：</w:t>
            </w:r>
          </w:p>
          <w:p w14:paraId="0A11DCD7">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（1）每月按已完成工程量申报进度款，并按建设单位审核后的已完成工程量提供全额发票后，进度款按审核后的已完成工程量的75%支付。</w:t>
            </w:r>
          </w:p>
          <w:p w14:paraId="693185C4">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（2）总包竣工验收完成且火灾报警工程结算完成并提供剩余全额发票后，支付至火灾报警工程结算价款的90%。</w:t>
            </w:r>
          </w:p>
          <w:p w14:paraId="458875FD">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（3）总包竣工决算完成支付至火灾报警工程结算价款的97%。</w:t>
            </w:r>
          </w:p>
          <w:p w14:paraId="277D0805">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（4）本工程质量保证金为3%，保修期二年，保修期自建设单位移交物业之日起计算，满二年且办理完质量保证金退还手续后支付全部质量保证金本金。</w:t>
            </w:r>
          </w:p>
          <w:p w14:paraId="247A7512">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3、承包人每月按已完成工程量申报进度款，发包人每个月付款一次。</w:t>
            </w:r>
          </w:p>
        </w:tc>
        <w:tc>
          <w:tcPr>
            <w:tcW w:w="1443" w:type="dxa"/>
            <w:vAlign w:val="center"/>
          </w:tcPr>
          <w:p w14:paraId="5184A865">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2年</w:t>
            </w:r>
          </w:p>
        </w:tc>
      </w:tr>
      <w:tr w14:paraId="2727BC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7D0B298F">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9</w:t>
            </w:r>
          </w:p>
        </w:tc>
        <w:tc>
          <w:tcPr>
            <w:tcW w:w="2099" w:type="dxa"/>
            <w:vAlign w:val="center"/>
          </w:tcPr>
          <w:p w14:paraId="39C4CC7D">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夜景亮化工程</w:t>
            </w:r>
          </w:p>
        </w:tc>
        <w:tc>
          <w:tcPr>
            <w:tcW w:w="9317" w:type="dxa"/>
            <w:vAlign w:val="center"/>
          </w:tcPr>
          <w:p w14:paraId="17CB5858">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1、本合同按总包标段划分进行分阶段独立付款、结算。</w:t>
            </w:r>
          </w:p>
          <w:p w14:paraId="4F457ECA">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2、支付的时间和比例：</w:t>
            </w:r>
          </w:p>
          <w:p w14:paraId="099D2D94">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（1）每月按已完成工程量申报进度款，并按建设单位审核后的已完成工程量提供全额发票后，进度款按审核后的已完成工程量的75%支付。</w:t>
            </w:r>
          </w:p>
          <w:p w14:paraId="7D70EA56">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（2）总包竣工验收完成且夜景亮化工程结算完成并提供剩余全额发票后，支付至夜景亮化工程结算价款的90%。</w:t>
            </w:r>
          </w:p>
          <w:p w14:paraId="446A650E">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（3）总包竣工决算完成支付至夜景亮化工程结算价款的97%。</w:t>
            </w:r>
          </w:p>
          <w:p w14:paraId="2873CB8B">
            <w:pPr>
              <w:keepNext w:val="0"/>
              <w:keepLines w:val="0"/>
              <w:suppressLineNumbers w:val="0"/>
              <w:adjustRightInd w:val="0"/>
              <w:snapToGrid w:val="0"/>
              <w:spacing w:before="0" w:beforeAutospacing="0" w:after="0" w:afterAutospacing="0" w:line="360" w:lineRule="auto"/>
              <w:ind w:left="0" w:right="0"/>
              <w:outlineLvl w:val="9"/>
              <w:rPr>
                <w:rFonts w:hint="eastAsia"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（4）本工程质量保证金为3%，保修期二年，保修期自建设单位移交物业之日起计算，满二年且办理完质量保证金退还手续后支付全部质量保证金本金。</w:t>
            </w:r>
          </w:p>
          <w:p w14:paraId="7F3A414C">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3、承包人每月按已完成工程量申报进度款，发包人每个月付款一次。</w:t>
            </w:r>
          </w:p>
        </w:tc>
        <w:tc>
          <w:tcPr>
            <w:tcW w:w="1443" w:type="dxa"/>
            <w:vAlign w:val="center"/>
          </w:tcPr>
          <w:p w14:paraId="1F48AC7C">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kern w:val="0"/>
                <w:sz w:val="21"/>
                <w:szCs w:val="21"/>
                <w:highlight w:val="none"/>
              </w:rPr>
            </w:pPr>
            <w:r>
              <w:rPr>
                <w:rFonts w:hint="eastAsia" w:cs="宋体" w:asciiTheme="minorEastAsia" w:hAnsiTheme="minorEastAsia" w:eastAsiaTheme="minorEastAsia"/>
                <w:color w:val="auto"/>
                <w:kern w:val="0"/>
                <w:sz w:val="21"/>
                <w:szCs w:val="21"/>
                <w:highlight w:val="none"/>
              </w:rPr>
              <w:t>2年</w:t>
            </w:r>
          </w:p>
        </w:tc>
      </w:tr>
      <w:tr w14:paraId="406338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0B1561E1">
            <w:pPr>
              <w:keepNext w:val="0"/>
              <w:keepLines w:val="0"/>
              <w:suppressLineNumbers w:val="0"/>
              <w:adjustRightInd w:val="0"/>
              <w:snapToGrid w:val="0"/>
              <w:spacing w:before="0" w:beforeAutospacing="0" w:after="0" w:afterAutospacing="0" w:line="360" w:lineRule="auto"/>
              <w:ind w:left="0" w:right="0"/>
              <w:jc w:val="center"/>
              <w:outlineLvl w:val="9"/>
              <w:rPr>
                <w:rFonts w:hint="eastAsia" w:cs="宋体" w:asciiTheme="minorEastAsia" w:hAnsiTheme="minorEastAsia" w:eastAsiaTheme="minorEastAsia"/>
                <w:color w:val="auto"/>
                <w:kern w:val="0"/>
                <w:sz w:val="21"/>
                <w:szCs w:val="21"/>
                <w:highlight w:val="none"/>
                <w:lang w:eastAsia="zh-CN"/>
              </w:rPr>
            </w:pPr>
            <w:r>
              <w:rPr>
                <w:rFonts w:hint="eastAsia" w:cs="宋体" w:asciiTheme="minorEastAsia" w:hAnsiTheme="minorEastAsia" w:eastAsiaTheme="minorEastAsia"/>
                <w:color w:val="auto"/>
                <w:kern w:val="0"/>
                <w:sz w:val="21"/>
                <w:szCs w:val="21"/>
                <w:highlight w:val="none"/>
              </w:rPr>
              <w:t>1</w:t>
            </w:r>
            <w:r>
              <w:rPr>
                <w:rFonts w:hint="eastAsia" w:cs="宋体" w:asciiTheme="minorEastAsia" w:hAnsiTheme="minorEastAsia" w:eastAsiaTheme="minorEastAsia"/>
                <w:color w:val="auto"/>
                <w:kern w:val="0"/>
                <w:sz w:val="21"/>
                <w:szCs w:val="21"/>
                <w:highlight w:val="none"/>
                <w:lang w:val="en-US" w:eastAsia="zh-CN"/>
              </w:rPr>
              <w:t>0</w:t>
            </w:r>
          </w:p>
        </w:tc>
        <w:tc>
          <w:tcPr>
            <w:tcW w:w="2099" w:type="dxa"/>
            <w:vAlign w:val="center"/>
          </w:tcPr>
          <w:p w14:paraId="416C4487">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电梯采购</w:t>
            </w:r>
          </w:p>
        </w:tc>
        <w:tc>
          <w:tcPr>
            <w:tcW w:w="9317" w:type="dxa"/>
            <w:vAlign w:val="center"/>
          </w:tcPr>
          <w:p w14:paraId="0A7C4F80">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1、本合同按总包标段划分进行分阶段独立付款、结算。</w:t>
            </w:r>
          </w:p>
          <w:p w14:paraId="1193C813">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2、支付时间和比例：</w:t>
            </w:r>
          </w:p>
          <w:p w14:paraId="4BE261AA">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（1）合同生效且电梯轿厢装修材料甲乙双方确认封样后，支付该批订货电梯设备款的10%作为预付款，乙方收到预付款后安排该批电梯设备的生产。</w:t>
            </w:r>
          </w:p>
          <w:p w14:paraId="2B26D6C9">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电梯设备生产完成具备提货条件时，乙方以书面形式通知甲方，甲方提货前支付至该批设备款的55%（提货款），乙方收到提货款后2日内安排发货。支付提货款前乙方应开具当批设备款的全额增值税专用发票，如乙方未能按期开具全额发票而使得甲方不能及时支付提货款的，乙方不能以提货款未付为理由推迟电梯发货，因此导致电梯未按期进场的，乙方按合同约定承担违约责任。</w:t>
            </w:r>
          </w:p>
          <w:p w14:paraId="07E39E45">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（3）货到施工现场经验收合格、安装队伍进场后一个月内支付至该批设备款的85%（到货款）。</w:t>
            </w:r>
          </w:p>
          <w:p w14:paraId="70F6BD9C">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（4）电梯安装调试验收完成、相关部门检验合格且验收报告交予甲方，总包竣工验收完成且电梯设备费结算确认单完成，一个月内支付至电梯设备费结算确认单总价款的97%。</w:t>
            </w:r>
          </w:p>
          <w:p w14:paraId="43CF43BF">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5）余电梯设备结算价款的3%作为质保金，质保期自电梯设备安装调试完毕、相关部门检验合格(以取得安全检验合格证为准)、且经甲方验收合格并移交甲方使用之日起开始计算。如因甲方原因未能及时进行验收并办理移交手续的，自取得电梯安全检验合格证之日后30日开始计算，在质保期满</w:t>
            </w:r>
            <w:r>
              <w:rPr>
                <w:rFonts w:hint="eastAsia" w:asciiTheme="minorEastAsia" w:hAnsiTheme="minorEastAsia" w:eastAsiaTheme="minorEastAsia"/>
                <w:color w:val="auto"/>
                <w:sz w:val="21"/>
                <w:szCs w:val="21"/>
                <w:highlight w:val="none"/>
                <w:lang w:val="en-US" w:eastAsia="zh-CN"/>
              </w:rPr>
              <w:t>3年</w:t>
            </w:r>
            <w:r>
              <w:rPr>
                <w:rFonts w:hint="eastAsia" w:asciiTheme="minorEastAsia" w:hAnsiTheme="minorEastAsia" w:eastAsiaTheme="minorEastAsia"/>
                <w:color w:val="auto"/>
                <w:sz w:val="21"/>
                <w:szCs w:val="21"/>
                <w:highlight w:val="none"/>
              </w:rPr>
              <w:t>无质量问题并办理完质保金退还手续后一个月内付清。</w:t>
            </w:r>
          </w:p>
        </w:tc>
        <w:tc>
          <w:tcPr>
            <w:tcW w:w="1443" w:type="dxa"/>
            <w:vAlign w:val="center"/>
          </w:tcPr>
          <w:p w14:paraId="287930EA">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3年</w:t>
            </w:r>
          </w:p>
        </w:tc>
      </w:tr>
      <w:tr w14:paraId="7B655D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222419E3">
            <w:pPr>
              <w:keepNext w:val="0"/>
              <w:keepLines w:val="0"/>
              <w:suppressLineNumbers w:val="0"/>
              <w:adjustRightInd w:val="0"/>
              <w:snapToGrid w:val="0"/>
              <w:spacing w:before="0" w:beforeAutospacing="0" w:after="0" w:afterAutospacing="0" w:line="360" w:lineRule="auto"/>
              <w:ind w:left="0" w:right="0"/>
              <w:jc w:val="center"/>
              <w:outlineLvl w:val="9"/>
              <w:rPr>
                <w:rFonts w:hint="eastAsia" w:cs="宋体" w:asciiTheme="minorEastAsia" w:hAnsiTheme="minorEastAsia" w:eastAsiaTheme="minorEastAsia"/>
                <w:color w:val="auto"/>
                <w:kern w:val="0"/>
                <w:sz w:val="21"/>
                <w:szCs w:val="21"/>
                <w:highlight w:val="none"/>
                <w:lang w:eastAsia="zh-CN"/>
              </w:rPr>
            </w:pPr>
            <w:r>
              <w:rPr>
                <w:rFonts w:hint="eastAsia" w:cs="宋体" w:asciiTheme="minorEastAsia" w:hAnsiTheme="minorEastAsia" w:eastAsiaTheme="minorEastAsia"/>
                <w:color w:val="auto"/>
                <w:kern w:val="0"/>
                <w:sz w:val="21"/>
                <w:szCs w:val="21"/>
                <w:highlight w:val="none"/>
              </w:rPr>
              <w:t>1</w:t>
            </w:r>
            <w:r>
              <w:rPr>
                <w:rFonts w:hint="eastAsia" w:cs="宋体" w:asciiTheme="minorEastAsia" w:hAnsiTheme="minorEastAsia" w:eastAsiaTheme="minorEastAsia"/>
                <w:color w:val="auto"/>
                <w:kern w:val="0"/>
                <w:sz w:val="21"/>
                <w:szCs w:val="21"/>
                <w:highlight w:val="none"/>
                <w:lang w:val="en-US" w:eastAsia="zh-CN"/>
              </w:rPr>
              <w:t>1</w:t>
            </w:r>
          </w:p>
        </w:tc>
        <w:tc>
          <w:tcPr>
            <w:tcW w:w="2099" w:type="dxa"/>
            <w:vAlign w:val="center"/>
          </w:tcPr>
          <w:p w14:paraId="5681EB2B">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电梯安装</w:t>
            </w:r>
          </w:p>
        </w:tc>
        <w:tc>
          <w:tcPr>
            <w:tcW w:w="9317" w:type="dxa"/>
            <w:vAlign w:val="center"/>
          </w:tcPr>
          <w:p w14:paraId="6DF32BFB">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1、本合同按总包标段划分进行分阶段独立付款、结算。</w:t>
            </w:r>
          </w:p>
          <w:p w14:paraId="6A45ABB1">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2、支付时间和比例：</w:t>
            </w:r>
          </w:p>
          <w:p w14:paraId="14B0CDCE">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（1）电梯到货后、开始安装前，支付该批电梯安装价款的10%作为预付款。</w:t>
            </w:r>
          </w:p>
          <w:p w14:paraId="043403E5">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（2）电梯安装调试验收完成、相关部门检验合格且验收报告交予甲方，提供全额增值税专用发票后一个月内支付至该批电梯安装价款的85%。</w:t>
            </w:r>
          </w:p>
          <w:p w14:paraId="3F138818">
            <w:pPr>
              <w:keepNext w:val="0"/>
              <w:keepLines w:val="0"/>
              <w:suppressLineNumbers w:val="0"/>
              <w:adjustRightInd w:val="0"/>
              <w:snapToGrid w:val="0"/>
              <w:spacing w:before="0" w:beforeAutospacing="0" w:after="0" w:afterAutospacing="0" w:line="360" w:lineRule="auto"/>
              <w:ind w:left="0" w:right="0"/>
              <w:outlineLvl w:val="9"/>
              <w:rPr>
                <w:rFonts w:hint="eastAsia"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（3）总包竣工验收完成且电梯安装费结算确认单完成，一个月内支付至电梯安装费结算确认单总价款的97%。</w:t>
            </w:r>
          </w:p>
          <w:p w14:paraId="7BAD7469">
            <w:pPr>
              <w:keepNext w:val="0"/>
              <w:keepLines w:val="0"/>
              <w:suppressLineNumbers w:val="0"/>
              <w:adjustRightInd w:val="0"/>
              <w:snapToGrid w:val="0"/>
              <w:spacing w:before="0" w:beforeAutospacing="0" w:after="0" w:afterAutospacing="0" w:line="360" w:lineRule="auto"/>
              <w:ind w:left="0" w:right="0"/>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4）余安装结算价款的3%作为质保金，质保期自电梯设备安装调试完毕、相关部门检验合格(以取得安全检验合格证为准)、且经甲方验收合格并移交甲方使用之日起开始计算。如因甲方原因未能及时进行验收并办理移交手续的，自取得电梯安全检验合格证之日后30日内开始计算，在质保期满</w:t>
            </w:r>
            <w:r>
              <w:rPr>
                <w:rFonts w:hint="eastAsia" w:asciiTheme="minorEastAsia" w:hAnsiTheme="minorEastAsia" w:eastAsiaTheme="minorEastAsia"/>
                <w:color w:val="auto"/>
                <w:sz w:val="21"/>
                <w:szCs w:val="21"/>
                <w:highlight w:val="none"/>
                <w:lang w:val="en-US" w:eastAsia="zh-CN"/>
              </w:rPr>
              <w:t>3年</w:t>
            </w:r>
            <w:r>
              <w:rPr>
                <w:rFonts w:hint="eastAsia" w:asciiTheme="minorEastAsia" w:hAnsiTheme="minorEastAsia" w:eastAsiaTheme="minorEastAsia"/>
                <w:color w:val="auto"/>
                <w:sz w:val="21"/>
                <w:szCs w:val="21"/>
                <w:highlight w:val="none"/>
              </w:rPr>
              <w:t>无质量问题并办理完质保金退还手续后一个月内付清。</w:t>
            </w:r>
          </w:p>
        </w:tc>
        <w:tc>
          <w:tcPr>
            <w:tcW w:w="1443" w:type="dxa"/>
            <w:vAlign w:val="center"/>
          </w:tcPr>
          <w:p w14:paraId="45C13519">
            <w:pPr>
              <w:keepNext w:val="0"/>
              <w:keepLines w:val="0"/>
              <w:suppressLineNumbers w:val="0"/>
              <w:adjustRightInd w:val="0"/>
              <w:snapToGrid w:val="0"/>
              <w:spacing w:before="0" w:beforeAutospacing="0" w:after="0" w:afterAutospacing="0" w:line="360" w:lineRule="auto"/>
              <w:ind w:left="0" w:right="0"/>
              <w:jc w:val="center"/>
              <w:outlineLvl w:val="9"/>
              <w:rPr>
                <w:rFonts w:cs="宋体" w:asciiTheme="minorEastAsia" w:hAnsiTheme="minorEastAsia" w:eastAsiaTheme="minorEastAsia"/>
                <w:color w:val="auto"/>
                <w:sz w:val="21"/>
                <w:szCs w:val="21"/>
                <w:highlight w:val="none"/>
              </w:rPr>
            </w:pPr>
            <w:r>
              <w:rPr>
                <w:rFonts w:hint="eastAsia" w:asciiTheme="minorEastAsia" w:hAnsiTheme="minorEastAsia" w:eastAsiaTheme="minorEastAsia"/>
                <w:color w:val="auto"/>
                <w:sz w:val="21"/>
                <w:szCs w:val="21"/>
                <w:highlight w:val="none"/>
              </w:rPr>
              <w:t>3年</w:t>
            </w:r>
          </w:p>
        </w:tc>
      </w:tr>
      <w:tr w14:paraId="49F9E4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02C63F03">
            <w:pPr>
              <w:keepNext w:val="0"/>
              <w:keepLines w:val="0"/>
              <w:suppressLineNumbers w:val="0"/>
              <w:adjustRightInd w:val="0"/>
              <w:snapToGrid w:val="0"/>
              <w:spacing w:before="0" w:beforeAutospacing="0" w:after="0" w:afterAutospacing="0" w:line="360" w:lineRule="auto"/>
              <w:ind w:left="0" w:right="0"/>
              <w:jc w:val="center"/>
              <w:outlineLvl w:val="9"/>
              <w:rPr>
                <w:rFonts w:hint="default" w:cs="宋体" w:asciiTheme="minorEastAsia" w:hAnsiTheme="minorEastAsia" w:eastAsiaTheme="minorEastAsia"/>
                <w:color w:val="FF0000"/>
                <w:kern w:val="0"/>
                <w:sz w:val="21"/>
                <w:szCs w:val="21"/>
                <w:highlight w:val="none"/>
                <w:lang w:val="en-US" w:eastAsia="zh-CN"/>
              </w:rPr>
            </w:pPr>
            <w:r>
              <w:rPr>
                <w:rFonts w:hint="eastAsia" w:cs="宋体" w:asciiTheme="minorEastAsia" w:hAnsiTheme="minorEastAsia" w:eastAsiaTheme="minorEastAsia"/>
                <w:color w:val="FF0000"/>
                <w:kern w:val="0"/>
                <w:sz w:val="21"/>
                <w:szCs w:val="21"/>
                <w:highlight w:val="none"/>
                <w:lang w:val="en-US" w:eastAsia="zh-CN"/>
              </w:rPr>
              <w:t>12</w:t>
            </w:r>
          </w:p>
        </w:tc>
        <w:tc>
          <w:tcPr>
            <w:tcW w:w="2099" w:type="dxa"/>
            <w:vAlign w:val="center"/>
          </w:tcPr>
          <w:p w14:paraId="7AEC6721">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Theme="minorEastAsia" w:hAnsiTheme="minorEastAsia" w:eastAsiaTheme="minorEastAsia"/>
                <w:color w:val="FF0000"/>
                <w:sz w:val="21"/>
                <w:szCs w:val="21"/>
                <w:highlight w:val="none"/>
                <w:lang w:eastAsia="zh-CN"/>
              </w:rPr>
            </w:pPr>
            <w:r>
              <w:rPr>
                <w:rFonts w:hint="eastAsia" w:asciiTheme="minorEastAsia" w:hAnsiTheme="minorEastAsia" w:eastAsiaTheme="minorEastAsia"/>
                <w:color w:val="FF0000"/>
                <w:sz w:val="21"/>
                <w:szCs w:val="21"/>
                <w:highlight w:val="none"/>
                <w:lang w:eastAsia="zh-CN"/>
              </w:rPr>
              <w:t>配电工程</w:t>
            </w:r>
          </w:p>
        </w:tc>
        <w:tc>
          <w:tcPr>
            <w:tcW w:w="9317" w:type="dxa"/>
            <w:shd w:val="clear" w:color="auto" w:fill="auto"/>
            <w:vAlign w:val="center"/>
          </w:tcPr>
          <w:p w14:paraId="62580D07">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1、本合同按外线、公变、专变及总包标段划分进行分阶段独立付款、结算。</w:t>
            </w:r>
          </w:p>
          <w:p w14:paraId="0C7C5968">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2、支付的时间和比例：</w:t>
            </w:r>
          </w:p>
          <w:p w14:paraId="429DF1CC">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（1）外线及公变工程：</w:t>
            </w:r>
          </w:p>
          <w:p w14:paraId="1EF5EFC9">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①合同签订7日后，发包人应向承包人支付工程预付款，金额为外线及公变工程中标金额的30%。</w:t>
            </w:r>
          </w:p>
          <w:p w14:paraId="45AF88E6">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②材料设备到场后支付至外线及公变工程合同有效金额的70%；。</w:t>
            </w:r>
          </w:p>
          <w:p w14:paraId="4404C993">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③户表安装验收完成后，供电前，投运申请书及资产移交协议办理完成后支付至外线及公变工程合同有效金额的90%。</w:t>
            </w:r>
          </w:p>
          <w:p w14:paraId="0FB33C76">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④正式供电完成且外线工程竣工结算完成并提供剩余全额发票后支付至该标段公变工程结算价款的100%。</w:t>
            </w:r>
          </w:p>
          <w:p w14:paraId="1292AD65">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 xml:space="preserve">   （2）专变工程：</w:t>
            </w:r>
          </w:p>
          <w:p w14:paraId="0582E172">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①承包人每月15日前向发包人委托的监理工程师报送上月15日至当月14日期间经发包人和监理工程师验收合格的已完工程量进度表，发包人按审核后的工程量确认完成产值，承包人按完成量开具增值税专用发票，发包人按完成产值的75%作为进度款，每月支付一次。</w:t>
            </w:r>
          </w:p>
          <w:p w14:paraId="314FC3B4">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②配电室正式供电后，该标段专变工程结算完成并提供剩余全额发票后，支付至该标段专变工程结算价款的85%。</w:t>
            </w:r>
          </w:p>
          <w:p w14:paraId="4C3DA4A3">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③该标段专变工程竣工决算完成支付至该标段专变工程结算价款的97%。</w:t>
            </w:r>
          </w:p>
          <w:p w14:paraId="50B90EF4">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④该标段专变工程质量保修金为3%，保修期二年，保修期自建设单位移交物业之日起计算，满二年且办理完保修金退还手续后支付全部保修金本金。</w:t>
            </w:r>
          </w:p>
          <w:p w14:paraId="1BBDFEB6">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3、承包人每月按已完成工程量申报进度款。</w:t>
            </w:r>
          </w:p>
        </w:tc>
        <w:tc>
          <w:tcPr>
            <w:tcW w:w="1443" w:type="dxa"/>
            <w:vAlign w:val="center"/>
          </w:tcPr>
          <w:p w14:paraId="1C51F8FB">
            <w:pPr>
              <w:keepNext w:val="0"/>
              <w:keepLines w:val="0"/>
              <w:suppressLineNumbers w:val="0"/>
              <w:adjustRightInd w:val="0"/>
              <w:snapToGrid w:val="0"/>
              <w:spacing w:before="0" w:beforeAutospacing="0" w:after="0" w:afterAutospacing="0" w:line="360" w:lineRule="auto"/>
              <w:ind w:left="0" w:right="0"/>
              <w:jc w:val="center"/>
              <w:outlineLvl w:val="9"/>
              <w:rPr>
                <w:rFonts w:hint="eastAsia" w:asciiTheme="minorEastAsia" w:hAnsiTheme="minorEastAsia" w:eastAsiaTheme="minorEastAsia"/>
                <w:color w:val="FF0000"/>
                <w:sz w:val="21"/>
                <w:szCs w:val="21"/>
                <w:highlight w:val="none"/>
                <w:lang w:val="en-US" w:eastAsia="zh-CN"/>
              </w:rPr>
            </w:pPr>
            <w:r>
              <w:rPr>
                <w:rFonts w:hint="eastAsia" w:asciiTheme="minorEastAsia" w:hAnsiTheme="minorEastAsia" w:eastAsiaTheme="minorEastAsia"/>
                <w:color w:val="FF0000"/>
                <w:sz w:val="21"/>
                <w:szCs w:val="21"/>
                <w:highlight w:val="none"/>
                <w:lang w:val="en-US" w:eastAsia="zh-CN"/>
              </w:rPr>
              <w:t>2年</w:t>
            </w:r>
          </w:p>
        </w:tc>
      </w:tr>
      <w:tr w14:paraId="4935ED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657" w:type="dxa"/>
            <w:vAlign w:val="center"/>
          </w:tcPr>
          <w:p w14:paraId="72A10973">
            <w:pPr>
              <w:keepNext w:val="0"/>
              <w:keepLines w:val="0"/>
              <w:suppressLineNumbers w:val="0"/>
              <w:adjustRightInd w:val="0"/>
              <w:snapToGrid w:val="0"/>
              <w:spacing w:before="0" w:beforeAutospacing="0" w:after="0" w:afterAutospacing="0" w:line="360" w:lineRule="auto"/>
              <w:ind w:left="0" w:right="0"/>
              <w:jc w:val="center"/>
              <w:outlineLvl w:val="9"/>
              <w:rPr>
                <w:rFonts w:hint="eastAsia" w:cs="宋体" w:asciiTheme="minorEastAsia" w:hAnsiTheme="minorEastAsia" w:eastAsiaTheme="minorEastAsia"/>
                <w:color w:val="FF0000"/>
                <w:kern w:val="0"/>
                <w:sz w:val="21"/>
                <w:szCs w:val="21"/>
                <w:highlight w:val="none"/>
              </w:rPr>
            </w:pPr>
          </w:p>
        </w:tc>
        <w:tc>
          <w:tcPr>
            <w:tcW w:w="2099" w:type="dxa"/>
            <w:vAlign w:val="center"/>
          </w:tcPr>
          <w:p w14:paraId="4241B2F1">
            <w:pPr>
              <w:keepNext w:val="0"/>
              <w:keepLines w:val="0"/>
              <w:suppressLineNumbers w:val="0"/>
              <w:adjustRightInd w:val="0"/>
              <w:snapToGrid w:val="0"/>
              <w:spacing w:before="0" w:beforeAutospacing="0" w:after="0" w:afterAutospacing="0" w:line="360" w:lineRule="auto"/>
              <w:ind w:left="0" w:right="0"/>
              <w:outlineLvl w:val="9"/>
              <w:rPr>
                <w:rFonts w:hint="default"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暂定价材料设备、认价材料设备付款参照执行，预付款根据实际情况确定是否预付。</w:t>
            </w:r>
          </w:p>
        </w:tc>
        <w:tc>
          <w:tcPr>
            <w:tcW w:w="9317" w:type="dxa"/>
            <w:vAlign w:val="center"/>
          </w:tcPr>
          <w:p w14:paraId="55D5B5E9">
            <w:pPr>
              <w:keepNext w:val="0"/>
              <w:keepLines w:val="0"/>
              <w:suppressLineNumbers w:val="0"/>
              <w:adjustRightInd w:val="0"/>
              <w:snapToGrid w:val="0"/>
              <w:spacing w:before="0" w:beforeAutospacing="0" w:after="0" w:afterAutospacing="0" w:line="360" w:lineRule="auto"/>
              <w:ind w:left="0" w:right="0"/>
              <w:outlineLvl w:val="9"/>
              <w:rPr>
                <w:rFonts w:hint="eastAsia"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1、本合同按总包标段划分进行分阶段独立付款、结算。</w:t>
            </w:r>
            <w:r>
              <w:rPr>
                <w:rFonts w:hint="eastAsia" w:cs="Times New Roman" w:asciiTheme="minorEastAsia" w:hAnsiTheme="minorEastAsia" w:eastAsiaTheme="minorEastAsia"/>
                <w:color w:val="FF0000"/>
                <w:sz w:val="21"/>
                <w:szCs w:val="21"/>
                <w:highlight w:val="none"/>
                <w:lang w:val="en-US" w:eastAsia="zh-CN"/>
              </w:rPr>
              <w:br w:type="textWrapping"/>
            </w:r>
            <w:r>
              <w:rPr>
                <w:rFonts w:hint="eastAsia" w:cs="Times New Roman" w:asciiTheme="minorEastAsia" w:hAnsiTheme="minorEastAsia" w:eastAsiaTheme="minorEastAsia"/>
                <w:color w:val="FF0000"/>
                <w:sz w:val="21"/>
                <w:szCs w:val="21"/>
                <w:highlight w:val="none"/>
                <w:lang w:val="en-US" w:eastAsia="zh-CN"/>
              </w:rPr>
              <w:t>2、支付时间和比例：</w:t>
            </w:r>
            <w:r>
              <w:rPr>
                <w:rFonts w:hint="eastAsia" w:cs="Times New Roman" w:asciiTheme="minorEastAsia" w:hAnsiTheme="minorEastAsia" w:eastAsiaTheme="minorEastAsia"/>
                <w:color w:val="FF0000"/>
                <w:sz w:val="21"/>
                <w:szCs w:val="21"/>
                <w:highlight w:val="none"/>
                <w:lang w:val="en-US" w:eastAsia="zh-CN"/>
              </w:rPr>
              <w:br w:type="textWrapping"/>
            </w:r>
            <w:r>
              <w:rPr>
                <w:rFonts w:hint="eastAsia" w:cs="Times New Roman" w:asciiTheme="minorEastAsia" w:hAnsiTheme="minorEastAsia" w:eastAsiaTheme="minorEastAsia"/>
                <w:color w:val="FF0000"/>
                <w:sz w:val="21"/>
                <w:szCs w:val="21"/>
                <w:highlight w:val="none"/>
                <w:lang w:val="en-US" w:eastAsia="zh-CN"/>
              </w:rPr>
              <w:t>（1）合同签订后，下订单前一个月支付该批订货单价款10%预付款。</w:t>
            </w:r>
            <w:r>
              <w:rPr>
                <w:rFonts w:hint="eastAsia" w:cs="Times New Roman" w:asciiTheme="minorEastAsia" w:hAnsiTheme="minorEastAsia" w:eastAsiaTheme="minorEastAsia"/>
                <w:color w:val="FF0000"/>
                <w:sz w:val="21"/>
                <w:szCs w:val="21"/>
                <w:highlight w:val="none"/>
                <w:lang w:val="en-US" w:eastAsia="zh-CN"/>
              </w:rPr>
              <w:br w:type="textWrapping"/>
            </w:r>
            <w:r>
              <w:rPr>
                <w:rFonts w:hint="eastAsia" w:cs="Times New Roman" w:asciiTheme="minorEastAsia" w:hAnsiTheme="minorEastAsia" w:eastAsiaTheme="minorEastAsia"/>
                <w:color w:val="FF0000"/>
                <w:sz w:val="21"/>
                <w:szCs w:val="21"/>
                <w:highlight w:val="none"/>
                <w:lang w:val="en-US" w:eastAsia="zh-CN"/>
              </w:rPr>
              <w:t>（2）货到施工现场经验收合格并提供全额发票后一个月内支付至到货价款的75%。</w:t>
            </w:r>
            <w:r>
              <w:rPr>
                <w:rFonts w:hint="eastAsia" w:cs="Times New Roman" w:asciiTheme="minorEastAsia" w:hAnsiTheme="minorEastAsia" w:eastAsiaTheme="minorEastAsia"/>
                <w:color w:val="FF0000"/>
                <w:sz w:val="21"/>
                <w:szCs w:val="21"/>
                <w:highlight w:val="none"/>
                <w:lang w:val="en-US" w:eastAsia="zh-CN"/>
              </w:rPr>
              <w:br w:type="textWrapping"/>
            </w:r>
            <w:r>
              <w:rPr>
                <w:rFonts w:hint="eastAsia" w:cs="Times New Roman" w:asciiTheme="minorEastAsia" w:hAnsiTheme="minorEastAsia" w:eastAsiaTheme="minorEastAsia"/>
                <w:color w:val="FF0000"/>
                <w:sz w:val="21"/>
                <w:szCs w:val="21"/>
                <w:highlight w:val="none"/>
                <w:lang w:val="en-US" w:eastAsia="zh-CN"/>
              </w:rPr>
              <w:t>（3）</w:t>
            </w:r>
            <w:r>
              <w:rPr>
                <w:rFonts w:hint="eastAsia" w:cs="Times New Roman" w:asciiTheme="minorEastAsia" w:hAnsiTheme="minorEastAsia" w:eastAsiaTheme="minorEastAsia"/>
                <w:color w:val="FF0000"/>
                <w:sz w:val="21"/>
                <w:szCs w:val="21"/>
                <w:highlight w:val="none"/>
                <w:u w:val="single"/>
                <w:lang w:val="en-US" w:eastAsia="zh-CN"/>
              </w:rPr>
              <w:t xml:space="preserve">         </w:t>
            </w:r>
            <w:r>
              <w:rPr>
                <w:rFonts w:hint="eastAsia" w:cs="Times New Roman" w:asciiTheme="minorEastAsia" w:hAnsiTheme="minorEastAsia" w:eastAsiaTheme="minorEastAsia"/>
                <w:color w:val="FF0000"/>
                <w:sz w:val="21"/>
                <w:szCs w:val="21"/>
                <w:highlight w:val="none"/>
                <w:lang w:val="en-US" w:eastAsia="zh-CN"/>
              </w:rPr>
              <w:t>安装调试验收完成、总包竣工验收完成且</w:t>
            </w:r>
            <w:r>
              <w:rPr>
                <w:rFonts w:hint="eastAsia" w:cs="Times New Roman" w:asciiTheme="minorEastAsia" w:hAnsiTheme="minorEastAsia" w:eastAsiaTheme="minorEastAsia"/>
                <w:color w:val="FF0000"/>
                <w:sz w:val="21"/>
                <w:szCs w:val="21"/>
                <w:highlight w:val="none"/>
                <w:u w:val="single"/>
                <w:lang w:val="en-US" w:eastAsia="zh-CN"/>
              </w:rPr>
              <w:t xml:space="preserve">         </w:t>
            </w:r>
            <w:r>
              <w:rPr>
                <w:rFonts w:hint="eastAsia" w:cs="Times New Roman" w:asciiTheme="minorEastAsia" w:hAnsiTheme="minorEastAsia" w:eastAsiaTheme="minorEastAsia"/>
                <w:color w:val="FF0000"/>
                <w:sz w:val="21"/>
                <w:szCs w:val="21"/>
                <w:highlight w:val="none"/>
                <w:lang w:val="en-US" w:eastAsia="zh-CN"/>
              </w:rPr>
              <w:t>结算确认单完成后一个月内支付至</w:t>
            </w:r>
            <w:r>
              <w:rPr>
                <w:rFonts w:hint="eastAsia" w:cs="Times New Roman" w:asciiTheme="minorEastAsia" w:hAnsiTheme="minorEastAsia" w:eastAsiaTheme="minorEastAsia"/>
                <w:color w:val="FF0000"/>
                <w:sz w:val="21"/>
                <w:szCs w:val="21"/>
                <w:highlight w:val="none"/>
                <w:u w:val="single"/>
                <w:lang w:val="en-US" w:eastAsia="zh-CN"/>
              </w:rPr>
              <w:t xml:space="preserve">         </w:t>
            </w:r>
            <w:r>
              <w:rPr>
                <w:rFonts w:hint="eastAsia" w:cs="Times New Roman" w:asciiTheme="minorEastAsia" w:hAnsiTheme="minorEastAsia" w:eastAsiaTheme="minorEastAsia"/>
                <w:color w:val="FF0000"/>
                <w:sz w:val="21"/>
                <w:szCs w:val="21"/>
                <w:highlight w:val="none"/>
                <w:lang w:val="en-US" w:eastAsia="zh-CN"/>
              </w:rPr>
              <w:t>结算确认单总价款的97%。</w:t>
            </w:r>
            <w:r>
              <w:rPr>
                <w:rFonts w:hint="eastAsia" w:cs="Times New Roman" w:asciiTheme="minorEastAsia" w:hAnsiTheme="minorEastAsia" w:eastAsiaTheme="minorEastAsia"/>
                <w:color w:val="FF0000"/>
                <w:sz w:val="21"/>
                <w:szCs w:val="21"/>
                <w:highlight w:val="none"/>
                <w:lang w:val="en-US" w:eastAsia="zh-CN"/>
              </w:rPr>
              <w:br w:type="textWrapping"/>
            </w:r>
            <w:r>
              <w:rPr>
                <w:rFonts w:hint="eastAsia" w:cs="Times New Roman" w:asciiTheme="minorEastAsia" w:hAnsiTheme="minorEastAsia" w:eastAsiaTheme="minorEastAsia"/>
                <w:color w:val="FF0000"/>
                <w:sz w:val="21"/>
                <w:szCs w:val="21"/>
                <w:highlight w:val="none"/>
                <w:lang w:val="en-US" w:eastAsia="zh-CN"/>
              </w:rPr>
              <w:t>（4）余结算价款的3%作为质保金，在质保期满无质量问题并办理完质保金退还手续后一个月内付清。</w:t>
            </w:r>
          </w:p>
        </w:tc>
        <w:tc>
          <w:tcPr>
            <w:tcW w:w="1443" w:type="dxa"/>
            <w:vAlign w:val="center"/>
          </w:tcPr>
          <w:p w14:paraId="09EE7E18">
            <w:pPr>
              <w:keepNext w:val="0"/>
              <w:keepLines w:val="0"/>
              <w:suppressLineNumbers w:val="0"/>
              <w:adjustRightInd w:val="0"/>
              <w:snapToGrid w:val="0"/>
              <w:spacing w:before="0" w:beforeAutospacing="0" w:after="0" w:afterAutospacing="0" w:line="360" w:lineRule="auto"/>
              <w:ind w:left="0" w:right="0"/>
              <w:outlineLvl w:val="9"/>
              <w:rPr>
                <w:rFonts w:hint="default" w:cs="Times New Roman" w:asciiTheme="minorEastAsia" w:hAnsiTheme="minorEastAsia" w:eastAsiaTheme="minorEastAsia"/>
                <w:color w:val="FF0000"/>
                <w:sz w:val="21"/>
                <w:szCs w:val="21"/>
                <w:highlight w:val="none"/>
                <w:lang w:val="en-US" w:eastAsia="zh-CN"/>
              </w:rPr>
            </w:pPr>
            <w:r>
              <w:rPr>
                <w:rFonts w:hint="eastAsia" w:cs="Times New Roman" w:asciiTheme="minorEastAsia" w:hAnsiTheme="minorEastAsia" w:eastAsiaTheme="minorEastAsia"/>
                <w:color w:val="FF0000"/>
                <w:sz w:val="21"/>
                <w:szCs w:val="21"/>
                <w:highlight w:val="none"/>
                <w:lang w:val="en-US" w:eastAsia="zh-CN"/>
              </w:rPr>
              <w:t>2年</w:t>
            </w:r>
          </w:p>
        </w:tc>
      </w:tr>
    </w:tbl>
    <w:p w14:paraId="72E1751D">
      <w:pPr>
        <w:adjustRightInd w:val="0"/>
        <w:snapToGrid w:val="0"/>
        <w:spacing w:line="360" w:lineRule="auto"/>
        <w:outlineLvl w:val="9"/>
        <w:rPr>
          <w:rFonts w:cs="宋体" w:asciiTheme="minorEastAsia" w:hAnsiTheme="minorEastAsia" w:eastAsiaTheme="minorEastAsia"/>
          <w:bCs/>
          <w:color w:val="auto"/>
          <w:kern w:val="0"/>
          <w:sz w:val="21"/>
          <w:szCs w:val="21"/>
          <w:highlight w:val="none"/>
        </w:rPr>
      </w:pPr>
      <w:r>
        <w:rPr>
          <w:rFonts w:hint="eastAsia" w:cs="宋体" w:asciiTheme="minorEastAsia" w:hAnsiTheme="minorEastAsia" w:eastAsiaTheme="minorEastAsia"/>
          <w:bCs/>
          <w:color w:val="auto"/>
          <w:kern w:val="0"/>
          <w:sz w:val="21"/>
          <w:szCs w:val="21"/>
          <w:highlight w:val="none"/>
        </w:rPr>
        <w:t>备注：</w:t>
      </w:r>
    </w:p>
    <w:p w14:paraId="0CBA24DD">
      <w:pPr>
        <w:adjustRightInd w:val="0"/>
        <w:snapToGrid w:val="0"/>
        <w:spacing w:line="360" w:lineRule="auto"/>
        <w:ind w:firstLine="210" w:firstLineChars="100"/>
        <w:outlineLvl w:val="9"/>
        <w:rPr>
          <w:rFonts w:hint="eastAsia" w:cs="宋体" w:asciiTheme="minorEastAsia" w:hAnsiTheme="minorEastAsia" w:eastAsiaTheme="minorEastAsia"/>
          <w:bCs/>
          <w:color w:val="auto"/>
          <w:kern w:val="0"/>
          <w:sz w:val="21"/>
          <w:szCs w:val="21"/>
          <w:highlight w:val="none"/>
        </w:rPr>
      </w:pPr>
      <w:r>
        <w:rPr>
          <w:rFonts w:hint="eastAsia" w:cs="宋体" w:asciiTheme="minorEastAsia" w:hAnsiTheme="minorEastAsia" w:eastAsiaTheme="minorEastAsia"/>
          <w:bCs/>
          <w:color w:val="auto"/>
          <w:kern w:val="0"/>
          <w:sz w:val="21"/>
          <w:szCs w:val="21"/>
          <w:highlight w:val="none"/>
        </w:rPr>
        <w:t>1、以上暂估价工程</w:t>
      </w:r>
      <w:r>
        <w:rPr>
          <w:rFonts w:hint="eastAsia" w:cs="宋体" w:asciiTheme="minorEastAsia" w:hAnsiTheme="minorEastAsia" w:eastAsiaTheme="minorEastAsia"/>
          <w:bCs/>
          <w:color w:val="auto"/>
          <w:kern w:val="0"/>
          <w:sz w:val="21"/>
          <w:szCs w:val="21"/>
          <w:highlight w:val="none"/>
          <w:lang w:eastAsia="zh-CN"/>
        </w:rPr>
        <w:t>、暂定价材料或认价材料设备</w:t>
      </w:r>
      <w:r>
        <w:rPr>
          <w:rFonts w:hint="eastAsia" w:cs="宋体" w:asciiTheme="minorEastAsia" w:hAnsiTheme="minorEastAsia" w:eastAsiaTheme="minorEastAsia"/>
          <w:bCs/>
          <w:color w:val="auto"/>
          <w:kern w:val="0"/>
          <w:sz w:val="21"/>
          <w:szCs w:val="21"/>
          <w:highlight w:val="none"/>
        </w:rPr>
        <w:t>付款基数为实际中标有效金额。</w:t>
      </w:r>
    </w:p>
    <w:p w14:paraId="03F58940">
      <w:pPr>
        <w:adjustRightInd w:val="0"/>
        <w:snapToGrid w:val="0"/>
        <w:spacing w:line="360" w:lineRule="auto"/>
        <w:ind w:firstLine="210" w:firstLineChars="100"/>
        <w:outlineLvl w:val="9"/>
        <w:rPr>
          <w:rFonts w:hint="eastAsia" w:cs="宋体" w:asciiTheme="minorEastAsia" w:hAnsiTheme="minorEastAsia" w:eastAsiaTheme="minorEastAsia"/>
          <w:bCs/>
          <w:color w:val="auto"/>
          <w:kern w:val="0"/>
          <w:sz w:val="21"/>
          <w:szCs w:val="21"/>
          <w:highlight w:val="none"/>
        </w:rPr>
      </w:pPr>
      <w:r>
        <w:rPr>
          <w:rFonts w:hint="eastAsia" w:cs="宋体" w:asciiTheme="minorEastAsia" w:hAnsiTheme="minorEastAsia" w:eastAsiaTheme="minorEastAsia"/>
          <w:bCs/>
          <w:color w:val="auto"/>
          <w:kern w:val="0"/>
          <w:sz w:val="21"/>
          <w:szCs w:val="21"/>
          <w:highlight w:val="none"/>
        </w:rPr>
        <w:t>2、中标有效金额=中标价-暂列金额及其安全文明施工费、规费、税金-暂估价工程及其安全文明施工费、规费、税金。</w:t>
      </w:r>
    </w:p>
    <w:p w14:paraId="788B45A7">
      <w:pPr>
        <w:adjustRightInd w:val="0"/>
        <w:snapToGrid w:val="0"/>
        <w:spacing w:line="360" w:lineRule="auto"/>
        <w:ind w:firstLine="210" w:firstLineChars="100"/>
        <w:outlineLvl w:val="9"/>
        <w:rPr>
          <w:rFonts w:hint="eastAsia" w:cs="宋体" w:asciiTheme="minorEastAsia" w:hAnsiTheme="minorEastAsia" w:eastAsiaTheme="minorEastAsia"/>
          <w:bCs/>
          <w:color w:val="auto"/>
          <w:kern w:val="0"/>
          <w:sz w:val="21"/>
          <w:szCs w:val="21"/>
          <w:highlight w:val="none"/>
        </w:rPr>
      </w:pPr>
      <w:r>
        <w:rPr>
          <w:rFonts w:hint="eastAsia" w:cs="宋体" w:asciiTheme="minorEastAsia" w:hAnsiTheme="minorEastAsia" w:eastAsiaTheme="minorEastAsia"/>
          <w:bCs/>
          <w:color w:val="auto"/>
          <w:kern w:val="0"/>
          <w:sz w:val="21"/>
          <w:szCs w:val="21"/>
          <w:highlight w:val="none"/>
        </w:rPr>
        <w:t>3、大型设备付款前需由承包人向发包人上报订货计划，经批准后方可付款。</w:t>
      </w:r>
    </w:p>
    <w:p w14:paraId="0E063F61">
      <w:pPr>
        <w:adjustRightInd w:val="0"/>
        <w:snapToGrid w:val="0"/>
        <w:spacing w:line="360" w:lineRule="auto"/>
        <w:ind w:firstLine="210" w:firstLineChars="100"/>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bCs/>
          <w:color w:val="auto"/>
          <w:kern w:val="0"/>
          <w:sz w:val="21"/>
          <w:szCs w:val="21"/>
          <w:highlight w:val="none"/>
        </w:rPr>
        <w:t>4、上述暂估价工程及暂定价材料设备</w:t>
      </w:r>
      <w:r>
        <w:rPr>
          <w:rFonts w:hint="eastAsia" w:cs="宋体" w:asciiTheme="minorEastAsia" w:hAnsiTheme="minorEastAsia" w:eastAsiaTheme="minorEastAsia"/>
          <w:bCs/>
          <w:color w:val="auto"/>
          <w:kern w:val="0"/>
          <w:sz w:val="21"/>
          <w:szCs w:val="21"/>
          <w:highlight w:val="none"/>
          <w:lang w:eastAsia="zh-CN"/>
        </w:rPr>
        <w:t>、认价材料设备</w:t>
      </w:r>
      <w:r>
        <w:rPr>
          <w:rFonts w:hint="eastAsia" w:cs="宋体" w:asciiTheme="minorEastAsia" w:hAnsiTheme="minorEastAsia" w:eastAsiaTheme="minorEastAsia"/>
          <w:bCs/>
          <w:color w:val="auto"/>
          <w:kern w:val="0"/>
          <w:sz w:val="21"/>
          <w:szCs w:val="21"/>
          <w:highlight w:val="none"/>
        </w:rPr>
        <w:t>具体付款节奏待后期招标时明确，若实际招标暂估价工程及材料设备</w:t>
      </w:r>
      <w:r>
        <w:rPr>
          <w:rFonts w:hint="eastAsia" w:cs="宋体" w:asciiTheme="minorEastAsia" w:hAnsiTheme="minorEastAsia" w:eastAsiaTheme="minorEastAsia"/>
          <w:bCs/>
          <w:color w:val="auto"/>
          <w:kern w:val="0"/>
          <w:sz w:val="21"/>
          <w:szCs w:val="21"/>
          <w:highlight w:val="none"/>
          <w:lang w:eastAsia="zh-CN"/>
        </w:rPr>
        <w:t>、认价材料设备</w:t>
      </w:r>
      <w:r>
        <w:rPr>
          <w:rFonts w:hint="eastAsia" w:cs="宋体" w:asciiTheme="minorEastAsia" w:hAnsiTheme="minorEastAsia" w:eastAsiaTheme="minorEastAsia"/>
          <w:bCs/>
          <w:color w:val="auto"/>
          <w:kern w:val="0"/>
          <w:sz w:val="21"/>
          <w:szCs w:val="21"/>
          <w:highlight w:val="none"/>
        </w:rPr>
        <w:t>付款方式与上表不一致，</w:t>
      </w:r>
      <w:r>
        <w:rPr>
          <w:rFonts w:hint="eastAsia" w:cs="宋体" w:asciiTheme="minorEastAsia" w:hAnsiTheme="minorEastAsia" w:eastAsiaTheme="minorEastAsia"/>
          <w:bCs/>
          <w:color w:val="0000FF"/>
          <w:kern w:val="0"/>
          <w:sz w:val="21"/>
          <w:szCs w:val="21"/>
          <w:highlight w:val="none"/>
        </w:rPr>
        <w:t>以</w:t>
      </w:r>
      <w:r>
        <w:rPr>
          <w:rFonts w:hint="eastAsia" w:cs="宋体" w:asciiTheme="minorEastAsia" w:hAnsiTheme="minorEastAsia" w:eastAsiaTheme="minorEastAsia"/>
          <w:bCs/>
          <w:color w:val="0000FF"/>
          <w:kern w:val="0"/>
          <w:sz w:val="21"/>
          <w:szCs w:val="21"/>
          <w:highlight w:val="none"/>
          <w:lang w:eastAsia="zh-CN"/>
        </w:rPr>
        <w:t>发包人招标部门下发的联系单</w:t>
      </w:r>
      <w:r>
        <w:rPr>
          <w:rFonts w:hint="eastAsia" w:cs="宋体" w:asciiTheme="minorEastAsia" w:hAnsiTheme="minorEastAsia" w:eastAsiaTheme="minorEastAsia"/>
          <w:bCs/>
          <w:color w:val="0000FF"/>
          <w:kern w:val="0"/>
          <w:sz w:val="21"/>
          <w:szCs w:val="21"/>
          <w:highlight w:val="none"/>
        </w:rPr>
        <w:t>为准。</w:t>
      </w:r>
      <w:r>
        <w:rPr>
          <w:rFonts w:cs="宋体" w:asciiTheme="minorEastAsia" w:hAnsiTheme="minorEastAsia" w:eastAsiaTheme="minorEastAsia"/>
          <w:color w:val="auto"/>
          <w:szCs w:val="21"/>
          <w:highlight w:val="none"/>
        </w:rPr>
        <w:br w:type="page"/>
      </w:r>
    </w:p>
    <w:p w14:paraId="7D8EFB51">
      <w:pPr>
        <w:outlineLvl w:val="9"/>
        <w:rPr>
          <w:rFonts w:asciiTheme="minorEastAsia" w:hAnsiTheme="minorEastAsia" w:eastAsiaTheme="minorEastAsia"/>
          <w:color w:val="auto"/>
          <w:highlight w:val="none"/>
        </w:rPr>
        <w:sectPr>
          <w:footerReference r:id="rId19" w:type="default"/>
          <w:pgSz w:w="16838" w:h="11900" w:orient="landscape"/>
          <w:pgMar w:top="1361" w:right="1134" w:bottom="1361" w:left="1134" w:header="567" w:footer="567" w:gutter="0"/>
          <w:pgBorders>
            <w:top w:val="none" w:sz="0" w:space="0"/>
            <w:left w:val="none" w:sz="0" w:space="0"/>
            <w:bottom w:val="none" w:sz="0" w:space="0"/>
            <w:right w:val="none" w:sz="0" w:space="0"/>
          </w:pgBorders>
          <w:cols w:space="720" w:num="1"/>
          <w:docGrid w:linePitch="318" w:charSpace="0"/>
        </w:sectPr>
      </w:pPr>
    </w:p>
    <w:bookmarkEnd w:id="742"/>
    <w:bookmarkEnd w:id="743"/>
    <w:bookmarkEnd w:id="744"/>
    <w:p w14:paraId="3667B7F7">
      <w:pPr>
        <w:spacing w:line="360" w:lineRule="auto"/>
        <w:outlineLvl w:val="9"/>
        <w:rPr>
          <w:rFonts w:hint="eastAsia" w:cs="宋体" w:asciiTheme="minorEastAsia" w:hAnsiTheme="minorEastAsia" w:eastAsiaTheme="minorEastAsia"/>
          <w:color w:val="auto"/>
          <w:szCs w:val="21"/>
          <w:highlight w:val="none"/>
        </w:rPr>
      </w:pPr>
      <w:bookmarkStart w:id="750" w:name="_bookmark29"/>
      <w:bookmarkEnd w:id="750"/>
      <w:bookmarkStart w:id="751" w:name="第七章_技术标准和要求"/>
      <w:bookmarkEnd w:id="751"/>
      <w:bookmarkStart w:id="752" w:name="第六章_图__纸"/>
      <w:bookmarkEnd w:id="752"/>
      <w:bookmarkStart w:id="753" w:name="第八章_投标文件格式"/>
      <w:bookmarkEnd w:id="753"/>
      <w:bookmarkStart w:id="754" w:name="_bookmark28"/>
      <w:bookmarkEnd w:id="754"/>
      <w:bookmarkStart w:id="755" w:name="_bookmark30"/>
      <w:bookmarkEnd w:id="755"/>
      <w:bookmarkStart w:id="756" w:name="_Toc22207"/>
      <w:r>
        <w:rPr>
          <w:rFonts w:hint="eastAsia" w:cs="宋体" w:asciiTheme="minorEastAsia" w:hAnsiTheme="minorEastAsia" w:eastAsiaTheme="minorEastAsia"/>
          <w:color w:val="auto"/>
          <w:szCs w:val="21"/>
          <w:highlight w:val="none"/>
        </w:rPr>
        <w:t>附件</w:t>
      </w:r>
      <w:r>
        <w:rPr>
          <w:rFonts w:hint="eastAsia" w:cs="宋体" w:asciiTheme="minorEastAsia" w:hAnsiTheme="minorEastAsia" w:eastAsiaTheme="minorEastAsia"/>
          <w:color w:val="auto"/>
          <w:szCs w:val="21"/>
          <w:highlight w:val="none"/>
          <w:lang w:val="en-US" w:eastAsia="zh-CN"/>
        </w:rPr>
        <w:t>三十九</w:t>
      </w:r>
      <w:r>
        <w:rPr>
          <w:rFonts w:hint="eastAsia" w:cs="宋体" w:asciiTheme="minorEastAsia" w:hAnsiTheme="minorEastAsia" w:eastAsiaTheme="minorEastAsia"/>
          <w:color w:val="auto"/>
          <w:szCs w:val="21"/>
          <w:highlight w:val="none"/>
        </w:rPr>
        <w:t xml:space="preserve"> </w:t>
      </w:r>
    </w:p>
    <w:tbl>
      <w:tblPr>
        <w:tblStyle w:val="56"/>
        <w:tblW w:w="1419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18"/>
        <w:gridCol w:w="1590"/>
        <w:gridCol w:w="5580"/>
        <w:gridCol w:w="5487"/>
        <w:gridCol w:w="915"/>
      </w:tblGrid>
      <w:tr w14:paraId="5EB02C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4190" w:type="dxa"/>
            <w:gridSpan w:val="5"/>
            <w:tcBorders>
              <w:top w:val="nil"/>
              <w:left w:val="nil"/>
              <w:bottom w:val="single" w:color="000000" w:sz="4" w:space="0"/>
              <w:right w:val="nil"/>
            </w:tcBorders>
            <w:shd w:val="clear" w:color="auto" w:fill="auto"/>
            <w:noWrap/>
            <w:vAlign w:val="center"/>
          </w:tcPr>
          <w:p w14:paraId="6791E8B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总包与分包界面划分</w:t>
            </w:r>
          </w:p>
        </w:tc>
      </w:tr>
      <w:tr w14:paraId="4B4B50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0" w:hRule="atLeast"/>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3A4CB8">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序号</w:t>
            </w:r>
          </w:p>
        </w:tc>
        <w:tc>
          <w:tcPr>
            <w:tcW w:w="15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E507F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工程名称</w:t>
            </w:r>
          </w:p>
        </w:tc>
        <w:tc>
          <w:tcPr>
            <w:tcW w:w="1120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1E6D52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施工界面划分</w:t>
            </w:r>
          </w:p>
        </w:tc>
        <w:tc>
          <w:tcPr>
            <w:tcW w:w="91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714EB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备注</w:t>
            </w:r>
          </w:p>
        </w:tc>
      </w:tr>
      <w:tr w14:paraId="2A85E2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4308F">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745118">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B0C87">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总包</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05A4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分包</w:t>
            </w:r>
          </w:p>
        </w:tc>
        <w:tc>
          <w:tcPr>
            <w:tcW w:w="91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DF1867">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r>
      <w:tr w14:paraId="587B1E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AACB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0CAAC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三通一平工程</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24B6D2">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三通一平施工单位安装的</w:t>
            </w:r>
            <w:r>
              <w:rPr>
                <w:rFonts w:hint="eastAsia" w:ascii="宋体" w:hAnsi="宋体" w:eastAsia="宋体" w:cs="宋体"/>
                <w:i w:val="0"/>
                <w:iCs w:val="0"/>
                <w:color w:val="FF0000"/>
                <w:kern w:val="0"/>
                <w:sz w:val="20"/>
                <w:szCs w:val="20"/>
                <w:highlight w:val="none"/>
                <w:u w:val="none"/>
                <w:lang w:val="en-US" w:eastAsia="zh-CN" w:bidi="ar"/>
              </w:rPr>
              <w:t>可利用的</w:t>
            </w:r>
            <w:r>
              <w:rPr>
                <w:rFonts w:hint="eastAsia" w:ascii="宋体" w:hAnsi="宋体" w:eastAsia="宋体" w:cs="宋体"/>
                <w:i w:val="0"/>
                <w:iCs w:val="0"/>
                <w:color w:val="auto"/>
                <w:kern w:val="0"/>
                <w:sz w:val="20"/>
                <w:szCs w:val="20"/>
                <w:highlight w:val="none"/>
                <w:u w:val="none"/>
                <w:lang w:val="en-US" w:eastAsia="zh-CN" w:bidi="ar"/>
              </w:rPr>
              <w:t>临建及治污减霾、冲洗设备</w:t>
            </w:r>
            <w:r>
              <w:rPr>
                <w:rFonts w:hint="eastAsia" w:ascii="宋体" w:hAnsi="宋体" w:cs="宋体"/>
                <w:i w:val="0"/>
                <w:iCs w:val="0"/>
                <w:color w:val="auto"/>
                <w:kern w:val="0"/>
                <w:sz w:val="20"/>
                <w:szCs w:val="20"/>
                <w:highlight w:val="none"/>
                <w:u w:val="none"/>
                <w:lang w:val="en-US" w:eastAsia="zh-CN" w:bidi="ar"/>
              </w:rPr>
              <w:t>、围墙</w:t>
            </w:r>
            <w:r>
              <w:rPr>
                <w:rFonts w:hint="eastAsia" w:ascii="宋体" w:hAnsi="宋体" w:eastAsia="宋体" w:cs="宋体"/>
                <w:i w:val="0"/>
                <w:iCs w:val="0"/>
                <w:color w:val="auto"/>
                <w:kern w:val="0"/>
                <w:sz w:val="20"/>
                <w:szCs w:val="20"/>
                <w:highlight w:val="none"/>
                <w:u w:val="none"/>
                <w:lang w:val="en-US" w:eastAsia="zh-CN" w:bidi="ar"/>
              </w:rPr>
              <w:t>等费用由总包承担</w:t>
            </w:r>
            <w:r>
              <w:rPr>
                <w:rFonts w:hint="eastAsia" w:ascii="宋体" w:hAnsi="宋体" w:eastAsia="宋体" w:cs="宋体"/>
                <w:i w:val="0"/>
                <w:iCs w:val="0"/>
                <w:color w:val="auto"/>
                <w:kern w:val="0"/>
                <w:sz w:val="20"/>
                <w:szCs w:val="20"/>
                <w:highlight w:val="none"/>
                <w:u w:val="single"/>
                <w:lang w:val="en-US" w:eastAsia="zh-CN" w:bidi="ar"/>
              </w:rPr>
              <w:t>100%</w:t>
            </w:r>
            <w:r>
              <w:rPr>
                <w:rFonts w:hint="eastAsia" w:ascii="宋体" w:hAnsi="宋体" w:eastAsia="宋体" w:cs="宋体"/>
                <w:i w:val="0"/>
                <w:iCs w:val="0"/>
                <w:color w:val="auto"/>
                <w:kern w:val="0"/>
                <w:sz w:val="20"/>
                <w:szCs w:val="20"/>
                <w:highlight w:val="none"/>
                <w:u w:val="none"/>
                <w:lang w:val="en-US" w:eastAsia="zh-CN" w:bidi="ar"/>
              </w:rPr>
              <w:t>。</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2、场地接收。</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9F0A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1、包含场地清理、临时施工道路、垃圾外运、地上地下障碍物拆除、洗车台设备安装、围墙砌筑。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2、场地移交。</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890D3">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1BA9E6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32"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A1E6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7B1325">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幕墙工程</w:t>
            </w:r>
            <w:r>
              <w:rPr>
                <w:rFonts w:hint="eastAsia" w:ascii="宋体" w:hAnsi="宋体" w:eastAsia="宋体" w:cs="宋体"/>
                <w:i w:val="0"/>
                <w:iCs w:val="0"/>
                <w:color w:val="auto"/>
                <w:kern w:val="0"/>
                <w:sz w:val="20"/>
                <w:szCs w:val="20"/>
                <w:highlight w:val="none"/>
                <w:u w:val="none"/>
                <w:lang w:val="en-US" w:eastAsia="zh-CN" w:bidi="ar"/>
              </w:rPr>
              <w:br w:type="textWrapping"/>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AD25A">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1、提供三线基准移交。</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2、幕墙分包进场前，负责幕墙预理件施工并确保预理件质量，若不符合质量要求需幕墙单位重新处理，费用总包承担。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3、外墙基层找平。</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4、玻璃幕墙砼及砌块背靠墙。</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5、所有与外立面工程结构有关的开洞、修补、收口。</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6、如涉及到高层脚手架主体结构施工到</w:t>
            </w:r>
            <w:r>
              <w:rPr>
                <w:rFonts w:hint="eastAsia" w:ascii="宋体" w:hAnsi="宋体" w:eastAsia="宋体" w:cs="宋体"/>
                <w:i w:val="0"/>
                <w:iCs w:val="0"/>
                <w:color w:val="auto"/>
                <w:kern w:val="0"/>
                <w:sz w:val="20"/>
                <w:szCs w:val="20"/>
                <w:highlight w:val="none"/>
                <w:u w:val="single"/>
                <w:lang w:val="en-US" w:eastAsia="zh-CN" w:bidi="ar"/>
              </w:rPr>
              <w:t>13层</w:t>
            </w:r>
            <w:r>
              <w:rPr>
                <w:rFonts w:hint="eastAsia" w:ascii="宋体" w:hAnsi="宋体" w:eastAsia="宋体" w:cs="宋体"/>
                <w:i w:val="0"/>
                <w:iCs w:val="0"/>
                <w:color w:val="auto"/>
                <w:kern w:val="0"/>
                <w:sz w:val="20"/>
                <w:szCs w:val="20"/>
                <w:highlight w:val="none"/>
                <w:u w:val="none"/>
                <w:lang w:val="en-US" w:eastAsia="zh-CN" w:bidi="ar"/>
              </w:rPr>
              <w:t>后因幕墙单位开始安装吊篮进行</w:t>
            </w:r>
            <w:r>
              <w:rPr>
                <w:rFonts w:hint="eastAsia" w:ascii="宋体" w:hAnsi="宋体" w:eastAsia="宋体" w:cs="宋体"/>
                <w:i w:val="0"/>
                <w:iCs w:val="0"/>
                <w:color w:val="auto"/>
                <w:kern w:val="0"/>
                <w:sz w:val="20"/>
                <w:szCs w:val="20"/>
                <w:highlight w:val="none"/>
                <w:u w:val="single"/>
                <w:lang w:val="en-US" w:eastAsia="zh-CN" w:bidi="ar"/>
              </w:rPr>
              <w:t>13层</w:t>
            </w:r>
            <w:r>
              <w:rPr>
                <w:rFonts w:hint="eastAsia" w:ascii="宋体" w:hAnsi="宋体" w:eastAsia="宋体" w:cs="宋体"/>
                <w:i w:val="0"/>
                <w:iCs w:val="0"/>
                <w:color w:val="auto"/>
                <w:kern w:val="0"/>
                <w:sz w:val="20"/>
                <w:szCs w:val="20"/>
                <w:highlight w:val="none"/>
                <w:u w:val="none"/>
                <w:lang w:val="en-US" w:eastAsia="zh-CN" w:bidi="ar"/>
              </w:rPr>
              <w:t>以下的外墙施工。下部外墙施工前要求总包单位在上部搭设防护设施（根据楼层具体情况，与项目部沟通后确定）。</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7、除幕墙之外的外立面防水。</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F63E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1、幕墙的施工。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2、对总包预埋件的校核及图纸变更引起的埋件后置处理。</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3、满足幕墙施工操作平台的搭设(脚手架、吊篮及其他)，专项方案通过相关单位验收。</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4、玻璃幕墙窗框、窗台的防火封堵。</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5、玻璃幕墙门窗框四周与结构处的封堵，如岩棉、镀锌铁皮等。</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6、所有幕墙施工的防水、防渗漏。</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7、施工淋水试验。</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8、交付业主前外立面清洗（内外玻璃清洗）一次。</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9、为大楼外部照明及航空障碍灯预留位置，开槽、防水等配合及协调。</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10、免费向夜景亮化施工单位、天然气施工单位提供吊篮。</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11、所有与外立面工程幕墙有关的开洞、修补、收口（如天然气立管在室外安装），图纸由相关单位提供。</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81EFA">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5FA33B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3FB46">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42736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外墙保温及涂料工程</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91A04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1、做好阳台立管等部位覆膜保护，不得提前拆除。</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2、因雨落管安装引起涂料污染、破损的相关修补费用从总包单位扣除。</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3、提供保温需要的水平线、外墙垂直线（包含室外构筑物，总包需达到垂4平4移交给分包单位）、轴线。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4、户内保温的施工。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5、窗洞口收口完成后移交分包。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6、车库采暖非采暖隔板采暖天棚（若有且为玻化微珠）</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0C33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1、外墙保温、涂料的施工；户外山墙、窗台处保温的施工。采暖与非采暖间玻化微珠（不含户内部分，户内由总包施工）。车库采暖非采暖隔板采暖天棚（若有且为FSG超细无机纤维）。</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2、屋檐、窗台、压顶等所有滴水线条清理及描黑。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3、按照相关要求，优先雨落管背后腻子、中层料施工。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4、雨落管安装引起的涂料污染、破损修补工作。</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5、EPS线条的安装及线条上的抗裂砂浆粉刷。</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6、完成脚手架孔的收口、雨落水管连墙部位的收口、空调板部位洞口处保温的封堵。</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7、在屋面、露台、首层室外散水建筑完成面以上预留细石混凝土收口面100mm。</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8、搭设满足外墙保温及涂料施工的操作平台（脚手架、吊篮及其他），专项方案通过相关单位验收。</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9、施工完成竣工验收前及交付业主前分别负责外立面清洗一次。</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10、所有外墙保温及涂料施工的防水、防渗漏。</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11、外墙雨水管及风帽与外墙颜色一致。</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12、外墙空调洞口修圆及设置保护帽。</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13、若需要赶进度，需要在玻璃安装完成后施工外墙涂料，外墙涂料应做好成品保护，因涂料施工造成外窗污染清理费用由外墙涂料施工单位承担。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14、免费向夜景亮化施工单位、天然气施工单位提供吊篮。</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15、所有与外立面工程幕墙有关的开洞、修补、收口（如天然气立管在室外安装），图纸由相关单位提供。</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E5994">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24D6B8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B67BD">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A2E0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铝合金门窗工程</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AE42D">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1、门窗洞口修补，达到安装条件。</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2、门窗框防雷引线预留预埋。</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cs="宋体"/>
                <w:i w:val="0"/>
                <w:iCs w:val="0"/>
                <w:color w:val="auto"/>
                <w:kern w:val="0"/>
                <w:sz w:val="20"/>
                <w:szCs w:val="20"/>
                <w:highlight w:val="none"/>
                <w:u w:val="none"/>
                <w:lang w:val="en-US" w:eastAsia="zh-CN" w:bidi="ar"/>
              </w:rPr>
              <w:t>3</w:t>
            </w:r>
            <w:r>
              <w:rPr>
                <w:rFonts w:hint="eastAsia" w:ascii="宋体" w:hAnsi="宋体" w:eastAsia="宋体" w:cs="宋体"/>
                <w:i w:val="0"/>
                <w:iCs w:val="0"/>
                <w:color w:val="auto"/>
                <w:kern w:val="0"/>
                <w:sz w:val="20"/>
                <w:szCs w:val="20"/>
                <w:highlight w:val="none"/>
                <w:u w:val="none"/>
                <w:lang w:val="en-US" w:eastAsia="zh-CN" w:bidi="ar"/>
              </w:rPr>
              <w:t>、门窗的防水施工。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cs="宋体"/>
                <w:i w:val="0"/>
                <w:iCs w:val="0"/>
                <w:color w:val="auto"/>
                <w:kern w:val="0"/>
                <w:sz w:val="20"/>
                <w:szCs w:val="20"/>
                <w:highlight w:val="none"/>
                <w:u w:val="none"/>
                <w:lang w:val="en-US" w:eastAsia="zh-CN" w:bidi="ar"/>
              </w:rPr>
              <w:t>4</w:t>
            </w:r>
            <w:r>
              <w:rPr>
                <w:rFonts w:hint="eastAsia" w:ascii="宋体" w:hAnsi="宋体" w:eastAsia="宋体" w:cs="宋体"/>
                <w:i w:val="0"/>
                <w:iCs w:val="0"/>
                <w:color w:val="auto"/>
                <w:kern w:val="0"/>
                <w:sz w:val="20"/>
                <w:szCs w:val="20"/>
                <w:highlight w:val="none"/>
                <w:u w:val="none"/>
                <w:lang w:val="en-US" w:eastAsia="zh-CN" w:bidi="ar"/>
              </w:rPr>
              <w:t>、提供门窗需要的水平线、外墙垂直线（包含室外构筑物，总包需达到垂4平4移交给分包单位）、轴线。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cs="宋体"/>
                <w:i w:val="0"/>
                <w:iCs w:val="0"/>
                <w:color w:val="auto"/>
                <w:kern w:val="0"/>
                <w:sz w:val="20"/>
                <w:szCs w:val="20"/>
                <w:highlight w:val="none"/>
                <w:u w:val="none"/>
                <w:lang w:val="en-US" w:eastAsia="zh-CN" w:bidi="ar"/>
              </w:rPr>
              <w:t>5</w:t>
            </w:r>
            <w:r>
              <w:rPr>
                <w:rFonts w:hint="eastAsia" w:ascii="宋体" w:hAnsi="宋体" w:eastAsia="宋体" w:cs="宋体"/>
                <w:i w:val="0"/>
                <w:iCs w:val="0"/>
                <w:color w:val="auto"/>
                <w:kern w:val="0"/>
                <w:sz w:val="20"/>
                <w:szCs w:val="20"/>
                <w:highlight w:val="none"/>
                <w:u w:val="none"/>
                <w:lang w:val="en-US" w:eastAsia="zh-CN" w:bidi="ar"/>
              </w:rPr>
              <w:t>、地下室功能房间门除单元门与防火门外均在总包范围</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B9311">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1、门窗的供货及安装。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2、门窗框防雷接地连接。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cs="宋体"/>
                <w:i w:val="0"/>
                <w:iCs w:val="0"/>
                <w:color w:val="auto"/>
                <w:kern w:val="0"/>
                <w:sz w:val="20"/>
                <w:szCs w:val="20"/>
                <w:highlight w:val="none"/>
                <w:u w:val="none"/>
                <w:lang w:val="en-US" w:eastAsia="zh-CN" w:bidi="ar"/>
              </w:rPr>
              <w:t>3</w:t>
            </w:r>
            <w:r>
              <w:rPr>
                <w:rFonts w:hint="eastAsia" w:ascii="宋体" w:hAnsi="宋体" w:eastAsia="宋体" w:cs="宋体"/>
                <w:i w:val="0"/>
                <w:iCs w:val="0"/>
                <w:color w:val="auto"/>
                <w:kern w:val="0"/>
                <w:sz w:val="20"/>
                <w:szCs w:val="20"/>
                <w:highlight w:val="none"/>
                <w:u w:val="none"/>
                <w:lang w:val="en-US" w:eastAsia="zh-CN" w:bidi="ar"/>
              </w:rPr>
              <w:t>、门窗框与结构洞口间的发泡剂塞缝。门窗框与结构洞口间的抹灰塞缝、收口。</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4、门窗室外打胶收口（室内打胶收口由精装单位负责）。</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5、玻璃进场前内外贴膜保护、窗框进场前贴膜保护，移交精装前进行清理。</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6、淋水实验、内外窗清洗。</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7、移交精装前进行淋水试验。</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8、成品保护。</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F9883">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14F55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3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74508">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D9AD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铁艺栏杆及钢结构工程</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456EC">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1、楼梯栏杆的供货及安装。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2、栏杆预埋板预埋。</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3、栏杆及钢结构防雷引线预留预埋。</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4、室内护窗栏杆</w:t>
            </w:r>
            <w:r>
              <w:rPr>
                <w:rFonts w:hint="eastAsia" w:ascii="宋体" w:hAnsi="宋体" w:cs="宋体"/>
                <w:i w:val="0"/>
                <w:iCs w:val="0"/>
                <w:color w:val="FF0000"/>
                <w:kern w:val="0"/>
                <w:sz w:val="20"/>
                <w:szCs w:val="20"/>
                <w:highlight w:val="none"/>
                <w:u w:val="none"/>
                <w:lang w:val="en-US" w:eastAsia="zh-CN" w:bidi="ar"/>
              </w:rPr>
              <w:t>、</w:t>
            </w:r>
            <w:r>
              <w:rPr>
                <w:rFonts w:hint="eastAsia" w:ascii="宋体" w:hAnsi="宋体" w:eastAsia="宋体" w:cs="宋体"/>
                <w:color w:val="FF0000"/>
                <w:sz w:val="20"/>
                <w:szCs w:val="20"/>
                <w:lang w:val="en-US" w:eastAsia="zh-CN" w:bidi="ar"/>
              </w:rPr>
              <w:t>露台、阳台栏板</w:t>
            </w:r>
            <w:r>
              <w:rPr>
                <w:rFonts w:hint="eastAsia" w:ascii="宋体" w:hAnsi="宋体" w:eastAsia="宋体" w:cs="宋体"/>
                <w:i w:val="0"/>
                <w:iCs w:val="0"/>
                <w:color w:val="auto"/>
                <w:kern w:val="0"/>
                <w:sz w:val="20"/>
                <w:szCs w:val="20"/>
                <w:highlight w:val="none"/>
                <w:u w:val="none"/>
                <w:lang w:val="en-US" w:eastAsia="zh-CN" w:bidi="ar"/>
              </w:rPr>
              <w:t>由总包单位收口。</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5DCA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1、栏杆（不含楼梯栏杆）及钢结构的供货及安装。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2、栏杆及钢结构防雷接地连接。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3、成品保护。</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807FF8">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77E1CE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12A87">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89810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电梯采购</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5A22F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1、电梯移交给总包单位后至电梯移交给物业公司前的成品保护工作。</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EC08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1、电梯移交给总包单位前的成品保护工作。</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2、轿厢装修。</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3225B">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443D67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79E41">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D0B0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电梯安装</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B017D">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1、电梯机房内的电梯双电源配电箱安装及进线敷设，包括电源箱之前的配管、桥架的安装。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2、无机房电梯动力电源至井道内的隔离开关箱，包括电源箱之前的配管、桥架的安装。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3、电梯电源配电箱出线回路之后的到电梯专用控制箱前的所有工作。</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4、所有层门预留孔必须设置不低于1.2米高的安全保护，且应有足够的强度。</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5、电梯外呼洞及消防急停洞预留。</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6、按照电梯深化图纸完成电梯机房内土建工程。</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7、提供电梯安装建筑1m线标高。</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8、使用前电梯轿厢内安装阻燃板进行成品保护。</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34AF9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1、电梯专用控制箱（含）以后的所有与电梯相关的工作。</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2、从隔离开关箱下口开始以后的所有工作，含电梯井道照明、插座电源等。</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3、按照电梯深化图纸完成电梯机房内土建工程，除此以外所有土建问题（总包需按深化图纸及规范要求完成井道施工）由电梯安装单位自行提供解决方案，并承担相应费用。</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4、电梯厅门与结构预留洞口之间的收口由公共部分装修单位完成。</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5、电梯五方对讲从电梯机房至消控室由安防单位敷设线缆，其余部分由电梯单位施工完成。</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6、梯控的配合调试。</w:t>
            </w:r>
          </w:p>
          <w:p w14:paraId="6D21BCBC">
            <w:pPr>
              <w:pStyle w:val="22"/>
              <w:keepNext w:val="0"/>
              <w:keepLines w:val="0"/>
              <w:suppressLineNumbers w:val="0"/>
              <w:spacing w:before="0" w:beforeAutospacing="0" w:after="0" w:afterAutospacing="0"/>
              <w:ind w:left="0" w:right="0"/>
              <w:rPr>
                <w:rFonts w:hint="eastAsia"/>
              </w:rPr>
            </w:pPr>
            <w:r>
              <w:rPr>
                <w:rFonts w:hint="default" w:ascii="Times New Roman" w:hAnsi="Times New Roman" w:eastAsia="宋体" w:cs="Times New Roman"/>
                <w:color w:val="FF0000"/>
                <w:kern w:val="2"/>
                <w:sz w:val="20"/>
                <w:szCs w:val="20"/>
                <w:lang w:val="en-US" w:eastAsia="zh-CN" w:bidi="ar"/>
              </w:rPr>
              <w:t>7</w:t>
            </w:r>
            <w:r>
              <w:rPr>
                <w:rFonts w:hint="eastAsia" w:ascii="Times New Roman" w:hAnsi="Times New Roman" w:eastAsia="宋体" w:cs="Times New Roman"/>
                <w:color w:val="FF0000"/>
                <w:kern w:val="2"/>
                <w:sz w:val="20"/>
                <w:szCs w:val="20"/>
                <w:lang w:val="en-US" w:eastAsia="zh-CN" w:bidi="ar"/>
              </w:rPr>
              <w:t>、交付前电梯使用过程出现第三方责任故障的，负责配合维修，费用由责任方转扣至维修方</w:t>
            </w:r>
            <w:r>
              <w:rPr>
                <w:rFonts w:hint="eastAsia" w:ascii="Times New Roman" w:hAnsi="Times New Roman" w:eastAsia="宋体" w:cs="Times New Roman"/>
                <w:kern w:val="2"/>
                <w:sz w:val="20"/>
                <w:szCs w:val="20"/>
                <w:lang w:val="en-US" w:eastAsia="zh-CN" w:bidi="ar"/>
              </w:rPr>
              <w:t>。</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E558A">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6AF53F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0"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8A66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8</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6505F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景观绿化工程</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6EE85">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1、住宅楼四周土方回填至正负零以下30cm,车库顶板土方回填至正负零以下30cm（包含鹅卵石和土工布滤水层、聚苯板）。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2、为景观用水按图预留并安装阀门。</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3、桥架、管路、线缆至景观总配电箱的施工。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4、室外管井闭水试验，清理完成后移交景观单位。</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A713D">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1、室外道路（含沥青道路）、苗木、小区围墙（含基础）、小品、路灯、幼儿设施、健身器材、成品岗亭、电井、水井上井盖及升降井的施工。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2、进绿化花池的给水水源布管、电源布线施工。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3、线性排水沟基础的施工、结构安装及面层铺装施工。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4、从雨水收集口至雨水井之间的施工。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5、室外踏步、平台及残疾人坡道的面层及室外栏杆的施工。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6、场区表层300mm高的种植土、修坡、造型的施工。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7、从预留点位后管路的施工。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 xml:space="preserve">8、自景观总配电箱之后的全部景观配电系统的施工（含箱体安装及箱体基础）。 </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9、室外管井升降井、井盖安装及清理完成后移交总包单位。</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10、硬质铺装及园路基础夯实施工。</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395AA">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0CDE87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5F745">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9</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D1D9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标识工程</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ECF50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1、室内发光电源线由总包单位预留至标识点位处（室外发光电源线由景观单位预留至标识点位处）。</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1588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1、标识的施工。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2、发光标识末端接线。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3、标识施工时做好入户门及墙面成品保护。</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E3A5E1">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29CBC7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2"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CEFE3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10</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F194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车库划线</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C4EB6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1、室内发光电源线由总包单位预留至标识点位处（室外发光电源线由景观单位预留至标识点位处）。</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AE16C">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1、车库地面划线；车库柱面、墙面分区色块喷漆。</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58998D">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7CD4B4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55EA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B44F9">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高低压变配电工程（专变）</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3FA4EC">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1、专变配电室内设备基础、电缆沟道、接地装置、装修的施工。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2、所有电缆桥架的供货及安装。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3、由专变配电室至各设备房、商业和幼儿园的低压电缆的供货及安装。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4、进出线套管内封堵。</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5、专变内临电通电施工。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6、低压配电柜至发电机组的电缆的供货及安装，并负责电缆和发电机组的连接工作。</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0798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1、由环网柜至专变配电室的高压电缆的供货及安装，专变配电室内高低压变配电设备、高低压电缆和母线等的供货及安装。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2、供电主管部门要求的其它供电配套设备的供货及安装（含通讯设备、远控、计量等）。</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3、绝缘垫的供货及安装。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4、专变内挡鼠板的供货及安装。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5、本项目专变的通电调试和验收工作，并完成正式用电手续的办理。</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6、高压电缆及设备标示标牌制作安装。</w:t>
            </w:r>
          </w:p>
        </w:tc>
        <w:tc>
          <w:tcPr>
            <w:tcW w:w="91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96B1A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2DD7DD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43"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35B4F7">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4C73B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高低压变配电工程（公变）</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F9CB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1、环网室、公变配电室内通风、设备基础、电缆沟道、电缆沟盖板、接地装置、装修的施工。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2、所有电缆桥架的供货及安装、标识。</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3、各单体楼内低压配电间照明配电柜至住宅电表箱的低压电缆的供货及安装。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4、公变内气体灭火泄压口预留及收口。</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5、进出线套管内封堵。</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6、照明按照二次设计图纸施工。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7、公变内临电通电施工。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8、车库接线间内充电桩总配电箱的供货及安装。</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B954E">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1、由红线外供电部门提供的电源点至本项目环网柜的高压电缆的供货及安装（主、备两路电源）；环网柜的供货及安装。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2、由环网柜至公变配电室的高压电缆的供货及安装；公变配电室内高低压变配电设备、高低压电缆和母线等的供货及安装。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3、由公变配电室至各单体楼内低压配电间照明配电柜的低压电缆的供货及安装；各单体楼内住宅电表箱、预付费电表的供货及安装。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4、由公变配电柜至充电桩电表箱的低压电缆的供货及安装(不含充电桩配电柜)；充电桩电表箱（不含预付费电表）的供货及安装。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5、供电主管部门要求的其它供电配套设备的供货及安装（含通讯设备、远控、计量等）。</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6、绝缘垫的供货及安装。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7、公变内挡鼠板的供货及安装。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8、供电局材料、设备进场后进行看护。</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9、本项目公变的通电调试和验收工作，并完成正式用电手续的办理。</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10、高压电缆及设备标示标牌制作安装。</w:t>
            </w:r>
          </w:p>
        </w:tc>
        <w:tc>
          <w:tcPr>
            <w:tcW w:w="91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71E15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0A6B74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F0F88">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68BC8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安防工程</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92CE8">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1、总包合同图纸范围内所有弱电桥架、线槽、线管及户内弱电箱的供货及安装，负责所有各专业线槽、桥架的防火封堵。（不含专业弱电设备）。</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2、敷设电源线缆至弱电系统总配电箱上口（含电源线缆接驳），负责总配电箱供货及安装。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3、弱电一二次结构预留预埋暗配管、明配管及引线施工，及相关接地预留点。</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4、弱电机房、弱电竖井内所有照明、弱电电源插座供货及安装。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5、机房装修的施工（不含防静电地板）。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6、远程预付费管理系统及能源管理系统由总包施工，包含配电箱内的模块、设备主机、运行软件及线缆，在配电箱技术要求内明确描述。</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505E5">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1、桥架、线槽内自身线缆的敷设等工作，负责总包图纸范围以外的所有弱电桥架、线槽、线管的供货及安装。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2、弱电系统总配电箱下口之后的所有配电系统供货及安装。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3、从弱电箱中各模块出线线缆的接线及调试。</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4、所有弱电线缆的供货、安装及设备接地。</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5、从总包提供的电源接驳点接驳。</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6、岗亭电源点之后的智能系统供货及安装。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7、所有的车管系统（含智能寻车摄像头桥架）设备、线缆的供货及安装。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8、机房内所有弱电工程的施工。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9、防静电地板、接地装置的供货及安装。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10、机房空调的供货及安装。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11、负责电井至户内弱电箱线缆的供货及安装。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12、电梯五方对讲从电梯机房至消控室由安防单位敷设线缆，其余部分由电梯单位施工完成。</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13、梯控供货及安装。</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19C23E">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262F6F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60"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77D1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14</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3566D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cs="宋体"/>
                <w:i w:val="0"/>
                <w:iCs w:val="0"/>
                <w:color w:val="auto"/>
                <w:kern w:val="0"/>
                <w:sz w:val="20"/>
                <w:szCs w:val="20"/>
                <w:highlight w:val="none"/>
                <w:u w:val="none"/>
                <w:lang w:val="en-US" w:eastAsia="zh-CN" w:bidi="ar"/>
              </w:rPr>
              <w:t>火灾报警</w:t>
            </w:r>
            <w:r>
              <w:rPr>
                <w:rFonts w:hint="eastAsia" w:ascii="宋体" w:hAnsi="宋体" w:eastAsia="宋体" w:cs="宋体"/>
                <w:i w:val="0"/>
                <w:iCs w:val="0"/>
                <w:color w:val="auto"/>
                <w:kern w:val="0"/>
                <w:sz w:val="20"/>
                <w:szCs w:val="20"/>
                <w:highlight w:val="none"/>
                <w:u w:val="none"/>
                <w:lang w:val="en-US" w:eastAsia="zh-CN" w:bidi="ar"/>
              </w:rPr>
              <w:t>工程</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3E97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FF0000"/>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1、消防电系统一二次结构预留预埋管路、引线及相关接地预留点；负责合同图纸范围内所有消防桥架、线槽的供货及安装，负责所有各专业线槽、桥架的防火封堵。</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2、为消防报警及联动控制系统的模块控制箱、电伴热等提供电源接驳点。</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3、消防水泵双电源配电箱安装及进线电缆敷设，包括消防泵房内的所有的消防的配管、桥架的安装。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4、将电源电缆敷设至消防控制室电源配电箱上口并压接（含配电箱安装），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5、消防泵房、消防控制室内电源配电箱重复接地的接驳及施工，负责接驳点引至设备基础处。</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6、提供配电箱、柜在消防状态下需要强切掉的配电回路的消防强切接线端子。</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7、全部消防应急灯具及疏散指示系统的设备、灯具的供货及安装，消防应急灯具及疏散指示系统的设备预留消防系统接口，负责消防应急灯具及疏散指示系统单机调试，配合上述系统联动调试。</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8、防火卷帘门电源及控制线管预留预埋；负责卷帘门与墙体之间的填缝及封堵。</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9、敷设电源线缆至卷帘门控制箱上口并完成压接，包括配管工作。</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FF0000"/>
                <w:kern w:val="0"/>
                <w:sz w:val="20"/>
                <w:szCs w:val="20"/>
                <w:highlight w:val="none"/>
                <w:u w:val="none"/>
                <w:lang w:val="en-US" w:eastAsia="zh-CN" w:bidi="ar"/>
              </w:rPr>
              <w:t>10、余压系统 、消防电源监控系统、电气火灾监控系统配电箱内的控制模块由分包提供给总包的配电箱成套厂进行安装，其余施工均由分包完成。</w:t>
            </w:r>
          </w:p>
          <w:p w14:paraId="6CB624AE">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11、一氧化碳检测的供货及安装。</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087AE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1、负责除消防应急灯具及疏散指示系统外消防明配管、金属软管及设备接地，负责桥架、线槽内自身线缆的敷设等工作。</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2、负责从总包提供的电源接驳点接驳，并完成控制箱（含）及其下口之后的消防火灾报警系统施工。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3、消防电源配电箱出线回路之后的到消防专用控制箱（含）以后的所有与消防相关的工作。</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4、负责从消防控制室的电源配电箱下口之后到消防设备的配电系统施工。包括UPS电源供货安装。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5、负责自身消防设备及基础与总包预留的接地点接驳。</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6、负责消防控制模块与总包提供的被强切回路断路器接线端子接驳。</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7、负责消防应急照明及疏散指示系统设备消防接口之后至消防中控室之间的全部工作。负责消防应急照明及疏散指示系统联动调试。</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8、负责卷帘门控制箱（不含）之后的模块及管线供货及安装、卷帘门的联动调试等工作。</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10、增加气体灭火和火探管的施工。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11、配合公装进行设备安装并进行调试。</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 xml:space="preserve">12、吊顶内从预埋线盒至设备的线缆敷设及套管安装。    </w:t>
            </w:r>
            <w:r>
              <w:rPr>
                <w:rFonts w:hint="eastAsia" w:ascii="宋体" w:hAnsi="宋体" w:eastAsia="宋体" w:cs="宋体"/>
                <w:i w:val="0"/>
                <w:iCs w:val="0"/>
                <w:color w:val="FF0000"/>
                <w:kern w:val="0"/>
                <w:sz w:val="20"/>
                <w:szCs w:val="20"/>
                <w:highlight w:val="none"/>
                <w:u w:val="none"/>
                <w:lang w:val="en-US" w:eastAsia="zh-CN" w:bidi="ar"/>
              </w:rPr>
              <w:t>13、余压系统 、消防电源监控系统、电气火灾监控系统由分包施工，包含配电箱内的模块（模块仅供货不含安装、移交给总包的配电箱成套厂进行安装）、系统设备主机、信号传输设备、运行软件及线缆等整套系统的安装调试。</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74864">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021F25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3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65D37">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15</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1B29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夜景亮化工程</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1C256">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1、负责将电源电缆敷设至泛光照明电源配电箱（不含）并预留并压接。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2、负责泛光相关接地预留点。</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5C0CA">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1、负责泛光照明电源配电箱（含）下口之后的配电系统施工。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2、负责相关设备到接地预留点接驳。</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3、负责外墙线槽、线管、变压器箱与外墙颜色一致。</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F4C85">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2AF895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6FF4D">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16</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46EFA7">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供热（一次热网）</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6289A">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7ED1C">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一次热网工程材料、土建和安装施工</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0E6D2">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65AD57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48087">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17</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5F15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换热站工程</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44A8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总包负责负责二次网采暖管道、阀门及热表的安装；负责总电源线缆敷设至热力站内电源箱上口，完成电缆压接；设计图纸中的柜子进线、出线预埋管、插座及照明回路、潜污泵控制回路；负责地沟、集水坑、压力排污系统、设备基础的施工；负责墙地面、通风系统的施工；负责自来水表（含）之前的给水管道施工。</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7BFC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负责负责热力站或集中锅炉房内所有与供暖系统相关设备及管线的供货安装，负责一次网管道阀门及热表的安装；换热站内供热用配电柜及出线。</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A6D61">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647CFE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40"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F4157">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18</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899CF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自来水</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B9D4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1、图纸范围内给水系统所有管道、阀门及附属设施的供货及安装。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2、消防水池、高位水箱、商业、热交换站、人防、景观、幼儿园、公厕、社区用房等区域市政计量总自来水表之后的水表的供货及安装。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3、配合自来水公司要求进行市政计量水表安装及管路拆改。</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789B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1、红线内第一个水表井内市政计量总自来水表及井内阀门的供货及安装。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2、消防水池、高位水箱、商业、热交换站、人防、景观、幼儿园、公厕、社区用房等区域市政计量总自来水表的供货及安装。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3、水暖井内户表的供货及安装，具体参照水司挂表要求。</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E8B86">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569BC3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6AA7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19</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AE28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天然气</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35D75">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1、提供燃气报警器电源，并安装插座面板。</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2、立管洞口开洞、修补及吊洞（如天然气立管在室内安装）。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3、天然气入户管外墙开洞及封堵（如天然气立管在室外安装）。</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A16AC">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1、室内外所有的燃气管道及附属设施的供货及安装。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2、天然气表的供货及安装。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3、厨房燃气报警器的供货。(根据实际情况确定单位。)</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07A4CB">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53A0FE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F7848">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20</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961E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有线电视</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F2BAC5">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1、提供专用的电源配电箱/表箱/电源点，此箱/点（含）之前的所有工作内容。</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2、提供管线通道，包括桥架、暗配管及穿引线等工作内容。</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3、总包合同图纸范围内所有弱电桥架、线槽的供应及安装，负责所有各专业线槽、桥架的防火封堵。</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346C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1、电源配电箱/表箱/电源点之后的所有工作内容。</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2、有线电视明配管的供货及安装，有限电视线缆、面板的供货及安装。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3、桥架、线槽内自身线缆的敷设和标示等工作，负责总包图纸范围以外的所有弱电桥架、线槽的供应及安装。</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C7EBE">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518BE1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046B1">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21</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E95D5">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网络（电信、移动、联通）</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648DCA">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1、提供专用的电源配电箱/表箱/电源点，此箱/点（含）之前的所有工作内容。</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2、提供管线通道，包括桥架、暗配管及穿引线等工作内容。</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3、总包合同图纸范围内所有弱电桥架、线槽的供应及安装，负责所有各专业线槽、桥架的防火封堵。</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641F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1、网络、电话设备的供应及安装。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2、桥架、线槽内自身线缆的敷设等工作，负责总包图纸范围以外的所有弱电桥架、线槽、明配管的供应及安装。       3、除有线电视点位外三网的弱电箱到弱电点位之间的穿线及弱电点位面板的安装。</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B6E97">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52AE41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8A3E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22</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38F9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发电机组</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52752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1、设备基础的施工及接地预留。</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2、低压配电柜至发电机组的电缆的供货及安装，并负责电缆和发电机组的连接工作。</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3、发电机排烟管和排烟竖井连接处的收口工作。</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4、发电机组与储油间油路管线的预埋。</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5、储油间挡油台砌筑。</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6、发电机组自启线的供货及安装。</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8FD96">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1、设备供货及安装，配合总包进行调试及验收。</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2、室外加油口至备用油箱间及发电机组的油路管道连接并收口。</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3、发电机组的排烟管路制作安装（接至发电机房排烟竖井）等连接电缆之后的所有工作。</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4、发电机接地与预留接地的连接。</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E06C5">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35F401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B09E3">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23</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6D46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供水设备</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（潜污泵、消防泵、消防稳压设备全部乙供）</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79F16">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1、设备基础的施工。</w:t>
            </w:r>
            <w:r>
              <w:rPr>
                <w:rFonts w:hint="default" w:ascii="宋体" w:hAnsi="宋体" w:eastAsia="宋体" w:cs="宋体"/>
                <w:i w:val="0"/>
                <w:iCs w:val="0"/>
                <w:color w:val="FF0000"/>
                <w:kern w:val="0"/>
                <w:sz w:val="20"/>
                <w:szCs w:val="20"/>
                <w:highlight w:val="none"/>
                <w:u w:val="none"/>
                <w:lang w:val="en-US" w:eastAsia="zh-CN" w:bidi="ar"/>
              </w:rPr>
              <w:t>2</w:t>
            </w:r>
            <w:r>
              <w:rPr>
                <w:rFonts w:hint="eastAsia" w:ascii="宋体" w:hAnsi="宋体" w:eastAsia="宋体" w:cs="宋体"/>
                <w:i w:val="0"/>
                <w:iCs w:val="0"/>
                <w:color w:val="FF0000"/>
                <w:kern w:val="0"/>
                <w:sz w:val="20"/>
                <w:szCs w:val="20"/>
                <w:highlight w:val="none"/>
                <w:u w:val="none"/>
                <w:lang w:val="en-US" w:eastAsia="zh-CN" w:bidi="ar"/>
              </w:rPr>
              <w:t>、设备配管，放线；</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5B39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1、设备的供货及安装。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2、配合总包进行调试及验收。</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7A98A">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1098EA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6"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423C7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24</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E970D">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隔油设备、污水提升设备</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5A743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1、设备基础的施工。</w:t>
            </w:r>
            <w:r>
              <w:rPr>
                <w:rFonts w:hint="default" w:ascii="宋体" w:hAnsi="宋体" w:eastAsia="宋体" w:cs="宋体"/>
                <w:i w:val="0"/>
                <w:iCs w:val="0"/>
                <w:color w:val="FF0000"/>
                <w:kern w:val="0"/>
                <w:sz w:val="20"/>
                <w:szCs w:val="20"/>
                <w:highlight w:val="none"/>
                <w:u w:val="none"/>
                <w:lang w:val="en-US" w:eastAsia="zh-CN" w:bidi="ar"/>
              </w:rPr>
              <w:t>2</w:t>
            </w:r>
            <w:r>
              <w:rPr>
                <w:rFonts w:hint="eastAsia" w:ascii="宋体" w:hAnsi="宋体" w:eastAsia="宋体" w:cs="宋体"/>
                <w:i w:val="0"/>
                <w:iCs w:val="0"/>
                <w:color w:val="FF0000"/>
                <w:kern w:val="0"/>
                <w:sz w:val="20"/>
                <w:szCs w:val="20"/>
                <w:highlight w:val="none"/>
                <w:u w:val="none"/>
                <w:lang w:val="en-US" w:eastAsia="zh-CN" w:bidi="ar"/>
              </w:rPr>
              <w:t>、设备配管，放线；</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5954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1、设备供货及安装，配合总包进行调试及验收。</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76F03">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39A7A1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46293">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25</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00CC89">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7E3BDF">
            <w:pPr>
              <w:keepNext w:val="0"/>
              <w:keepLines w:val="0"/>
              <w:widowControl/>
              <w:numPr>
                <w:ilvl w:val="0"/>
                <w:numId w:val="15"/>
              </w:numPr>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地面结构层地辐热垫层完、墙面砌体抹灰完、顶棚结构层完成，吊顶预留相关专业孔洞。</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2、单元门：总包完成结构洞口、抹灰层。</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3、总包及公装间防水界面：户内总包做完防水层移交给装修。</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4、商业公共区域简单精装由总包施工。</w:t>
            </w:r>
          </w:p>
          <w:p w14:paraId="0F9FB954">
            <w:pPr>
              <w:pStyle w:val="22"/>
              <w:keepNext w:val="0"/>
              <w:keepLines w:val="0"/>
              <w:numPr>
                <w:ilvl w:val="0"/>
                <w:numId w:val="0"/>
              </w:numPr>
              <w:suppressLineNumbers w:val="0"/>
              <w:spacing w:before="0" w:beforeAutospacing="0" w:after="0" w:afterAutospacing="0"/>
              <w:ind w:left="0" w:right="0"/>
              <w:rPr>
                <w:rFonts w:hint="eastAsia"/>
                <w:color w:val="FF0000"/>
              </w:rPr>
            </w:pPr>
            <w:r>
              <w:rPr>
                <w:rFonts w:hint="eastAsia"/>
                <w:color w:val="FF0000"/>
              </w:rPr>
              <w:t>5、水暖电井内的防水，粉刷，刮白。</w:t>
            </w:r>
          </w:p>
          <w:p w14:paraId="3E899E44">
            <w:pPr>
              <w:pStyle w:val="22"/>
              <w:keepNext w:val="0"/>
              <w:keepLines w:val="0"/>
              <w:numPr>
                <w:ilvl w:val="0"/>
                <w:numId w:val="0"/>
              </w:numPr>
              <w:suppressLineNumbers w:val="0"/>
              <w:spacing w:before="0" w:beforeAutospacing="0" w:after="0" w:afterAutospacing="0"/>
              <w:ind w:left="0" w:right="0"/>
              <w:rPr>
                <w:rFonts w:hint="eastAsia"/>
                <w:color w:val="FF0000"/>
              </w:rPr>
            </w:pPr>
            <w:r>
              <w:rPr>
                <w:rFonts w:hint="eastAsia"/>
                <w:color w:val="FF0000"/>
              </w:rPr>
              <w:t>6、楼梯间刮白。</w:t>
            </w:r>
          </w:p>
          <w:p w14:paraId="211FBC01">
            <w:pPr>
              <w:pStyle w:val="22"/>
              <w:keepNext w:val="0"/>
              <w:keepLines w:val="0"/>
              <w:numPr>
                <w:ilvl w:val="0"/>
                <w:numId w:val="0"/>
              </w:numPr>
              <w:suppressLineNumbers w:val="0"/>
              <w:spacing w:before="0" w:beforeAutospacing="0" w:after="0" w:afterAutospacing="0"/>
              <w:ind w:left="0" w:right="0"/>
              <w:rPr>
                <w:rFonts w:hint="eastAsia"/>
              </w:rPr>
            </w:pP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70DC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1、面层施工。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2、单元门：门框或门套线与精装面层的收口、打胶，成品保护。</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3、总包及公装间防水界面：连廊装修含防水由装修单位施工。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4、装修区域吊顶开洞施工。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5、电梯层门配合验收的防火封堵。</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66C67">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002BDB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9"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E67593">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26</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098D8">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防火门</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6DD88">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1、门洞口修补，达到安装条件。</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2、门框与门洞口间的塞缝、水泥砂浆收口。</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3、提供建筑1m线。</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9592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1、防火门供货及安装，配合总包进行调试及验收。</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2、机械闭门器供货及安装，顺序闭门器供货及安装。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3、成品保护。</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19A15">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0770BC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91163">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27</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18BA5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入户门</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A9E28">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1、门洞口修补，达到安装条件。</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2、门框与门洞口间的塞缝、水泥砂浆收口。</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3、提供建筑1m线。</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F6BC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1、入户门供货及安装，配合总包进行调试及验收。</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2、负责入户门槛、门框的灌浆及成品保护。。</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1D602E">
            <w:pPr>
              <w:keepNext w:val="0"/>
              <w:keepLines w:val="0"/>
              <w:suppressLineNumbers w:val="0"/>
              <w:spacing w:before="0" w:beforeAutospacing="0" w:after="0" w:afterAutospacing="0"/>
              <w:ind w:left="0" w:right="0"/>
              <w:jc w:val="left"/>
              <w:outlineLvl w:val="9"/>
              <w:rPr>
                <w:rFonts w:hint="eastAsia" w:ascii="宋体" w:hAnsi="宋体" w:eastAsia="宋体" w:cs="宋体"/>
                <w:i w:val="0"/>
                <w:iCs w:val="0"/>
                <w:color w:val="auto"/>
                <w:sz w:val="20"/>
                <w:szCs w:val="20"/>
                <w:highlight w:val="none"/>
                <w:u w:val="none"/>
              </w:rPr>
            </w:pPr>
          </w:p>
        </w:tc>
      </w:tr>
      <w:tr w14:paraId="39A167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2" w:hRule="atLeast"/>
        </w:trPr>
        <w:tc>
          <w:tcPr>
            <w:tcW w:w="4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EF36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28</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3337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光伏发电</w:t>
            </w:r>
          </w:p>
        </w:tc>
        <w:tc>
          <w:tcPr>
            <w:tcW w:w="56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D839D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1、基础部分：按照光伏发电单位图纸进行预留预埋及基础施工。</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2、安装部分：预留电源至控制箱。</w:t>
            </w:r>
          </w:p>
        </w:tc>
        <w:tc>
          <w:tcPr>
            <w:tcW w:w="55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8C64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1、光伏组件、汇流箱、逆变器等光伏发电设备的供货及安装（含控制箱），配合总包进行调试及验收。</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2、光伏组件至汇流箱、逆变器、控制箱的电缆的供货及安装。</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3、成套软件系统的设计安装调试。</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4、场地内自行考虑材料设备倒运。</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615F6">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r>
    </w:tbl>
    <w:p w14:paraId="65D2B267">
      <w:pPr>
        <w:pStyle w:val="255"/>
        <w:ind w:left="0" w:leftChars="0" w:firstLine="0" w:firstLineChars="0"/>
        <w:outlineLvl w:val="9"/>
        <w:rPr>
          <w:color w:val="auto"/>
          <w:highlight w:val="none"/>
        </w:rPr>
      </w:pPr>
    </w:p>
    <w:p w14:paraId="7551E3F1">
      <w:pPr>
        <w:spacing w:line="360" w:lineRule="auto"/>
        <w:outlineLvl w:val="9"/>
        <w:rPr>
          <w:rFonts w:hint="eastAsia" w:cs="宋体" w:asciiTheme="minorEastAsia" w:hAnsiTheme="minorEastAsia" w:eastAsiaTheme="minorEastAsia"/>
          <w:color w:val="auto"/>
          <w:szCs w:val="21"/>
          <w:highlight w:val="none"/>
        </w:rPr>
        <w:sectPr>
          <w:footerReference r:id="rId21" w:type="first"/>
          <w:footerReference r:id="rId20" w:type="default"/>
          <w:pgSz w:w="16838" w:h="11900" w:orient="landscape"/>
          <w:pgMar w:top="1361" w:right="1134" w:bottom="1361" w:left="1134" w:header="567" w:footer="567" w:gutter="0"/>
          <w:pgBorders>
            <w:top w:val="none" w:sz="0" w:space="0"/>
            <w:left w:val="none" w:sz="0" w:space="0"/>
            <w:bottom w:val="none" w:sz="0" w:space="0"/>
            <w:right w:val="none" w:sz="0" w:space="0"/>
          </w:pgBorders>
          <w:cols w:space="0" w:num="1"/>
          <w:titlePg/>
          <w:docGrid w:linePitch="312" w:charSpace="0"/>
        </w:sectPr>
      </w:pPr>
      <w:r>
        <w:rPr>
          <w:rFonts w:hint="eastAsia" w:cs="宋体" w:asciiTheme="minorEastAsia" w:hAnsiTheme="minorEastAsia" w:eastAsiaTheme="minorEastAsia"/>
          <w:color w:val="auto"/>
          <w:szCs w:val="21"/>
          <w:highlight w:val="none"/>
        </w:rPr>
        <w:t>注：界面划分后期更新后以更新后的为准。</w:t>
      </w:r>
    </w:p>
    <w:p w14:paraId="029739D5">
      <w:pPr>
        <w:pStyle w:val="22"/>
        <w:outlineLvl w:val="9"/>
        <w:rPr>
          <w:color w:val="auto"/>
          <w:highlight w:val="none"/>
        </w:rPr>
      </w:pPr>
    </w:p>
    <w:tbl>
      <w:tblPr>
        <w:tblStyle w:val="56"/>
        <w:tblW w:w="1401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65"/>
        <w:gridCol w:w="1575"/>
        <w:gridCol w:w="3720"/>
        <w:gridCol w:w="4125"/>
        <w:gridCol w:w="3525"/>
      </w:tblGrid>
      <w:tr w14:paraId="6AAC00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5" w:hRule="atLeast"/>
        </w:trPr>
        <w:tc>
          <w:tcPr>
            <w:tcW w:w="14010" w:type="dxa"/>
            <w:gridSpan w:val="5"/>
            <w:tcBorders>
              <w:top w:val="nil"/>
              <w:left w:val="nil"/>
              <w:bottom w:val="nil"/>
              <w:right w:val="nil"/>
            </w:tcBorders>
            <w:shd w:val="clear" w:color="auto" w:fill="FFFFFF"/>
            <w:vAlign w:val="center"/>
          </w:tcPr>
          <w:p w14:paraId="3412F8F7">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32"/>
                <w:szCs w:val="32"/>
                <w:highlight w:val="none"/>
                <w:u w:val="none"/>
              </w:rPr>
            </w:pPr>
            <w:r>
              <w:rPr>
                <w:rFonts w:hint="eastAsia" w:ascii="宋体" w:hAnsi="宋体" w:eastAsia="宋体" w:cs="宋体"/>
                <w:b/>
                <w:bCs/>
                <w:i w:val="0"/>
                <w:iCs w:val="0"/>
                <w:color w:val="auto"/>
                <w:kern w:val="0"/>
                <w:sz w:val="32"/>
                <w:szCs w:val="32"/>
                <w:highlight w:val="none"/>
                <w:u w:val="none"/>
                <w:lang w:val="en-US" w:eastAsia="zh-CN" w:bidi="ar"/>
              </w:rPr>
              <w:t>公共区域装修与总包界面明细表</w:t>
            </w:r>
          </w:p>
        </w:tc>
      </w:tr>
      <w:tr w14:paraId="6117F1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640" w:type="dxa"/>
            <w:gridSpan w:val="2"/>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36FE1709">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分项工程名称</w:t>
            </w:r>
          </w:p>
        </w:tc>
        <w:tc>
          <w:tcPr>
            <w:tcW w:w="3720"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03BE82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工作内容界面</w:t>
            </w:r>
          </w:p>
        </w:tc>
        <w:tc>
          <w:tcPr>
            <w:tcW w:w="4125"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A11C18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总包施工范围</w:t>
            </w:r>
          </w:p>
        </w:tc>
        <w:tc>
          <w:tcPr>
            <w:tcW w:w="3525"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9A2C7F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分包单位施工范围</w:t>
            </w:r>
          </w:p>
        </w:tc>
      </w:tr>
      <w:tr w14:paraId="7C1889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640" w:type="dxa"/>
            <w:gridSpan w:val="2"/>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8C0E8EF">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D172F64">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4125"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1A27404">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F7C2311">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r>
      <w:tr w14:paraId="79A245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6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BD1913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b/>
                <w:bCs/>
                <w:i w:val="0"/>
                <w:iCs w:val="0"/>
                <w:color w:val="auto"/>
                <w:sz w:val="20"/>
                <w:szCs w:val="20"/>
                <w:highlight w:val="none"/>
                <w:u w:val="none"/>
              </w:rPr>
            </w:pPr>
            <w:r>
              <w:rPr>
                <w:rFonts w:hint="eastAsia" w:ascii="宋体" w:hAnsi="宋体" w:eastAsia="宋体" w:cs="宋体"/>
                <w:b/>
                <w:bCs/>
                <w:i w:val="0"/>
                <w:iCs w:val="0"/>
                <w:color w:val="auto"/>
                <w:kern w:val="0"/>
                <w:sz w:val="20"/>
                <w:szCs w:val="20"/>
                <w:highlight w:val="none"/>
                <w:u w:val="none"/>
                <w:lang w:val="en-US" w:eastAsia="zh-CN" w:bidi="ar"/>
              </w:rPr>
              <w:t>公共区域精装修工程</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FDDA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地面</w:t>
            </w: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D9116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地面入户大堂、电梯前室</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49984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结构及找平层完成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3DED8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公装单位完成面层施工</w:t>
            </w:r>
          </w:p>
        </w:tc>
      </w:tr>
      <w:tr w14:paraId="4948B1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897023">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3684E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楼面</w:t>
            </w: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E1BA6D">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入户大堂</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4DFDED">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结构层完成、地辐热及地面垫层完成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2943C">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公装单位完成面层铺装</w:t>
            </w:r>
          </w:p>
        </w:tc>
      </w:tr>
      <w:tr w14:paraId="77274F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4CE08F">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400D9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0A145">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电梯前室</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687A6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结构层及地面垫层完成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EDA72">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公装单位完成面层铺装</w:t>
            </w:r>
          </w:p>
        </w:tc>
      </w:tr>
      <w:tr w14:paraId="0DE2E1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6E5D35">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73B01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73B9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电梯前室至本层住户门口公共走道</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7963E">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结构层及地面垫层完成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41542">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公装单位完成面层铺装</w:t>
            </w:r>
          </w:p>
        </w:tc>
      </w:tr>
      <w:tr w14:paraId="4A704B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0A8DC5">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02E97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D56F8">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楼梯间</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C6BA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水泥砂浆面完成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E3156">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r>
      <w:tr w14:paraId="58E065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610ECA">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B40B1E">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内墙面</w:t>
            </w: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15F9D6">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首层入户大堂</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66BD92">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砌体抹灰层完成、弹1000高墙面水平线完成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C6DD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公装单位完成面层施工</w:t>
            </w:r>
          </w:p>
        </w:tc>
      </w:tr>
      <w:tr w14:paraId="5F7589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137CE5">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B982A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A2380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首层电梯前室</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67478">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砌体抹灰层完成、弹1000高墙面水平线完成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F6A46">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公装单位完成面层施工</w:t>
            </w:r>
          </w:p>
        </w:tc>
      </w:tr>
      <w:tr w14:paraId="57AACD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B8C7DF">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A1A39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DB72C">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电梯前室</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04765">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砌体抹灰层完成、弹1000高墙面水平线完成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219F4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公装单位完成面层施工</w:t>
            </w:r>
          </w:p>
        </w:tc>
      </w:tr>
      <w:tr w14:paraId="4D2C2F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184026">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630E8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CCE1C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电梯前室至本层住户门口公共走道</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B53DA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砌体抹灰层完成、弹1000高墙面水平线完成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866052">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公装单位完成面层施工</w:t>
            </w:r>
          </w:p>
        </w:tc>
      </w:tr>
      <w:tr w14:paraId="15DFA9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566DFE">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707C5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4B928">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楼梯间</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6514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涂料完成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0FCB6">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r>
      <w:tr w14:paraId="0A2AB5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DAA856">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6EEC51">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天棚</w:t>
            </w: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A621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首层入户大堂</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BA19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结构层完成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D0D6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公装单位完成面层施工</w:t>
            </w:r>
            <w:r>
              <w:rPr>
                <w:rStyle w:val="929"/>
                <w:color w:val="auto"/>
                <w:highlight w:val="none"/>
                <w:lang w:val="en-US" w:eastAsia="zh-CN" w:bidi="ar"/>
              </w:rPr>
              <w:t>、吊顶预留相关专业孔洞。</w:t>
            </w:r>
            <w:r>
              <w:rPr>
                <w:rFonts w:hint="default" w:ascii="Times New Roman" w:hAnsi="Times New Roman" w:eastAsia="宋体" w:cs="Times New Roman"/>
                <w:i w:val="0"/>
                <w:iCs w:val="0"/>
                <w:color w:val="auto"/>
                <w:kern w:val="0"/>
                <w:sz w:val="20"/>
                <w:szCs w:val="20"/>
                <w:highlight w:val="none"/>
                <w:u w:val="none"/>
                <w:lang w:val="en-US" w:eastAsia="zh-CN" w:bidi="ar"/>
              </w:rPr>
              <w:t xml:space="preserve"> </w:t>
            </w:r>
          </w:p>
        </w:tc>
      </w:tr>
      <w:tr w14:paraId="717ECA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520F80">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B15D4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46175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首层电梯前室</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D4BED6">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结构层完成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3E198">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公装单位完成面层施工</w:t>
            </w:r>
            <w:r>
              <w:rPr>
                <w:rStyle w:val="929"/>
                <w:color w:val="auto"/>
                <w:highlight w:val="none"/>
                <w:lang w:val="en-US" w:eastAsia="zh-CN" w:bidi="ar"/>
              </w:rPr>
              <w:t>、吊顶预留相关专业孔洞。</w:t>
            </w:r>
            <w:r>
              <w:rPr>
                <w:rFonts w:hint="eastAsia" w:ascii="宋体" w:hAnsi="宋体" w:eastAsia="宋体" w:cs="宋体"/>
                <w:i w:val="0"/>
                <w:iCs w:val="0"/>
                <w:color w:val="auto"/>
                <w:kern w:val="0"/>
                <w:sz w:val="20"/>
                <w:szCs w:val="20"/>
                <w:highlight w:val="none"/>
                <w:u w:val="none"/>
                <w:lang w:val="en-US" w:eastAsia="zh-CN" w:bidi="ar"/>
              </w:rPr>
              <w:t>电梯层门配合验收的防火铁皮封堵。</w:t>
            </w:r>
          </w:p>
        </w:tc>
      </w:tr>
      <w:tr w14:paraId="1C03F8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DE5E9D">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BDA59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E4EE6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电梯前室</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A4A4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结构层完成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F6741">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公装单位完成面层施工</w:t>
            </w:r>
            <w:r>
              <w:rPr>
                <w:rStyle w:val="929"/>
                <w:color w:val="auto"/>
                <w:highlight w:val="none"/>
                <w:lang w:val="en-US" w:eastAsia="zh-CN" w:bidi="ar"/>
              </w:rPr>
              <w:t>、吊顶预留相关专业孔洞。</w:t>
            </w:r>
            <w:r>
              <w:rPr>
                <w:rFonts w:hint="eastAsia" w:ascii="宋体" w:hAnsi="宋体" w:eastAsia="宋体" w:cs="宋体"/>
                <w:i w:val="0"/>
                <w:iCs w:val="0"/>
                <w:color w:val="auto"/>
                <w:kern w:val="0"/>
                <w:sz w:val="20"/>
                <w:szCs w:val="20"/>
                <w:highlight w:val="none"/>
                <w:u w:val="none"/>
                <w:lang w:val="en-US" w:eastAsia="zh-CN" w:bidi="ar"/>
              </w:rPr>
              <w:t>电梯层门配合验收的防火铁皮封堵。</w:t>
            </w:r>
          </w:p>
        </w:tc>
      </w:tr>
      <w:tr w14:paraId="3E1600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E2A902">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74889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B3A8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电梯前室至本层住户门口公共走道</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E8A68">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结构层完成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56B3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公装单位完成面层施工</w:t>
            </w:r>
            <w:r>
              <w:rPr>
                <w:rStyle w:val="929"/>
                <w:color w:val="auto"/>
                <w:highlight w:val="none"/>
                <w:lang w:val="en-US" w:eastAsia="zh-CN" w:bidi="ar"/>
              </w:rPr>
              <w:t>、吊顶预留相关专业孔洞。</w:t>
            </w:r>
          </w:p>
        </w:tc>
      </w:tr>
      <w:tr w14:paraId="32640E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A929F7">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F7E4D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5E0DA">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楼梯间</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CA135">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涂料完成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012A4">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r>
      <w:tr w14:paraId="1B39E2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20DF8A">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0B9F9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门</w:t>
            </w: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1DF5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入户门</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F2DA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总包完成门洞口塞缝及门洞基层的收口，并负责入户门移交后的成品保护。</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C64A1">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入户门单位安装入户门及负责移交总包前成品保护。公装单位外收口、打胶</w:t>
            </w:r>
          </w:p>
        </w:tc>
      </w:tr>
      <w:tr w14:paraId="541FA9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ED975C">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79436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6A34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单元门</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F314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总包完成结构洞口、抹灰层。</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2146D">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公装单位负责门框或门套线与精装面层的收口、打胶，成品保护。</w:t>
            </w:r>
          </w:p>
        </w:tc>
      </w:tr>
      <w:tr w14:paraId="4624D8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E509B0">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AD5D9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1419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防火门（甲乙丙级）</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00921E">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总包完成门洞口塞缝及门洞基层的收口，并负责防火门移交后的成品保护。</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A5702">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防火门单位安装防火门及负责移交总包前成品保护。装修单位收口、打胶</w:t>
            </w:r>
          </w:p>
        </w:tc>
      </w:tr>
      <w:tr w14:paraId="410F78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FC4597">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D5AD5">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窗</w:t>
            </w: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0253C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外墙门窗</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B38B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抹灰层完成，结构洞口和外门窗框安装后的</w:t>
            </w:r>
            <w:r>
              <w:rPr>
                <w:rFonts w:hint="eastAsia" w:ascii="宋体" w:hAnsi="宋体" w:cs="宋体"/>
                <w:i w:val="0"/>
                <w:iCs w:val="0"/>
                <w:color w:val="auto"/>
                <w:kern w:val="0"/>
                <w:sz w:val="20"/>
                <w:szCs w:val="20"/>
                <w:highlight w:val="none"/>
                <w:u w:val="none"/>
                <w:lang w:val="en-US" w:eastAsia="zh-CN" w:bidi="ar"/>
              </w:rPr>
              <w:t>收</w:t>
            </w:r>
            <w:r>
              <w:rPr>
                <w:rFonts w:hint="eastAsia" w:ascii="宋体" w:hAnsi="宋体" w:eastAsia="宋体" w:cs="宋体"/>
                <w:sz w:val="20"/>
                <w:szCs w:val="20"/>
                <w:lang w:val="en-US" w:eastAsia="zh-CN" w:bidi="ar"/>
              </w:rPr>
              <w:t>口。成品保护。</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DF6F40">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FF0000"/>
                <w:sz w:val="20"/>
                <w:szCs w:val="20"/>
                <w:highlight w:val="none"/>
                <w:u w:val="none"/>
              </w:rPr>
              <w:t>窗户单位完成窗口的塞缝，发泡、防水施工。</w:t>
            </w:r>
          </w:p>
        </w:tc>
      </w:tr>
      <w:tr w14:paraId="03FF8D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C2307E">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821E05">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外墙</w:t>
            </w: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C4C15">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外墙面</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0755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砌体抹灰完成，砼结构面完成。</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2F4EB">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r>
      <w:tr w14:paraId="32FD39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243CC4">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126F28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安装工程</w:t>
            </w: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A3EA1">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强电</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C2AB6">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1、负责电井至楼层电表箱、楼层电表箱至室内强电户箱间的强电工程及水、电井内所有强电工程。</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2232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1、负责精装修区域总包预留的接线盒后端所有的灯具及管线供货及安装；包括二次接线、局部精确点位调整及开关面板安装等工作内容。</w:t>
            </w:r>
          </w:p>
        </w:tc>
      </w:tr>
      <w:tr w14:paraId="5479EE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4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4CC909">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B633D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B29A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照明</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A8399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负责消防楼梯间及非装修区域内普通照明的施工；电井、水井管井开关灯具相关安装；负责电井内公区普通照明配电箱安装并按出线回路至各楼层装修区域的第一个接线盒内（配线需预留不小于100mm的线头，供装修单位接线）。</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E6D3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2、负责电梯前室、走廊、大堂普通照明管线、设备等工作；装修单位施工装修面层时需预留应急照明及疏散指示系统相应孔洞。</w:t>
            </w:r>
          </w:p>
        </w:tc>
      </w:tr>
      <w:tr w14:paraId="6DF184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77999F">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0E4FE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17388">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给水</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AB41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3、公用卫生间给水管施工至卫生间内300mm安装阀门封堵；打压及吹水二次。</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929451">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3、从总包预留阀门之后的所有工作内容；</w:t>
            </w:r>
          </w:p>
        </w:tc>
      </w:tr>
      <w:tr w14:paraId="7ABB49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3478EF">
            <w:pPr>
              <w:keepNext w:val="0"/>
              <w:keepLines w:val="0"/>
              <w:suppressLineNumbers w:val="0"/>
              <w:spacing w:before="0" w:beforeAutospacing="0" w:after="0" w:afterAutospacing="0"/>
              <w:ind w:left="0" w:right="0"/>
              <w:jc w:val="center"/>
              <w:outlineLvl w:val="9"/>
              <w:rPr>
                <w:rFonts w:hint="eastAsia" w:ascii="宋体" w:hAnsi="宋体" w:eastAsia="宋体" w:cs="宋体"/>
                <w:b/>
                <w:bCs/>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C64A2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14D08">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排水</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5D44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4、公用卫生间的排水立管与横支管出墙（立管包封墙体）预留接口（接口管长300mm）；各预留口均采用堵帽封堵；排水通水通球试验二次。</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8B0A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4、从总包预留接口之后的所有的工作内容。</w:t>
            </w:r>
          </w:p>
        </w:tc>
      </w:tr>
      <w:tr w14:paraId="21A3B3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06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C2CE2F">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户内工程</w:t>
            </w:r>
          </w:p>
        </w:tc>
        <w:tc>
          <w:tcPr>
            <w:tcW w:w="157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3E9F83">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楼面</w:t>
            </w: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2339A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客厅、餐厅</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E60F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土建总包完成结构面 ,地采暖面层浇筑完成；采暖管道由总包打压及吹水二次，吸尘器保洁直至移交物业。</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CA938">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60D22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4FD76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314D5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86458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主、次卧室、书房</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F752C">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土建总包完成结构面 ,地采暖面层浇筑完成；采暖管道由总包打压及吹水二次，吸尘器保洁直至移交物业。</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0C886">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7AD000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8C079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1A954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ADF5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卫生间</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FA3DE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总包负责结构面完成，结构层闭水试验合格后方可进行下道工序施工，管井砌筑，负责防水层施工、地采暖及垫层浇筑完成。闭水试验验收合格移交物业。</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90D8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66919A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3B387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5328D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FD34C">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衣帽间</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A9B9C">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土建总包完成结构面 ,地采暖面层浇筑完成；吸尘器保洁直至移交物业。</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5E211">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729284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0E0D0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2CE29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352D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厨房</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BAA4C">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土建总包完成结构层及烟道反坎，地采暖浇筑完成；吸尘器保洁直至移交物业。</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45D95">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7FF1BF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3BD6C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C8DC7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E37C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生活阳露台</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FDF65A">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土建总包完成结构面、防水、垫层完成；吸尘器保洁直至移交物业。</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5D0D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347EE1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2B5D2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756EA7">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内墙面</w:t>
            </w: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1FC9E">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客厅、餐厅</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B9D2A">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混凝土墙面：孔洞填塞，打磨平整，目测无开裂等通病现象；</w:t>
            </w:r>
          </w:p>
        </w:tc>
        <w:tc>
          <w:tcPr>
            <w:tcW w:w="35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EF64F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4CA337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FFF18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E9C7F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4D55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主、次卧室、书房</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C516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砌体墙面：孔洞、沟槽填塞，砌体与混凝土交接处留缝，砌体墙面抹灰层，目测无开裂、空鼓现象。</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FE840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7820F1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F09E6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96E30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1666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衣帽间</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7099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整体墙面不能出现修补等影响观感问题，如有局部修补对整体墙面进行处理。</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BF60F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2F2507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33F6D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E1D3A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98F53CA">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卫生间</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D109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排气道及排气道地面反坎。</w:t>
            </w:r>
          </w:p>
        </w:tc>
        <w:tc>
          <w:tcPr>
            <w:tcW w:w="35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348770">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7F580D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62CBF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21660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71CED4">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E765E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砌体墙面：抹灰（墙面细拉毛）、孔洞、沟槽填塞，砌体与混凝土交接处留缝，目测无开裂、空鼓现象。</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871C4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35FBBC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56B33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CE2C0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B419ED">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EB88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整体墙面不能出现修补等影响观感问题，如有局部修补对整体墙面进行处理；</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F35D5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25F40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A75A1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2EE83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882366">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D202C5">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墙面水暖、电气喷字标识。</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1F993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0618F4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B278F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C9EA6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4C55D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厨房</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A0BBD">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提供控制线，烟道安装及烟道反坎。止回阀安装</w:t>
            </w:r>
          </w:p>
        </w:tc>
        <w:tc>
          <w:tcPr>
            <w:tcW w:w="35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0BEB1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3A9BF5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13F8D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2EEC7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E584AB">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5D72D4">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砌体墙面：抹灰（墙面细拉毛）、孔洞、沟槽填塞，砌体与混凝土交接处留缝，目测无开裂、空鼓现象。</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D2AAB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7564AA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6F3574">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75784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A5FECC">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E1CC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整体墙面不能出现修补等影响观感问题，如有局部修补对整体墙面进行处理；</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A7178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3C966F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1F124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A8308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6CDFF3">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84E4D">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墙面水暖、电气喷字标识。</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904B8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35027C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F2FC7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4BFCC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D9E3A3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生活露阳台</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71498">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封闭阳台：1、完成结构层及砌体施工及抹灰。</w:t>
            </w:r>
          </w:p>
        </w:tc>
        <w:tc>
          <w:tcPr>
            <w:tcW w:w="35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DE620A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32C07D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589AC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AF08E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092934">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A8D4D">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开敞阳台：1、完成结构层、砌体施工及抹灰、保温层及外立面面层。</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FD389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4C8F95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E456E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39CE2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BD6154">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34D0A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整体墙面不能出现修补等影响观感问题，如有局部修补对整体墙面进行处理；</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7D9EF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7C644C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A9ECF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D21B8F">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3146A4">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BE22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墙面水暖、电气喷字标识。</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30E02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7FC15F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F31F3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D914E8">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天棚</w:t>
            </w: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608A2">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客厅、餐厅</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2CBAA">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结构板修补打磨完成，顶板平顺，无接茬，观感达到要求。</w:t>
            </w:r>
          </w:p>
        </w:tc>
        <w:tc>
          <w:tcPr>
            <w:tcW w:w="35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2A485">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7DB8BC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4CA40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AF874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24EC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主、次卧室、书房</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26E69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结构板修补打磨完成，顶板平顺，无接茬，观感达到要求。</w:t>
            </w:r>
          </w:p>
        </w:tc>
        <w:tc>
          <w:tcPr>
            <w:tcW w:w="35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BCF3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45667E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E8B47E">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B3AF6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683F2">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卫生间、衣帽间</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D0FA1">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土建总包完成结构层，顶板平顺，无接茬，观感达到要求。</w:t>
            </w:r>
          </w:p>
        </w:tc>
        <w:tc>
          <w:tcPr>
            <w:tcW w:w="35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7DB2B">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0EF55B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E186B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53768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E0EEB">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厨房</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97CAE2">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结构层完成，顶板平顺，无接茬，观感达到要求。</w:t>
            </w:r>
          </w:p>
        </w:tc>
        <w:tc>
          <w:tcPr>
            <w:tcW w:w="35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8AEC5">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65EAB0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2D9B9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8945D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77E5D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生活阳台</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90C29A">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1、开敞阳台结构板修补打磨由土建总包完成、面层完成。</w:t>
            </w:r>
          </w:p>
        </w:tc>
        <w:tc>
          <w:tcPr>
            <w:tcW w:w="35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8EC464">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5CCF63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D71FD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EE710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FDB9DA">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217F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2、封闭阳台结构板打磨完成</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8446D9">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5B7FC8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6E258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2BBD6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B78281">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49C3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3、顶板平顺，无接茬，观感达到要求。</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CBFD4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2C4D19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31948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72915D">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门</w:t>
            </w: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4122D">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入户门</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E210A1">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总包完成结构洞口及洞口塞缝，并负责入户门移交后的成品保护。</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9FB4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入户门单位安装入户门及负责移交总包前成品保护。公装单位外收口、打胶。</w:t>
            </w:r>
          </w:p>
        </w:tc>
      </w:tr>
      <w:tr w14:paraId="77EE4E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7CD97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CB19A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17FA6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室内门</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244B7">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总包完成结构洞口；负责门边的收口、打胶。</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13842C">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22FAC6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48E7D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8C4D16">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窗</w:t>
            </w:r>
          </w:p>
        </w:tc>
        <w:tc>
          <w:tcPr>
            <w:tcW w:w="372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B11165">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外墙窗</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BDD671">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kern w:val="0"/>
                <w:sz w:val="20"/>
                <w:szCs w:val="20"/>
                <w:lang w:val="en-US" w:eastAsia="zh-CN" w:bidi="ar"/>
              </w:rPr>
              <w:t>1.钢附框与结构洞口间的</w:t>
            </w:r>
            <w:r>
              <w:rPr>
                <w:rFonts w:hint="eastAsia" w:ascii="宋体" w:hAnsi="宋体" w:eastAsia="宋体" w:cs="宋体"/>
                <w:kern w:val="0"/>
                <w:sz w:val="20"/>
                <w:szCs w:val="20"/>
                <w:lang w:bidi="ar"/>
              </w:rPr>
              <w:t>抹灰收口工作；</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6B081">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1.窗单位负责窗制作、安装，钢附框制作、安装，发泡剂填缝、</w:t>
            </w:r>
            <w:r>
              <w:rPr>
                <w:rFonts w:hint="eastAsia" w:ascii="宋体" w:hAnsi="宋体" w:eastAsia="宋体" w:cs="宋体"/>
                <w:kern w:val="0"/>
                <w:sz w:val="20"/>
                <w:szCs w:val="20"/>
                <w:lang w:val="en-US" w:eastAsia="zh-CN" w:bidi="ar"/>
              </w:rPr>
              <w:t>钢附框与结构洞口间的</w:t>
            </w:r>
            <w:r>
              <w:rPr>
                <w:rFonts w:hint="eastAsia" w:ascii="宋体" w:hAnsi="宋体" w:eastAsia="宋体" w:cs="宋体"/>
                <w:kern w:val="0"/>
                <w:sz w:val="20"/>
                <w:szCs w:val="20"/>
                <w:lang w:bidi="ar"/>
              </w:rPr>
              <w:t>砂浆后塞</w:t>
            </w:r>
            <w:r>
              <w:rPr>
                <w:rFonts w:hint="eastAsia" w:ascii="宋体" w:hAnsi="宋体" w:cs="宋体"/>
                <w:kern w:val="0"/>
                <w:sz w:val="20"/>
                <w:szCs w:val="20"/>
                <w:lang w:eastAsia="zh-CN" w:bidi="ar"/>
              </w:rPr>
              <w:t>、</w:t>
            </w:r>
            <w:r>
              <w:rPr>
                <w:rFonts w:hint="eastAsia" w:ascii="宋体" w:hAnsi="宋体" w:eastAsia="宋体" w:cs="宋体"/>
                <w:i w:val="0"/>
                <w:iCs w:val="0"/>
                <w:color w:val="auto"/>
                <w:kern w:val="0"/>
                <w:sz w:val="20"/>
                <w:szCs w:val="20"/>
                <w:highlight w:val="none"/>
                <w:u w:val="none"/>
                <w:lang w:val="en-US" w:eastAsia="zh-CN" w:bidi="ar"/>
              </w:rPr>
              <w:t>室内外打胶、钢附框与主框的塞缝、钢附框与结构洞口间防水材料的涂刷；</w:t>
            </w:r>
          </w:p>
        </w:tc>
      </w:tr>
      <w:tr w14:paraId="787B17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9E9F00">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55D198">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BF9BEA">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BF9F03">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kern w:val="0"/>
                <w:sz w:val="20"/>
                <w:szCs w:val="20"/>
                <w:lang w:val="en-US" w:eastAsia="zh-CN" w:bidi="ar"/>
              </w:rPr>
              <w:t>2.主体结构验收合格、“二线”完成后移交给专业分包；</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E78A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2.移交前成品保护；</w:t>
            </w:r>
          </w:p>
        </w:tc>
      </w:tr>
      <w:tr w14:paraId="5BC0BC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AC8667">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3AA52C">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C1099C">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B4910">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auto"/>
                <w:sz w:val="20"/>
                <w:szCs w:val="20"/>
                <w:highlight w:val="none"/>
                <w:u w:val="none"/>
              </w:rPr>
            </w:pPr>
            <w:r>
              <w:rPr>
                <w:rFonts w:hint="eastAsia" w:ascii="宋体" w:hAnsi="宋体" w:cs="宋体"/>
                <w:i w:val="0"/>
                <w:iCs w:val="0"/>
                <w:color w:val="auto"/>
                <w:kern w:val="0"/>
                <w:sz w:val="20"/>
                <w:szCs w:val="20"/>
                <w:highlight w:val="none"/>
                <w:u w:val="none"/>
                <w:lang w:val="en-US" w:eastAsia="zh-CN" w:bidi="ar"/>
              </w:rPr>
              <w:t>3</w:t>
            </w:r>
            <w:r>
              <w:rPr>
                <w:rFonts w:hint="eastAsia" w:ascii="宋体" w:hAnsi="宋体" w:eastAsia="宋体" w:cs="宋体"/>
                <w:i w:val="0"/>
                <w:iCs w:val="0"/>
                <w:color w:val="auto"/>
                <w:kern w:val="0"/>
                <w:sz w:val="20"/>
                <w:szCs w:val="20"/>
                <w:highlight w:val="none"/>
                <w:u w:val="none"/>
                <w:lang w:val="en-US" w:eastAsia="zh-CN" w:bidi="ar"/>
              </w:rPr>
              <w:t>.负责竣工验收、交付物业前各清洗一次外立面</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2E63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3.负责施工淋水试验、交付总包前外立面清洗一次；</w:t>
            </w:r>
          </w:p>
        </w:tc>
      </w:tr>
      <w:tr w14:paraId="79E7ED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A4E00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B1CC8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88B8C5">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C763E">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C1A9F">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0000FF"/>
                <w:kern w:val="0"/>
                <w:sz w:val="20"/>
                <w:szCs w:val="20"/>
                <w:highlight w:val="none"/>
                <w:u w:val="none"/>
                <w:lang w:val="en-US" w:eastAsia="zh-CN" w:bidi="ar"/>
              </w:rPr>
              <w:t>4.</w:t>
            </w:r>
            <w:r>
              <w:rPr>
                <w:rFonts w:hint="eastAsia" w:ascii="宋体" w:hAnsi="宋体" w:eastAsia="宋体" w:cs="宋体"/>
                <w:color w:val="0000FF"/>
                <w:kern w:val="0"/>
                <w:sz w:val="20"/>
                <w:szCs w:val="20"/>
                <w:lang w:bidi="ar"/>
              </w:rPr>
              <w:t>负责所有窗及窗口周边防水施工、确保无渗漏；</w:t>
            </w:r>
          </w:p>
        </w:tc>
      </w:tr>
      <w:tr w14:paraId="7B1F28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C51F2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6839E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237B1">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百叶窗</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C963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土建总包完成抹灰层完成，留洞口和百叶框安后的塞缝收口。</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A4CBF">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r>
      <w:tr w14:paraId="6F1064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06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42F5F5">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251CAA">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安装工程</w:t>
            </w: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7FD19">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给水、热水、地辐热</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0DD7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户内所有取水点由总包施工到位，并预留阀门，二次打压、吹水。</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22BDB6">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315B9F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FA5583">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1C1D7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1471DA">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排水</w:t>
            </w: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4AD03">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负责排水立管安装到位，排水支管接口马桶、浴缸下水出建筑地面15cm，洗脸盆下水出建筑地面35cm。厨房下水立管与横支管出墙（立管包封墙体）预留接口（接口管长300mm）；各预留口均采用堵帽封堵；地漏：需安装普通地漏。</w:t>
            </w:r>
          </w:p>
        </w:tc>
        <w:tc>
          <w:tcPr>
            <w:tcW w:w="35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66E201">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7F3434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598A22">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E7F6D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A77936">
            <w:pPr>
              <w:keepNext w:val="0"/>
              <w:keepLines w:val="0"/>
              <w:suppressLineNumbers w:val="0"/>
              <w:spacing w:before="0" w:beforeAutospacing="0" w:after="0" w:afterAutospacing="0"/>
              <w:ind w:left="0" w:right="0"/>
              <w:outlineLvl w:val="9"/>
              <w:rPr>
                <w:rFonts w:hint="eastAsia" w:ascii="宋体" w:hAnsi="宋体" w:eastAsia="宋体" w:cs="宋体"/>
                <w:i w:val="0"/>
                <w:iCs w:val="0"/>
                <w:color w:val="auto"/>
                <w:sz w:val="20"/>
                <w:szCs w:val="20"/>
                <w:highlight w:val="none"/>
                <w:u w:val="none"/>
              </w:rPr>
            </w:pPr>
          </w:p>
        </w:tc>
        <w:tc>
          <w:tcPr>
            <w:tcW w:w="4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6D9BC">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排水通水通球试验二次。</w:t>
            </w:r>
          </w:p>
        </w:tc>
        <w:tc>
          <w:tcPr>
            <w:tcW w:w="3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FBC781">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r>
      <w:tr w14:paraId="7141DC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98F4D6">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09AB6B">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E2A661">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强电</w:t>
            </w:r>
          </w:p>
        </w:tc>
        <w:tc>
          <w:tcPr>
            <w:tcW w:w="41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FB65F22">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负责预留预埋阶段的点位定位、预留预埋户内强、弱电配管并穿引线到末端点位、负责户箱、多媒体箱、86底盒（建议塑料）安装到位；负责从户内配电箱出线到强电末端点位穿线（含空调配线）；并负责所有的灯具（普通照明）及开关插座安装；卫生间的等电位端子箱；多媒体箱及电源插排安装</w:t>
            </w: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820E7">
            <w:pPr>
              <w:keepNext w:val="0"/>
              <w:keepLines w:val="0"/>
              <w:widowControl/>
              <w:suppressLineNumbers w:val="0"/>
              <w:spacing w:before="0" w:beforeAutospacing="0" w:after="0" w:afterAutospacing="0"/>
              <w:ind w:left="0" w:right="0"/>
              <w:jc w:val="center"/>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14:paraId="355067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20" w:hRule="atLeast"/>
        </w:trPr>
        <w:tc>
          <w:tcPr>
            <w:tcW w:w="106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3EEE1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157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C2CF1A">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7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6FE340">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弱电</w:t>
            </w:r>
          </w:p>
        </w:tc>
        <w:tc>
          <w:tcPr>
            <w:tcW w:w="41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E440BD">
            <w:pPr>
              <w:keepNext w:val="0"/>
              <w:keepLines w:val="0"/>
              <w:suppressLineNumbers w:val="0"/>
              <w:spacing w:before="0" w:beforeAutospacing="0" w:after="0" w:afterAutospacing="0"/>
              <w:ind w:left="0" w:right="0"/>
              <w:jc w:val="center"/>
              <w:outlineLvl w:val="9"/>
              <w:rPr>
                <w:rFonts w:hint="eastAsia" w:ascii="宋体" w:hAnsi="宋体" w:eastAsia="宋体" w:cs="宋体"/>
                <w:i w:val="0"/>
                <w:iCs w:val="0"/>
                <w:color w:val="auto"/>
                <w:sz w:val="20"/>
                <w:szCs w:val="20"/>
                <w:highlight w:val="none"/>
                <w:u w:val="none"/>
              </w:rPr>
            </w:pPr>
          </w:p>
        </w:tc>
        <w:tc>
          <w:tcPr>
            <w:tcW w:w="35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4DB06">
            <w:pPr>
              <w:keepNext w:val="0"/>
              <w:keepLines w:val="0"/>
              <w:widowControl/>
              <w:suppressLineNumbers w:val="0"/>
              <w:spacing w:before="0" w:beforeAutospacing="0" w:after="0" w:afterAutospacing="0"/>
              <w:ind w:left="0" w:right="0"/>
              <w:jc w:val="left"/>
              <w:textAlignment w:val="center"/>
              <w:outlineLvl w:val="9"/>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户内消防、弱电（电视、电话、网络、报警、可视对讲分机）等分包单位负责施工阶段点位调整，完成末端设备、线缆及面板等相关工作。</w:t>
            </w:r>
          </w:p>
        </w:tc>
      </w:tr>
    </w:tbl>
    <w:p w14:paraId="12A1FEB1">
      <w:pPr>
        <w:spacing w:line="360" w:lineRule="auto"/>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注：界面划分后期更新后以更新后的为准。</w:t>
      </w:r>
    </w:p>
    <w:p w14:paraId="6332E5D7">
      <w:pPr>
        <w:spacing w:line="360" w:lineRule="auto"/>
        <w:outlineLvl w:val="9"/>
        <w:rPr>
          <w:rFonts w:cs="宋体" w:asciiTheme="minorEastAsia" w:hAnsiTheme="minorEastAsia" w:eastAsiaTheme="minorEastAsia"/>
          <w:color w:val="auto"/>
          <w:szCs w:val="21"/>
          <w:highlight w:val="none"/>
        </w:rPr>
      </w:pPr>
    </w:p>
    <w:p w14:paraId="5BD499B5">
      <w:pPr>
        <w:spacing w:line="360" w:lineRule="auto"/>
        <w:ind w:firstLine="480"/>
        <w:outlineLvl w:val="9"/>
        <w:rPr>
          <w:rFonts w:cs="宋体" w:asciiTheme="minorEastAsia" w:hAnsiTheme="minorEastAsia" w:eastAsiaTheme="minorEastAsia"/>
          <w:color w:val="auto"/>
          <w:szCs w:val="21"/>
          <w:highlight w:val="none"/>
        </w:rPr>
        <w:sectPr>
          <w:pgSz w:w="16838" w:h="11900" w:orient="landscape"/>
          <w:pgMar w:top="1361" w:right="1134" w:bottom="1361" w:left="1134" w:header="567" w:footer="567" w:gutter="0"/>
          <w:pgBorders>
            <w:top w:val="none" w:sz="0" w:space="0"/>
            <w:left w:val="none" w:sz="0" w:space="0"/>
            <w:bottom w:val="none" w:sz="0" w:space="0"/>
            <w:right w:val="none" w:sz="0" w:space="0"/>
          </w:pgBorders>
          <w:cols w:space="0" w:num="1"/>
          <w:titlePg/>
          <w:docGrid w:linePitch="312" w:charSpace="0"/>
        </w:sectPr>
      </w:pPr>
    </w:p>
    <w:p w14:paraId="38E55794">
      <w:pPr>
        <w:adjustRightInd w:val="0"/>
        <w:snapToGrid w:val="0"/>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color w:val="auto"/>
          <w:sz w:val="21"/>
          <w:szCs w:val="21"/>
          <w:highlight w:val="none"/>
        </w:rPr>
        <w:t>附件</w:t>
      </w:r>
      <w:r>
        <w:rPr>
          <w:rFonts w:hint="eastAsia" w:cs="宋体" w:asciiTheme="minorEastAsia" w:hAnsiTheme="minorEastAsia" w:eastAsiaTheme="minorEastAsia"/>
          <w:color w:val="auto"/>
          <w:sz w:val="21"/>
          <w:szCs w:val="21"/>
          <w:highlight w:val="none"/>
          <w:lang w:val="en-US" w:eastAsia="zh-CN"/>
        </w:rPr>
        <w:t>四十</w:t>
      </w:r>
      <w:r>
        <w:rPr>
          <w:rFonts w:hint="eastAsia" w:cs="宋体" w:asciiTheme="minorEastAsia" w:hAnsiTheme="minorEastAsia" w:eastAsiaTheme="minorEastAsia"/>
          <w:color w:val="auto"/>
          <w:sz w:val="21"/>
          <w:szCs w:val="21"/>
          <w:highlight w:val="none"/>
        </w:rPr>
        <w:t>：</w:t>
      </w:r>
    </w:p>
    <w:p w14:paraId="5AFD2734">
      <w:pPr>
        <w:adjustRightInd w:val="0"/>
        <w:snapToGrid w:val="0"/>
        <w:spacing w:line="360" w:lineRule="auto"/>
        <w:jc w:val="center"/>
        <w:outlineLvl w:val="9"/>
        <w:rPr>
          <w:rFonts w:cs="宋体" w:asciiTheme="minorEastAsia" w:hAnsiTheme="minorEastAsia" w:eastAsiaTheme="minorEastAsia"/>
          <w:b/>
          <w:color w:val="auto"/>
          <w:sz w:val="32"/>
          <w:szCs w:val="32"/>
          <w:highlight w:val="none"/>
        </w:rPr>
      </w:pPr>
      <w:r>
        <w:rPr>
          <w:rFonts w:hint="eastAsia" w:asciiTheme="minorEastAsia" w:hAnsiTheme="minorEastAsia" w:eastAsiaTheme="minorEastAsia"/>
          <w:b/>
          <w:color w:val="auto"/>
          <w:sz w:val="32"/>
          <w:szCs w:val="32"/>
          <w:highlight w:val="none"/>
        </w:rPr>
        <w:t>防渗漏、防开裂重点管控细则</w:t>
      </w:r>
    </w:p>
    <w:p w14:paraId="212C721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一、地面下沉开裂</w:t>
      </w:r>
    </w:p>
    <w:p w14:paraId="77A1E68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57" w:name="_Toc7298"/>
      <w:r>
        <w:rPr>
          <w:rFonts w:hint="eastAsia" w:ascii="宋体" w:hAnsi="宋体" w:cs="宋体"/>
          <w:color w:val="auto"/>
          <w:kern w:val="0"/>
          <w:szCs w:val="21"/>
          <w:highlight w:val="none"/>
        </w:rPr>
        <w:t>（一）常见地面下沉部位</w:t>
      </w:r>
      <w:bookmarkEnd w:id="757"/>
      <w:r>
        <w:rPr>
          <w:rFonts w:hint="eastAsia" w:ascii="宋体" w:hAnsi="宋体" w:cs="宋体"/>
          <w:color w:val="auto"/>
          <w:kern w:val="0"/>
          <w:szCs w:val="21"/>
          <w:highlight w:val="none"/>
        </w:rPr>
        <w:t xml:space="preserve"> </w:t>
      </w:r>
    </w:p>
    <w:p w14:paraId="175CCC0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1.无地下室建筑：室内、外地面下沉。</w:t>
      </w:r>
    </w:p>
    <w:p w14:paraId="795128A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2.有地下室建筑：地下室外围散水、道路、园林地面下沉。</w:t>
      </w:r>
    </w:p>
    <w:p w14:paraId="2F7E513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3.路面、路面管井盖下沉。</w:t>
      </w:r>
    </w:p>
    <w:p w14:paraId="63BE179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58" w:name="_Toc29369"/>
      <w:r>
        <w:rPr>
          <w:rFonts w:hint="eastAsia" w:ascii="宋体" w:hAnsi="宋体" w:cs="宋体"/>
          <w:color w:val="auto"/>
          <w:kern w:val="0"/>
          <w:szCs w:val="21"/>
          <w:highlight w:val="none"/>
        </w:rPr>
        <w:t>（二）常见地面下沉开裂产生原因</w:t>
      </w:r>
      <w:bookmarkEnd w:id="758"/>
      <w:r>
        <w:rPr>
          <w:rFonts w:hint="eastAsia" w:ascii="宋体" w:hAnsi="宋体" w:cs="宋体"/>
          <w:color w:val="auto"/>
          <w:kern w:val="0"/>
          <w:szCs w:val="21"/>
          <w:highlight w:val="none"/>
        </w:rPr>
        <w:t xml:space="preserve"> </w:t>
      </w:r>
    </w:p>
    <w:p w14:paraId="564035D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1.无地下室建筑：室内外回填土均采用机械回填，一次性完成。没有按照设计要求分层夯实，且压实密度未达到0.94。</w:t>
      </w:r>
    </w:p>
    <w:p w14:paraId="4C389A6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2.有地下室建筑：地下室外墙边坡均采用机械回填，一次性完成。没有按照设计要求分层夯实，且压实密度未达到0.94。</w:t>
      </w:r>
    </w:p>
    <w:p w14:paraId="65B264A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3.路面或井盖下沉：路基基层碾压密度和抗压强度不够；水泥砂稳定层厚度不够或压实密度不够；井盖安装构造不合理所致。</w:t>
      </w:r>
    </w:p>
    <w:p w14:paraId="2BA88B8A">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59" w:name="_Toc12701"/>
      <w:r>
        <w:rPr>
          <w:rFonts w:hint="eastAsia" w:ascii="宋体" w:hAnsi="宋体" w:cs="宋体"/>
          <w:color w:val="auto"/>
          <w:kern w:val="0"/>
          <w:szCs w:val="21"/>
          <w:highlight w:val="none"/>
        </w:rPr>
        <w:t>（三）施工材料选择</w:t>
      </w:r>
      <w:bookmarkEnd w:id="759"/>
    </w:p>
    <w:p w14:paraId="1C84704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回填土的材料性能需满足图纸设计要求，当回填材料采用土质材料时，必须采用最优含水量的素土或砂土，并进行试填检验合格后方可施工，严禁采用建筑垃圾、杂土、淤泥土、耕田土代替。</w:t>
      </w:r>
    </w:p>
    <w:p w14:paraId="6C7B058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60" w:name="_Toc3207"/>
      <w:r>
        <w:rPr>
          <w:rFonts w:hint="eastAsia" w:ascii="宋体" w:hAnsi="宋体" w:cs="宋体"/>
          <w:color w:val="auto"/>
          <w:kern w:val="0"/>
          <w:szCs w:val="21"/>
          <w:highlight w:val="none"/>
        </w:rPr>
        <w:t>（四）关键工序提示</w:t>
      </w:r>
      <w:bookmarkEnd w:id="760"/>
    </w:p>
    <w:p w14:paraId="2BBE844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1.关键工序</w:t>
      </w:r>
    </w:p>
    <w:p w14:paraId="1ACBCE9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（1）室内首层回填土</w:t>
      </w:r>
    </w:p>
    <w:p w14:paraId="4BD15AF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基槽清理→检验土质→分层铺平耙平→分层夯打密实→检验密实度→修整验收</w:t>
      </w:r>
    </w:p>
    <w:p w14:paraId="13595D6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（2）地库顶板回填土</w:t>
      </w:r>
    </w:p>
    <w:p w14:paraId="1145CC0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场地内垃圾、杂物清理→地下室顶板建筑做法验收及标高测量→土方进场并检验土质→分层铺土、机械平整及人工耙平→机械压实及人工配合机械夯打密实→回填土取样检验→修整找平验收</w:t>
      </w:r>
    </w:p>
    <w:p w14:paraId="75FAB6A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2.重点提示</w:t>
      </w:r>
    </w:p>
    <w:p w14:paraId="62E4F42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（1）基层须处理干净，虚铺厚度合理，分层夯压密实。回填土分层施工务必做到分层夯实(或捣实)，切记未做分层夯实，而直接进行后续施工，尤其是在场地回填土较深时，施工前必须落实夯实措施。</w:t>
      </w:r>
    </w:p>
    <w:p w14:paraId="13F4359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（2）设置的沉降后浇带应在主体结构封顶或沉降达到稳定，预估沉降差异满足设计要求，并经设计单位认可后方可封堵。</w:t>
      </w:r>
    </w:p>
    <w:p w14:paraId="58ABD0D9">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61" w:name="_Toc24700"/>
      <w:r>
        <w:rPr>
          <w:rFonts w:hint="eastAsia" w:ascii="宋体" w:hAnsi="宋体" w:cs="宋体"/>
          <w:color w:val="auto"/>
          <w:kern w:val="0"/>
          <w:szCs w:val="21"/>
          <w:highlight w:val="none"/>
        </w:rPr>
        <w:t>（五）施工控制要点</w:t>
      </w:r>
      <w:bookmarkEnd w:id="761"/>
    </w:p>
    <w:p w14:paraId="329DC1B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62" w:name="_Toc29747"/>
      <w:r>
        <w:rPr>
          <w:rFonts w:hint="eastAsia" w:ascii="宋体" w:hAnsi="宋体" w:cs="宋体"/>
          <w:color w:val="auto"/>
          <w:kern w:val="0"/>
          <w:szCs w:val="21"/>
          <w:highlight w:val="none"/>
        </w:rPr>
        <w:t>1.无地下室建筑</w:t>
      </w:r>
      <w:bookmarkEnd w:id="762"/>
    </w:p>
    <w:p w14:paraId="1C011F4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（1）地基回填土在2m以上的场地，须先对该地基进行强夯或其它措施处理后，方可进行基础（桩基或天然基础）工程施工。</w:t>
      </w:r>
    </w:p>
    <w:p w14:paraId="65F91CD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（2）若该地基软弱，且地基回填土较深（2m以上），且不便于强夯等措施对地基回填土进行密度改造，建议在初步设计阶段与设计院商量，首层增设钢筋砼梁板结构。</w:t>
      </w:r>
    </w:p>
    <w:p w14:paraId="4AFE7D6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（3）若该地基为原土结构，回填土在2m以内，可采用分层夯实方案。或室内外回填土选用石碴、砂卵石、无有机物的建筑碎碴、含砂量较高的回填土等，通过机械夯或水夯等方式达到设计回填土压实密度要求。</w:t>
      </w:r>
    </w:p>
    <w:p w14:paraId="5E6D2B12">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63" w:name="_Toc4414"/>
      <w:r>
        <w:rPr>
          <w:rFonts w:hint="eastAsia" w:ascii="宋体" w:hAnsi="宋体" w:cs="宋体"/>
          <w:color w:val="auto"/>
          <w:kern w:val="0"/>
          <w:szCs w:val="21"/>
          <w:highlight w:val="none"/>
        </w:rPr>
        <w:t>2.有地下室建筑</w:t>
      </w:r>
      <w:bookmarkEnd w:id="763"/>
    </w:p>
    <w:p w14:paraId="1E28FC0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（1）边坡回填土必须层层压实（每层厚度小于500mm）。可采用吊锤夯实法或机械夯实法。</w:t>
      </w:r>
    </w:p>
    <w:p w14:paraId="3080A03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（2）边坡回填土可选择石碴、砂卵石、无有机物的建筑碎碴、含砂量较高的回填土等。通过吊锤夯、机械夯或水夯等方式达到设计回填土压实密度要求。</w:t>
      </w:r>
    </w:p>
    <w:p w14:paraId="343A72C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（3）边坡外回填前，若有深埋的化粪池，应先施工完成后再回填土。</w:t>
      </w:r>
    </w:p>
    <w:p w14:paraId="644C404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（4）边坡回填土完成后，要用压路机压实，再开挖安装室外给排水电气管网。</w:t>
      </w:r>
    </w:p>
    <w:p w14:paraId="1956B1C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64" w:name="_Toc23738"/>
      <w:r>
        <w:rPr>
          <w:rFonts w:hint="eastAsia" w:ascii="宋体" w:hAnsi="宋体" w:cs="宋体"/>
          <w:color w:val="auto"/>
          <w:kern w:val="0"/>
          <w:szCs w:val="21"/>
          <w:highlight w:val="none"/>
        </w:rPr>
        <w:t>3.路面及路面管井下沉</w:t>
      </w:r>
      <w:bookmarkEnd w:id="764"/>
    </w:p>
    <w:p w14:paraId="65B29E6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（1）路基施工控制要点：</w:t>
      </w:r>
    </w:p>
    <w:p w14:paraId="2DAA6C8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路基施工严格按照《公路路基施工技术规范JTG F10-2006》进行。</w:t>
      </w:r>
    </w:p>
    <w:p w14:paraId="04392B3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（2）路基处理：</w:t>
      </w:r>
    </w:p>
    <w:p w14:paraId="500C5F3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填筑路基之前应清除地表的腐殖土、植被及其他建筑垃圾。若遇特殊地基，应及时与设计联系确定处理方案，如软土需进行换填或搅拌桩等处理，改善地基结构，提高地基密度。常用软弱地基处理方法：</w:t>
      </w:r>
    </w:p>
    <w:p w14:paraId="2055F0D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①遇鱼塘、水沟，抽水后发现土质为淤泥，且含水量大，不易晾晒，若厚度为2m以内，且易于清除时，应全部挖除，再以普通土进行路基填筑。</w:t>
      </w:r>
    </w:p>
    <w:p w14:paraId="5134469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②若淤泥厚度在2m以上且清除困难，抽水后抛石至淤泥顶面，再铺设100m厚的碎石，然后再以普通土填筑碎石层以上路基。</w:t>
      </w:r>
    </w:p>
    <w:p w14:paraId="11BC785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③填方路基：</w:t>
      </w:r>
    </w:p>
    <w:p w14:paraId="5A4DDD0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a.填方路段回填土方之前，必须把表面耕植土、腐殖土挖除，回填土路基要求分层摊铺压实，每层松铺厚度为300--500mm。路基压实后，方可铺设石碴垫层。</w:t>
      </w:r>
    </w:p>
    <w:p w14:paraId="3E56577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b.遇高填方路段因无法分层碾压时，建议采用分层强夯或重锤夯实等方法，令路基压实密度达到设计要求。</w:t>
      </w:r>
    </w:p>
    <w:p w14:paraId="0B35B30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④挖方路基：</w:t>
      </w:r>
    </w:p>
    <w:p w14:paraId="78B539D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若原状土较密实，按路基要求压实后可不设石碴垫层，直接铺水泥稳定基层。</w:t>
      </w:r>
    </w:p>
    <w:p w14:paraId="00815B1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（3）路基施工：</w:t>
      </w:r>
    </w:p>
    <w:p w14:paraId="17E9F69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65" w:name="_Toc21426"/>
      <w:bookmarkStart w:id="766" w:name="_Toc2898"/>
      <w:bookmarkStart w:id="767" w:name="_Toc31576"/>
      <w:bookmarkStart w:id="768" w:name="_Toc20703"/>
      <w:bookmarkStart w:id="769" w:name="_Toc13072"/>
      <w:r>
        <w:rPr>
          <w:rFonts w:hint="eastAsia" w:ascii="宋体" w:hAnsi="宋体" w:cs="宋体"/>
          <w:color w:val="auto"/>
          <w:kern w:val="0"/>
          <w:szCs w:val="21"/>
          <w:highlight w:val="none"/>
        </w:rPr>
        <w:t>①严格按照公路道路路面基层、公路水泥混凝土路面、公路沥青路面技术规范施工：</w:t>
      </w:r>
      <w:bookmarkEnd w:id="765"/>
      <w:bookmarkEnd w:id="766"/>
      <w:bookmarkEnd w:id="767"/>
      <w:bookmarkEnd w:id="768"/>
      <w:bookmarkEnd w:id="769"/>
    </w:p>
    <w:p w14:paraId="0414A39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a.水泥稳定层：水泥和砂的配合比要准确；厚度要足够；碾压要密实</w:t>
      </w:r>
    </w:p>
    <w:p w14:paraId="65CE5CE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b.路面砼强度、振捣密度、排水坡度、养护、每段伸缩缝间长度、切割时间、深度都必须符合路面施工相关规范要求。若为沥表面层，砼面做拉毛面。</w:t>
      </w:r>
    </w:p>
    <w:p w14:paraId="6BE4833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70" w:name="_Toc28511"/>
      <w:bookmarkStart w:id="771" w:name="_Toc17891"/>
      <w:bookmarkStart w:id="772" w:name="_Toc24400"/>
      <w:bookmarkStart w:id="773" w:name="_Toc30036"/>
      <w:bookmarkStart w:id="774" w:name="_Toc18573"/>
      <w:r>
        <w:rPr>
          <w:rFonts w:hint="eastAsia" w:ascii="宋体" w:hAnsi="宋体" w:cs="宋体"/>
          <w:color w:val="auto"/>
          <w:kern w:val="0"/>
          <w:szCs w:val="21"/>
          <w:highlight w:val="none"/>
        </w:rPr>
        <w:t>②沥青砼路面防开裂、起皮、返砂施工控制要点：</w:t>
      </w:r>
      <w:bookmarkEnd w:id="770"/>
      <w:bookmarkEnd w:id="771"/>
      <w:bookmarkEnd w:id="772"/>
      <w:bookmarkEnd w:id="773"/>
      <w:bookmarkEnd w:id="774"/>
    </w:p>
    <w:p w14:paraId="47ECA6A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施工前，应先清扫、冲洗摊铺面，施工时保证摊铺面的干燥、清洁、无松散的石料、尘土及杂质等。经凿毛、修补破损的混凝土板，清理混凝土路面板块接缝并重新填补填缝料，再洒一层沥青（粘层），然后进行沥青混凝土摊铺。喷油前一定要对路沿石进行保护（如薄膜保护），严禁污染。</w:t>
      </w:r>
    </w:p>
    <w:p w14:paraId="3040FE0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b.路面沥青砼铺设：要求沥青砼温度级配合理、厚度均匀、路面平整、碾压密实、排水畅通。</w:t>
      </w:r>
    </w:p>
    <w:p w14:paraId="2B3E12D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（4）雨水井盖下沉施工控制要点：</w:t>
      </w:r>
    </w:p>
    <w:p w14:paraId="629EA01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①路基压实并验收合格后，方能开槽进行管线、雨水管、雨水井施工。雨水管及管线敷设完成、路上雨污水井砌筑完成后，四周应回填河沙、石粉等易密实的材料，并用水夯震动等方法使之密实。</w:t>
      </w:r>
    </w:p>
    <w:p w14:paraId="3E39C5E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②井盖下沉主要原因：是将雨水井盖直接安装在砖砌雨水井顶上，当车轮在雨水井盖上局部碾压时，由于局部应力较大且受力不均，井盖下砖砌体局部承压力不足，造成井盖下砖砌体压碎下沉。</w:t>
      </w:r>
    </w:p>
    <w:p w14:paraId="0D316F0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③施工有效控制办法：在浇筑砼路基时，在砖砌管井（内径）支模，与管井顶部同时浇筑，且与路面砼同厚，另加Φ12@100（内径间距），长500mm钢筋网片，于井周边砼中部偏上即可。</w:t>
      </w:r>
    </w:p>
    <w:p w14:paraId="5B9E7CA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（5）各项目道路施工，应严格按照该项目市政道路施工图中道路构造要求施工。</w:t>
      </w:r>
    </w:p>
    <w:p w14:paraId="4000447C">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75" w:name="_Toc14139"/>
      <w:r>
        <w:rPr>
          <w:rFonts w:hint="eastAsia" w:ascii="宋体" w:hAnsi="宋体" w:cs="宋体"/>
          <w:color w:val="auto"/>
          <w:kern w:val="0"/>
          <w:szCs w:val="21"/>
          <w:highlight w:val="none"/>
        </w:rPr>
        <w:t>二、地面开裂</w:t>
      </w:r>
      <w:bookmarkEnd w:id="775"/>
    </w:p>
    <w:p w14:paraId="2151846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76" w:name="_Toc3559"/>
      <w:r>
        <w:rPr>
          <w:rFonts w:hint="eastAsia" w:ascii="宋体" w:hAnsi="宋体" w:cs="宋体"/>
          <w:color w:val="auto"/>
          <w:kern w:val="0"/>
          <w:szCs w:val="21"/>
          <w:highlight w:val="none"/>
        </w:rPr>
        <w:t>（一）常见地面开裂</w:t>
      </w:r>
      <w:bookmarkEnd w:id="776"/>
    </w:p>
    <w:p w14:paraId="2FD49AD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1.地下车库地面开裂。</w:t>
      </w:r>
    </w:p>
    <w:p w14:paraId="03729D2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2.户内地采暖地面开裂。</w:t>
      </w:r>
    </w:p>
    <w:p w14:paraId="2FDF31C2">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77" w:name="_Toc30253"/>
      <w:r>
        <w:rPr>
          <w:rFonts w:hint="eastAsia" w:ascii="宋体" w:hAnsi="宋体" w:cs="宋体"/>
          <w:color w:val="auto"/>
          <w:kern w:val="0"/>
          <w:szCs w:val="21"/>
          <w:highlight w:val="none"/>
        </w:rPr>
        <w:t>（二）地面开裂原因分析</w:t>
      </w:r>
      <w:bookmarkEnd w:id="777"/>
    </w:p>
    <w:p w14:paraId="703243D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地下车库地面开裂原因分析：基层平整度差，混凝土面层厚度不均，容易开裂；回填土压实不到位，后期下沉造成开裂；浇筑的混凝土水灰比不当；混凝土浇筑前地面铣刨不到位；混凝土浇筑前未浇水湿润；施工缝留置不当，间距过大；分隔缝切割时间过晚；混凝土养护不到位；钢筋网片位置留置不到位，未起到拉结作用。</w:t>
      </w:r>
    </w:p>
    <w:p w14:paraId="6781E6F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2.地采暖地面开裂原因分析：乙烯散热管预埋固定间距过大，基部翘起，导致面层开裂；地暖施工未按照规范要求设置伸缩缝导致开裂；混凝土养护不到位，导致面层收缩产生裂缝。</w:t>
      </w:r>
    </w:p>
    <w:p w14:paraId="60F5F54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78" w:name="_Toc29737"/>
      <w:r>
        <w:rPr>
          <w:rFonts w:hint="eastAsia" w:ascii="宋体" w:hAnsi="宋体" w:cs="宋体"/>
          <w:color w:val="auto"/>
          <w:kern w:val="0"/>
          <w:szCs w:val="21"/>
          <w:highlight w:val="none"/>
        </w:rPr>
        <w:t>（三）施工控制要点</w:t>
      </w:r>
      <w:bookmarkEnd w:id="778"/>
    </w:p>
    <w:p w14:paraId="38808ED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1.车库地面开裂防治要点：</w:t>
      </w:r>
    </w:p>
    <w:p w14:paraId="05D39A9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（1）基土应均匀密实，压实系数应符合设计要求，设计无要求时，不应小于0.9；</w:t>
      </w:r>
    </w:p>
    <w:p w14:paraId="22E8EA9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在楼板上施工混凝土面层，须清除原基层面上的垃圾、灰尘、油渍。在面层施工前1-2天在洁净的基层面喷、淋水保持湿润并晾干，使基层面达到干饱和状态，再将掺有建筑胶的水泥浆均匀涂刷在需施工的基层面上，增强面层与基层之间的黏结强度。</w:t>
      </w:r>
    </w:p>
    <w:p w14:paraId="5098B84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（3）钢筋网片需通过加垫块、后提拉等方式保证钢筋成型位置。</w:t>
      </w:r>
    </w:p>
    <w:p w14:paraId="7A7D560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（4）混凝土分格缝切缝的时间选择需合理，切缝的缝深、缝宽、填缝材料应符合设计要求。</w:t>
      </w:r>
    </w:p>
    <w:p w14:paraId="0C0753D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（5）混凝土浇筑完毕后的12小时以内，在地面覆盖一层薄膜，并适当浇水，进行养护。薄膜覆盖养护时间不少于7天。除切缝外，混凝土养护其间不得上人，严禁锐器损伤混凝土面。</w:t>
      </w:r>
    </w:p>
    <w:p w14:paraId="67CD322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（6）在车库T型、刀把型、转角等异性部位，分隔缝需适当增加。</w:t>
      </w:r>
    </w:p>
    <w:p w14:paraId="012BAF6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2.地采暖地面开裂防治要点：</w:t>
      </w:r>
    </w:p>
    <w:p w14:paraId="38B4D29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（1）施工前结构板应平整、干燥、无杂物。墙面根部应平直，且无积灰现象。</w:t>
      </w:r>
    </w:p>
    <w:p w14:paraId="4FF82E4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（2）管道采用地辐射专用塑料卡钉将管道固定在钢丝网上,卡钉间距为直管段≤500mm，弯头处≤350 mm。盘管弯曲部分不得出现硬折弯现象，曲率半径应符合下列规定：塑料管不应小于管道外径的8倍。</w:t>
      </w:r>
    </w:p>
    <w:p w14:paraId="4B8A8D6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（3）地面面积超过30m2或地面长边超过6m时，每隔5--6米填充层应留10mm伸缩缝。采暖管穿伸缩缝处设不小于200mm柔性套管。填充层与墙、柱等交接处留8—10mm伸缩缝。伸缩缝用高发泡聚乙烯泡沫板填充。</w:t>
      </w:r>
    </w:p>
    <w:p w14:paraId="7FDA2B6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（4）采暖管敷设后上层铺设φ2间距50双向钢丝网，防止地面裂缝。上层钢丝网在伸缩缝处断开，断开距离100mm。</w:t>
      </w:r>
    </w:p>
    <w:p w14:paraId="2116339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（5）面层收面时间需合理把控，及时收面，后期并定期适量洒水养护，减少开裂。</w:t>
      </w:r>
    </w:p>
    <w:p w14:paraId="1F6B8C6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（6）在T型、刀把型、转角等异性部位，伸缩缝需适当增加。</w:t>
      </w:r>
    </w:p>
    <w:p w14:paraId="1D52974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79" w:name="_Toc8889"/>
      <w:r>
        <w:rPr>
          <w:rFonts w:hint="eastAsia" w:ascii="宋体" w:hAnsi="宋体" w:cs="宋体"/>
          <w:color w:val="auto"/>
          <w:kern w:val="0"/>
          <w:szCs w:val="21"/>
          <w:highlight w:val="none"/>
        </w:rPr>
        <w:t>三、钢筋砼结构工程</w:t>
      </w:r>
      <w:bookmarkEnd w:id="779"/>
    </w:p>
    <w:p w14:paraId="799A5A37">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80" w:name="_Toc30381"/>
      <w:r>
        <w:rPr>
          <w:rFonts w:hint="eastAsia" w:ascii="宋体" w:hAnsi="宋体" w:cs="宋体"/>
          <w:color w:val="auto"/>
          <w:kern w:val="0"/>
          <w:szCs w:val="21"/>
          <w:highlight w:val="none"/>
        </w:rPr>
        <w:t>（一）地下室工程</w:t>
      </w:r>
      <w:bookmarkEnd w:id="780"/>
      <w:r>
        <w:rPr>
          <w:rFonts w:hint="eastAsia" w:ascii="宋体" w:hAnsi="宋体" w:cs="宋体"/>
          <w:color w:val="auto"/>
          <w:kern w:val="0"/>
          <w:szCs w:val="21"/>
          <w:highlight w:val="none"/>
        </w:rPr>
        <w:t xml:space="preserve"> </w:t>
      </w:r>
    </w:p>
    <w:p w14:paraId="19A906A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81" w:name="_Toc4186"/>
      <w:r>
        <w:rPr>
          <w:rFonts w:hint="eastAsia" w:ascii="宋体" w:hAnsi="宋体" w:cs="宋体"/>
          <w:color w:val="auto"/>
          <w:kern w:val="0"/>
          <w:szCs w:val="21"/>
          <w:highlight w:val="none"/>
        </w:rPr>
        <w:t>1.常见地下室开裂渗水部位</w:t>
      </w:r>
      <w:bookmarkEnd w:id="781"/>
    </w:p>
    <w:p w14:paraId="5B0C6D5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（1）底板大面积潮湿，无明显裂缝，无明显渗水部位；</w:t>
      </w:r>
    </w:p>
    <w:p w14:paraId="15D0886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（2）地下室底板、外墙、顶板施工缝（冷缝）位置；</w:t>
      </w:r>
    </w:p>
    <w:p w14:paraId="3B22124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（3）局部严重渗水；</w:t>
      </w:r>
    </w:p>
    <w:p w14:paraId="503EDFB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（4）后浇带两边接口开裂渗水；</w:t>
      </w:r>
    </w:p>
    <w:p w14:paraId="47C471B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（5）地下室底板与外墙水平接缝位置开裂渗水；</w:t>
      </w:r>
    </w:p>
    <w:p w14:paraId="4D60354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（6）电梯井、集水井内渗水；</w:t>
      </w:r>
    </w:p>
    <w:p w14:paraId="450840D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（7）后浇带砼浇筑完成后，结构薄弱位置开裂渗水；</w:t>
      </w:r>
    </w:p>
    <w:p w14:paraId="76C0DFB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（8）出入地下室的给排水管孔、强弱电管孔、电箱、电盒等位置渗水；</w:t>
      </w:r>
    </w:p>
    <w:p w14:paraId="688019A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（9）地下室顶板天窗、通风井周边渗水；</w:t>
      </w:r>
    </w:p>
    <w:p w14:paraId="4503599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（10）地下室外墙止水螺杆位置渗水。</w:t>
      </w:r>
    </w:p>
    <w:p w14:paraId="74E2F128">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82" w:name="_Toc9577"/>
      <w:r>
        <w:rPr>
          <w:rFonts w:hint="eastAsia" w:ascii="宋体" w:hAnsi="宋体" w:cs="宋体"/>
          <w:color w:val="auto"/>
          <w:kern w:val="0"/>
          <w:szCs w:val="21"/>
          <w:highlight w:val="none"/>
        </w:rPr>
        <w:t>2.开裂、渗水主要原因</w:t>
      </w:r>
      <w:bookmarkEnd w:id="782"/>
      <w:r>
        <w:rPr>
          <w:rFonts w:hint="eastAsia" w:ascii="宋体" w:hAnsi="宋体" w:cs="宋体"/>
          <w:color w:val="auto"/>
          <w:kern w:val="0"/>
          <w:szCs w:val="21"/>
          <w:highlight w:val="none"/>
        </w:rPr>
        <w:t xml:space="preserve"> </w:t>
      </w:r>
    </w:p>
    <w:p w14:paraId="4EE6DDA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（1）砼强度、抗渗等级均达不到设计要求。</w:t>
      </w:r>
    </w:p>
    <w:p w14:paraId="1B49983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（2）砼浇筑过程中，砼覆盖间隔时间过长，产生施工缝（冷缝）。</w:t>
      </w:r>
    </w:p>
    <w:p w14:paraId="7E5F145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（3）局部振捣不密实、漏振、砼结构松散不密实等。</w:t>
      </w:r>
    </w:p>
    <w:p w14:paraId="13E463D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（4）后浇带浇筑前垃圾、松散砼、积水等清理不干净；砼水灰比过大、膨胀补偿不够等。</w:t>
      </w:r>
    </w:p>
    <w:p w14:paraId="6EE814C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（5）外墙水平接缝处，砼浇筑高低不平，止水钢板不起作用。</w:t>
      </w:r>
    </w:p>
    <w:p w14:paraId="09D5BD9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（6）电梯井、集水井坑内积水未抽尽，导致砼标号降低；或砼振捣不密实。</w:t>
      </w:r>
    </w:p>
    <w:p w14:paraId="58222F6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（7）后浇带砼浇筑后，结构形成整体，结构内力重分配后，在整体结构薄弱位置产生应变开裂。</w:t>
      </w:r>
    </w:p>
    <w:p w14:paraId="436F0DC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（8）出入地下室给排水、强弱电管未安装防水套管或套管周边砼浇筑不密实；室外管井电管线与管口未密封；给排水管与套管、套管与井壁间未密封；管井内积水或导管间没按相关规范要求堵塞严实等。</w:t>
      </w:r>
    </w:p>
    <w:p w14:paraId="64F4EAD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（9）顶板采光井和出顶板通风井未做砼坎台或坎台高度不够，施工缝渗水。</w:t>
      </w:r>
    </w:p>
    <w:p w14:paraId="44DC06F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（10）外墙止水螺杆铁环片与螺杆焊接时焊缝不严密，或脱模过早打松了止水螺杆等。</w:t>
      </w:r>
    </w:p>
    <w:p w14:paraId="32D7157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（11）地下室顶板砼尚未达到设计强度，施工车辆在板上行驶或堆放大量钢筋作加工场超负荷使用。</w:t>
      </w:r>
    </w:p>
    <w:p w14:paraId="7EA16E2A">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83" w:name="_Toc6123"/>
      <w:r>
        <w:rPr>
          <w:rFonts w:hint="eastAsia" w:ascii="宋体" w:hAnsi="宋体" w:cs="宋体"/>
          <w:color w:val="auto"/>
          <w:kern w:val="0"/>
          <w:szCs w:val="21"/>
          <w:highlight w:val="none"/>
        </w:rPr>
        <w:t>3.施材料选择</w:t>
      </w:r>
      <w:bookmarkEnd w:id="783"/>
    </w:p>
    <w:p w14:paraId="1FDE1D2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（1）要求商品厂家对外加剂(膨胀剂、缓凝剂、抗裂纤维、引气型减水剂)提前28天进行试配，并进行碎标号和抗渗检测。硷必须达到设计标号和抗渗等级要求。</w:t>
      </w:r>
    </w:p>
    <w:p w14:paraId="7D2B2E0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（2）后浇带的浇筑时间根据设计要求实施，防水部位采用微膨胀防水础，其余部位采用微膨胀础，强度等级高于两侧原碰一级。</w:t>
      </w:r>
    </w:p>
    <w:p w14:paraId="56FB9B8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（3）所有后浇带施工缝 (电梯井、集水井、剪力墙根部、塔吊口出料口等)必须按设计要求采用钢板止水带或优质橡胶止水带(钢板止水带的厚度不小于3mm、宽度不小于300mm、折边30-50mm，折边朝向迎水面，双面满焊)。</w:t>
      </w:r>
    </w:p>
    <w:p w14:paraId="50D8361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（4）地下室外墙止水螺杆的止水片厚度应大于1mm，环宽30mm，焊缝饱满。</w:t>
      </w:r>
    </w:p>
    <w:p w14:paraId="49D39AC2">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84" w:name="_Toc25475"/>
      <w:r>
        <w:rPr>
          <w:rFonts w:hint="eastAsia" w:ascii="宋体" w:hAnsi="宋体" w:cs="宋体"/>
          <w:color w:val="auto"/>
          <w:kern w:val="0"/>
          <w:szCs w:val="21"/>
          <w:highlight w:val="none"/>
        </w:rPr>
        <w:t>4.关键工序重点提示</w:t>
      </w:r>
      <w:bookmarkEnd w:id="784"/>
    </w:p>
    <w:p w14:paraId="313FF86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（1）防水混凝土结构内部设置的各种钢筋或绑扎铁丝，不得接触模板。</w:t>
      </w:r>
    </w:p>
    <w:p w14:paraId="3C7CB9B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采用分层浇筑，泵送硷每层厚度不宜大于500mm，插入式振动器分层捣实，避免漏振、欠振和超振，浇筑时应及时排除泌水，板面用平板振动器振捣，墙柱及墙梁柱钢筋密集分布的硷浇筑务必振捣密实，采用机械提浆收面。</w:t>
      </w:r>
    </w:p>
    <w:p w14:paraId="39A7FEA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（3）由于混凝土的泌水、骨料下沉，易产生收缩裂缝，此时应对混凝土现浇板表面进行压实抹光。在混凝土初凝前应进行二次振捣，在混凝土终凝前进行两次压抹。</w:t>
      </w:r>
    </w:p>
    <w:p w14:paraId="323E41C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加强混凝土现浇板的养护和保温，控制结构与外界温度梯度在25C范围内。混凝土浇筑后，应在12h内进行覆盖和浇水养护，养护时间不得小于7d。对掺用缓凝型外加剂的混凝土，不得少于14d。夏季应适当延长养护时间，以提高抗裂能力。冬季应适当延长保温和脱模时间，使其缓慢降温，以防温度骤变、温差过大引起裂缝。</w:t>
      </w:r>
    </w:p>
    <w:p w14:paraId="6BD8C9E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（5）底板或顶板可采用覆盖塑料薄膜自养或双层草袋浇水养护，保持潮湿环境。</w:t>
      </w:r>
    </w:p>
    <w:p w14:paraId="34D52437">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85" w:name="_Toc11984"/>
      <w:r>
        <w:rPr>
          <w:rFonts w:hint="eastAsia" w:ascii="宋体" w:hAnsi="宋体" w:cs="宋体"/>
          <w:color w:val="auto"/>
          <w:kern w:val="0"/>
          <w:szCs w:val="21"/>
          <w:highlight w:val="none"/>
        </w:rPr>
        <w:t>5.施工控制重点</w:t>
      </w:r>
      <w:bookmarkEnd w:id="785"/>
    </w:p>
    <w:p w14:paraId="26B7FF42">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86" w:name="_Toc15456"/>
      <w:r>
        <w:rPr>
          <w:rFonts w:hint="eastAsia" w:ascii="宋体" w:hAnsi="宋体" w:cs="宋体"/>
          <w:color w:val="auto"/>
          <w:kern w:val="0"/>
          <w:szCs w:val="21"/>
          <w:highlight w:val="none"/>
        </w:rPr>
        <w:t>（1）施工前对人、机、料做专项的施工组织设计，并做好施工预案严禁地下室底板、外墙、顶板浇筑过程中因各种原因导致停工待料人为产生施工缝(冷缝)。</w:t>
      </w:r>
      <w:bookmarkEnd w:id="786"/>
    </w:p>
    <w:p w14:paraId="02DEBC7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87" w:name="_Toc6199"/>
      <w:r>
        <w:rPr>
          <w:rFonts w:hint="eastAsia" w:ascii="宋体" w:hAnsi="宋体" w:cs="宋体"/>
          <w:color w:val="auto"/>
          <w:kern w:val="0"/>
          <w:szCs w:val="21"/>
          <w:highlight w:val="none"/>
        </w:rPr>
        <w:t>（2）养护时间28天以上，楼板后浇带应按国家规范要求设置独立支撑体系，在后浇带浇筑后才能拆除。</w:t>
      </w:r>
      <w:bookmarkEnd w:id="787"/>
    </w:p>
    <w:p w14:paraId="2C6753AA">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88" w:name="_Toc15947"/>
      <w:r>
        <w:rPr>
          <w:rFonts w:hint="eastAsia" w:ascii="宋体" w:hAnsi="宋体" w:cs="宋体"/>
          <w:color w:val="auto"/>
          <w:kern w:val="0"/>
          <w:szCs w:val="21"/>
          <w:highlight w:val="none"/>
        </w:rPr>
        <w:t>（3）所有后浇带施工缝 (电梯井、集水井、剪力墙根部、塔吊口、出料口等)必须按设计要求采用钢板止水带或优质橡胶止水带(钢板止水带的厚度不小于3mm、宽度不小于300mm、折边30--50mm，折边朝向迎水面，搭接长度不小于2cm，双面满焊)。</w:t>
      </w:r>
      <w:bookmarkEnd w:id="788"/>
    </w:p>
    <w:p w14:paraId="0C7E1D1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89" w:name="_Toc2486"/>
      <w:r>
        <w:rPr>
          <w:rFonts w:hint="eastAsia" w:ascii="宋体" w:hAnsi="宋体" w:cs="宋体"/>
          <w:color w:val="auto"/>
          <w:kern w:val="0"/>
          <w:szCs w:val="21"/>
          <w:highlight w:val="none"/>
        </w:rPr>
        <w:t>（4）承台、电梯井、集水井等结构浇筑前，并外壁和垫层的外防水施工要确保不渗水，降水水位必须低于坑底垫层底标高，碎浇筑时确保坑内无水，振捣密实。</w:t>
      </w:r>
      <w:bookmarkEnd w:id="789"/>
    </w:p>
    <w:p w14:paraId="754D3A97">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90" w:name="_Toc28461"/>
      <w:r>
        <w:rPr>
          <w:rFonts w:hint="eastAsia" w:ascii="宋体" w:hAnsi="宋体" w:cs="宋体"/>
          <w:color w:val="auto"/>
          <w:kern w:val="0"/>
          <w:szCs w:val="21"/>
          <w:highlight w:val="none"/>
        </w:rPr>
        <w:t>（5）地下室结构开裂，采用环氧树脂高压注浆补裂堵漏。</w:t>
      </w:r>
      <w:bookmarkEnd w:id="790"/>
    </w:p>
    <w:p w14:paraId="1465923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91" w:name="_Toc9620"/>
      <w:r>
        <w:rPr>
          <w:rFonts w:hint="eastAsia" w:ascii="宋体" w:hAnsi="宋体" w:cs="宋体"/>
          <w:color w:val="auto"/>
          <w:kern w:val="0"/>
          <w:szCs w:val="21"/>
          <w:highlight w:val="none"/>
        </w:rPr>
        <w:t>（6）出入地下室的所有管线，必须按设计要求设置防水套管，且套管内壁与管间，采用专用防水填充材料分次堵塞严实。钢套管焊接固定在外墙钢筋上，复核无误后方可浇筑险。</w:t>
      </w:r>
      <w:bookmarkEnd w:id="791"/>
    </w:p>
    <w:p w14:paraId="1A25B367">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92" w:name="_Toc21547"/>
      <w:r>
        <w:rPr>
          <w:rFonts w:hint="eastAsia" w:ascii="宋体" w:hAnsi="宋体" w:cs="宋体"/>
          <w:color w:val="auto"/>
          <w:kern w:val="0"/>
          <w:szCs w:val="21"/>
          <w:highlight w:val="none"/>
        </w:rPr>
        <w:t>（7）出地下室顶板采光井、通风井、梯间、变形缝等构筑物，必须按设计做防水坎台或防水构造，且与顶板同时浇筑。地下室外墙脱模时间应大于7天。</w:t>
      </w:r>
      <w:bookmarkEnd w:id="792"/>
    </w:p>
    <w:p w14:paraId="43BA7FA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93" w:name="_Toc114"/>
      <w:r>
        <w:rPr>
          <w:rFonts w:hint="eastAsia" w:ascii="宋体" w:hAnsi="宋体" w:cs="宋体"/>
          <w:color w:val="auto"/>
          <w:kern w:val="0"/>
          <w:szCs w:val="21"/>
          <w:highlight w:val="none"/>
        </w:rPr>
        <w:t>（8）对于地下水位高，水压大的地下室工程，必须根据当地地质和基坑外原有建筑物结构、市政管网分布等情况，选用合理降水方案。</w:t>
      </w:r>
      <w:bookmarkEnd w:id="793"/>
    </w:p>
    <w:p w14:paraId="0ED2C192">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94" w:name="_Toc2861"/>
      <w:r>
        <w:rPr>
          <w:rFonts w:hint="eastAsia" w:ascii="宋体" w:hAnsi="宋体" w:cs="宋体"/>
          <w:color w:val="auto"/>
          <w:kern w:val="0"/>
          <w:szCs w:val="21"/>
          <w:highlight w:val="none"/>
        </w:rPr>
        <w:t>（9）地下室顶板碎未达到100%强度，严禁车辆通行。严禁超重汽车在地下室顶板上通行，严禁超设计荷载堆放钢材、周转材料、建筑材料等。</w:t>
      </w:r>
      <w:bookmarkEnd w:id="794"/>
    </w:p>
    <w:p w14:paraId="41168406">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95" w:name="_Toc21815"/>
      <w:r>
        <w:rPr>
          <w:rFonts w:hint="eastAsia" w:ascii="宋体" w:hAnsi="宋体" w:cs="宋体"/>
          <w:color w:val="auto"/>
          <w:kern w:val="0"/>
          <w:szCs w:val="21"/>
          <w:highlight w:val="none"/>
        </w:rPr>
        <w:t>（10）地下室底板、外墙、顶板防水和防水保护构造，均按设计相关的说明和各部位防水构造大样图进行施工。</w:t>
      </w:r>
      <w:bookmarkEnd w:id="795"/>
    </w:p>
    <w:p w14:paraId="7FBC6FBE">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96" w:name="_Toc11672"/>
      <w:r>
        <w:rPr>
          <w:rFonts w:hint="eastAsia" w:ascii="宋体" w:hAnsi="宋体" w:cs="宋体"/>
          <w:color w:val="auto"/>
          <w:kern w:val="0"/>
          <w:szCs w:val="21"/>
          <w:highlight w:val="none"/>
        </w:rPr>
        <w:t>（11）后浇带的浇筑时间根据设计要求实施，防水部位采用微膨胀防水，其余部位采用微膨胀碎，强度等级高于两侧原碎一级，养护时间28天以上，楼板后浇带应按国家规范要求设置独立支撑体系，在后浇带浇筑后才能拆除。</w:t>
      </w:r>
      <w:bookmarkEnd w:id="796"/>
    </w:p>
    <w:p w14:paraId="164DF92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97" w:name="_Toc24940"/>
      <w:r>
        <w:rPr>
          <w:rFonts w:hint="eastAsia" w:ascii="宋体" w:hAnsi="宋体" w:cs="宋体"/>
          <w:color w:val="auto"/>
          <w:kern w:val="0"/>
          <w:szCs w:val="21"/>
          <w:highlight w:val="none"/>
        </w:rPr>
        <w:t>（二）楼面砼结构工程</w:t>
      </w:r>
      <w:bookmarkEnd w:id="797"/>
    </w:p>
    <w:p w14:paraId="76200A86">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98" w:name="_Toc11703"/>
      <w:r>
        <w:rPr>
          <w:rFonts w:hint="eastAsia" w:ascii="宋体" w:hAnsi="宋体" w:cs="宋体"/>
          <w:color w:val="auto"/>
          <w:kern w:val="0"/>
          <w:szCs w:val="21"/>
          <w:highlight w:val="none"/>
        </w:rPr>
        <w:t>1.常见开裂、渗水部位</w:t>
      </w:r>
      <w:bookmarkEnd w:id="798"/>
    </w:p>
    <w:p w14:paraId="5EB2383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（1）客厅结构板或跨度较大结构板板中龟裂，或板角 45 度斜裂。</w:t>
      </w:r>
    </w:p>
    <w:p w14:paraId="5FEF8E7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（2）卫生间板底开裂、顶灯预埋盒处渗水。</w:t>
      </w:r>
    </w:p>
    <w:p w14:paraId="555F370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（3）排水立管穿板预埋管周边渗水。</w:t>
      </w:r>
    </w:p>
    <w:p w14:paraId="479C6ED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（4）地热施工，在门口处、墙根处、纵横墙转角处开裂。</w:t>
      </w:r>
    </w:p>
    <w:p w14:paraId="07F90B48">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799" w:name="_Toc30062"/>
      <w:r>
        <w:rPr>
          <w:rFonts w:hint="eastAsia" w:ascii="宋体" w:hAnsi="宋体" w:cs="宋体"/>
          <w:color w:val="auto"/>
          <w:kern w:val="0"/>
          <w:szCs w:val="21"/>
          <w:highlight w:val="none"/>
        </w:rPr>
        <w:t>2.开裂、渗水主要原因</w:t>
      </w:r>
      <w:bookmarkEnd w:id="799"/>
    </w:p>
    <w:p w14:paraId="13E9F86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（1）砼强度达不到设计要求，或水灰比过大，或外加剂过量、或初凝前未收面；或气温过高、气候干燥，失水过早；</w:t>
      </w:r>
    </w:p>
    <w:p w14:paraId="112A046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（2）板刚度不够，板厚达不到设计厚度，特别是不同标高板面的板厚。</w:t>
      </w:r>
    </w:p>
    <w:p w14:paraId="3191F77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（3）板负筋（特别是不同标高板面的负筋）在砼浇筑过程中被踩踏下沉移位；板转角钢筋未按设计要求布置。</w:t>
      </w:r>
    </w:p>
    <w:p w14:paraId="470CB8F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（4）支撑体系下沉或整体刚度不够，不足以抵抗砼输送泵的水平推力。支模方式不合理。</w:t>
      </w:r>
    </w:p>
    <w:p w14:paraId="75F0D83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（5）过早拆模或过早增加板面施工荷载。</w:t>
      </w:r>
    </w:p>
    <w:p w14:paraId="7BAEAEB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（6）每天养护时间太短、次数少，或养护天数不够。</w:t>
      </w:r>
    </w:p>
    <w:p w14:paraId="79F66B4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（7）卫生间底板厚度达不到设计要求；沉箱施工砼浇筑时，大量浮浆流入板底所致。</w:t>
      </w:r>
    </w:p>
    <w:p w14:paraId="76FC7D6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（8）排水立管未按设计要求预埋套管，或管洞封堵未分次封堵或堵塞不严。</w:t>
      </w:r>
    </w:p>
    <w:p w14:paraId="1BBA08B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（9）预埋管线的管径过大或位置不合理，多条管线重叠布置或分布不合理。</w:t>
      </w:r>
    </w:p>
    <w:p w14:paraId="11560DD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（10）地热砼面积过大，未留伸缩缝。</w:t>
      </w:r>
    </w:p>
    <w:p w14:paraId="4BF9832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00" w:name="_Toc11443"/>
      <w:r>
        <w:rPr>
          <w:rFonts w:hint="eastAsia" w:ascii="宋体" w:hAnsi="宋体" w:cs="宋体"/>
          <w:color w:val="auto"/>
          <w:kern w:val="0"/>
          <w:szCs w:val="21"/>
          <w:highlight w:val="none"/>
        </w:rPr>
        <w:t>3.施工材料选择</w:t>
      </w:r>
      <w:bookmarkEnd w:id="800"/>
    </w:p>
    <w:p w14:paraId="54A2674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（1）材料性能必须满足设计规范使用要求，严格控制的坍落度和标号，严禁随意变更标号，擅自补充添加剂，尤其不能随意添加水。</w:t>
      </w:r>
    </w:p>
    <w:p w14:paraId="2B6AB29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水泥宜优先采用早期强度较高的硅酸盐水泥、普通硅酸盐水泥预拌混凝土企业在水泥进场时应对其品种级别、批次、出厂日期和进场的数量等进行检查，并应对其强度、安定性及其它必要的性能指标进行复验。</w:t>
      </w:r>
    </w:p>
    <w:p w14:paraId="377BA85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（3）现浇板混凝土应采用中、粗砂。严禁使用氯离子含量超标的海砂。</w:t>
      </w:r>
    </w:p>
    <w:p w14:paraId="7BBB763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（4）钢筋材料性能必须满足设计规范使用要求，假冒伪劣产品不许进场。</w:t>
      </w:r>
    </w:p>
    <w:p w14:paraId="5768E63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（5）板厚控制及保护层垫块应采用成品，严禁使用水泥砂浆等制品。</w:t>
      </w:r>
    </w:p>
    <w:p w14:paraId="226E318C">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01" w:name="_Toc24341"/>
      <w:r>
        <w:rPr>
          <w:rFonts w:hint="eastAsia" w:ascii="宋体" w:hAnsi="宋体" w:cs="宋体"/>
          <w:color w:val="auto"/>
          <w:kern w:val="0"/>
          <w:szCs w:val="21"/>
          <w:highlight w:val="none"/>
        </w:rPr>
        <w:t>4.关键工序重点提示</w:t>
      </w:r>
      <w:bookmarkEnd w:id="801"/>
    </w:p>
    <w:p w14:paraId="5AA5C3B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（1）穿板管均应按设计要求预留，且位置准确。若因设计变更，确须二次开孔者，宜采用机械成孔，严禁电锤或人工开孔。</w:t>
      </w:r>
    </w:p>
    <w:p w14:paraId="6C1EDF9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（2）二次振捣能提高混凝土密实度，减少内部裂缝，增加混凝土的自防水能力。应安排专人负责对楼板进行二次振捣，振捣密实不离析,对板面进行二次抹压。</w:t>
      </w:r>
    </w:p>
    <w:p w14:paraId="1A50AF6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（3）所有础坎台、变形缝宜同结构梁、板同时浇捣完成。</w:t>
      </w:r>
    </w:p>
    <w:p w14:paraId="52EDCCA7">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02" w:name="_Toc29962"/>
      <w:r>
        <w:rPr>
          <w:rFonts w:hint="eastAsia" w:ascii="宋体" w:hAnsi="宋体" w:cs="宋体"/>
          <w:color w:val="auto"/>
          <w:kern w:val="0"/>
          <w:szCs w:val="21"/>
          <w:highlight w:val="none"/>
        </w:rPr>
        <w:t>5.施工控制重点</w:t>
      </w:r>
      <w:bookmarkEnd w:id="802"/>
      <w:r>
        <w:rPr>
          <w:rFonts w:hint="eastAsia" w:ascii="宋体" w:hAnsi="宋体" w:cs="宋体"/>
          <w:color w:val="auto"/>
          <w:kern w:val="0"/>
          <w:szCs w:val="21"/>
          <w:highlight w:val="none"/>
        </w:rPr>
        <w:t xml:space="preserve"> </w:t>
      </w:r>
    </w:p>
    <w:p w14:paraId="10D4F62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03" w:name="_Toc19148"/>
      <w:r>
        <w:rPr>
          <w:rFonts w:hint="eastAsia" w:ascii="宋体" w:hAnsi="宋体" w:cs="宋体"/>
          <w:color w:val="auto"/>
          <w:kern w:val="0"/>
          <w:szCs w:val="21"/>
          <w:highlight w:val="none"/>
        </w:rPr>
        <w:t>（1）现浇板中的线管必须布置在板中，距离板面或者板底不少于1/3h，并≥30mm，同一位置线管不宜三层或三层以上交叉。在管子交叉处，两根管子外径相加值可以大于1/3板厚，但此时管子外皮的保护层厚度a&gt;15mm。并按结构及电气设计施工图要求设置钢筋加强网片。</w:t>
      </w:r>
      <w:bookmarkEnd w:id="803"/>
    </w:p>
    <w:p w14:paraId="4E71549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04" w:name="_Toc26073"/>
      <w:r>
        <w:rPr>
          <w:rFonts w:hint="eastAsia" w:ascii="宋体" w:hAnsi="宋体" w:cs="宋体"/>
          <w:color w:val="auto"/>
          <w:kern w:val="0"/>
          <w:szCs w:val="21"/>
          <w:highlight w:val="none"/>
        </w:rPr>
        <w:t>（2）内模架支撑体系的稳定性、刚度必须满足施工 (满足泵送碎时水平推力)要求。梁板支撑体系必须采用钢脚手架，支撑方法正确严格按照施工组织设计中的内模架 (专家已评审通过的高支模架)搭设方案施工。</w:t>
      </w:r>
      <w:bookmarkEnd w:id="804"/>
    </w:p>
    <w:p w14:paraId="691D557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05" w:name="_Toc22057"/>
      <w:r>
        <w:rPr>
          <w:rFonts w:hint="eastAsia" w:ascii="宋体" w:hAnsi="宋体" w:cs="宋体"/>
          <w:color w:val="auto"/>
          <w:kern w:val="0"/>
          <w:szCs w:val="21"/>
          <w:highlight w:val="none"/>
        </w:rPr>
        <w:t>（3）卫生间沉箱吊模，宜采用钢筋马凳或钢筋焊接固定支撑。严禁使用木条或易造成渗漏的木质材料贯穿碎支撑模板。</w:t>
      </w:r>
      <w:bookmarkEnd w:id="805"/>
    </w:p>
    <w:p w14:paraId="46E86F1E">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06" w:name="_Toc15747"/>
      <w:r>
        <w:rPr>
          <w:rFonts w:hint="eastAsia" w:ascii="宋体" w:hAnsi="宋体" w:cs="宋体"/>
          <w:color w:val="auto"/>
          <w:kern w:val="0"/>
          <w:szCs w:val="21"/>
          <w:highlight w:val="none"/>
        </w:rPr>
        <w:t>（4）楼面碎浇筑过程中，严格按设计要求控制板厚度，严格控制不同标高板面的板厚。</w:t>
      </w:r>
      <w:bookmarkEnd w:id="806"/>
    </w:p>
    <w:p w14:paraId="42FB6F4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07" w:name="_Toc10374"/>
      <w:r>
        <w:rPr>
          <w:rFonts w:hint="eastAsia" w:ascii="宋体" w:hAnsi="宋体" w:cs="宋体"/>
          <w:color w:val="auto"/>
          <w:kern w:val="0"/>
          <w:szCs w:val="21"/>
          <w:highlight w:val="none"/>
        </w:rPr>
        <w:t>（5）浇筑过程严禁踩踏板面负筋，避免墙、柱钢筋移位。</w:t>
      </w:r>
      <w:bookmarkEnd w:id="807"/>
    </w:p>
    <w:p w14:paraId="4E643CBC">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08" w:name="_Toc26229"/>
      <w:r>
        <w:rPr>
          <w:rFonts w:hint="eastAsia" w:ascii="宋体" w:hAnsi="宋体" w:cs="宋体"/>
          <w:color w:val="auto"/>
          <w:kern w:val="0"/>
          <w:szCs w:val="21"/>
          <w:highlight w:val="none"/>
        </w:rPr>
        <w:t>（6）严格控制过早增加施工荷载:现浇板养护期间，当碰强度小于1.2MPa时，不得进行后续施工。当碎强度小于10MPa时，不得在现浇板上吊运、堆放重物，以减少施工裂缝。</w:t>
      </w:r>
      <w:bookmarkEnd w:id="808"/>
    </w:p>
    <w:p w14:paraId="285DBA9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09" w:name="_Toc18737"/>
      <w:r>
        <w:rPr>
          <w:rFonts w:hint="eastAsia" w:ascii="宋体" w:hAnsi="宋体" w:cs="宋体"/>
          <w:color w:val="auto"/>
          <w:kern w:val="0"/>
          <w:szCs w:val="21"/>
          <w:highlight w:val="none"/>
        </w:rPr>
        <w:t>（7）板面振捣及收面:板面浇筑时，宜采用平板振动器振捣，在硷初凝前进行二次振捣，并进行二次压抹收面，大面宜采用机械提浆收面。</w:t>
      </w:r>
      <w:bookmarkEnd w:id="809"/>
    </w:p>
    <w:p w14:paraId="1B95236C">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10" w:name="_Toc16148"/>
      <w:r>
        <w:rPr>
          <w:rFonts w:hint="eastAsia" w:ascii="宋体" w:hAnsi="宋体" w:cs="宋体"/>
          <w:color w:val="auto"/>
          <w:kern w:val="0"/>
          <w:szCs w:val="21"/>
          <w:highlight w:val="none"/>
        </w:rPr>
        <w:t>（8）沉箱碎浇筑时严格控制浮浆流入量。宜先浇沉箱底板，初凝后再浇沉箱边梁碎。</w:t>
      </w:r>
      <w:bookmarkEnd w:id="810"/>
    </w:p>
    <w:p w14:paraId="6D47B0C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11" w:name="_Toc26653"/>
      <w:r>
        <w:rPr>
          <w:rFonts w:hint="eastAsia" w:ascii="宋体" w:hAnsi="宋体" w:cs="宋体"/>
          <w:color w:val="auto"/>
          <w:kern w:val="0"/>
          <w:szCs w:val="21"/>
          <w:highlight w:val="none"/>
        </w:rPr>
        <w:t>（9）卫生间楼板浇筑前，必须检查复核预埋防水套管的规格、位置。</w:t>
      </w:r>
      <w:bookmarkEnd w:id="811"/>
    </w:p>
    <w:p w14:paraId="37AAC03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12" w:name="_Toc24089"/>
      <w:r>
        <w:rPr>
          <w:rFonts w:hint="eastAsia" w:ascii="宋体" w:hAnsi="宋体" w:cs="宋体"/>
          <w:color w:val="auto"/>
          <w:kern w:val="0"/>
          <w:szCs w:val="21"/>
          <w:highlight w:val="none"/>
        </w:rPr>
        <w:t>（10）不宜在结构板面压槽安装给水管，设计需考虑板面布管构造空间。</w:t>
      </w:r>
      <w:bookmarkEnd w:id="812"/>
    </w:p>
    <w:p w14:paraId="6F1BAF4E">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13" w:name="_Toc13643"/>
      <w:r>
        <w:rPr>
          <w:rFonts w:hint="eastAsia" w:ascii="宋体" w:hAnsi="宋体" w:cs="宋体"/>
          <w:color w:val="auto"/>
          <w:kern w:val="0"/>
          <w:szCs w:val="21"/>
          <w:highlight w:val="none"/>
        </w:rPr>
        <w:t>（11）板面养护:住宅标准层柱、墙、梁、板硷，南方地区宜采用浇水保湿养护，养护时间不少于14天。北方地区板面必须采用塑料薄膜覆盖自养方案。</w:t>
      </w:r>
      <w:bookmarkEnd w:id="813"/>
    </w:p>
    <w:p w14:paraId="2342D609">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14" w:name="_Toc7921"/>
      <w:r>
        <w:rPr>
          <w:rFonts w:hint="eastAsia" w:ascii="宋体" w:hAnsi="宋体" w:cs="宋体"/>
          <w:color w:val="auto"/>
          <w:kern w:val="0"/>
          <w:szCs w:val="21"/>
          <w:highlight w:val="none"/>
        </w:rPr>
        <w:t>（12）严格控制拆模时间:悬臂构件及跨度较大 (&gt;8米)的梁、板必须保证其础强度达到100%方可拆除底模;小于等于8米梁板，碰强度必须达到设计强度的75%以上，方可拆除底模。(见下表</w:t>
      </w:r>
      <w:bookmarkEnd w:id="814"/>
      <w:bookmarkStart w:id="815" w:name="_Toc1085"/>
      <w:r>
        <w:rPr>
          <w:rFonts w:hint="eastAsia" w:ascii="宋体" w:hAnsi="宋体" w:cs="宋体"/>
          <w:color w:val="auto"/>
          <w:kern w:val="0"/>
          <w:szCs w:val="21"/>
          <w:highlight w:val="none"/>
        </w:rPr>
        <w:t>强度与拆模时间与昼夜平均温度间的关系 (参考)</w:t>
      </w:r>
      <w:bookmarkEnd w:id="815"/>
    </w:p>
    <w:tbl>
      <w:tblPr>
        <w:tblStyle w:val="56"/>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19"/>
        <w:gridCol w:w="850"/>
        <w:gridCol w:w="851"/>
        <w:gridCol w:w="850"/>
        <w:gridCol w:w="851"/>
        <w:gridCol w:w="992"/>
        <w:gridCol w:w="851"/>
        <w:gridCol w:w="1134"/>
      </w:tblGrid>
      <w:tr w14:paraId="4C21C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9" w:type="dxa"/>
            <w:vAlign w:val="center"/>
          </w:tcPr>
          <w:p w14:paraId="370ADD0C">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16" w:name="_Toc24014"/>
            <w:r>
              <w:rPr>
                <w:rFonts w:hint="eastAsia" w:ascii="宋体" w:hAnsi="宋体" w:cs="宋体"/>
                <w:color w:val="auto"/>
                <w:kern w:val="0"/>
                <w:szCs w:val="21"/>
                <w:highlight w:val="none"/>
              </w:rPr>
              <w:t>构件/强度/温度</w:t>
            </w:r>
            <w:bookmarkEnd w:id="816"/>
          </w:p>
        </w:tc>
        <w:tc>
          <w:tcPr>
            <w:tcW w:w="850" w:type="dxa"/>
            <w:vAlign w:val="center"/>
          </w:tcPr>
          <w:p w14:paraId="6FE7292A">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17" w:name="_Toc9261"/>
            <w:r>
              <w:rPr>
                <w:rFonts w:hint="eastAsia" w:ascii="宋体" w:hAnsi="宋体" w:cs="宋体"/>
                <w:color w:val="auto"/>
                <w:kern w:val="0"/>
                <w:szCs w:val="21"/>
                <w:highlight w:val="none"/>
              </w:rPr>
              <w:t>5</w:t>
            </w:r>
            <w:bookmarkEnd w:id="817"/>
          </w:p>
        </w:tc>
        <w:tc>
          <w:tcPr>
            <w:tcW w:w="851" w:type="dxa"/>
            <w:vAlign w:val="center"/>
          </w:tcPr>
          <w:p w14:paraId="376EA2D2">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18" w:name="_Toc18828"/>
            <w:r>
              <w:rPr>
                <w:rFonts w:hint="eastAsia" w:ascii="宋体" w:hAnsi="宋体" w:cs="宋体"/>
                <w:color w:val="auto"/>
                <w:kern w:val="0"/>
                <w:szCs w:val="21"/>
                <w:highlight w:val="none"/>
              </w:rPr>
              <w:t>10</w:t>
            </w:r>
            <w:bookmarkEnd w:id="818"/>
          </w:p>
        </w:tc>
        <w:tc>
          <w:tcPr>
            <w:tcW w:w="850" w:type="dxa"/>
            <w:vAlign w:val="center"/>
          </w:tcPr>
          <w:p w14:paraId="6ECDEE12">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19" w:name="_Toc23270"/>
            <w:r>
              <w:rPr>
                <w:rFonts w:hint="eastAsia" w:ascii="宋体" w:hAnsi="宋体" w:cs="宋体"/>
                <w:color w:val="auto"/>
                <w:kern w:val="0"/>
                <w:szCs w:val="21"/>
                <w:highlight w:val="none"/>
              </w:rPr>
              <w:t>15</w:t>
            </w:r>
            <w:bookmarkEnd w:id="819"/>
          </w:p>
        </w:tc>
        <w:tc>
          <w:tcPr>
            <w:tcW w:w="851" w:type="dxa"/>
            <w:vAlign w:val="center"/>
          </w:tcPr>
          <w:p w14:paraId="0A5B8CDF">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20" w:name="_Toc8616"/>
            <w:r>
              <w:rPr>
                <w:rFonts w:hint="eastAsia" w:ascii="宋体" w:hAnsi="宋体" w:cs="宋体"/>
                <w:color w:val="auto"/>
                <w:kern w:val="0"/>
                <w:szCs w:val="21"/>
                <w:highlight w:val="none"/>
              </w:rPr>
              <w:t>20</w:t>
            </w:r>
            <w:bookmarkEnd w:id="820"/>
          </w:p>
        </w:tc>
        <w:tc>
          <w:tcPr>
            <w:tcW w:w="992" w:type="dxa"/>
            <w:vAlign w:val="center"/>
          </w:tcPr>
          <w:p w14:paraId="5EBC440E">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21" w:name="_Toc8040"/>
            <w:r>
              <w:rPr>
                <w:rFonts w:hint="eastAsia" w:ascii="宋体" w:hAnsi="宋体" w:cs="宋体"/>
                <w:color w:val="auto"/>
                <w:kern w:val="0"/>
                <w:szCs w:val="21"/>
                <w:highlight w:val="none"/>
              </w:rPr>
              <w:t>25</w:t>
            </w:r>
            <w:bookmarkEnd w:id="821"/>
          </w:p>
        </w:tc>
        <w:tc>
          <w:tcPr>
            <w:tcW w:w="851" w:type="dxa"/>
            <w:vAlign w:val="center"/>
          </w:tcPr>
          <w:p w14:paraId="7604A8EF">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22" w:name="_Toc10436"/>
            <w:r>
              <w:rPr>
                <w:rFonts w:hint="eastAsia" w:ascii="宋体" w:hAnsi="宋体" w:cs="宋体"/>
                <w:color w:val="auto"/>
                <w:kern w:val="0"/>
                <w:szCs w:val="21"/>
                <w:highlight w:val="none"/>
              </w:rPr>
              <w:t>30</w:t>
            </w:r>
            <w:bookmarkEnd w:id="822"/>
          </w:p>
        </w:tc>
        <w:tc>
          <w:tcPr>
            <w:tcW w:w="1134" w:type="dxa"/>
            <w:vAlign w:val="center"/>
          </w:tcPr>
          <w:p w14:paraId="451F18BA">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23" w:name="_Toc23241"/>
            <w:r>
              <w:rPr>
                <w:rFonts w:hint="eastAsia" w:ascii="宋体" w:hAnsi="宋体" w:cs="宋体"/>
                <w:color w:val="auto"/>
                <w:kern w:val="0"/>
                <w:szCs w:val="21"/>
                <w:highlight w:val="none"/>
              </w:rPr>
              <w:t>温度</w:t>
            </w:r>
            <w:bookmarkEnd w:id="823"/>
          </w:p>
        </w:tc>
      </w:tr>
      <w:tr w14:paraId="68CD9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9" w:type="dxa"/>
            <w:vAlign w:val="center"/>
          </w:tcPr>
          <w:p w14:paraId="14C1557C">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24" w:name="_Toc6301"/>
            <w:r>
              <w:rPr>
                <w:rFonts w:hint="eastAsia" w:ascii="宋体" w:hAnsi="宋体" w:cs="宋体"/>
                <w:color w:val="auto"/>
                <w:kern w:val="0"/>
                <w:szCs w:val="21"/>
                <w:highlight w:val="none"/>
              </w:rPr>
              <w:t>≤5m梁板，75%强度</w:t>
            </w:r>
            <w:bookmarkEnd w:id="824"/>
          </w:p>
        </w:tc>
        <w:tc>
          <w:tcPr>
            <w:tcW w:w="850" w:type="dxa"/>
            <w:vAlign w:val="center"/>
          </w:tcPr>
          <w:p w14:paraId="3159B87D">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25" w:name="_Toc26858"/>
            <w:r>
              <w:rPr>
                <w:rFonts w:hint="eastAsia" w:ascii="宋体" w:hAnsi="宋体" w:cs="宋体"/>
                <w:color w:val="auto"/>
                <w:kern w:val="0"/>
                <w:szCs w:val="21"/>
                <w:highlight w:val="none"/>
              </w:rPr>
              <w:t>28</w:t>
            </w:r>
            <w:bookmarkEnd w:id="825"/>
          </w:p>
        </w:tc>
        <w:tc>
          <w:tcPr>
            <w:tcW w:w="851" w:type="dxa"/>
            <w:vAlign w:val="center"/>
          </w:tcPr>
          <w:p w14:paraId="442F86C6">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26" w:name="_Toc2649"/>
            <w:r>
              <w:rPr>
                <w:rFonts w:hint="eastAsia" w:ascii="宋体" w:hAnsi="宋体" w:cs="宋体"/>
                <w:color w:val="auto"/>
                <w:kern w:val="0"/>
                <w:szCs w:val="21"/>
                <w:highlight w:val="none"/>
              </w:rPr>
              <w:t>20</w:t>
            </w:r>
            <w:bookmarkEnd w:id="826"/>
          </w:p>
        </w:tc>
        <w:tc>
          <w:tcPr>
            <w:tcW w:w="850" w:type="dxa"/>
            <w:vAlign w:val="center"/>
          </w:tcPr>
          <w:p w14:paraId="7078E113">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27" w:name="_Toc8181"/>
            <w:r>
              <w:rPr>
                <w:rFonts w:hint="eastAsia" w:ascii="宋体" w:hAnsi="宋体" w:cs="宋体"/>
                <w:color w:val="auto"/>
                <w:kern w:val="0"/>
                <w:szCs w:val="21"/>
                <w:highlight w:val="none"/>
              </w:rPr>
              <w:t>15</w:t>
            </w:r>
            <w:bookmarkEnd w:id="827"/>
          </w:p>
        </w:tc>
        <w:tc>
          <w:tcPr>
            <w:tcW w:w="851" w:type="dxa"/>
            <w:vAlign w:val="center"/>
          </w:tcPr>
          <w:p w14:paraId="1052AC96">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28" w:name="_Toc7830"/>
            <w:r>
              <w:rPr>
                <w:rFonts w:hint="eastAsia" w:ascii="宋体" w:hAnsi="宋体" w:cs="宋体"/>
                <w:color w:val="auto"/>
                <w:kern w:val="0"/>
                <w:szCs w:val="21"/>
                <w:highlight w:val="none"/>
              </w:rPr>
              <w:t>12</w:t>
            </w:r>
            <w:bookmarkEnd w:id="828"/>
          </w:p>
        </w:tc>
        <w:tc>
          <w:tcPr>
            <w:tcW w:w="992" w:type="dxa"/>
            <w:vAlign w:val="center"/>
          </w:tcPr>
          <w:p w14:paraId="1B118201">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29" w:name="_Toc7367"/>
            <w:r>
              <w:rPr>
                <w:rFonts w:hint="eastAsia" w:ascii="宋体" w:hAnsi="宋体" w:cs="宋体"/>
                <w:color w:val="auto"/>
                <w:kern w:val="0"/>
                <w:szCs w:val="21"/>
                <w:highlight w:val="none"/>
              </w:rPr>
              <w:t>10</w:t>
            </w:r>
            <w:bookmarkEnd w:id="829"/>
          </w:p>
        </w:tc>
        <w:tc>
          <w:tcPr>
            <w:tcW w:w="851" w:type="dxa"/>
            <w:vAlign w:val="center"/>
          </w:tcPr>
          <w:p w14:paraId="6AEEA96D">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30" w:name="_Toc19108"/>
            <w:r>
              <w:rPr>
                <w:rFonts w:hint="eastAsia" w:ascii="宋体" w:hAnsi="宋体" w:cs="宋体"/>
                <w:color w:val="auto"/>
                <w:kern w:val="0"/>
                <w:szCs w:val="21"/>
                <w:highlight w:val="none"/>
              </w:rPr>
              <w:t>9</w:t>
            </w:r>
            <w:bookmarkEnd w:id="830"/>
          </w:p>
        </w:tc>
        <w:tc>
          <w:tcPr>
            <w:tcW w:w="1134" w:type="dxa"/>
            <w:vAlign w:val="center"/>
          </w:tcPr>
          <w:p w14:paraId="41A84219">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31" w:name="_Toc17330"/>
            <w:r>
              <w:rPr>
                <w:rFonts w:hint="eastAsia" w:ascii="宋体" w:hAnsi="宋体" w:cs="宋体"/>
                <w:color w:val="auto"/>
                <w:kern w:val="0"/>
                <w:szCs w:val="21"/>
                <w:highlight w:val="none"/>
              </w:rPr>
              <w:t>天数</w:t>
            </w:r>
            <w:bookmarkEnd w:id="831"/>
          </w:p>
        </w:tc>
      </w:tr>
      <w:tr w14:paraId="47159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9" w:type="dxa"/>
            <w:vAlign w:val="center"/>
          </w:tcPr>
          <w:p w14:paraId="17F27054">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32" w:name="_Toc8249"/>
            <w:r>
              <w:rPr>
                <w:rFonts w:hint="eastAsia" w:ascii="宋体" w:hAnsi="宋体" w:cs="宋体"/>
                <w:color w:val="auto"/>
                <w:kern w:val="0"/>
                <w:szCs w:val="21"/>
                <w:highlight w:val="none"/>
              </w:rPr>
              <w:t>悬臂构件，＞8m梁板，100%强度</w:t>
            </w:r>
            <w:bookmarkEnd w:id="832"/>
          </w:p>
        </w:tc>
        <w:tc>
          <w:tcPr>
            <w:tcW w:w="850" w:type="dxa"/>
            <w:vAlign w:val="center"/>
          </w:tcPr>
          <w:p w14:paraId="16CB9712">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33" w:name="_Toc6021"/>
            <w:r>
              <w:rPr>
                <w:rFonts w:hint="eastAsia" w:ascii="宋体" w:hAnsi="宋体" w:cs="宋体"/>
                <w:color w:val="auto"/>
                <w:kern w:val="0"/>
                <w:szCs w:val="21"/>
                <w:highlight w:val="none"/>
              </w:rPr>
              <w:t>40</w:t>
            </w:r>
            <w:bookmarkEnd w:id="833"/>
          </w:p>
        </w:tc>
        <w:tc>
          <w:tcPr>
            <w:tcW w:w="851" w:type="dxa"/>
            <w:vAlign w:val="center"/>
          </w:tcPr>
          <w:p w14:paraId="1CC36BF9">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34" w:name="_Toc25517"/>
            <w:r>
              <w:rPr>
                <w:rFonts w:hint="eastAsia" w:ascii="宋体" w:hAnsi="宋体" w:cs="宋体"/>
                <w:color w:val="auto"/>
                <w:kern w:val="0"/>
                <w:szCs w:val="21"/>
                <w:highlight w:val="none"/>
              </w:rPr>
              <w:t>35</w:t>
            </w:r>
            <w:bookmarkEnd w:id="834"/>
          </w:p>
        </w:tc>
        <w:tc>
          <w:tcPr>
            <w:tcW w:w="850" w:type="dxa"/>
            <w:vAlign w:val="center"/>
          </w:tcPr>
          <w:p w14:paraId="52A24016">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35" w:name="_Toc1084"/>
            <w:r>
              <w:rPr>
                <w:rFonts w:hint="eastAsia" w:ascii="宋体" w:hAnsi="宋体" w:cs="宋体"/>
                <w:color w:val="auto"/>
                <w:kern w:val="0"/>
                <w:szCs w:val="21"/>
                <w:highlight w:val="none"/>
              </w:rPr>
              <w:t>30</w:t>
            </w:r>
            <w:bookmarkEnd w:id="835"/>
          </w:p>
        </w:tc>
        <w:tc>
          <w:tcPr>
            <w:tcW w:w="851" w:type="dxa"/>
            <w:vAlign w:val="center"/>
          </w:tcPr>
          <w:p w14:paraId="308B08D0">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36" w:name="_Toc485"/>
            <w:r>
              <w:rPr>
                <w:rFonts w:hint="eastAsia" w:ascii="宋体" w:hAnsi="宋体" w:cs="宋体"/>
                <w:color w:val="auto"/>
                <w:kern w:val="0"/>
                <w:szCs w:val="21"/>
                <w:highlight w:val="none"/>
              </w:rPr>
              <w:t>28</w:t>
            </w:r>
            <w:bookmarkEnd w:id="836"/>
          </w:p>
        </w:tc>
        <w:tc>
          <w:tcPr>
            <w:tcW w:w="992" w:type="dxa"/>
            <w:vAlign w:val="center"/>
          </w:tcPr>
          <w:p w14:paraId="1599CECD">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37" w:name="_Toc24476"/>
            <w:r>
              <w:rPr>
                <w:rFonts w:hint="eastAsia" w:ascii="宋体" w:hAnsi="宋体" w:cs="宋体"/>
                <w:color w:val="auto"/>
                <w:kern w:val="0"/>
                <w:szCs w:val="21"/>
                <w:highlight w:val="none"/>
              </w:rPr>
              <w:t>20</w:t>
            </w:r>
            <w:bookmarkEnd w:id="837"/>
          </w:p>
        </w:tc>
        <w:tc>
          <w:tcPr>
            <w:tcW w:w="851" w:type="dxa"/>
            <w:vAlign w:val="center"/>
          </w:tcPr>
          <w:p w14:paraId="59A6E322">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38" w:name="_Toc9302"/>
            <w:r>
              <w:rPr>
                <w:rFonts w:hint="eastAsia" w:ascii="宋体" w:hAnsi="宋体" w:cs="宋体"/>
                <w:color w:val="auto"/>
                <w:kern w:val="0"/>
                <w:szCs w:val="21"/>
                <w:highlight w:val="none"/>
              </w:rPr>
              <w:t>10</w:t>
            </w:r>
            <w:bookmarkEnd w:id="838"/>
          </w:p>
        </w:tc>
        <w:tc>
          <w:tcPr>
            <w:tcW w:w="1134" w:type="dxa"/>
            <w:vAlign w:val="center"/>
          </w:tcPr>
          <w:p w14:paraId="5F03BAC8">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bookmarkStart w:id="839" w:name="_Toc22197"/>
            <w:r>
              <w:rPr>
                <w:rFonts w:hint="eastAsia" w:ascii="宋体" w:hAnsi="宋体" w:cs="宋体"/>
                <w:color w:val="auto"/>
                <w:kern w:val="0"/>
                <w:szCs w:val="21"/>
                <w:highlight w:val="none"/>
              </w:rPr>
              <w:t>天数</w:t>
            </w:r>
            <w:bookmarkEnd w:id="839"/>
          </w:p>
        </w:tc>
      </w:tr>
    </w:tbl>
    <w:p w14:paraId="5579A05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40" w:name="_Toc12127"/>
      <w:r>
        <w:rPr>
          <w:rFonts w:hint="eastAsia" w:ascii="宋体" w:hAnsi="宋体" w:cs="宋体"/>
          <w:color w:val="auto"/>
          <w:kern w:val="0"/>
          <w:szCs w:val="21"/>
          <w:highlight w:val="none"/>
        </w:rPr>
        <w:t>（13）北方地区:地暖楼地面施工中，与内外墙、柱及门等交接处应按设计要求留设不间断伸缩缝(一般来说伸缩缝内嵌填聚苯乙烯板当地面面积超过30m或边长超过6m时，应按不大于6m设置伸缩缝，缝宽不小于8mm)</w:t>
      </w:r>
      <w:bookmarkEnd w:id="840"/>
    </w:p>
    <w:p w14:paraId="516FD5C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41" w:name="_Toc16828"/>
      <w:r>
        <w:rPr>
          <w:rFonts w:hint="eastAsia" w:ascii="宋体" w:hAnsi="宋体" w:cs="宋体"/>
          <w:color w:val="auto"/>
          <w:kern w:val="0"/>
          <w:szCs w:val="21"/>
          <w:highlight w:val="none"/>
        </w:rPr>
        <w:t>（14）各部位碎结构坎台施工措施要求</w:t>
      </w:r>
      <w:bookmarkEnd w:id="841"/>
    </w:p>
    <w:p w14:paraId="6E8E39F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42" w:name="_Toc12935"/>
      <w:r>
        <w:rPr>
          <w:rFonts w:hint="eastAsia" w:ascii="宋体" w:hAnsi="宋体" w:cs="宋体"/>
          <w:color w:val="auto"/>
          <w:kern w:val="0"/>
          <w:szCs w:val="21"/>
          <w:highlight w:val="none"/>
        </w:rPr>
        <w:t>①所有坎台的位置、高度及配筋均以设计图纸为准。</w:t>
      </w:r>
      <w:bookmarkEnd w:id="842"/>
    </w:p>
    <w:p w14:paraId="68D04C9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43" w:name="_Toc12724"/>
      <w:r>
        <w:rPr>
          <w:rFonts w:hint="eastAsia" w:ascii="宋体" w:hAnsi="宋体" w:cs="宋体"/>
          <w:color w:val="auto"/>
          <w:kern w:val="0"/>
          <w:szCs w:val="21"/>
          <w:highlight w:val="none"/>
        </w:rPr>
        <w:t>②所有碰坎台、变形缝必须同结构梁、板同时浇捣完成。</w:t>
      </w:r>
      <w:bookmarkEnd w:id="843"/>
    </w:p>
    <w:p w14:paraId="2AB83A9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44" w:name="_Toc9201"/>
      <w:r>
        <w:rPr>
          <w:rFonts w:hint="eastAsia" w:ascii="宋体" w:hAnsi="宋体" w:cs="宋体"/>
          <w:color w:val="auto"/>
          <w:kern w:val="0"/>
          <w:szCs w:val="21"/>
          <w:highlight w:val="none"/>
        </w:rPr>
        <w:t>③卫生间沉箱内烟道、风道、管道井根部坎台和四周墙脚周边坎台必须同沉箱四周梁一同浇捣完成。</w:t>
      </w:r>
      <w:bookmarkEnd w:id="844"/>
    </w:p>
    <w:p w14:paraId="1421F58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45" w:name="_Toc4252"/>
      <w:r>
        <w:rPr>
          <w:rFonts w:hint="eastAsia" w:ascii="宋体" w:hAnsi="宋体" w:cs="宋体"/>
          <w:color w:val="auto"/>
          <w:kern w:val="0"/>
          <w:szCs w:val="21"/>
          <w:highlight w:val="none"/>
        </w:rPr>
        <w:t>④碰坎台施工定位要准确，以免与上部砌体错位。</w:t>
      </w:r>
      <w:bookmarkEnd w:id="845"/>
    </w:p>
    <w:p w14:paraId="30B08688">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46" w:name="_Toc2150"/>
      <w:r>
        <w:rPr>
          <w:rFonts w:hint="eastAsia" w:ascii="宋体" w:hAnsi="宋体" w:cs="宋体"/>
          <w:color w:val="auto"/>
          <w:kern w:val="0"/>
          <w:szCs w:val="21"/>
          <w:highlight w:val="none"/>
        </w:rPr>
        <w:t>⑤严禁用铁丝穿过坎台加固。</w:t>
      </w:r>
      <w:bookmarkEnd w:id="846"/>
    </w:p>
    <w:p w14:paraId="774B81D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47" w:name="_Toc4052"/>
      <w:r>
        <w:rPr>
          <w:rFonts w:hint="eastAsia" w:ascii="宋体" w:hAnsi="宋体" w:cs="宋体"/>
          <w:color w:val="auto"/>
          <w:kern w:val="0"/>
          <w:szCs w:val="21"/>
          <w:highlight w:val="none"/>
        </w:rPr>
        <w:t>（三）墙面砼结构工程</w:t>
      </w:r>
      <w:bookmarkEnd w:id="847"/>
    </w:p>
    <w:p w14:paraId="20B7145E">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48" w:name="_Toc29848"/>
      <w:r>
        <w:rPr>
          <w:rFonts w:hint="eastAsia" w:ascii="宋体" w:hAnsi="宋体" w:cs="宋体"/>
          <w:color w:val="auto"/>
          <w:kern w:val="0"/>
          <w:szCs w:val="21"/>
          <w:highlight w:val="none"/>
        </w:rPr>
        <w:t>1.开裂、渗水部位</w:t>
      </w:r>
      <w:bookmarkEnd w:id="848"/>
    </w:p>
    <w:p w14:paraId="2DEFF849">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49" w:name="_Toc16080"/>
      <w:r>
        <w:rPr>
          <w:rFonts w:hint="eastAsia" w:ascii="宋体" w:hAnsi="宋体" w:cs="宋体"/>
          <w:color w:val="auto"/>
          <w:kern w:val="0"/>
          <w:szCs w:val="21"/>
          <w:highlight w:val="none"/>
        </w:rPr>
        <w:t>（1）伸缩缝处。</w:t>
      </w:r>
      <w:bookmarkEnd w:id="849"/>
    </w:p>
    <w:p w14:paraId="0233527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50" w:name="_Toc31116"/>
      <w:r>
        <w:rPr>
          <w:rFonts w:hint="eastAsia" w:ascii="宋体" w:hAnsi="宋体" w:cs="宋体"/>
          <w:color w:val="auto"/>
          <w:kern w:val="0"/>
          <w:szCs w:val="21"/>
          <w:highlight w:val="none"/>
        </w:rPr>
        <w:t>（2）全剪外堵飘窗洞四角45度部位。</w:t>
      </w:r>
      <w:bookmarkEnd w:id="850"/>
    </w:p>
    <w:p w14:paraId="1062CE4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51" w:name="_Toc13404"/>
      <w:r>
        <w:rPr>
          <w:rFonts w:hint="eastAsia" w:ascii="宋体" w:hAnsi="宋体" w:cs="宋体"/>
          <w:color w:val="auto"/>
          <w:kern w:val="0"/>
          <w:szCs w:val="21"/>
          <w:highlight w:val="none"/>
        </w:rPr>
        <w:t>（3）洞口两角45度部位。</w:t>
      </w:r>
      <w:bookmarkEnd w:id="851"/>
    </w:p>
    <w:p w14:paraId="5A1D181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52" w:name="_Toc23888"/>
      <w:r>
        <w:rPr>
          <w:rFonts w:hint="eastAsia" w:ascii="宋体" w:hAnsi="宋体" w:cs="宋体"/>
          <w:color w:val="auto"/>
          <w:kern w:val="0"/>
          <w:szCs w:val="21"/>
          <w:highlight w:val="none"/>
        </w:rPr>
        <w:t>（4）外墙螺栓杆孔洞部位。</w:t>
      </w:r>
      <w:bookmarkEnd w:id="852"/>
    </w:p>
    <w:p w14:paraId="3E50A43A">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53" w:name="_Toc18168"/>
      <w:r>
        <w:rPr>
          <w:rFonts w:hint="eastAsia" w:ascii="宋体" w:hAnsi="宋体" w:cs="宋体"/>
          <w:color w:val="auto"/>
          <w:kern w:val="0"/>
          <w:szCs w:val="21"/>
          <w:highlight w:val="none"/>
        </w:rPr>
        <w:t>2.开裂、渗水主要原因</w:t>
      </w:r>
      <w:bookmarkEnd w:id="853"/>
    </w:p>
    <w:p w14:paraId="1205C6E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54" w:name="_Toc19047"/>
      <w:r>
        <w:rPr>
          <w:rFonts w:hint="eastAsia" w:ascii="宋体" w:hAnsi="宋体" w:cs="宋体"/>
          <w:color w:val="auto"/>
          <w:kern w:val="0"/>
          <w:szCs w:val="21"/>
          <w:highlight w:val="none"/>
        </w:rPr>
        <w:t>（1）强度达不到设计要求，或水灰比过大，或外加剂过量、或初凝前未收面，或气温过高、气候干燥，失水过早。</w:t>
      </w:r>
      <w:bookmarkEnd w:id="854"/>
    </w:p>
    <w:p w14:paraId="06184C1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55" w:name="_Toc29972"/>
      <w:r>
        <w:rPr>
          <w:rFonts w:hint="eastAsia" w:ascii="宋体" w:hAnsi="宋体" w:cs="宋体"/>
          <w:color w:val="auto"/>
          <w:kern w:val="0"/>
          <w:szCs w:val="21"/>
          <w:highlight w:val="none"/>
        </w:rPr>
        <w:t>（2）支撑体系下沉或整体刚度不够，支模方式不合理。3.过早拆模或过早增加墙面施工荷载。</w:t>
      </w:r>
      <w:bookmarkEnd w:id="855"/>
    </w:p>
    <w:p w14:paraId="19DEA77A">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56" w:name="_Toc13201"/>
      <w:r>
        <w:rPr>
          <w:rFonts w:hint="eastAsia" w:ascii="宋体" w:hAnsi="宋体" w:cs="宋体"/>
          <w:color w:val="auto"/>
          <w:kern w:val="0"/>
          <w:szCs w:val="21"/>
          <w:highlight w:val="none"/>
        </w:rPr>
        <w:t>（3）每天养护时间太短、次数少，或养护天数不够。</w:t>
      </w:r>
      <w:bookmarkEnd w:id="856"/>
    </w:p>
    <w:p w14:paraId="11F82358">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57" w:name="_Toc25656"/>
      <w:r>
        <w:rPr>
          <w:rFonts w:hint="eastAsia" w:ascii="宋体" w:hAnsi="宋体" w:cs="宋体"/>
          <w:color w:val="auto"/>
          <w:kern w:val="0"/>
          <w:szCs w:val="21"/>
          <w:highlight w:val="none"/>
        </w:rPr>
        <w:t>（4）预埋管线的管径过大或位置不合理，多条管线重叠布置或分布不合理。</w:t>
      </w:r>
      <w:bookmarkEnd w:id="857"/>
    </w:p>
    <w:p w14:paraId="2BBA3BA7">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58" w:name="_Toc22236"/>
      <w:r>
        <w:rPr>
          <w:rFonts w:hint="eastAsia" w:ascii="宋体" w:hAnsi="宋体" w:cs="宋体"/>
          <w:color w:val="auto"/>
          <w:kern w:val="0"/>
          <w:szCs w:val="21"/>
          <w:highlight w:val="none"/>
        </w:rPr>
        <w:t>（5）墙体过长未按设计设置拉缝释放应力。</w:t>
      </w:r>
      <w:bookmarkEnd w:id="858"/>
    </w:p>
    <w:p w14:paraId="340CE7DC">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59" w:name="_Toc22104"/>
      <w:r>
        <w:rPr>
          <w:rFonts w:hint="eastAsia" w:ascii="宋体" w:hAnsi="宋体" w:cs="宋体"/>
          <w:color w:val="auto"/>
          <w:kern w:val="0"/>
          <w:szCs w:val="21"/>
          <w:highlight w:val="none"/>
        </w:rPr>
        <w:t>（6）墙体洞口未设加强筋</w:t>
      </w:r>
      <w:bookmarkEnd w:id="859"/>
    </w:p>
    <w:p w14:paraId="21927549">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60" w:name="_Toc25114"/>
      <w:r>
        <w:rPr>
          <w:rFonts w:hint="eastAsia" w:ascii="宋体" w:hAnsi="宋体" w:cs="宋体"/>
          <w:color w:val="auto"/>
          <w:kern w:val="0"/>
          <w:szCs w:val="21"/>
          <w:highlight w:val="none"/>
        </w:rPr>
        <w:t>（7）外墙螺栓杆孔洞未封堵或封堵不密实。</w:t>
      </w:r>
      <w:bookmarkEnd w:id="860"/>
    </w:p>
    <w:p w14:paraId="72F4E0FC">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61" w:name="_Toc12008"/>
      <w:r>
        <w:rPr>
          <w:rFonts w:hint="eastAsia" w:ascii="宋体" w:hAnsi="宋体" w:cs="宋体"/>
          <w:color w:val="auto"/>
          <w:kern w:val="0"/>
          <w:szCs w:val="21"/>
          <w:highlight w:val="none"/>
        </w:rPr>
        <w:t>3.施工措施注意事项</w:t>
      </w:r>
      <w:bookmarkEnd w:id="861"/>
    </w:p>
    <w:p w14:paraId="2939543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62" w:name="_Toc3121"/>
      <w:r>
        <w:rPr>
          <w:rFonts w:hint="eastAsia" w:ascii="宋体" w:hAnsi="宋体" w:cs="宋体"/>
          <w:color w:val="auto"/>
          <w:kern w:val="0"/>
          <w:szCs w:val="21"/>
          <w:highlight w:val="none"/>
        </w:rPr>
        <w:t>（1）材料性能必须满足设计规范使用要求，严格控制的坍落度和标号，不能随意变更标号，严禁擅自补充添加剂，尤其不能随意添加水。</w:t>
      </w:r>
      <w:bookmarkEnd w:id="862"/>
    </w:p>
    <w:p w14:paraId="73A365FA">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63" w:name="_Toc11626"/>
      <w:r>
        <w:rPr>
          <w:rFonts w:hint="eastAsia" w:ascii="宋体" w:hAnsi="宋体" w:cs="宋体"/>
          <w:color w:val="auto"/>
          <w:kern w:val="0"/>
          <w:szCs w:val="21"/>
          <w:highlight w:val="none"/>
        </w:rPr>
        <w:t>（2）钢筋材料性能必须满足设计规范使用要求，假冒伪劣产品不许进场。</w:t>
      </w:r>
      <w:bookmarkEnd w:id="863"/>
    </w:p>
    <w:p w14:paraId="76AA19EE">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64" w:name="_Toc20973"/>
      <w:r>
        <w:rPr>
          <w:rFonts w:hint="eastAsia" w:ascii="宋体" w:hAnsi="宋体" w:cs="宋体"/>
          <w:color w:val="auto"/>
          <w:kern w:val="0"/>
          <w:szCs w:val="21"/>
          <w:highlight w:val="none"/>
        </w:rPr>
        <w:t>（3）可与设计沟通，墙面洞口四角增设加强筋</w:t>
      </w:r>
      <w:bookmarkEnd w:id="864"/>
    </w:p>
    <w:p w14:paraId="361DAA37">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65" w:name="_Toc29068"/>
      <w:r>
        <w:rPr>
          <w:rFonts w:hint="eastAsia" w:ascii="宋体" w:hAnsi="宋体" w:cs="宋体"/>
          <w:color w:val="auto"/>
          <w:kern w:val="0"/>
          <w:szCs w:val="21"/>
          <w:highlight w:val="none"/>
        </w:rPr>
        <w:t>（4）全剪墙按规范及设计要求设置拉缝。</w:t>
      </w:r>
      <w:bookmarkEnd w:id="865"/>
    </w:p>
    <w:p w14:paraId="31349D1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66" w:name="_Toc14891"/>
      <w:r>
        <w:rPr>
          <w:rFonts w:hint="eastAsia" w:ascii="宋体" w:hAnsi="宋体" w:cs="宋体"/>
          <w:color w:val="auto"/>
          <w:kern w:val="0"/>
          <w:szCs w:val="21"/>
          <w:highlight w:val="none"/>
        </w:rPr>
        <w:t>（5）专人养护，南方地区宜采用浇水保湿养护，养护时间不少于14天。</w:t>
      </w:r>
      <w:bookmarkEnd w:id="866"/>
    </w:p>
    <w:p w14:paraId="0D652EE7">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67" w:name="_Toc15629"/>
      <w:r>
        <w:rPr>
          <w:rFonts w:hint="eastAsia" w:ascii="宋体" w:hAnsi="宋体" w:cs="宋体"/>
          <w:color w:val="auto"/>
          <w:kern w:val="0"/>
          <w:szCs w:val="21"/>
          <w:highlight w:val="none"/>
        </w:rPr>
        <w:t>四、砌体及砌体构造工程</w:t>
      </w:r>
      <w:bookmarkEnd w:id="867"/>
    </w:p>
    <w:p w14:paraId="5AE39FA2">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68" w:name="_Toc25755"/>
      <w:r>
        <w:rPr>
          <w:rFonts w:hint="eastAsia" w:ascii="宋体" w:hAnsi="宋体" w:cs="宋体"/>
          <w:color w:val="auto"/>
          <w:kern w:val="0"/>
          <w:szCs w:val="21"/>
          <w:highlight w:val="none"/>
        </w:rPr>
        <w:t>（一）常见的质量问题及原因分析</w:t>
      </w:r>
      <w:bookmarkEnd w:id="868"/>
    </w:p>
    <w:p w14:paraId="2B37F4C6">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69" w:name="_Toc18950"/>
      <w:r>
        <w:rPr>
          <w:rFonts w:hint="eastAsia" w:ascii="宋体" w:hAnsi="宋体" w:cs="宋体"/>
          <w:color w:val="auto"/>
          <w:kern w:val="0"/>
          <w:szCs w:val="21"/>
          <w:highlight w:val="none"/>
        </w:rPr>
        <w:t>1.常见的质量问题</w:t>
      </w:r>
      <w:bookmarkEnd w:id="869"/>
    </w:p>
    <w:p w14:paraId="3A0DEA3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70" w:name="_Toc32627"/>
      <w:r>
        <w:rPr>
          <w:rFonts w:hint="eastAsia" w:ascii="宋体" w:hAnsi="宋体" w:cs="宋体"/>
          <w:color w:val="auto"/>
          <w:kern w:val="0"/>
          <w:szCs w:val="21"/>
          <w:highlight w:val="none"/>
        </w:rPr>
        <w:t>（1）不同墙体之间出现开裂、渗漏。</w:t>
      </w:r>
      <w:bookmarkEnd w:id="870"/>
    </w:p>
    <w:p w14:paraId="1668C5BC">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71" w:name="_Toc79"/>
      <w:r>
        <w:rPr>
          <w:rFonts w:hint="eastAsia" w:ascii="宋体" w:hAnsi="宋体" w:cs="宋体"/>
          <w:color w:val="auto"/>
          <w:kern w:val="0"/>
          <w:szCs w:val="21"/>
          <w:highlight w:val="none"/>
        </w:rPr>
        <w:t>（2）结构梁底与填充墙之间出现开裂、渗漏。</w:t>
      </w:r>
      <w:bookmarkEnd w:id="871"/>
    </w:p>
    <w:p w14:paraId="3C33750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72" w:name="_Toc25537"/>
      <w:r>
        <w:rPr>
          <w:rFonts w:hint="eastAsia" w:ascii="宋体" w:hAnsi="宋体" w:cs="宋体"/>
          <w:color w:val="auto"/>
          <w:kern w:val="0"/>
          <w:szCs w:val="21"/>
          <w:highlight w:val="none"/>
        </w:rPr>
        <w:t>（3）厨卫间隔墙出现开裂、渗漏。</w:t>
      </w:r>
      <w:bookmarkEnd w:id="872"/>
    </w:p>
    <w:p w14:paraId="3D9FF98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73" w:name="_Toc27402"/>
      <w:r>
        <w:rPr>
          <w:rFonts w:hint="eastAsia" w:ascii="宋体" w:hAnsi="宋体" w:cs="宋体"/>
          <w:color w:val="auto"/>
          <w:kern w:val="0"/>
          <w:szCs w:val="21"/>
          <w:highlight w:val="none"/>
        </w:rPr>
        <w:t>（4）外墙出现渗漏。</w:t>
      </w:r>
      <w:bookmarkEnd w:id="873"/>
    </w:p>
    <w:p w14:paraId="7B31D12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74" w:name="_Toc21822"/>
      <w:r>
        <w:rPr>
          <w:rFonts w:hint="eastAsia" w:ascii="宋体" w:hAnsi="宋体" w:cs="宋体"/>
          <w:color w:val="auto"/>
          <w:kern w:val="0"/>
          <w:szCs w:val="21"/>
          <w:highlight w:val="none"/>
        </w:rPr>
        <w:t>（5）构造柱、过梁与墙体之间出现开裂、渗漏。</w:t>
      </w:r>
      <w:bookmarkEnd w:id="874"/>
    </w:p>
    <w:p w14:paraId="4EE9B06A">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75" w:name="_Toc6054"/>
      <w:r>
        <w:rPr>
          <w:rFonts w:hint="eastAsia" w:ascii="宋体" w:hAnsi="宋体" w:cs="宋体"/>
          <w:color w:val="auto"/>
          <w:kern w:val="0"/>
          <w:szCs w:val="21"/>
          <w:highlight w:val="none"/>
        </w:rPr>
        <w:t>2.原因分析</w:t>
      </w:r>
      <w:bookmarkEnd w:id="875"/>
    </w:p>
    <w:p w14:paraId="54E239A6">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76" w:name="_Toc2515"/>
      <w:r>
        <w:rPr>
          <w:rFonts w:hint="eastAsia" w:ascii="宋体" w:hAnsi="宋体" w:cs="宋体"/>
          <w:color w:val="auto"/>
          <w:kern w:val="0"/>
          <w:szCs w:val="21"/>
          <w:highlight w:val="none"/>
        </w:rPr>
        <w:t>（1）墙体拉结筋未按照规范要求设置。</w:t>
      </w:r>
      <w:bookmarkEnd w:id="876"/>
    </w:p>
    <w:p w14:paraId="7CA00512">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77" w:name="_Toc4563"/>
      <w:r>
        <w:rPr>
          <w:rFonts w:hint="eastAsia" w:ascii="宋体" w:hAnsi="宋体" w:cs="宋体"/>
          <w:color w:val="auto"/>
          <w:kern w:val="0"/>
          <w:szCs w:val="21"/>
          <w:highlight w:val="none"/>
        </w:rPr>
        <w:t>（2）砌筑至梁底未充分预留技术间歇期，导致砌体整体沉降产生裂缝。当墙高超过4米时，宜在墙体半高处或门洞上端 (或窗下端)设置与柱连接且沿墙全长贯通的现浇钢筋混凝土系梁。砌体与结构梁之间塞缝或斜砌砖不密实。</w:t>
      </w:r>
      <w:bookmarkEnd w:id="877"/>
    </w:p>
    <w:p w14:paraId="113140A7">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78" w:name="_Toc32301"/>
      <w:r>
        <w:rPr>
          <w:rFonts w:hint="eastAsia" w:ascii="宋体" w:hAnsi="宋体" w:cs="宋体"/>
          <w:color w:val="auto"/>
          <w:kern w:val="0"/>
          <w:szCs w:val="21"/>
          <w:highlight w:val="none"/>
        </w:rPr>
        <w:t>（3）未设置素碎反坎或设置不满足相关要求。灰缝不饱满或宽度厚度不符合要求。</w:t>
      </w:r>
      <w:bookmarkEnd w:id="878"/>
    </w:p>
    <w:p w14:paraId="1143CC4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79" w:name="_Toc3134"/>
      <w:r>
        <w:rPr>
          <w:rFonts w:hint="eastAsia" w:ascii="宋体" w:hAnsi="宋体" w:cs="宋体"/>
          <w:color w:val="auto"/>
          <w:kern w:val="0"/>
          <w:szCs w:val="21"/>
          <w:highlight w:val="none"/>
        </w:rPr>
        <w:t>（4）外墙砌体灰缝不饱满，勾缝不密实，砌体与梁底塞缝或斜砌砖不密实，外墙预留孔洞封堵不密实。</w:t>
      </w:r>
      <w:bookmarkEnd w:id="879"/>
    </w:p>
    <w:p w14:paraId="743E370C">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80" w:name="_Toc2072"/>
      <w:r>
        <w:rPr>
          <w:rFonts w:hint="eastAsia" w:ascii="宋体" w:hAnsi="宋体" w:cs="宋体"/>
          <w:color w:val="auto"/>
          <w:kern w:val="0"/>
          <w:szCs w:val="21"/>
          <w:highlight w:val="none"/>
        </w:rPr>
        <w:t>（5）二次结构浇筑不密实，加固方式不合理，导致浇筑时与原墙体之间出现裂缝。</w:t>
      </w:r>
    </w:p>
    <w:p w14:paraId="09617F9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（二）体构造设置</w:t>
      </w:r>
      <w:bookmarkEnd w:id="880"/>
    </w:p>
    <w:p w14:paraId="1D4121D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81" w:name="_Toc1044"/>
      <w:r>
        <w:rPr>
          <w:rFonts w:hint="eastAsia" w:ascii="宋体" w:hAnsi="宋体" w:cs="宋体"/>
          <w:color w:val="auto"/>
          <w:kern w:val="0"/>
          <w:szCs w:val="21"/>
          <w:highlight w:val="none"/>
        </w:rPr>
        <w:t>以规范、设计图纸要求为准 (本文以蒸压加气混凝土砌块为主，主要依据国家建筑标准设计图集13J104《蒸压加气混凝土砌块、板材构造》)，其他砌体材料请参见相应的规范和要求。</w:t>
      </w:r>
      <w:bookmarkEnd w:id="881"/>
    </w:p>
    <w:p w14:paraId="75791A96">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82" w:name="_Toc23666"/>
      <w:r>
        <w:rPr>
          <w:rFonts w:hint="eastAsia" w:ascii="宋体" w:hAnsi="宋体" w:cs="宋体"/>
          <w:color w:val="auto"/>
          <w:kern w:val="0"/>
          <w:szCs w:val="21"/>
          <w:highlight w:val="none"/>
        </w:rPr>
        <w:t>1.不同墙体之间连接处理</w:t>
      </w:r>
      <w:bookmarkEnd w:id="882"/>
    </w:p>
    <w:p w14:paraId="255D39D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83" w:name="_Toc23954"/>
      <w:r>
        <w:rPr>
          <w:rFonts w:hint="eastAsia" w:ascii="宋体" w:hAnsi="宋体" w:cs="宋体"/>
          <w:color w:val="auto"/>
          <w:kern w:val="0"/>
          <w:szCs w:val="21"/>
          <w:highlight w:val="none"/>
        </w:rPr>
        <w:t>（1）砌块墙与主体结构间采用柔性连接做法时，砌块墙两侧与墙柱之间设置柔性缝，宽度为10--20mm。当砌块墙与主体结构采用刚性连接做法时，尚应符合: 砌块墙两端与墙、柱之间不留缝。砌块墙顶部与梁 (板)底部顶紧，砌至梁底的空隙大于等于60mm时，用切割块砌筑，小于60mm时可采用细石混凝土灌实，小于20mm左右时可采用于硬性砂浆捻实。</w:t>
      </w:r>
      <w:bookmarkEnd w:id="883"/>
    </w:p>
    <w:p w14:paraId="3872E8F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84" w:name="_Toc11766"/>
      <w:r>
        <w:rPr>
          <w:rFonts w:hint="eastAsia" w:ascii="宋体" w:hAnsi="宋体" w:cs="宋体"/>
          <w:color w:val="auto"/>
          <w:kern w:val="0"/>
          <w:szCs w:val="21"/>
          <w:highlight w:val="none"/>
        </w:rPr>
        <w:t>（2）砌块墙与主体结构之间采用柔性或刚性连接做法时，应符合下列规定:沿柱高每隔500mm (600mm)配置2根直径6mm的拉结钢筋(墙厚大于250mm时配置3根直径6mm)，钢筋伸入砌块墙内长度在抗震设防烈度6度及6度以下时不宜小于700mm，多层建筑7度时宜沿墙全长贯通，7度高层建筑及8度时应沿墙全长贯通。墙体拉结筋的连接:采用焊接接头时，单面焊接长度为10d。采用绑扎连接时，搭接长度为55d且不小于400mm。墙体拉结筋采用2φ6纵向钢筋和φ4@250分布短筋平面内点焊组成的拉结网片，或φ4点焊网片。当采用专用薄层砂浆砌筑时，拉结筋采用2φ6纵向钢筋。</w:t>
      </w:r>
      <w:bookmarkEnd w:id="884"/>
    </w:p>
    <w:p w14:paraId="11DCBE4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85" w:name="_Toc10802"/>
      <w:r>
        <w:rPr>
          <w:rFonts w:hint="eastAsia" w:ascii="宋体" w:hAnsi="宋体" w:cs="宋体"/>
          <w:color w:val="auto"/>
          <w:kern w:val="0"/>
          <w:szCs w:val="21"/>
          <w:highlight w:val="none"/>
        </w:rPr>
        <w:t>2.腰梁设置</w:t>
      </w:r>
      <w:bookmarkEnd w:id="885"/>
    </w:p>
    <w:p w14:paraId="29A750B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86" w:name="_Toc29493"/>
      <w:r>
        <w:rPr>
          <w:rFonts w:hint="eastAsia" w:ascii="宋体" w:hAnsi="宋体" w:cs="宋体"/>
          <w:color w:val="auto"/>
          <w:kern w:val="0"/>
          <w:szCs w:val="21"/>
          <w:highlight w:val="none"/>
        </w:rPr>
        <w:t>当墙高超过4米时，宜在墙体半高处或门洞上端 (或窗下端) 设置与柱连接且沿墙全长贯通的现浇钢筋混凝土系梁，梁截面高度不小于60mm;墙高不宜超过6m，如超过6m需根据工程的具体情况进行个体设计。</w:t>
      </w:r>
      <w:bookmarkEnd w:id="886"/>
    </w:p>
    <w:p w14:paraId="59F9C2AC">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87" w:name="_Toc3386"/>
      <w:r>
        <w:rPr>
          <w:rFonts w:hint="eastAsia" w:ascii="宋体" w:hAnsi="宋体" w:cs="宋体"/>
          <w:color w:val="auto"/>
          <w:kern w:val="0"/>
          <w:szCs w:val="21"/>
          <w:highlight w:val="none"/>
        </w:rPr>
        <w:t>3.造柱设置</w:t>
      </w:r>
      <w:bookmarkEnd w:id="887"/>
    </w:p>
    <w:p w14:paraId="5DCC3859">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88" w:name="_Toc5488"/>
      <w:r>
        <w:rPr>
          <w:rFonts w:hint="eastAsia" w:ascii="宋体" w:hAnsi="宋体" w:cs="宋体"/>
          <w:color w:val="auto"/>
          <w:kern w:val="0"/>
          <w:szCs w:val="21"/>
          <w:highlight w:val="none"/>
        </w:rPr>
        <w:t>（1）对有洞口砌块墙，当洞口宽度小于2.1m时，应在洞口两侧设置钢筋混凝土边框。当洞口大于等于2.1m时，应在洞口两侧设置构造柱对于钢筋混凝土边框的情况，可以采用如下方式替代:当墙厚大于等于200mm，砌块于密度为B05、B06、B07级且门型号为普通门时，每隔600mm高放置一块与加气砌块尺寸相同的混凝土预制块。</w:t>
      </w:r>
      <w:bookmarkEnd w:id="888"/>
    </w:p>
    <w:p w14:paraId="36561D2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89" w:name="_Toc6576"/>
      <w:r>
        <w:rPr>
          <w:rFonts w:hint="eastAsia" w:ascii="宋体" w:hAnsi="宋体" w:cs="宋体"/>
          <w:color w:val="auto"/>
          <w:kern w:val="0"/>
          <w:szCs w:val="21"/>
          <w:highlight w:val="none"/>
        </w:rPr>
        <w:t>（2）构造柱断面为墙厚*200mm，配筋4中12，中6@200，上下端600mm长度范围内，箍筋间距加密到100mm。构造柱的钢筋应锚入梁板或基础内上下各500mm，留出钢筋长度不小于700mm，钢筋搭接600mm3.构造柱、水平系梁最外层钢筋的保护层厚度不应小于20mm。灰缝中拉结筋外露砂浆保护层的厚度不小于15mm。构造柱、水平系梁纵向钢筋采用绑扎搭接时，全部纵筋可在同一连接区段搭接，此时钢筋搭接长度为50d。</w:t>
      </w:r>
      <w:bookmarkEnd w:id="889"/>
    </w:p>
    <w:p w14:paraId="08627D4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90" w:name="_Toc5942"/>
      <w:r>
        <w:rPr>
          <w:rFonts w:hint="eastAsia" w:ascii="宋体" w:hAnsi="宋体" w:cs="宋体"/>
          <w:color w:val="auto"/>
          <w:kern w:val="0"/>
          <w:szCs w:val="21"/>
          <w:highlight w:val="none"/>
        </w:rPr>
        <w:t>（3）墙体与构造柱连接处宜砌筑成马牙搓。马牙深入墙体60--100mm、搓高200--300mm并应为砌体材料高度的整倍数。构造柱两侧模板必须贴紧墙面，支撑必须牢固，严禁板缝漏浆。L型铁件安装时应选用长度大于等于25mm的自攻螺钉。自攻螺钉与混凝土梁柱边的间距应大于等于50mm。</w:t>
      </w:r>
      <w:bookmarkEnd w:id="890"/>
    </w:p>
    <w:p w14:paraId="643B8A8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91" w:name="_Toc7427"/>
      <w:r>
        <w:rPr>
          <w:rFonts w:hint="eastAsia" w:ascii="宋体" w:hAnsi="宋体" w:cs="宋体"/>
          <w:color w:val="auto"/>
          <w:kern w:val="0"/>
          <w:szCs w:val="21"/>
          <w:highlight w:val="none"/>
        </w:rPr>
        <w:t>4.抗震设防区构造柱设置原则如下</w:t>
      </w:r>
      <w:bookmarkEnd w:id="891"/>
    </w:p>
    <w:p w14:paraId="273EA62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92" w:name="_Toc30957"/>
      <w:r>
        <w:rPr>
          <w:rFonts w:hint="eastAsia" w:ascii="宋体" w:hAnsi="宋体" w:cs="宋体"/>
          <w:color w:val="auto"/>
          <w:kern w:val="0"/>
          <w:szCs w:val="21"/>
          <w:highlight w:val="none"/>
        </w:rPr>
        <w:t>（1）砌体墙的端部 (无混凝土墙、柱时) 及转角、丁字接头处。</w:t>
      </w:r>
    </w:p>
    <w:p w14:paraId="3515EE7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（2）宽度大于等于2.1m的洞口两侧</w:t>
      </w:r>
      <w:bookmarkEnd w:id="892"/>
    </w:p>
    <w:p w14:paraId="6361A2A6">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93" w:name="_Toc9195"/>
      <w:r>
        <w:rPr>
          <w:rFonts w:hint="eastAsia" w:ascii="宋体" w:hAnsi="宋体" w:cs="宋体"/>
          <w:color w:val="auto"/>
          <w:kern w:val="0"/>
          <w:szCs w:val="21"/>
          <w:highlight w:val="none"/>
        </w:rPr>
        <w:t>（3）当墙长大于5m或2倍层高时，应在墙中部设置构造柱。</w:t>
      </w:r>
      <w:bookmarkEnd w:id="893"/>
    </w:p>
    <w:p w14:paraId="24B886BC">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94" w:name="_Toc4787"/>
      <w:r>
        <w:rPr>
          <w:rFonts w:hint="eastAsia" w:ascii="宋体" w:hAnsi="宋体" w:cs="宋体"/>
          <w:color w:val="auto"/>
          <w:kern w:val="0"/>
          <w:szCs w:val="21"/>
          <w:highlight w:val="none"/>
        </w:rPr>
        <w:t>（4）当墙长大于8m时，每隔3.0--3.5m设置构造柱。</w:t>
      </w:r>
      <w:bookmarkEnd w:id="894"/>
    </w:p>
    <w:p w14:paraId="670844B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95" w:name="_Toc13125"/>
      <w:r>
        <w:rPr>
          <w:rFonts w:hint="eastAsia" w:ascii="宋体" w:hAnsi="宋体" w:cs="宋体"/>
          <w:color w:val="auto"/>
          <w:kern w:val="0"/>
          <w:szCs w:val="21"/>
          <w:highlight w:val="none"/>
        </w:rPr>
        <w:t>（5）外围护墙的阳角(包括悬挑结构的阳角) 应设置构造柱。支承在悬臂梁和悬臂板上的墙体，应设置抗裂构造柱，间距小于等于3m。</w:t>
      </w:r>
      <w:bookmarkEnd w:id="895"/>
    </w:p>
    <w:p w14:paraId="2A6A1CD2">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96" w:name="_Toc5691"/>
      <w:r>
        <w:rPr>
          <w:rFonts w:hint="eastAsia" w:ascii="宋体" w:hAnsi="宋体" w:cs="宋体"/>
          <w:color w:val="auto"/>
          <w:kern w:val="0"/>
          <w:szCs w:val="21"/>
          <w:highlight w:val="none"/>
        </w:rPr>
        <w:t>5.台压顶梁设置</w:t>
      </w:r>
      <w:bookmarkEnd w:id="896"/>
    </w:p>
    <w:p w14:paraId="1ADF6A4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97" w:name="_Toc15623"/>
      <w:r>
        <w:rPr>
          <w:rFonts w:hint="eastAsia" w:ascii="宋体" w:hAnsi="宋体" w:cs="宋体"/>
          <w:color w:val="auto"/>
          <w:kern w:val="0"/>
          <w:szCs w:val="21"/>
          <w:highlight w:val="none"/>
        </w:rPr>
        <w:t>窗台压顶梁截面及配筋均按设计施工(如设计图中没有规定，请与联系)</w:t>
      </w:r>
      <w:bookmarkEnd w:id="897"/>
    </w:p>
    <w:p w14:paraId="249E055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98" w:name="_Toc16524"/>
      <w:r>
        <w:rPr>
          <w:rFonts w:hint="eastAsia" w:ascii="宋体" w:hAnsi="宋体" w:cs="宋体"/>
          <w:color w:val="auto"/>
          <w:kern w:val="0"/>
          <w:szCs w:val="21"/>
          <w:highlight w:val="none"/>
        </w:rPr>
        <w:t>（1）当洞口宽度大于600mm时，必须设置窗台压顶。各种材料砌体均设置窗台压顶。</w:t>
      </w:r>
      <w:bookmarkEnd w:id="898"/>
    </w:p>
    <w:p w14:paraId="0FF282E6">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899" w:name="_Toc22897"/>
      <w:r>
        <w:rPr>
          <w:rFonts w:hint="eastAsia" w:ascii="宋体" w:hAnsi="宋体" w:cs="宋体"/>
          <w:color w:val="auto"/>
          <w:kern w:val="0"/>
          <w:szCs w:val="21"/>
          <w:highlight w:val="none"/>
        </w:rPr>
        <w:t>（2）窗台压顶可采用预制式、分段预制和现浇式</w:t>
      </w:r>
      <w:bookmarkEnd w:id="899"/>
    </w:p>
    <w:p w14:paraId="12E601A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00" w:name="_Toc17107"/>
      <w:r>
        <w:rPr>
          <w:rFonts w:hint="eastAsia" w:ascii="宋体" w:hAnsi="宋体" w:cs="宋体"/>
          <w:color w:val="auto"/>
          <w:kern w:val="0"/>
          <w:szCs w:val="21"/>
          <w:highlight w:val="none"/>
        </w:rPr>
        <w:t>①对于分段预制的窗台压顶，需预留出连接筋，可先砌筑后浇筑。</w:t>
      </w:r>
      <w:bookmarkEnd w:id="900"/>
    </w:p>
    <w:p w14:paraId="2CE12DA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01" w:name="_Toc20265"/>
      <w:r>
        <w:rPr>
          <w:rFonts w:hint="eastAsia" w:ascii="宋体" w:hAnsi="宋体" w:cs="宋体"/>
          <w:color w:val="auto"/>
          <w:kern w:val="0"/>
          <w:szCs w:val="21"/>
          <w:highlight w:val="none"/>
        </w:rPr>
        <w:t>②对于现浇窗台压顶，窗台压顶必须先浇筑，后砌压顶以上砌体。</w:t>
      </w:r>
      <w:bookmarkEnd w:id="901"/>
    </w:p>
    <w:p w14:paraId="4F7903B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02" w:name="_Toc25253"/>
      <w:r>
        <w:rPr>
          <w:rFonts w:hint="eastAsia" w:ascii="宋体" w:hAnsi="宋体" w:cs="宋体"/>
          <w:color w:val="auto"/>
          <w:kern w:val="0"/>
          <w:szCs w:val="21"/>
          <w:highlight w:val="none"/>
        </w:rPr>
        <w:t>③窗台压顶嵌固长度不应小于300mm，当两侧设有碎边框时，与碎边框同时浇筑，可不考虑嵌固长度</w:t>
      </w:r>
      <w:bookmarkEnd w:id="902"/>
      <w:r>
        <w:rPr>
          <w:rFonts w:hint="eastAsia" w:ascii="宋体" w:hAnsi="宋体" w:cs="宋体"/>
          <w:color w:val="auto"/>
          <w:kern w:val="0"/>
          <w:szCs w:val="21"/>
          <w:highlight w:val="none"/>
        </w:rPr>
        <w:t>。</w:t>
      </w:r>
    </w:p>
    <w:p w14:paraId="4296B31E">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03" w:name="_Toc2282"/>
      <w:r>
        <w:rPr>
          <w:rFonts w:hint="eastAsia" w:ascii="宋体" w:hAnsi="宋体" w:cs="宋体"/>
          <w:color w:val="auto"/>
          <w:kern w:val="0"/>
          <w:szCs w:val="21"/>
          <w:highlight w:val="none"/>
        </w:rPr>
        <w:t>（3）结构找坡:窗台飘板面必须向外找坡，坡度按设计要求，严禁平设或向内找坡。</w:t>
      </w:r>
      <w:bookmarkEnd w:id="903"/>
    </w:p>
    <w:p w14:paraId="7A16D759">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04" w:name="_Toc5471"/>
      <w:r>
        <w:rPr>
          <w:rFonts w:hint="eastAsia" w:ascii="宋体" w:hAnsi="宋体" w:cs="宋体"/>
          <w:color w:val="auto"/>
          <w:kern w:val="0"/>
          <w:szCs w:val="21"/>
          <w:highlight w:val="none"/>
        </w:rPr>
        <w:t>（4）各层阳台坎台顶坡向阳台，屋面女儿墙、护拦压顶均坡向屋面,严禁坡向外墙或外立面，压顶坡度&gt;6%。</w:t>
      </w:r>
      <w:bookmarkEnd w:id="904"/>
    </w:p>
    <w:p w14:paraId="07F4ECD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05" w:name="_Toc19942"/>
      <w:r>
        <w:rPr>
          <w:rFonts w:hint="eastAsia" w:ascii="宋体" w:hAnsi="宋体" w:cs="宋体"/>
          <w:color w:val="auto"/>
          <w:kern w:val="0"/>
          <w:szCs w:val="21"/>
          <w:highlight w:val="none"/>
        </w:rPr>
        <w:t>6.填充墙体四周加强处理</w:t>
      </w:r>
      <w:bookmarkEnd w:id="905"/>
    </w:p>
    <w:p w14:paraId="08268BEC">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06" w:name="_Toc14220"/>
      <w:r>
        <w:rPr>
          <w:rFonts w:hint="eastAsia" w:ascii="宋体" w:hAnsi="宋体" w:cs="宋体"/>
          <w:color w:val="auto"/>
          <w:kern w:val="0"/>
          <w:szCs w:val="21"/>
          <w:highlight w:val="none"/>
        </w:rPr>
        <w:t>（1）墙体底部200mm高的导墙，采用实心砖砌筑，也可采用蒸压灰砂砖或蒸压粉煤灰砖或水泥实心砖砌筑。若采用水泥空心砖或粘土空心砖，空心内必须用高标号水泥砂浆或C20细石碎填满捣实。</w:t>
      </w:r>
      <w:bookmarkEnd w:id="906"/>
    </w:p>
    <w:p w14:paraId="1CC1D92E">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07" w:name="_Toc31254"/>
      <w:r>
        <w:rPr>
          <w:rFonts w:hint="eastAsia" w:ascii="宋体" w:hAnsi="宋体" w:cs="宋体"/>
          <w:color w:val="auto"/>
          <w:kern w:val="0"/>
          <w:szCs w:val="21"/>
          <w:highlight w:val="none"/>
        </w:rPr>
        <w:t>（2）顶部采用专用砂浆塞缝或实心砖斜砌: 当采用专用砂浆塞缝时需保留20--30mm缝隙，待砌筑完成14天沉降稳定后分两次填塞。墙长大于1200mm时，当采用实心砖斜砌，斜砌角度在45°--60°之间，双侧双向斜砌(倒八)，不宜一边倒，待填充墙砌筑完成14天以后，方可将其补砌挤紧。顶砖砂浆须进行双面勾缝，要求顶砖砂浆饱满、堵塞严实。</w:t>
      </w:r>
      <w:bookmarkEnd w:id="907"/>
    </w:p>
    <w:p w14:paraId="76BFB4C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08" w:name="_Toc18553"/>
      <w:r>
        <w:rPr>
          <w:rFonts w:hint="eastAsia" w:ascii="宋体" w:hAnsi="宋体" w:cs="宋体"/>
          <w:color w:val="auto"/>
          <w:kern w:val="0"/>
          <w:szCs w:val="21"/>
          <w:highlight w:val="none"/>
        </w:rPr>
        <w:t>7.外墙洞口预留及封堵</w:t>
      </w:r>
      <w:bookmarkEnd w:id="908"/>
    </w:p>
    <w:p w14:paraId="0346D858">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09" w:name="_Toc7676"/>
      <w:r>
        <w:rPr>
          <w:rFonts w:hint="eastAsia" w:ascii="宋体" w:hAnsi="宋体" w:cs="宋体"/>
          <w:color w:val="auto"/>
          <w:kern w:val="0"/>
          <w:szCs w:val="21"/>
          <w:highlight w:val="none"/>
        </w:rPr>
        <w:t>（1）砖墙支模洞封堵做法:清除孔洞内杂物，内外关模、洞口湿水后浇灌C20细石碎(掺膨胀剂)，待细石终凝后，再用1:2水泥砂浆挂网抹面，表面须压实搓毛。</w:t>
      </w:r>
      <w:bookmarkEnd w:id="909"/>
    </w:p>
    <w:p w14:paraId="37A7A44C">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10" w:name="_Toc4956"/>
      <w:r>
        <w:rPr>
          <w:rFonts w:hint="eastAsia" w:ascii="宋体" w:hAnsi="宋体" w:cs="宋体"/>
          <w:color w:val="auto"/>
          <w:kern w:val="0"/>
          <w:szCs w:val="21"/>
          <w:highlight w:val="none"/>
        </w:rPr>
        <w:t>（2）外墙孔洞预留及封堵做法:孔洞采用预留或机械开孔，孔洞应做成内高外低，高差为10--20mm，防止雨水倒灌。</w:t>
      </w:r>
      <w:bookmarkEnd w:id="910"/>
    </w:p>
    <w:p w14:paraId="01F068A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11" w:name="_Toc27060"/>
      <w:r>
        <w:rPr>
          <w:rFonts w:hint="eastAsia" w:ascii="宋体" w:hAnsi="宋体" w:cs="宋体"/>
          <w:color w:val="auto"/>
          <w:kern w:val="0"/>
          <w:szCs w:val="21"/>
          <w:highlight w:val="none"/>
        </w:rPr>
        <w:t>（三）施工材料选择</w:t>
      </w:r>
      <w:bookmarkEnd w:id="911"/>
    </w:p>
    <w:p w14:paraId="5D2BDBC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12" w:name="_Toc15030"/>
      <w:r>
        <w:rPr>
          <w:rFonts w:hint="eastAsia" w:ascii="宋体" w:hAnsi="宋体" w:cs="宋体"/>
          <w:color w:val="auto"/>
          <w:kern w:val="0"/>
          <w:szCs w:val="21"/>
          <w:highlight w:val="none"/>
        </w:rPr>
        <w:t>1.砌体材料</w:t>
      </w:r>
      <w:bookmarkEnd w:id="912"/>
    </w:p>
    <w:p w14:paraId="23CD28E9">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13" w:name="_Toc9536"/>
      <w:r>
        <w:rPr>
          <w:rFonts w:hint="eastAsia" w:ascii="宋体" w:hAnsi="宋体" w:cs="宋体"/>
          <w:color w:val="auto"/>
          <w:kern w:val="0"/>
          <w:szCs w:val="21"/>
          <w:highlight w:val="none"/>
        </w:rPr>
        <w:t>（1）砌块根据质量和外观尺寸可分为优等品和合格品，应优先选用优等品，并优先选用专用配套材料。</w:t>
      </w:r>
      <w:bookmarkEnd w:id="913"/>
    </w:p>
    <w:p w14:paraId="30060936">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14" w:name="_Toc32737"/>
      <w:r>
        <w:rPr>
          <w:rFonts w:hint="eastAsia" w:ascii="宋体" w:hAnsi="宋体" w:cs="宋体"/>
          <w:color w:val="auto"/>
          <w:kern w:val="0"/>
          <w:szCs w:val="21"/>
          <w:highlight w:val="none"/>
        </w:rPr>
        <w:t>（2）砌块不得出厂后立即上墙，在严寒及寒冷地区，上墙含水率宜控制在15%--20%左右，在其他地区宜控制在30%左右。蒸压加气碎砌块的龄期必须大于28天</w:t>
      </w:r>
      <w:bookmarkEnd w:id="914"/>
    </w:p>
    <w:p w14:paraId="4CC68D6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15" w:name="_Toc18544"/>
      <w:r>
        <w:rPr>
          <w:rFonts w:hint="eastAsia" w:ascii="宋体" w:hAnsi="宋体" w:cs="宋体"/>
          <w:color w:val="auto"/>
          <w:kern w:val="0"/>
          <w:szCs w:val="21"/>
          <w:highlight w:val="none"/>
        </w:rPr>
        <w:t>（3）砌块进入施工现场前，应提供产品合格证和产品性能检测报告进场后第一时间进行见证取样并送检，待复试合格后方可使用。</w:t>
      </w:r>
      <w:bookmarkEnd w:id="915"/>
    </w:p>
    <w:p w14:paraId="6231635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16" w:name="_Toc12259"/>
      <w:r>
        <w:rPr>
          <w:rFonts w:hint="eastAsia" w:ascii="宋体" w:hAnsi="宋体" w:cs="宋体"/>
          <w:color w:val="auto"/>
          <w:kern w:val="0"/>
          <w:szCs w:val="21"/>
          <w:highlight w:val="none"/>
        </w:rPr>
        <w:t>2.粘接材料</w:t>
      </w:r>
      <w:bookmarkEnd w:id="916"/>
    </w:p>
    <w:p w14:paraId="45441B37">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17" w:name="_Toc5848"/>
      <w:r>
        <w:rPr>
          <w:rFonts w:hint="eastAsia" w:ascii="宋体" w:hAnsi="宋体" w:cs="宋体"/>
          <w:color w:val="auto"/>
          <w:kern w:val="0"/>
          <w:szCs w:val="21"/>
          <w:highlight w:val="none"/>
        </w:rPr>
        <w:t>（1）砌筑用砂应为中砂以上，严禁使用海沙，其含泥量不大于3%。</w:t>
      </w:r>
      <w:bookmarkEnd w:id="917"/>
    </w:p>
    <w:p w14:paraId="6DCD273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18" w:name="_Toc10236"/>
      <w:r>
        <w:rPr>
          <w:rFonts w:hint="eastAsia" w:ascii="宋体" w:hAnsi="宋体" w:cs="宋体"/>
          <w:color w:val="auto"/>
          <w:kern w:val="0"/>
          <w:szCs w:val="21"/>
          <w:highlight w:val="none"/>
        </w:rPr>
        <w:t>（2）严格按砌体设计配合比要求配制砌体砂浆。</w:t>
      </w:r>
      <w:bookmarkEnd w:id="918"/>
    </w:p>
    <w:p w14:paraId="5C3582D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19" w:name="_Toc2228"/>
      <w:r>
        <w:rPr>
          <w:rFonts w:hint="eastAsia" w:ascii="宋体" w:hAnsi="宋体" w:cs="宋体"/>
          <w:color w:val="auto"/>
          <w:kern w:val="0"/>
          <w:szCs w:val="21"/>
          <w:highlight w:val="none"/>
        </w:rPr>
        <w:t>3.其他要求</w:t>
      </w:r>
      <w:bookmarkEnd w:id="919"/>
    </w:p>
    <w:p w14:paraId="04609A1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20" w:name="_Toc14222"/>
      <w:r>
        <w:rPr>
          <w:rFonts w:hint="eastAsia" w:ascii="宋体" w:hAnsi="宋体" w:cs="宋体"/>
          <w:color w:val="auto"/>
          <w:kern w:val="0"/>
          <w:szCs w:val="21"/>
          <w:highlight w:val="none"/>
        </w:rPr>
        <w:t>若采用蒸压加气碎砌块以外其它种类砖请参照相应标准图集砌体构造要求施工。</w:t>
      </w:r>
    </w:p>
    <w:p w14:paraId="620676F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（四）关键工序重点提示</w:t>
      </w:r>
      <w:bookmarkEnd w:id="920"/>
    </w:p>
    <w:p w14:paraId="6D2EB61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21" w:name="_Toc20394"/>
      <w:r>
        <w:rPr>
          <w:rFonts w:hint="eastAsia" w:ascii="宋体" w:hAnsi="宋体" w:cs="宋体"/>
          <w:color w:val="auto"/>
          <w:kern w:val="0"/>
          <w:szCs w:val="21"/>
          <w:highlight w:val="none"/>
        </w:rPr>
        <w:t>基层清理→施工放线一绘砌体排版图、立皮数杆→拉结筋、构造柱钢筋施工→导墙施工→墙体砌筑(勾缝)→腰梁或板带施工→(安装门窗边碎预制块)→墙体砌筑(缝)安装 现浇)门窗过梁→构造柱浇筑→管线开槽、敷设→塞缝</w:t>
      </w:r>
      <w:bookmarkEnd w:id="921"/>
    </w:p>
    <w:p w14:paraId="4FDE890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22" w:name="_Toc4681"/>
      <w:r>
        <w:rPr>
          <w:rFonts w:hint="eastAsia" w:ascii="宋体" w:hAnsi="宋体" w:cs="宋体"/>
          <w:color w:val="auto"/>
          <w:kern w:val="0"/>
          <w:szCs w:val="21"/>
          <w:highlight w:val="none"/>
        </w:rPr>
        <w:t>1.施工洞、脚手眼等洞口补砌时，应将接栏处表面清理干净，浇水湿润，并填实砂浆。外墙等防水墙面的洞口应采用防水微膨砂浆分次堵砌，迎水面表面采用1:3防水砂浆粉刷。孔洞填塞应由专人负责，及时进行隐蔽验收，并做好隐蔽工程验收记录</w:t>
      </w:r>
      <w:bookmarkEnd w:id="922"/>
    </w:p>
    <w:p w14:paraId="73C1182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23" w:name="_Toc32450"/>
      <w:r>
        <w:rPr>
          <w:rFonts w:hint="eastAsia" w:ascii="宋体" w:hAnsi="宋体" w:cs="宋体"/>
          <w:color w:val="auto"/>
          <w:kern w:val="0"/>
          <w:szCs w:val="21"/>
          <w:highlight w:val="none"/>
        </w:rPr>
        <w:t>2.砌体的转角处和交接处应同时砌筑，严禁无可靠措施的内外墙分砌施工。</w:t>
      </w:r>
      <w:bookmarkEnd w:id="923"/>
    </w:p>
    <w:p w14:paraId="3150BFB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24" w:name="_Toc23753"/>
      <w:r>
        <w:rPr>
          <w:rFonts w:hint="eastAsia" w:ascii="宋体" w:hAnsi="宋体" w:cs="宋体"/>
          <w:color w:val="auto"/>
          <w:kern w:val="0"/>
          <w:szCs w:val="21"/>
          <w:highlight w:val="none"/>
        </w:rPr>
        <w:t>（五）施工控制要点</w:t>
      </w:r>
      <w:bookmarkEnd w:id="924"/>
    </w:p>
    <w:p w14:paraId="6515DE3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25" w:name="_Toc22292"/>
      <w:r>
        <w:rPr>
          <w:rFonts w:hint="eastAsia" w:ascii="宋体" w:hAnsi="宋体" w:cs="宋体"/>
          <w:color w:val="auto"/>
          <w:kern w:val="0"/>
          <w:szCs w:val="21"/>
          <w:highlight w:val="none"/>
        </w:rPr>
        <w:t>1.装卸搬运</w:t>
      </w:r>
      <w:bookmarkEnd w:id="925"/>
    </w:p>
    <w:p w14:paraId="3504785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26" w:name="_Toc28416"/>
      <w:r>
        <w:rPr>
          <w:rFonts w:hint="eastAsia" w:ascii="宋体" w:hAnsi="宋体" w:cs="宋体"/>
          <w:color w:val="auto"/>
          <w:kern w:val="0"/>
          <w:szCs w:val="21"/>
          <w:highlight w:val="none"/>
        </w:rPr>
        <w:t>砌块宜采用叉车或吊车平稳装卸，严禁翻斗倾斜和抛掷。运输宜采用多块打包捆扎竖直堆放，捆扎牢固，并尽量靠近砌筑现场，尽量避免制品多次搬运。</w:t>
      </w:r>
      <w:bookmarkEnd w:id="926"/>
    </w:p>
    <w:p w14:paraId="148E3FB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27" w:name="_Toc1792"/>
      <w:r>
        <w:rPr>
          <w:rFonts w:hint="eastAsia" w:ascii="宋体" w:hAnsi="宋体" w:cs="宋体"/>
          <w:color w:val="auto"/>
          <w:kern w:val="0"/>
          <w:szCs w:val="21"/>
          <w:highlight w:val="none"/>
        </w:rPr>
        <w:t>2.集中堆放</w:t>
      </w:r>
      <w:bookmarkEnd w:id="927"/>
    </w:p>
    <w:p w14:paraId="53997D58">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28" w:name="_Toc810"/>
      <w:r>
        <w:rPr>
          <w:rFonts w:hint="eastAsia" w:ascii="宋体" w:hAnsi="宋体" w:cs="宋体"/>
          <w:color w:val="auto"/>
          <w:kern w:val="0"/>
          <w:szCs w:val="21"/>
          <w:highlight w:val="none"/>
        </w:rPr>
        <w:t>蒸压加气混凝土砌块应按规格、等级分别码垛堆放，堆放高度不应超过2m，堆垛上应设标志。砌块应集中堆放，砌块从厂家运到工地后，采用随材料一起运到现场的薄膜遮盖或设置“上盖下垫”集中堆放场地，即:在上方采用搭棚的方式，棚的外檐超出砌块外边至少lm，有效防雨;下方采用木十模板铺平台，平台高出周边至少10cm，并能有效排水。</w:t>
      </w:r>
      <w:bookmarkEnd w:id="928"/>
    </w:p>
    <w:p w14:paraId="1CF460F6">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29" w:name="_Toc22494"/>
      <w:r>
        <w:rPr>
          <w:rFonts w:hint="eastAsia" w:ascii="宋体" w:hAnsi="宋体" w:cs="宋体"/>
          <w:color w:val="auto"/>
          <w:kern w:val="0"/>
          <w:szCs w:val="21"/>
          <w:highlight w:val="none"/>
        </w:rPr>
        <w:t>3.砌筑排版</w:t>
      </w:r>
      <w:bookmarkEnd w:id="929"/>
    </w:p>
    <w:p w14:paraId="6C3AC50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30" w:name="_Toc32025"/>
      <w:r>
        <w:rPr>
          <w:rFonts w:hint="eastAsia" w:ascii="宋体" w:hAnsi="宋体" w:cs="宋体"/>
          <w:color w:val="auto"/>
          <w:kern w:val="0"/>
          <w:szCs w:val="21"/>
          <w:highlight w:val="none"/>
        </w:rPr>
        <w:t>砌筑工程开始前应做排版图，且尽量采用整砖排版，控制非标砖数量。排版过程中避免通缝出现。通过导墙、灰缝及腰梁或板带高度调整顶砖缝隙(20--30mm)。</w:t>
      </w:r>
      <w:bookmarkEnd w:id="930"/>
    </w:p>
    <w:p w14:paraId="7C8F02B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31" w:name="_Toc26258"/>
      <w:r>
        <w:rPr>
          <w:rFonts w:hint="eastAsia" w:ascii="宋体" w:hAnsi="宋体" w:cs="宋体"/>
          <w:color w:val="auto"/>
          <w:kern w:val="0"/>
          <w:szCs w:val="21"/>
          <w:highlight w:val="none"/>
        </w:rPr>
        <w:t>4.集中加工</w:t>
      </w:r>
      <w:bookmarkEnd w:id="931"/>
    </w:p>
    <w:p w14:paraId="5B039599">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32" w:name="_Toc5398"/>
      <w:r>
        <w:rPr>
          <w:rFonts w:hint="eastAsia" w:ascii="宋体" w:hAnsi="宋体" w:cs="宋体"/>
          <w:color w:val="auto"/>
          <w:kern w:val="0"/>
          <w:szCs w:val="21"/>
          <w:highlight w:val="none"/>
        </w:rPr>
        <w:t>（1）砌块加工必须设置集中加工区，根据筑排版图汇总各种尺寸集中加工，并集中配送，减少损耗，避免在楼层内锯砍。</w:t>
      </w:r>
      <w:bookmarkEnd w:id="932"/>
    </w:p>
    <w:p w14:paraId="0247E81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33" w:name="_Toc9581"/>
      <w:r>
        <w:rPr>
          <w:rFonts w:hint="eastAsia" w:ascii="宋体" w:hAnsi="宋体" w:cs="宋体"/>
          <w:color w:val="auto"/>
          <w:kern w:val="0"/>
          <w:szCs w:val="21"/>
          <w:highlight w:val="none"/>
        </w:rPr>
        <w:t>（2）预制构件须设置集中加工区，集中加工预制过梁、空调洞预制块、门窗洞口边预制块，宜使用定型钢模，提升预制块品质。</w:t>
      </w:r>
      <w:bookmarkEnd w:id="933"/>
    </w:p>
    <w:p w14:paraId="0AD4D72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34" w:name="_Toc19124"/>
      <w:r>
        <w:rPr>
          <w:rFonts w:hint="eastAsia" w:ascii="宋体" w:hAnsi="宋体" w:cs="宋体"/>
          <w:color w:val="auto"/>
          <w:kern w:val="0"/>
          <w:szCs w:val="21"/>
          <w:highlight w:val="none"/>
        </w:rPr>
        <w:t>5.其他要求</w:t>
      </w:r>
      <w:bookmarkEnd w:id="934"/>
    </w:p>
    <w:p w14:paraId="148FCABA">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35" w:name="_Toc6702"/>
      <w:r>
        <w:rPr>
          <w:rFonts w:hint="eastAsia" w:ascii="宋体" w:hAnsi="宋体" w:cs="宋体"/>
          <w:color w:val="auto"/>
          <w:kern w:val="0"/>
          <w:szCs w:val="21"/>
          <w:highlight w:val="none"/>
        </w:rPr>
        <w:t>（1）斜屋面梁下填充墙砌体，采用退台方式，与斜梁间距预留200--300mm且斜度一致退台，待14天后，完成顶砖砌筑，顶砖平砌，确保砌体斗头灰与梁底砂浆堵塞饱满严实。</w:t>
      </w:r>
      <w:bookmarkEnd w:id="935"/>
    </w:p>
    <w:p w14:paraId="413605C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36" w:name="_Toc26431"/>
      <w:r>
        <w:rPr>
          <w:rFonts w:hint="eastAsia" w:ascii="宋体" w:hAnsi="宋体" w:cs="宋体"/>
          <w:color w:val="auto"/>
          <w:kern w:val="0"/>
          <w:szCs w:val="21"/>
          <w:highlight w:val="none"/>
        </w:rPr>
        <w:t>（2）加气碎门窗垛固定构件部位，应按设计要求砌筑碎预制块或灰砂砖。栏杆固定部位，应按设计要求砌筑 (带预埋件的) 预制块。</w:t>
      </w:r>
      <w:bookmarkEnd w:id="936"/>
    </w:p>
    <w:p w14:paraId="38D826E8">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37" w:name="_Toc8505"/>
      <w:r>
        <w:rPr>
          <w:rFonts w:hint="eastAsia" w:ascii="宋体" w:hAnsi="宋体" w:cs="宋体"/>
          <w:color w:val="auto"/>
          <w:kern w:val="0"/>
          <w:szCs w:val="21"/>
          <w:highlight w:val="none"/>
        </w:rPr>
        <w:t>（3）所有填充墙应分次砌筑，每日砌筑高度不应超过1.5m，待前次砌筑砂浆终凝后，再继续砌筑。</w:t>
      </w:r>
      <w:bookmarkEnd w:id="937"/>
    </w:p>
    <w:p w14:paraId="1DFEE10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38" w:name="_Toc21687"/>
      <w:r>
        <w:rPr>
          <w:rFonts w:hint="eastAsia" w:ascii="宋体" w:hAnsi="宋体" w:cs="宋体"/>
          <w:color w:val="auto"/>
          <w:kern w:val="0"/>
          <w:szCs w:val="21"/>
          <w:highlight w:val="none"/>
        </w:rPr>
        <w:t>（4）不同品种、不同强度等级的砖、砌块不得混砌。</w:t>
      </w:r>
      <w:bookmarkEnd w:id="938"/>
    </w:p>
    <w:p w14:paraId="3BB7D98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39" w:name="_Toc1836"/>
      <w:r>
        <w:rPr>
          <w:rFonts w:hint="eastAsia" w:ascii="宋体" w:hAnsi="宋体" w:cs="宋体"/>
          <w:color w:val="auto"/>
          <w:kern w:val="0"/>
          <w:szCs w:val="21"/>
          <w:highlight w:val="none"/>
        </w:rPr>
        <w:t>（5）砌块灰缝要求</w:t>
      </w:r>
      <w:bookmarkEnd w:id="939"/>
    </w:p>
    <w:p w14:paraId="435F093A">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40" w:name="_Toc30060"/>
      <w:r>
        <w:rPr>
          <w:rFonts w:hint="eastAsia" w:ascii="宋体" w:hAnsi="宋体" w:cs="宋体"/>
          <w:color w:val="auto"/>
          <w:kern w:val="0"/>
          <w:szCs w:val="21"/>
          <w:highlight w:val="none"/>
        </w:rPr>
        <w:t>①蒸压加气碎砌块 (合格品) 采用普通水泥砂浆砌筑，坚向灰缝和水平灰缝厚度不宜大于15mm。垂直缝饱满度不小于85%，水平缝饱满度不小于90%，要求砌筑砂浆初凝前原浆勾毛缝、确保灰缝饱满严实。</w:t>
      </w:r>
      <w:bookmarkEnd w:id="940"/>
    </w:p>
    <w:p w14:paraId="3594597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41" w:name="_Toc5249"/>
      <w:r>
        <w:rPr>
          <w:rFonts w:hint="eastAsia" w:ascii="宋体" w:hAnsi="宋体" w:cs="宋体"/>
          <w:color w:val="auto"/>
          <w:kern w:val="0"/>
          <w:szCs w:val="21"/>
          <w:highlight w:val="none"/>
        </w:rPr>
        <w:t>②蒸压加气碎砌块 (优等品) 采用专用砂浆砌筑: 水平和坚向灰缝厚度不宜大于4mm，饱满度不小于95%。</w:t>
      </w:r>
      <w:bookmarkEnd w:id="941"/>
    </w:p>
    <w:p w14:paraId="4F21412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42" w:name="_Toc18873"/>
      <w:r>
        <w:rPr>
          <w:rFonts w:hint="eastAsia" w:ascii="宋体" w:hAnsi="宋体" w:cs="宋体"/>
          <w:color w:val="auto"/>
          <w:kern w:val="0"/>
          <w:szCs w:val="21"/>
          <w:highlight w:val="none"/>
        </w:rPr>
        <w:t>③其他所有砖砌体，水平灰缝和竖向灰缝厚度均宜为10mm。水平灰缝砂浆饱满度不应小于90%，竖向灰缝的砂浆饱满度不应小于80%。</w:t>
      </w:r>
      <w:bookmarkEnd w:id="942"/>
    </w:p>
    <w:p w14:paraId="51284F5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43" w:name="_Toc17117"/>
      <w:r>
        <w:rPr>
          <w:rFonts w:hint="eastAsia" w:ascii="宋体" w:hAnsi="宋体" w:cs="宋体"/>
          <w:color w:val="auto"/>
          <w:kern w:val="0"/>
          <w:szCs w:val="21"/>
          <w:highlight w:val="none"/>
        </w:rPr>
        <w:t>（6）严格控制门窗洞口预留尺寸，所有门窗洞口尺寸必须严格按设计尺寸或节点大样图留设。</w:t>
      </w:r>
      <w:bookmarkEnd w:id="943"/>
    </w:p>
    <w:p w14:paraId="718CE06E">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44" w:name="_Toc23673"/>
      <w:r>
        <w:rPr>
          <w:rFonts w:hint="eastAsia" w:ascii="宋体" w:hAnsi="宋体" w:cs="宋体"/>
          <w:color w:val="auto"/>
          <w:kern w:val="0"/>
          <w:szCs w:val="21"/>
          <w:highlight w:val="none"/>
        </w:rPr>
        <w:t>五、抹灰工程</w:t>
      </w:r>
      <w:bookmarkEnd w:id="944"/>
    </w:p>
    <w:p w14:paraId="135DCE07">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45" w:name="_Toc21053"/>
      <w:r>
        <w:rPr>
          <w:rFonts w:hint="eastAsia" w:ascii="宋体" w:hAnsi="宋体" w:cs="宋体"/>
          <w:color w:val="auto"/>
          <w:kern w:val="0"/>
          <w:szCs w:val="21"/>
          <w:highlight w:val="none"/>
        </w:rPr>
        <w:t>（一）常见质量问题及原因分析</w:t>
      </w:r>
      <w:bookmarkEnd w:id="945"/>
    </w:p>
    <w:p w14:paraId="53223FB2">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46" w:name="_Toc29727"/>
      <w:r>
        <w:rPr>
          <w:rFonts w:hint="eastAsia" w:ascii="宋体" w:hAnsi="宋体" w:cs="宋体"/>
          <w:color w:val="auto"/>
          <w:kern w:val="0"/>
          <w:szCs w:val="21"/>
          <w:highlight w:val="none"/>
        </w:rPr>
        <w:t>1.常见质量问题</w:t>
      </w:r>
      <w:bookmarkEnd w:id="946"/>
    </w:p>
    <w:p w14:paraId="62C13BC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47" w:name="_Toc25630"/>
      <w:r>
        <w:rPr>
          <w:rFonts w:hint="eastAsia" w:ascii="宋体" w:hAnsi="宋体" w:cs="宋体"/>
          <w:color w:val="auto"/>
          <w:kern w:val="0"/>
          <w:szCs w:val="21"/>
          <w:highlight w:val="none"/>
        </w:rPr>
        <w:t>（1）内外墙抹灰开裂、空鼓。</w:t>
      </w:r>
      <w:bookmarkEnd w:id="947"/>
    </w:p>
    <w:p w14:paraId="30B42EB6">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48" w:name="_Toc13726"/>
      <w:r>
        <w:rPr>
          <w:rFonts w:hint="eastAsia" w:ascii="宋体" w:hAnsi="宋体" w:cs="宋体"/>
          <w:color w:val="auto"/>
          <w:kern w:val="0"/>
          <w:szCs w:val="21"/>
          <w:highlight w:val="none"/>
        </w:rPr>
        <w:t>（2）内外墙抹灰强度不足，墙面起砂、爆灰。</w:t>
      </w:r>
      <w:bookmarkEnd w:id="948"/>
    </w:p>
    <w:p w14:paraId="0D90AF1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49" w:name="_Toc13652"/>
      <w:r>
        <w:rPr>
          <w:rFonts w:hint="eastAsia" w:ascii="宋体" w:hAnsi="宋体" w:cs="宋体"/>
          <w:color w:val="auto"/>
          <w:kern w:val="0"/>
          <w:szCs w:val="21"/>
          <w:highlight w:val="none"/>
        </w:rPr>
        <w:t>2.原因分析</w:t>
      </w:r>
      <w:bookmarkEnd w:id="949"/>
    </w:p>
    <w:p w14:paraId="27E938D9">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50" w:name="_Toc3972"/>
      <w:r>
        <w:rPr>
          <w:rFonts w:hint="eastAsia" w:ascii="宋体" w:hAnsi="宋体" w:cs="宋体"/>
          <w:color w:val="auto"/>
          <w:kern w:val="0"/>
          <w:szCs w:val="21"/>
          <w:highlight w:val="none"/>
        </w:rPr>
        <w:t>（1）基层未处理到位 (如胀模、蜂窝、麻面、露筋、脱皮等)开展抹灰。</w:t>
      </w:r>
      <w:bookmarkEnd w:id="950"/>
    </w:p>
    <w:p w14:paraId="380045F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51" w:name="_Toc4909"/>
      <w:r>
        <w:rPr>
          <w:rFonts w:hint="eastAsia" w:ascii="宋体" w:hAnsi="宋体" w:cs="宋体"/>
          <w:color w:val="auto"/>
          <w:kern w:val="0"/>
          <w:szCs w:val="21"/>
          <w:highlight w:val="none"/>
        </w:rPr>
        <w:t>（2）不同材料交界部位处理不到位，如漏挂网、挂网两侧宽度不符合要求，钢丝网直径不合格。</w:t>
      </w:r>
      <w:bookmarkEnd w:id="951"/>
    </w:p>
    <w:p w14:paraId="3A3357F9">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52" w:name="_Toc14068"/>
      <w:r>
        <w:rPr>
          <w:rFonts w:hint="eastAsia" w:ascii="宋体" w:hAnsi="宋体" w:cs="宋体"/>
          <w:color w:val="auto"/>
          <w:kern w:val="0"/>
          <w:szCs w:val="21"/>
          <w:highlight w:val="none"/>
        </w:rPr>
        <w:t>（3）墙面甩浆 (拉毛) 质量不符合要求</w:t>
      </w:r>
      <w:bookmarkEnd w:id="952"/>
    </w:p>
    <w:p w14:paraId="36D1D2B8">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53" w:name="_Toc20239"/>
      <w:r>
        <w:rPr>
          <w:rFonts w:hint="eastAsia" w:ascii="宋体" w:hAnsi="宋体" w:cs="宋体"/>
          <w:color w:val="auto"/>
          <w:kern w:val="0"/>
          <w:szCs w:val="21"/>
          <w:highlight w:val="none"/>
        </w:rPr>
        <w:t>（4）砂浆强度不足导致墙面爆灰。</w:t>
      </w:r>
      <w:bookmarkEnd w:id="953"/>
    </w:p>
    <w:p w14:paraId="3BE8709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54" w:name="_Toc3423"/>
      <w:r>
        <w:rPr>
          <w:rFonts w:hint="eastAsia" w:ascii="宋体" w:hAnsi="宋体" w:cs="宋体"/>
          <w:color w:val="auto"/>
          <w:kern w:val="0"/>
          <w:szCs w:val="21"/>
          <w:highlight w:val="none"/>
        </w:rPr>
        <w:t>（5）砂浆强度过高导致墙面开裂、空鼓。</w:t>
      </w:r>
      <w:bookmarkEnd w:id="954"/>
    </w:p>
    <w:p w14:paraId="23BEA97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55" w:name="_Toc19387"/>
      <w:r>
        <w:rPr>
          <w:rFonts w:hint="eastAsia" w:ascii="宋体" w:hAnsi="宋体" w:cs="宋体"/>
          <w:color w:val="auto"/>
          <w:kern w:val="0"/>
          <w:szCs w:val="21"/>
          <w:highlight w:val="none"/>
        </w:rPr>
        <w:t>（6）切割修补不规范导致墙面二次空鼓。</w:t>
      </w:r>
      <w:bookmarkEnd w:id="955"/>
    </w:p>
    <w:p w14:paraId="32EF0EF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56" w:name="_Toc15668"/>
      <w:r>
        <w:rPr>
          <w:rFonts w:hint="eastAsia" w:ascii="宋体" w:hAnsi="宋体" w:cs="宋体"/>
          <w:color w:val="auto"/>
          <w:kern w:val="0"/>
          <w:szCs w:val="21"/>
          <w:highlight w:val="none"/>
        </w:rPr>
        <w:t>（7）预拌砂浆质量不符合要求。</w:t>
      </w:r>
      <w:bookmarkEnd w:id="956"/>
    </w:p>
    <w:p w14:paraId="555CD92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57" w:name="_Toc22989"/>
      <w:r>
        <w:rPr>
          <w:rFonts w:hint="eastAsia" w:ascii="宋体" w:hAnsi="宋体" w:cs="宋体"/>
          <w:color w:val="auto"/>
          <w:kern w:val="0"/>
          <w:szCs w:val="21"/>
          <w:highlight w:val="none"/>
        </w:rPr>
        <w:t>（8）自拌砂浆未严格按照设计配合比进行拌制。</w:t>
      </w:r>
      <w:bookmarkEnd w:id="957"/>
    </w:p>
    <w:p w14:paraId="0BCD660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（9）墙面粉刷层过厚未分层施工。</w:t>
      </w:r>
    </w:p>
    <w:p w14:paraId="16EE233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58" w:name="_Toc1346"/>
      <w:r>
        <w:rPr>
          <w:rFonts w:hint="eastAsia" w:ascii="宋体" w:hAnsi="宋体" w:cs="宋体"/>
          <w:color w:val="auto"/>
          <w:kern w:val="0"/>
          <w:szCs w:val="21"/>
          <w:highlight w:val="none"/>
        </w:rPr>
        <w:t>（10）砌体工程完成后未保留技术间歇期即开始抹灰</w:t>
      </w:r>
      <w:bookmarkEnd w:id="958"/>
    </w:p>
    <w:p w14:paraId="2AE13ED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59" w:name="_Toc8898"/>
      <w:r>
        <w:rPr>
          <w:rFonts w:hint="eastAsia" w:ascii="宋体" w:hAnsi="宋体" w:cs="宋体"/>
          <w:color w:val="auto"/>
          <w:kern w:val="0"/>
          <w:szCs w:val="21"/>
          <w:highlight w:val="none"/>
        </w:rPr>
        <w:t>（二）质量验收</w:t>
      </w:r>
      <w:bookmarkEnd w:id="959"/>
    </w:p>
    <w:p w14:paraId="5904CFC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60" w:name="_Toc17401"/>
      <w:r>
        <w:rPr>
          <w:rFonts w:hint="eastAsia" w:ascii="宋体" w:hAnsi="宋体" w:cs="宋体"/>
          <w:color w:val="auto"/>
          <w:kern w:val="0"/>
          <w:szCs w:val="21"/>
          <w:highlight w:val="none"/>
        </w:rPr>
        <w:t>1.主控项目</w:t>
      </w:r>
      <w:bookmarkEnd w:id="960"/>
    </w:p>
    <w:p w14:paraId="5B7B65B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61" w:name="_Toc2586"/>
      <w:r>
        <w:rPr>
          <w:rFonts w:hint="eastAsia" w:ascii="宋体" w:hAnsi="宋体" w:cs="宋体"/>
          <w:color w:val="auto"/>
          <w:kern w:val="0"/>
          <w:szCs w:val="21"/>
          <w:highlight w:val="none"/>
        </w:rPr>
        <w:t>（1）一般抹灰所用材料的品质和性能应符合设计要求及国家现行标准的有关规定。</w:t>
      </w:r>
      <w:bookmarkEnd w:id="961"/>
    </w:p>
    <w:p w14:paraId="165ABEE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62" w:name="_Toc13720"/>
      <w:r>
        <w:rPr>
          <w:rFonts w:hint="eastAsia" w:ascii="宋体" w:hAnsi="宋体" w:cs="宋体"/>
          <w:color w:val="auto"/>
          <w:kern w:val="0"/>
          <w:szCs w:val="21"/>
          <w:highlight w:val="none"/>
        </w:rPr>
        <w:t>（2）抹灰前基层表面的尘土、污垢和油渍等清除干净，并应洒水湿润和进行界面处理</w:t>
      </w:r>
      <w:bookmarkEnd w:id="962"/>
    </w:p>
    <w:p w14:paraId="5009922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63" w:name="_Toc2027"/>
      <w:r>
        <w:rPr>
          <w:rFonts w:hint="eastAsia" w:ascii="宋体" w:hAnsi="宋体" w:cs="宋体"/>
          <w:color w:val="auto"/>
          <w:kern w:val="0"/>
          <w:szCs w:val="21"/>
          <w:highlight w:val="none"/>
        </w:rPr>
        <w:t>（3）抹灰分层进行，当抹灰厚度大于等于35mm时，应采取加强措施不同材料交接处表面的抹灰，应采取防开裂措施，当采用加强网时加强网和各基层搭接宽不应小于150mm。</w:t>
      </w:r>
      <w:bookmarkEnd w:id="963"/>
    </w:p>
    <w:p w14:paraId="0AABA46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64" w:name="_Toc26426"/>
      <w:r>
        <w:rPr>
          <w:rFonts w:hint="eastAsia" w:ascii="宋体" w:hAnsi="宋体" w:cs="宋体"/>
          <w:color w:val="auto"/>
          <w:kern w:val="0"/>
          <w:szCs w:val="21"/>
          <w:highlight w:val="none"/>
        </w:rPr>
        <w:t>（4）抹灰层和基层粘结应牢固，无脱层和空鼓，面层无爆灰和裂缝</w:t>
      </w:r>
      <w:bookmarkEnd w:id="964"/>
      <w:r>
        <w:rPr>
          <w:rFonts w:hint="eastAsia" w:ascii="宋体" w:hAnsi="宋体" w:cs="宋体"/>
          <w:color w:val="auto"/>
          <w:kern w:val="0"/>
          <w:szCs w:val="21"/>
          <w:highlight w:val="none"/>
        </w:rPr>
        <w:t>。</w:t>
      </w:r>
    </w:p>
    <w:p w14:paraId="50117EA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65" w:name="_Toc2151"/>
      <w:r>
        <w:rPr>
          <w:rFonts w:hint="eastAsia" w:ascii="宋体" w:hAnsi="宋体" w:cs="宋体"/>
          <w:color w:val="auto"/>
          <w:kern w:val="0"/>
          <w:szCs w:val="21"/>
          <w:highlight w:val="none"/>
        </w:rPr>
        <w:t>2.一般项目</w:t>
      </w:r>
      <w:bookmarkEnd w:id="965"/>
    </w:p>
    <w:p w14:paraId="6893020E">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66" w:name="_Toc25029"/>
      <w:r>
        <w:rPr>
          <w:rFonts w:hint="eastAsia" w:ascii="宋体" w:hAnsi="宋体" w:cs="宋体"/>
          <w:color w:val="auto"/>
          <w:kern w:val="0"/>
          <w:szCs w:val="21"/>
          <w:highlight w:val="none"/>
        </w:rPr>
        <w:t>（1）普通抹灰表面应光滑、洁净、接样平整，分格缝清晰。高级抹灰表面应光滑、洁净、颜色均匀、无抹纹，分格缝和灰线应清晰美观。</w:t>
      </w:r>
      <w:bookmarkEnd w:id="966"/>
    </w:p>
    <w:p w14:paraId="69B2E149">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67" w:name="_Toc28779"/>
      <w:r>
        <w:rPr>
          <w:rFonts w:hint="eastAsia" w:ascii="宋体" w:hAnsi="宋体" w:cs="宋体"/>
          <w:color w:val="auto"/>
          <w:kern w:val="0"/>
          <w:szCs w:val="21"/>
          <w:highlight w:val="none"/>
        </w:rPr>
        <w:t>（2）护角、孔洞、槽、盒周围的抹灰表面应整齐、光滑。管道后面的抹灰表面应平整。</w:t>
      </w:r>
      <w:bookmarkEnd w:id="967"/>
    </w:p>
    <w:p w14:paraId="68AC7C31">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68" w:name="_Toc16361"/>
      <w:r>
        <w:rPr>
          <w:rFonts w:hint="eastAsia" w:ascii="宋体" w:hAnsi="宋体" w:cs="宋体"/>
          <w:color w:val="auto"/>
          <w:kern w:val="0"/>
          <w:szCs w:val="21"/>
          <w:highlight w:val="none"/>
        </w:rPr>
        <w:t>（3）抹灰总厚度符合设计要求，宽度和深度应均匀，表面应光滑棱角应整齐。</w:t>
      </w:r>
      <w:bookmarkEnd w:id="968"/>
      <w:bookmarkStart w:id="969" w:name="_Toc15368"/>
    </w:p>
    <w:p w14:paraId="123C4EE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（4）有排水要求的部位应做滴水线 (槽)，滴水线 (槽) 应整齐顺直，滴水线应内高外低，滴水槽的宽度和深度应满足设计要求，且均不小于10mm。</w:t>
      </w:r>
      <w:bookmarkEnd w:id="969"/>
    </w:p>
    <w:p w14:paraId="2F794E6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70" w:name="_Toc12562"/>
      <w:r>
        <w:rPr>
          <w:rFonts w:hint="eastAsia" w:ascii="宋体" w:hAnsi="宋体" w:cs="宋体"/>
          <w:color w:val="auto"/>
          <w:kern w:val="0"/>
          <w:szCs w:val="21"/>
          <w:highlight w:val="none"/>
        </w:rPr>
        <w:t>（三）施工材料选择</w:t>
      </w:r>
      <w:bookmarkEnd w:id="970"/>
    </w:p>
    <w:p w14:paraId="1EF3A50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71" w:name="_Toc23091"/>
      <w:r>
        <w:rPr>
          <w:rFonts w:hint="eastAsia" w:ascii="宋体" w:hAnsi="宋体" w:cs="宋体"/>
          <w:color w:val="auto"/>
          <w:kern w:val="0"/>
          <w:szCs w:val="21"/>
          <w:highlight w:val="none"/>
        </w:rPr>
        <w:t>1.一般抹灰工程用砂浆宜选用预拌抹灰砂浆，抹灰砂浆应采用机械搅拌。</w:t>
      </w:r>
      <w:bookmarkEnd w:id="971"/>
    </w:p>
    <w:p w14:paraId="47FFB2C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72" w:name="_Toc14536"/>
      <w:r>
        <w:rPr>
          <w:rFonts w:hint="eastAsia" w:ascii="宋体" w:hAnsi="宋体" w:cs="宋体"/>
          <w:color w:val="auto"/>
          <w:kern w:val="0"/>
          <w:szCs w:val="21"/>
          <w:highlight w:val="none"/>
        </w:rPr>
        <w:t>2.预拌抹灰砂浆性能应符合现行行业标准《预拌砂浆》JG/T230的规定。</w:t>
      </w:r>
      <w:bookmarkEnd w:id="972"/>
    </w:p>
    <w:p w14:paraId="230C1FF2">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73" w:name="_Toc30477"/>
      <w:r>
        <w:rPr>
          <w:rFonts w:hint="eastAsia" w:ascii="宋体" w:hAnsi="宋体" w:cs="宋体"/>
          <w:color w:val="auto"/>
          <w:kern w:val="0"/>
          <w:szCs w:val="21"/>
          <w:highlight w:val="none"/>
        </w:rPr>
        <w:t>3.抹灰砂浆的品种及强度等级应满足设计要求，除特别说明外抹灰砂浆性能的试验方法应按现行行业标准《建筑砂浆基本性能试验方法标准》JGJ/T70执行。</w:t>
      </w:r>
      <w:bookmarkEnd w:id="973"/>
    </w:p>
    <w:p w14:paraId="3EFD05E6">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74" w:name="_Toc13922"/>
      <w:r>
        <w:rPr>
          <w:rFonts w:hint="eastAsia" w:ascii="宋体" w:hAnsi="宋体" w:cs="宋体"/>
          <w:color w:val="auto"/>
          <w:kern w:val="0"/>
          <w:szCs w:val="21"/>
          <w:highlight w:val="none"/>
        </w:rPr>
        <w:t>4.自拌砂浆必须按设计要求的配合比进行搅拌，严禁抹灰砂浆超</w:t>
      </w:r>
      <w:bookmarkEnd w:id="974"/>
      <w:bookmarkStart w:id="975" w:name="_Toc12649"/>
      <w:r>
        <w:rPr>
          <w:rFonts w:hint="eastAsia" w:ascii="宋体" w:hAnsi="宋体" w:cs="宋体"/>
          <w:color w:val="auto"/>
          <w:kern w:val="0"/>
          <w:szCs w:val="21"/>
          <w:highlight w:val="none"/>
        </w:rPr>
        <w:t>过2小时仍然使用，严禁使用过期作废和受潮结块水泥。</w:t>
      </w:r>
      <w:bookmarkEnd w:id="975"/>
    </w:p>
    <w:p w14:paraId="2F03F90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76" w:name="_Toc24305"/>
      <w:r>
        <w:rPr>
          <w:rFonts w:hint="eastAsia" w:ascii="宋体" w:hAnsi="宋体" w:cs="宋体"/>
          <w:color w:val="auto"/>
          <w:kern w:val="0"/>
          <w:szCs w:val="21"/>
          <w:highlight w:val="none"/>
        </w:rPr>
        <w:t>5.抹灰砂浆强度不宜比基体材料强度高出两个及以上强度等级。</w:t>
      </w:r>
      <w:bookmarkEnd w:id="976"/>
    </w:p>
    <w:p w14:paraId="265DCD1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77" w:name="_Toc23924"/>
      <w:r>
        <w:rPr>
          <w:rFonts w:hint="eastAsia" w:ascii="宋体" w:hAnsi="宋体" w:cs="宋体"/>
          <w:color w:val="auto"/>
          <w:kern w:val="0"/>
          <w:szCs w:val="21"/>
          <w:highlight w:val="none"/>
        </w:rPr>
        <w:t>6.配制强度等级不大于M20的抹灰砂浆，宜用32.5级通用硅酸盐水泥或砌筑水泥。配制强度等级大于M20的抹灰砂浆，宜用强度等级不低于42.5级的普通硅酸盐水泥。</w:t>
      </w:r>
      <w:bookmarkEnd w:id="977"/>
    </w:p>
    <w:p w14:paraId="751A886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78" w:name="_Toc25541"/>
      <w:r>
        <w:rPr>
          <w:rFonts w:hint="eastAsia" w:ascii="宋体" w:hAnsi="宋体" w:cs="宋体"/>
          <w:color w:val="auto"/>
          <w:kern w:val="0"/>
          <w:szCs w:val="21"/>
          <w:highlight w:val="none"/>
        </w:rPr>
        <w:t>7.砂子太粗会影响到砂浆的抹面效果，太细容易产生裂缝，故选用中砂。砂子含泥量过大不但会降低砂浆强度，浪费水泥，还会加大砂浆的收缩，引起抹灰层裂缝，因此提出砂的含泥量不应超过5%的要求。</w:t>
      </w:r>
      <w:bookmarkEnd w:id="978"/>
    </w:p>
    <w:p w14:paraId="32B4A3C2">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79" w:name="_Toc17839"/>
      <w:r>
        <w:rPr>
          <w:rFonts w:hint="eastAsia" w:ascii="宋体" w:hAnsi="宋体" w:cs="宋体"/>
          <w:color w:val="auto"/>
          <w:kern w:val="0"/>
          <w:szCs w:val="21"/>
          <w:highlight w:val="none"/>
        </w:rPr>
        <w:t>8.为改善抹灰砂浆的施工性能，减少裂缝、空鼓的出现，纤维、聚合物、缓凝剂等改性材料越来越多地被应用于抹灰砂浆中，特别是预拌抹灰砂浆中，为保证抹灰砂浆质量，规定纤维、聚合物、缓凝剂等需要有产品合格证书、产品性能检测报告。</w:t>
      </w:r>
      <w:bookmarkEnd w:id="979"/>
    </w:p>
    <w:p w14:paraId="53213D78">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80" w:name="_Toc4620"/>
      <w:r>
        <w:rPr>
          <w:rFonts w:hint="eastAsia" w:ascii="宋体" w:hAnsi="宋体" w:cs="宋体"/>
          <w:color w:val="auto"/>
          <w:kern w:val="0"/>
          <w:szCs w:val="21"/>
          <w:highlight w:val="none"/>
        </w:rPr>
        <w:t>（四）关键工序重点提示</w:t>
      </w:r>
      <w:bookmarkEnd w:id="980"/>
    </w:p>
    <w:p w14:paraId="63CCDE7A">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81" w:name="_Toc9365"/>
      <w:r>
        <w:rPr>
          <w:rFonts w:hint="eastAsia" w:ascii="宋体" w:hAnsi="宋体" w:cs="宋体"/>
          <w:color w:val="auto"/>
          <w:kern w:val="0"/>
          <w:szCs w:val="21"/>
          <w:highlight w:val="none"/>
        </w:rPr>
        <w:t>常规施工流程:基层处理→浇水处理→护角、灰饼制作→墙面冲筋→分层抹灰→设置分格缝→保护成品</w:t>
      </w:r>
      <w:bookmarkEnd w:id="981"/>
    </w:p>
    <w:p w14:paraId="25C9AA9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82" w:name="_Toc23627"/>
      <w:r>
        <w:rPr>
          <w:rFonts w:hint="eastAsia" w:ascii="宋体" w:hAnsi="宋体" w:cs="宋体"/>
          <w:color w:val="auto"/>
          <w:kern w:val="0"/>
          <w:szCs w:val="21"/>
          <w:highlight w:val="none"/>
        </w:rPr>
        <w:t>1.基层处理</w:t>
      </w:r>
      <w:bookmarkEnd w:id="982"/>
    </w:p>
    <w:p w14:paraId="7A61A1AE">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83" w:name="_Toc9384"/>
      <w:r>
        <w:rPr>
          <w:rFonts w:hint="eastAsia" w:ascii="宋体" w:hAnsi="宋体" w:cs="宋体"/>
          <w:color w:val="auto"/>
          <w:kern w:val="0"/>
          <w:szCs w:val="21"/>
          <w:highlight w:val="none"/>
        </w:rPr>
        <w:t>（1）基层清理:抹灰前基层表面的尘土，污垢，油渍等应清除干净并应洒水湿润。</w:t>
      </w:r>
      <w:bookmarkEnd w:id="983"/>
    </w:p>
    <w:p w14:paraId="704A9037">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84" w:name="_Toc1221"/>
      <w:r>
        <w:rPr>
          <w:rFonts w:hint="eastAsia" w:ascii="宋体" w:hAnsi="宋体" w:cs="宋体"/>
          <w:color w:val="auto"/>
          <w:kern w:val="0"/>
          <w:szCs w:val="21"/>
          <w:highlight w:val="none"/>
        </w:rPr>
        <w:t>（2）非常规抹灰的加强措施: 当抹灰总厚度&gt;35mm时，应采取加强措施。不同材料基体交接处表面的抹灰，应采取防止开裂的加强措施当采用加强网时，加强网与各基体的搭接宽度不小于150mm。加强网应绷紧、钉牢。</w:t>
      </w:r>
      <w:bookmarkEnd w:id="984"/>
    </w:p>
    <w:p w14:paraId="532D2A2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85" w:name="_Toc25022"/>
      <w:r>
        <w:rPr>
          <w:rFonts w:hint="eastAsia" w:ascii="宋体" w:hAnsi="宋体" w:cs="宋体"/>
          <w:color w:val="auto"/>
          <w:kern w:val="0"/>
          <w:szCs w:val="21"/>
          <w:highlight w:val="none"/>
        </w:rPr>
        <w:t>（3）细部处理:外墙抹灰工程施工前应先安装钢木门窗框、护栏等并应将墙上的施工孔洞堵塞密实。室内墙面，柱子面和门洞口的阴阳角做法应符合设计要求。设计无要求时候，应采用1:2.5水泥砂浆做暗护角，其高度不应该低于2m，每侧宽度不应小于80mm。</w:t>
      </w:r>
      <w:bookmarkEnd w:id="985"/>
    </w:p>
    <w:p w14:paraId="01CF27EA">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86" w:name="_Toc6166"/>
      <w:r>
        <w:rPr>
          <w:rFonts w:hint="eastAsia" w:ascii="宋体" w:hAnsi="宋体" w:cs="宋体"/>
          <w:color w:val="auto"/>
          <w:kern w:val="0"/>
          <w:szCs w:val="21"/>
          <w:highlight w:val="none"/>
        </w:rPr>
        <w:t>2.浇水处理</w:t>
      </w:r>
      <w:bookmarkEnd w:id="986"/>
    </w:p>
    <w:p w14:paraId="0ADB9AD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87" w:name="_Toc32184"/>
      <w:r>
        <w:rPr>
          <w:rFonts w:hint="eastAsia" w:ascii="宋体" w:hAnsi="宋体" w:cs="宋体"/>
          <w:color w:val="auto"/>
          <w:kern w:val="0"/>
          <w:szCs w:val="21"/>
          <w:highlight w:val="none"/>
        </w:rPr>
        <w:t>一般在抹灰的前一天，用水管或喷壶顺墙自上而下浇水湿润，不同的墙体不同的环境需要不同的浇水量。浇水分次进行，以墙体既湿润又不泌水为宜。</w:t>
      </w:r>
      <w:bookmarkEnd w:id="987"/>
    </w:p>
    <w:p w14:paraId="4857D26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88" w:name="_Toc8574"/>
      <w:r>
        <w:rPr>
          <w:rFonts w:hint="eastAsia" w:ascii="宋体" w:hAnsi="宋体" w:cs="宋体"/>
          <w:color w:val="auto"/>
          <w:kern w:val="0"/>
          <w:szCs w:val="21"/>
          <w:highlight w:val="none"/>
        </w:rPr>
        <w:t>3.护角、灰饼制作</w:t>
      </w:r>
      <w:bookmarkEnd w:id="988"/>
    </w:p>
    <w:p w14:paraId="31EB4A9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89" w:name="_Toc11290"/>
      <w:r>
        <w:rPr>
          <w:rFonts w:hint="eastAsia" w:ascii="宋体" w:hAnsi="宋体" w:cs="宋体"/>
          <w:color w:val="auto"/>
          <w:kern w:val="0"/>
          <w:szCs w:val="21"/>
          <w:highlight w:val="none"/>
        </w:rPr>
        <w:t>灰饼间距一般为1.2--1.5m。操作时应先抹上灰饼，再抹下灰饼。抹灰饼时应根据抹灰要求，确定灰饼的正确位置，再用靠尺找好垂直与平整。灰饼宜用1:3水泥砂浆抹成50mm见方形状。</w:t>
      </w:r>
      <w:bookmarkEnd w:id="989"/>
    </w:p>
    <w:p w14:paraId="48D1247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90" w:name="_Toc3763"/>
      <w:r>
        <w:rPr>
          <w:rFonts w:hint="eastAsia" w:ascii="宋体" w:hAnsi="宋体" w:cs="宋体"/>
          <w:color w:val="auto"/>
          <w:kern w:val="0"/>
          <w:szCs w:val="21"/>
          <w:highlight w:val="none"/>
        </w:rPr>
        <w:t>4.墙面冲筋</w:t>
      </w:r>
      <w:bookmarkEnd w:id="990"/>
    </w:p>
    <w:p w14:paraId="0A0EBEB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91" w:name="_Toc29452"/>
      <w:r>
        <w:rPr>
          <w:rFonts w:hint="eastAsia" w:ascii="宋体" w:hAnsi="宋体" w:cs="宋体"/>
          <w:color w:val="auto"/>
          <w:kern w:val="0"/>
          <w:szCs w:val="21"/>
          <w:highlight w:val="none"/>
        </w:rPr>
        <w:t>当灰饼砂浆达到七，八成于时,即可用与抹灰层相同的砂浆冲筋冲筋根数根据房间的宽度和高度确定,一般标筋宽度为50mm,两筋间距不大于1.5m。当墙面高度小于3.5m时宜做立筋,大于3.5m,宜做横筋,做横向充筋时灰饼的间距不宜大于2m。</w:t>
      </w:r>
      <w:bookmarkEnd w:id="991"/>
    </w:p>
    <w:p w14:paraId="5F79F10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92" w:name="_Toc10048"/>
      <w:r>
        <w:rPr>
          <w:rFonts w:hint="eastAsia" w:ascii="宋体" w:hAnsi="宋体" w:cs="宋体"/>
          <w:color w:val="auto"/>
          <w:kern w:val="0"/>
          <w:szCs w:val="21"/>
          <w:highlight w:val="none"/>
        </w:rPr>
        <w:t>5.分层抹灰</w:t>
      </w:r>
      <w:bookmarkEnd w:id="992"/>
    </w:p>
    <w:p w14:paraId="727A89B7">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93" w:name="_Toc5591"/>
      <w:r>
        <w:rPr>
          <w:rFonts w:hint="eastAsia" w:ascii="宋体" w:hAnsi="宋体" w:cs="宋体"/>
          <w:color w:val="auto"/>
          <w:kern w:val="0"/>
          <w:szCs w:val="21"/>
          <w:highlight w:val="none"/>
        </w:rPr>
        <w:t>抹灰应分层进行，水泥抹灰砂浆每层厚度宜为5mm--7mm，水泥石灰抹灰砂浆每层宜为7mm--9mm，待前一层达到六七成干后再抹后一层。</w:t>
      </w:r>
      <w:bookmarkEnd w:id="993"/>
    </w:p>
    <w:p w14:paraId="6BE810F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94" w:name="_Toc23467"/>
      <w:r>
        <w:rPr>
          <w:rFonts w:hint="eastAsia" w:ascii="宋体" w:hAnsi="宋体" w:cs="宋体"/>
          <w:color w:val="auto"/>
          <w:kern w:val="0"/>
          <w:szCs w:val="21"/>
          <w:highlight w:val="none"/>
        </w:rPr>
        <w:t>6.分隔缝</w:t>
      </w:r>
      <w:bookmarkEnd w:id="994"/>
    </w:p>
    <w:p w14:paraId="346BEAE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95" w:name="_Toc31707"/>
      <w:r>
        <w:rPr>
          <w:rFonts w:hint="eastAsia" w:ascii="宋体" w:hAnsi="宋体" w:cs="宋体"/>
          <w:color w:val="auto"/>
          <w:kern w:val="0"/>
          <w:szCs w:val="21"/>
          <w:highlight w:val="none"/>
        </w:rPr>
        <w:t>外墙抹灰宜设置分隔缝以防温度引起的裂缝，一般间隔不超过3m。</w:t>
      </w:r>
      <w:bookmarkEnd w:id="995"/>
    </w:p>
    <w:p w14:paraId="037675E2">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96" w:name="_Toc4856"/>
      <w:r>
        <w:rPr>
          <w:rFonts w:hint="eastAsia" w:ascii="宋体" w:hAnsi="宋体" w:cs="宋体"/>
          <w:color w:val="auto"/>
          <w:kern w:val="0"/>
          <w:szCs w:val="21"/>
          <w:highlight w:val="none"/>
        </w:rPr>
        <w:t>7.成品保护</w:t>
      </w:r>
      <w:bookmarkEnd w:id="996"/>
    </w:p>
    <w:p w14:paraId="521FE5CC">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97" w:name="_Toc16519"/>
      <w:r>
        <w:rPr>
          <w:rFonts w:hint="eastAsia" w:ascii="宋体" w:hAnsi="宋体" w:cs="宋体"/>
          <w:color w:val="auto"/>
          <w:kern w:val="0"/>
          <w:szCs w:val="21"/>
          <w:highlight w:val="none"/>
        </w:rPr>
        <w:t>抹灰工程完成后结合气温情况进行养护，一般不少于7天，对出入口、通道口易碰撞破坏的部位进行保护，确保不被破坏。</w:t>
      </w:r>
      <w:bookmarkEnd w:id="997"/>
    </w:p>
    <w:p w14:paraId="1BAC2C2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98" w:name="_Toc4436"/>
      <w:r>
        <w:rPr>
          <w:rFonts w:hint="eastAsia" w:ascii="宋体" w:hAnsi="宋体" w:cs="宋体"/>
          <w:color w:val="auto"/>
          <w:kern w:val="0"/>
          <w:szCs w:val="21"/>
          <w:highlight w:val="none"/>
        </w:rPr>
        <w:t>（五）施工控制要点</w:t>
      </w:r>
      <w:bookmarkEnd w:id="998"/>
    </w:p>
    <w:p w14:paraId="1636B546">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999" w:name="_Toc15339"/>
      <w:r>
        <w:rPr>
          <w:rFonts w:hint="eastAsia" w:ascii="宋体" w:hAnsi="宋体" w:cs="宋体"/>
          <w:color w:val="auto"/>
          <w:kern w:val="0"/>
          <w:szCs w:val="21"/>
          <w:highlight w:val="none"/>
        </w:rPr>
        <w:t>1.内墙抹灰前准备工作</w:t>
      </w:r>
      <w:bookmarkEnd w:id="999"/>
    </w:p>
    <w:p w14:paraId="4A7D834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（1）基层处理：1：1水泥砂浆中加801或901建筑胶水 8%配制成浆料，或采用专用界面剂。可采用人工甩浆或机械喷浆（专用喷浆机）于墙体基层。喷浆或甩浆完成效果，喷浆点施工界面浆点高度应为4-8mm，圆点底部直径为10～15mm；控制浆点最大高差宜小于3mm,喷浆浆料平均覆盖施工界面应大于95%。砂浆颗粒凝结后（应按界面剂的使用说明的间隔时间）方可进行墙面抹灰。</w:t>
      </w:r>
    </w:p>
    <w:p w14:paraId="123A8D7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（2）结构修凿:砼结构 (墙、梁、柱)面抹灰厚度，必须大于10mm，凡厚度小于10mm的结构面必须先修凿后抹灰。严禁先抹灰后修凿。</w:t>
      </w:r>
    </w:p>
    <w:p w14:paraId="72CFD23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砂浆搅拌站宜统一设置、统一配合比、统一管理，有效提高砂浆质量。砂浆配合比要符合设计要求。若在砂浆中掺入早强剂、缓凝剂、防冻剂、防水剂等砂浆外加剂，其品种和用量应经有资质的检测单位检验和试配确定。所有的外加剂技术性能应符合国家现行有关标准。砌块、砂浆种类和强度必须符合设计要求，严禁在砂浆中加入“石灰王”等砂浆塑化剂。</w:t>
      </w:r>
    </w:p>
    <w:p w14:paraId="110AA5E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2.内墙抹灰控制要点</w:t>
      </w:r>
    </w:p>
    <w:p w14:paraId="7014CDA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（1）抹灰工艺良好、各面色泽基本一致。阴阳角方正小于4mm，墙面垂直度、平整度均小于4mm，无空鼓、龟裂、水平裂缝，无修补痕迹，细拉毛面，观感良好。</w:t>
      </w:r>
    </w:p>
    <w:p w14:paraId="5F45EB7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（2）凡达不到上述要求者，表面可刮一层水泥加胶水配制而成的黑腻子细拉毛面 (仅毛坯情况下采用，交楼前由总包自行完成)</w:t>
      </w:r>
    </w:p>
    <w:p w14:paraId="77EA463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（3）内墙加强网的铺设</w:t>
      </w:r>
    </w:p>
    <w:p w14:paraId="16320C4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①砌体墙与碎等不同材料交界处 (包括厨房、卫生间内的预制烟道、风道与墙面的交界处)，按设计要求设置抗裂加强带后才能进行抹灰工作，加强带两边各伸入150mm。</w:t>
      </w:r>
    </w:p>
    <w:p w14:paraId="35C07FC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②加气矿或其它轻质砌块砌体内墙抹灰墙面按设计要求满挂耐碱玻纤网(详见图纸)，要求在抹灰砂浆初凝前，网片铺挂在抹灰砂浆表面并压入砂浆内，达到“见格不见网”的效果。严禁耐碱玻纤网设置在抹灰底层 (先铺挂网片后抹灰)，严禁用砂浆粘贴耐碱玻纤网于墙上，与基层形成隔离层。</w:t>
      </w:r>
    </w:p>
    <w:p w14:paraId="0B689CB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③预埋管、线槽处，必须用1:3水泥砂浆分两次抹灰挂加强网压密实:对有三根以上预埋管线的线槽，用C20细石灌实后，再铺加强网(管槽两侧各压150mm宽)抹灰(见设计大样图)。</w:t>
      </w:r>
    </w:p>
    <w:p w14:paraId="23D21E3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配电箱、消防箱体背后空间尺寸小于40mm的采用水泥砂浆挂加强网分层抹灰即可。当箱体背后空间尺寸为40--100mm，用C20细石碎支模浇灌严实后，再满铺挂加强网片抹灰。当箱体背后空间尺寸大于100mm，可用砖补砌后，挂加强网分层抹灰，加强网伸入四周150mm(见设计大样图)。</w:t>
      </w:r>
    </w:p>
    <w:p w14:paraId="366D31E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⑤施工洞口、门窗洞口、后置箱体洞口处，应增设200mm宽的加强网(内嵌100mm)，且抹灰界面距洞口留设100mm宽，与洞口最后一次抹灰收口 (见设计大样图)。</w:t>
      </w:r>
    </w:p>
    <w:p w14:paraId="0741D03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⑥加强网型号均按设计要求。</w:t>
      </w:r>
    </w:p>
    <w:p w14:paraId="645D630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⑦厨卫间砂浆与室内客厅卧室砂浆严格按照设计要求选用。耐碱玻璃纤维网布主要性能(国家标准)。</w:t>
      </w:r>
    </w:p>
    <w:p w14:paraId="44E6FF9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耐碱玻璃纤维网格布主要性能指标</w:t>
      </w:r>
    </w:p>
    <w:tbl>
      <w:tblPr>
        <w:tblStyle w:val="56"/>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38"/>
        <w:gridCol w:w="4030"/>
      </w:tblGrid>
      <w:tr w14:paraId="357CD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5" w:type="dxa"/>
          </w:tcPr>
          <w:p w14:paraId="37FCEC61">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项目</w:t>
            </w:r>
          </w:p>
        </w:tc>
        <w:tc>
          <w:tcPr>
            <w:tcW w:w="4043" w:type="dxa"/>
          </w:tcPr>
          <w:p w14:paraId="327E2CA6">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指标</w:t>
            </w:r>
          </w:p>
        </w:tc>
      </w:tr>
      <w:tr w14:paraId="2F7D9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5" w:type="dxa"/>
          </w:tcPr>
          <w:p w14:paraId="24E82866">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单位面积质量 (g/㎡)</w:t>
            </w:r>
          </w:p>
        </w:tc>
        <w:tc>
          <w:tcPr>
            <w:tcW w:w="4043" w:type="dxa"/>
          </w:tcPr>
          <w:p w14:paraId="6E791948">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≥130</w:t>
            </w:r>
          </w:p>
        </w:tc>
      </w:tr>
      <w:tr w14:paraId="01096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5" w:type="dxa"/>
          </w:tcPr>
          <w:p w14:paraId="15C23746">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耐碱断裂强力 (经、纬)(N/50mm）</w:t>
            </w:r>
          </w:p>
        </w:tc>
        <w:tc>
          <w:tcPr>
            <w:tcW w:w="4043" w:type="dxa"/>
          </w:tcPr>
          <w:p w14:paraId="492BEE1A">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≥1250</w:t>
            </w:r>
          </w:p>
        </w:tc>
      </w:tr>
      <w:tr w14:paraId="77104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5" w:type="dxa"/>
          </w:tcPr>
          <w:p w14:paraId="5337A281">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耐碱断裂强力保留率(经、纬向)%</w:t>
            </w:r>
          </w:p>
        </w:tc>
        <w:tc>
          <w:tcPr>
            <w:tcW w:w="4043" w:type="dxa"/>
          </w:tcPr>
          <w:p w14:paraId="14591741">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≥75</w:t>
            </w:r>
          </w:p>
        </w:tc>
      </w:tr>
      <w:tr w14:paraId="241D6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5" w:type="dxa"/>
          </w:tcPr>
          <w:p w14:paraId="0126CF6E">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断裂伸长率(经、纬向) (%)</w:t>
            </w:r>
          </w:p>
        </w:tc>
        <w:tc>
          <w:tcPr>
            <w:tcW w:w="4043" w:type="dxa"/>
          </w:tcPr>
          <w:p w14:paraId="5B193A9C">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≤5.0</w:t>
            </w:r>
          </w:p>
        </w:tc>
      </w:tr>
    </w:tbl>
    <w:p w14:paraId="7D9B6B4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（4）门窗洞口处的收口</w:t>
      </w:r>
    </w:p>
    <w:p w14:paraId="68E2BC0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①门窗洞口的抹灰层必须压门窗框3--5mm，洞口外墙面防水砂浆尤为重要。</w:t>
      </w:r>
    </w:p>
    <w:p w14:paraId="2C8EE0A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②外窗台必须按设计向外找坡，严禁出现倒泛水现象，窗底框下口宜设置成向内的R角形式。</w:t>
      </w:r>
    </w:p>
    <w:p w14:paraId="44C6DDE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③外墙防水砂浆应翻包至门窗外框，阳角处预留加强网片，长度翻包至外框。严格控制墙厚和加抹灰层的总厚度一致。</w:t>
      </w:r>
    </w:p>
    <w:p w14:paraId="46A1245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（5）护角设置</w:t>
      </w:r>
    </w:p>
    <w:p w14:paraId="55D724D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①室内若采用混合砂浆抹灰，门窗洞口阳角，抹灰前必须先用1:2.5水泥砂浆做护角，呈锐角，护角每边宽度不小于80mm，且大于2m高。严禁做假护角。</w:t>
      </w:r>
    </w:p>
    <w:p w14:paraId="7D2ECDE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②易碰撞的大阳角，必须增设加强网，护角每边宽度不小于80mm。</w:t>
      </w:r>
    </w:p>
    <w:p w14:paraId="636DD98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③若内墙抹灰均采用水泥砂浆抹灰，则无需做护角。</w:t>
      </w:r>
    </w:p>
    <w:p w14:paraId="2BA7028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（6）天棚抹灰控制要点</w:t>
      </w:r>
    </w:p>
    <w:p w14:paraId="74E4215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①天棚若能达到设计和合同要求 (平整度和标高误差都控制在士8mm以内)，可采用刮水泥腻子修补即可。</w:t>
      </w:r>
    </w:p>
    <w:p w14:paraId="57CE0BA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②天棚面与天棚阴角水平线相差在10mm以内，且顺直，可采用刮水泥腻子灰找平。</w:t>
      </w:r>
    </w:p>
    <w:p w14:paraId="01E6528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③天棚面与水平线相差超过10mm的顶板，必须采用聚合物砂浆或1:2水泥砂浆加8%的901建筑胶水批灰抹平。</w:t>
      </w:r>
    </w:p>
    <w:p w14:paraId="43D56D9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3.外墙抹灰前准备工作</w:t>
      </w:r>
    </w:p>
    <w:p w14:paraId="12E6FB2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（1）外墙各面柱、墙、梁上抹灰厚度必须大于15mm。凡结构面上抹灰厚度达不到15mm的部位，必须先修凿后抹灰。严禁先抹灰后修凿。</w:t>
      </w:r>
    </w:p>
    <w:p w14:paraId="5A33365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（2）检查墙-梁、墙-柱间灰缝是否堵塞严实，有瞎眼缝和通光缝的。必须先行堵塞严实。</w:t>
      </w:r>
    </w:p>
    <w:p w14:paraId="7F81CCC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（3）检查穿墙螺杆孔是否用发泡聚氨酷或膨胀水泥砂浆堵塞严实以及孔周边是否做好防水处理。</w:t>
      </w:r>
    </w:p>
    <w:p w14:paraId="3478892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（4）外墙各施工洞口是否全部封堵完成。</w:t>
      </w:r>
    </w:p>
    <w:p w14:paraId="37F47C1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（5）外墙面基层界面处理:基层粘结砂浆及甩浆方法均同内墙。</w:t>
      </w:r>
    </w:p>
    <w:p w14:paraId="2804EA2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（6）所有外墙构件(栏杆、铁艺等)、幕墙或石材预埋件，必须在保温层施工前安装或施工完成。严禁在保温层施工完成后，再进行剔凿施工。</w:t>
      </w:r>
    </w:p>
    <w:p w14:paraId="04C481E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4.外墙抹灰控制要点</w:t>
      </w:r>
    </w:p>
    <w:p w14:paraId="3E7F4AC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（1）外墙分格缝的设置</w:t>
      </w:r>
    </w:p>
    <w:p w14:paraId="2C2C957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①采用塑料分格槽嵌粘的，分缝位置必须事先居中铺贴加强网80mm宽，就位后再将两边裸露的网片压入抹灰层内。</w:t>
      </w:r>
    </w:p>
    <w:p w14:paraId="329F8AA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②预留缝的，缝内必须采用弹性材料 (结构耐候胶) 嵌缝密实。</w:t>
      </w:r>
    </w:p>
    <w:p w14:paraId="57C2B60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③若外墙采用保温板，必须按设计大样图要求留设分格缝。</w:t>
      </w:r>
    </w:p>
    <w:p w14:paraId="1BA2BE0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④严禁外墙抹灰或保温板施工完成后，切缝完成分格缝施工。</w:t>
      </w:r>
    </w:p>
    <w:p w14:paraId="03A88B8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（2）各类外墙装饰线条设置要求</w:t>
      </w:r>
    </w:p>
    <w:p w14:paraId="6607078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①外墙各类装饰线条必须严格按照设计要求和施工工艺进行施工，不得随意更换线条材料和颠倒施工工序。</w:t>
      </w:r>
    </w:p>
    <w:p w14:paraId="06F20C1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②水平线条顶面粉刷坡度要大于5% (包括窗台)，底面按规范要求设置滴水线 (槽) 或鹰嘴。</w:t>
      </w:r>
    </w:p>
    <w:p w14:paraId="212FE67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③成品饰线应在基层防水砂浆抹灰层完成后弹线安装，要求连接牢固、接缝打胶饱满。涂料施工前上下阴角和接头处必须粘贴玻纤布。</w:t>
      </w:r>
    </w:p>
    <w:p w14:paraId="3F98CF2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④严禁在砖砌体上植筋现浇外墙饰线。</w:t>
      </w:r>
    </w:p>
    <w:p w14:paraId="79D7023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（3）滴水线(槽)设置</w:t>
      </w:r>
    </w:p>
    <w:p w14:paraId="3269860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①滴水线应设部位</w:t>
      </w:r>
    </w:p>
    <w:p w14:paraId="2970FC5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a.挑板、挑檐、阳台、雨篷、檐口、门窗帽、外窗台、门廊等底部，突出外墙的所有装饰线条。</w:t>
      </w:r>
    </w:p>
    <w:p w14:paraId="7729F95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b.屋面和露台防水坎台收头处挡水线条下口、出屋面构筑物顶部四周挑檐底部:遮阳板、空调板下口。</w:t>
      </w:r>
    </w:p>
    <w:p w14:paraId="254874E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c.楼梯间梯段板和休息平台、梯井部位下口，女儿墙、栏板压顶处悬挑线条下口等。</w:t>
      </w:r>
    </w:p>
    <w:p w14:paraId="12B1953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d.凡多层线条(如女儿墙、檐口)，可只在顶面出挑最远一层线条底设滴水线。</w:t>
      </w:r>
    </w:p>
    <w:p w14:paraId="5B05FC3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②滴水线做法</w:t>
      </w:r>
    </w:p>
    <w:p w14:paraId="3B158AB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a.常规做法:抹宽*厚=30*10mm水泥砂浆滴水带，檐口边低2mm。在端点内30mm收头。</w:t>
      </w:r>
    </w:p>
    <w:p w14:paraId="566931B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凹槽做法:抹灰完成，待砂浆初凝后，弹线切出宽*深=20*10mm凹槽，并用水泥砂浆收边顺直。表面涂料施工完成后，凹槽内刷黑涂料即可。也可在结构施工时，檐口滴水线凹槽位置做模，脱模后凹槽成型即可。</w:t>
      </w:r>
    </w:p>
    <w:p w14:paraId="644E8A3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b.异型门窗帽在距切点20mm位置收头，并埋设向外截水槽。平直门窗帽在距侧面墙20mm位置收头，并埋设向外截水槽。装饰线条距垂直墙面20mm位置收头，并埋设向外截水槽。</w:t>
      </w:r>
    </w:p>
    <w:p w14:paraId="0399640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c.面砖滴水线做法。立面压 (挡)平面 (下部) 且平面砖向外坡，下部最外一条水平灰缝压槽处理成滴水槽，确保对缝整齐，均匀、水平、美观。</w:t>
      </w:r>
    </w:p>
    <w:p w14:paraId="7522DA1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d.部分位置滴水线，也可抹灰做成鹰嘴 (如外墙窗上沿等)</w:t>
      </w:r>
    </w:p>
    <w:p w14:paraId="071A205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（4）外墙抹灰注意事项</w:t>
      </w:r>
    </w:p>
    <w:p w14:paraId="4396A0C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①外墙抹灰要求</w:t>
      </w:r>
    </w:p>
    <w:p w14:paraId="703A4A3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a.抹灰层的平均厚度，外墙宜小于25mm。找平层厚度大于10mm时应分遍压实抹平。</w:t>
      </w:r>
    </w:p>
    <w:p w14:paraId="464EF07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b.抹灰厚度大于35mm，必须分层批灰并在中间增设加强网片，且作隐蔽工程验收。</w:t>
      </w:r>
    </w:p>
    <w:p w14:paraId="1D6CCA4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c.对抹灰总厚度大于50mm的外墙，要求满挂中4钢筋网，并与主体有效连接，支模浇捣碎。</w:t>
      </w:r>
    </w:p>
    <w:p w14:paraId="0FB09BF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d.门窗洞口与门窗框外围尺寸相差大于30mm的，必须支模、按构造配筋浇捣细石碎。</w:t>
      </w:r>
    </w:p>
    <w:p w14:paraId="343F2E5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②控制粉刷用砂质量，宜采用中砂，严禁使用海沙且含泥量小于3%。</w:t>
      </w:r>
    </w:p>
    <w:p w14:paraId="1C3940C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③罩面灰成活后第二天应喷水养护，并连续养护七天以上。</w:t>
      </w:r>
    </w:p>
    <w:p w14:paraId="4B54754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④北方地区:严禁使用不合格或未经陈化的防火保温材料，从而导致后期保温板发生形状徐变而产生翘曲，撑破表面抗裂砂浆层导致开裂。应采用优质保温材料。</w:t>
      </w:r>
    </w:p>
    <w:p w14:paraId="2D69EC1D">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00" w:name="_Toc10464"/>
      <w:r>
        <w:rPr>
          <w:rFonts w:hint="eastAsia" w:ascii="宋体" w:hAnsi="宋体" w:cs="宋体"/>
          <w:color w:val="auto"/>
          <w:kern w:val="0"/>
          <w:szCs w:val="21"/>
          <w:highlight w:val="none"/>
        </w:rPr>
        <w:t>六、门窗工程</w:t>
      </w:r>
      <w:bookmarkEnd w:id="1000"/>
    </w:p>
    <w:p w14:paraId="74DDB560">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01" w:name="_Toc4295"/>
      <w:r>
        <w:rPr>
          <w:rFonts w:hint="eastAsia" w:ascii="宋体" w:hAnsi="宋体" w:cs="宋体"/>
          <w:color w:val="auto"/>
          <w:kern w:val="0"/>
          <w:szCs w:val="21"/>
          <w:highlight w:val="none"/>
        </w:rPr>
        <w:t>（一）常见开裂渗漏部位</w:t>
      </w:r>
      <w:bookmarkEnd w:id="1001"/>
    </w:p>
    <w:p w14:paraId="14E7ABB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1.外窗窗台开裂、渗漏。</w:t>
      </w:r>
    </w:p>
    <w:p w14:paraId="74855E4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2.外窗两侧开裂、渗漏。</w:t>
      </w:r>
    </w:p>
    <w:p w14:paraId="7170A59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3.外窗上眉开裂、渗漏。</w:t>
      </w:r>
    </w:p>
    <w:p w14:paraId="4D49A4C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4.外窗四角呈八字形裂缝导致渗漏。</w:t>
      </w:r>
    </w:p>
    <w:p w14:paraId="2CFC096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5.型材拼缝处渗漏。</w:t>
      </w:r>
    </w:p>
    <w:p w14:paraId="74B9BF3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6.外窗框存水、渗漏。</w:t>
      </w:r>
    </w:p>
    <w:p w14:paraId="31E5947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（二）开裂、渗漏主要原因</w:t>
      </w:r>
    </w:p>
    <w:p w14:paraId="6273547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外窗窗台开裂、渗漏主要原因为窗框下口塞缝前基层处理不到位，未将缠绕保护膜撕掉，塞缝不密实。窗台梁浇筑未找坡，倒泛水。窗边防水施工不到位。收口一次性粉刷过厚导致开裂，窗边收口构造做法不合理等。</w:t>
      </w:r>
    </w:p>
    <w:p w14:paraId="5AB0BA4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2.外窗两侧开裂、渗漏主要原因为窗边塞缝或发泡铺打不密实，侧边防水施工不到位。侧边构造不合理，窗框固定片未按照内高外低设置，固定在砖缝中。塞缝前未将缠绕保护膜撕掉等。</w:t>
      </w:r>
    </w:p>
    <w:p w14:paraId="7A68D4B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3.外窗上眉开裂、渗漏主要原因为收口过厚未分层，滴水线(槽)设置制作不规范，倒泛水，塞缝不密实</w:t>
      </w:r>
    </w:p>
    <w:p w14:paraId="07518FB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4.外窗四角呈八字形裂缝主要由于未设置加强框。窗台梁过梁未通长设置，或伸入墙体长度不足，加上沉降等原因导致的裂缝。</w:t>
      </w:r>
    </w:p>
    <w:p w14:paraId="3ACF40F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5.型材拼缝由于原材料加工及制安过程中产生的偏差过大且现场安装后未及时补缝处理。</w:t>
      </w:r>
    </w:p>
    <w:p w14:paraId="1A6B036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6.外窗框存水、渗漏主要由于未设置泄水孔，风撑螺丝钉未密封处理等。</w:t>
      </w:r>
    </w:p>
    <w:p w14:paraId="2BBF481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（三）施工材料选择</w:t>
      </w:r>
    </w:p>
    <w:p w14:paraId="592C313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门窗工程材料以规范、深化图要求为准。</w:t>
      </w:r>
    </w:p>
    <w:p w14:paraId="205A603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1.铝合金门窗工程用铝合金型材的合金牌号、化学成分、力学性能、尺寸允许偏差应符合现行国家标准《铝合金建筑型材 第1部分:基材》GB 5237.1的规定。铝合金门框主材厚度大于2.0mm，窗框主材厚大于1.4mm。塑钢推拉门窗采用88系列，塑钢平开门窗采用60系列。</w:t>
      </w:r>
    </w:p>
    <w:p w14:paraId="6371701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2.铝合金门窗用密封胶条应符合现行行业标准《建筑门窗用密封胶条》JG/T 187的规定，密封胶条宜用硫化橡胶类材料或热塑性弹性体类材料。毛条的毛束应经过硅化处理，宜使用加片型密封毛条。</w:t>
      </w:r>
    </w:p>
    <w:p w14:paraId="05754E7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3.玻璃与窗框之间的密封胶应符合现行行业标准《建筑窗用弹性密封胶》JC/T 485的规定。窗框与洞口之间的密封胶应符合国家现行标准《硅酮建筑密封胶》CB/T 14683和《丙烯酸酷建筑密封胶》JC/T 484的规定。</w:t>
      </w:r>
    </w:p>
    <w:p w14:paraId="2D760CD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4.铝合金门窗工程连接用螺钉、螺栓宜使用不锈钢紧固件。铝合金门窗受力构件之间的连接不得采用铝合金抽芯铆钉。</w:t>
      </w:r>
    </w:p>
    <w:p w14:paraId="27A1F92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5.铝合金门窗框与洞口间采用泡沫填缝剂做填充时，宜采用聚氨醋泡沫填缝胶。</w:t>
      </w:r>
    </w:p>
    <w:p w14:paraId="6A8968A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（四）关键工序重点提示</w:t>
      </w:r>
    </w:p>
    <w:p w14:paraId="2C4CC45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以铝合金门窗为例，其他型式的门窗安装以图纸、规范及相关图集要求为准。</w:t>
      </w:r>
    </w:p>
    <w:p w14:paraId="67EE6D8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铝合金门窗安装一般工序流程:弹线定位一门窗洞口尺寸复核及处理一防腐处理一铝合金窗披水安装一铝合金门窗就位和临时固定一铝合金门窗框固定一门窗框与墙体问隙的处理一清理一门窗扇及玻璃安装一五金配件安装</w:t>
      </w:r>
    </w:p>
    <w:p w14:paraId="287ACE6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1.弹线定位:</w:t>
      </w:r>
    </w:p>
    <w:p w14:paraId="6F1FC03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门窗的水平位置应以楼层室内1m线为准向上反量出窗下皮标高，弹线找平。每一层必须保持窗下皮标高一致。</w:t>
      </w:r>
    </w:p>
    <w:p w14:paraId="5DB7CCD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2.门窗洞口尺寸复核及处理:</w:t>
      </w:r>
    </w:p>
    <w:p w14:paraId="656C71E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如果窗洞口大小及位置不满足要求，及时让总包处理后再进行窗框安装。</w:t>
      </w:r>
    </w:p>
    <w:p w14:paraId="7E24CAB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3.防腐处理:</w:t>
      </w:r>
    </w:p>
    <w:p w14:paraId="6EFFA48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门窗框四周外表面的防腐处理设计有要求时，按设计要求处理。如果设计没有要求时，可涂刷防腐涂料或粘贴塑料薄膜进行保护，以免水泥砂浆直接与铝合金门窗表面接触，产生电化学反应，腐蚀铝合金门窗。</w:t>
      </w:r>
    </w:p>
    <w:p w14:paraId="5946F71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4.铝合金窗披水安装</w:t>
      </w:r>
    </w:p>
    <w:p w14:paraId="298D1EE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按施工图纸要求将披水固定在铝合金窗上，且要保证位置正确、安装牢固。</w:t>
      </w:r>
    </w:p>
    <w:p w14:paraId="6D6654F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5.铝合金门窗就位和临时固定</w:t>
      </w:r>
    </w:p>
    <w:p w14:paraId="43E1B6D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根据划好的门窗定位线，安装铝合金门窗框。并及时调整好门窗框的水平、垂直及对角线长度等符合质量标准，然后用木楔临时固定。</w:t>
      </w:r>
    </w:p>
    <w:p w14:paraId="2D089E3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6.铝合金门窗框固定</w:t>
      </w:r>
    </w:p>
    <w:p w14:paraId="19CCCAC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可用金属膨胀螺栓或塑料膨胀螺栓将铝合金门窗的铁脚固定到墙体预制块中。</w:t>
      </w:r>
    </w:p>
    <w:p w14:paraId="1D8FDEE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7.门窗框与墙体间隙的处理</w:t>
      </w:r>
    </w:p>
    <w:p w14:paraId="5E1ED94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铝合金门窗安装固定后，应先进行隐蔽工程验收，合格后及时按设计要求处理门窗框与墙体之间的缝隙。</w:t>
      </w:r>
    </w:p>
    <w:p w14:paraId="674E24D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8.门窗扇及玻璃安装</w:t>
      </w:r>
    </w:p>
    <w:p w14:paraId="0EA410C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对于一般平开扇的单块尺寸较小的玻璃安装，可用双手来住就位，如果单块玻璃尺寸较大，则应使用玻璃吸盘器安装。玻璃安装就位后，其槽口内的前后缝隙要一致，玻璃边缘不得与框扇以及连接件相接触，玻璃安装后应即时用橡胶条固定并密封。</w:t>
      </w:r>
    </w:p>
    <w:p w14:paraId="36B49A1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9.五金配件安装</w:t>
      </w:r>
    </w:p>
    <w:p w14:paraId="0C972D7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安装拉手及限位等。</w:t>
      </w:r>
    </w:p>
    <w:p w14:paraId="4B032172">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02" w:name="_Toc11757"/>
      <w:r>
        <w:rPr>
          <w:rFonts w:hint="eastAsia" w:ascii="宋体" w:hAnsi="宋体" w:cs="宋体"/>
          <w:color w:val="auto"/>
          <w:kern w:val="0"/>
          <w:szCs w:val="21"/>
          <w:highlight w:val="none"/>
        </w:rPr>
        <w:t>（五）施工控制要点</w:t>
      </w:r>
      <w:bookmarkEnd w:id="1002"/>
    </w:p>
    <w:p w14:paraId="36BCDA9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1.门窗进场控制要点</w:t>
      </w:r>
    </w:p>
    <w:p w14:paraId="0D121F8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（1）门窗主材用料厚度、颜色；玻璃厚度、颜色、安全玻璃部位等必须符合设计要求；中空玻璃是否雾化漏气。</w:t>
      </w:r>
    </w:p>
    <w:p w14:paraId="0652716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（2）当门窗高度大于一个层高或≥3 米时，门窗应按幕墙考虑，受力构件（铝框和钢通）必须和结构主体通过预埋件连接，并保证强度和刚度。</w:t>
      </w:r>
    </w:p>
    <w:p w14:paraId="750CB87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（3）门窗拼缝严实、节点防水注胶饱满、五金件与型材必须匹配，五金质量符合设计要求。塑钢门窗要检查衬钢的材料、形状是否符合设计要求。</w:t>
      </w:r>
    </w:p>
    <w:p w14:paraId="2EAAFDA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（4）检查门窗型材、玻璃及五金配件等原材料的合格证、质保书或有效期内的检测报告是否齐全。</w:t>
      </w:r>
    </w:p>
    <w:p w14:paraId="5453D23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（5）门窗进场送检进行“五性”检测（按当地政府职能部门要求送检）。进行采光性、水密性、隔声性、气密性、保温性检测，必须符合当地节能和物理性能标准。</w:t>
      </w:r>
    </w:p>
    <w:p w14:paraId="4D875E1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（6）门窗框保护膜，边框必须采用顺框胶带粘贴保护，框四周外围不设保护膜，以便窗框安装好后塞缝注胶严实。严禁门窗外框采用胶带缠绕保护。</w:t>
      </w:r>
    </w:p>
    <w:p w14:paraId="45F5551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03" w:name="_Toc29782"/>
      <w:r>
        <w:rPr>
          <w:rFonts w:hint="eastAsia" w:ascii="宋体" w:hAnsi="宋体" w:cs="宋体"/>
          <w:color w:val="auto"/>
          <w:kern w:val="0"/>
          <w:szCs w:val="21"/>
          <w:highlight w:val="none"/>
        </w:rPr>
        <w:t>2.门框安装要求</w:t>
      </w:r>
      <w:bookmarkEnd w:id="1003"/>
    </w:p>
    <w:p w14:paraId="23E501F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（1）门窗框安装前，必须先对洞口进行检查，应保证门窗框与预留洞口间距在 20-30mm 内。若间距大于 30mm，需用 C20 细石砼加镀锌钢网浇筑。7 天后，方可进行门窗框安装。</w:t>
      </w:r>
    </w:p>
    <w:p w14:paraId="5F24435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（2）门窗框的固定件采用热镀锌件，厚度≥1.5mm、宽度≥20mm。固定点间距：转角处、横竖档均≤180 mm、框边处≤500 mm。严禁用长脚膨胀螺栓穿透型材固定门窗框。</w:t>
      </w:r>
    </w:p>
    <w:p w14:paraId="41BB4EBB">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04" w:name="_Toc12859"/>
      <w:r>
        <w:rPr>
          <w:rFonts w:hint="eastAsia" w:ascii="宋体" w:hAnsi="宋体" w:cs="宋体"/>
          <w:color w:val="auto"/>
          <w:kern w:val="0"/>
          <w:szCs w:val="21"/>
          <w:highlight w:val="none"/>
        </w:rPr>
        <w:t>3.门窗框的塞缝</w:t>
      </w:r>
      <w:bookmarkEnd w:id="1004"/>
    </w:p>
    <w:p w14:paraId="1816140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（1）门窗框或副框与洞口之间的上口及两侧间隙，宜采用弹性闭孔材料（聚氨酯发泡剂）填塞饱满，并使用耐候密封胶密封。下口及两侧底部向上200范围内采用防水砂浆塞实。</w:t>
      </w:r>
    </w:p>
    <w:p w14:paraId="3CD6A34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（2）弹性闭孔材料（聚氨酯发泡剂）注打要求：连续施打，充填饱满，一次成型。出框外的发泡剂，应在结膜硬化前，用手压入缝隙内，防止发泡剂外膜破坏。施工人员应站在外立面施打，确保注胶连续饱满。</w:t>
      </w:r>
    </w:p>
    <w:p w14:paraId="31F6AAF5">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05" w:name="_Toc17695"/>
      <w:r>
        <w:rPr>
          <w:rFonts w:hint="eastAsia" w:ascii="宋体" w:hAnsi="宋体" w:cs="宋体"/>
          <w:color w:val="auto"/>
          <w:kern w:val="0"/>
          <w:szCs w:val="21"/>
          <w:highlight w:val="none"/>
        </w:rPr>
        <w:t>4.门窗外框四周密封胶注胶要求</w:t>
      </w:r>
      <w:bookmarkEnd w:id="1005"/>
    </w:p>
    <w:p w14:paraId="6B7A9EB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门窗框外周边（底口用防水砂浆做成内凹 R 角）应留设打胶凹槽（5*8mm），槽口处施打硅胶（中性建筑耐候胶）密封处理。施打密封胶前，必须清理掉框上打胶位置保护膜；打胶作业面必须干燥。严禁密封胶直接施打在外墙涂料基层上或窗框保护膜上。</w:t>
      </w:r>
    </w:p>
    <w:p w14:paraId="499D43F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06" w:name="_Toc26346"/>
      <w:r>
        <w:rPr>
          <w:rFonts w:hint="eastAsia" w:ascii="宋体" w:hAnsi="宋体" w:cs="宋体"/>
          <w:color w:val="auto"/>
          <w:kern w:val="0"/>
          <w:szCs w:val="21"/>
          <w:highlight w:val="none"/>
        </w:rPr>
        <w:t>5.外窗下框排水孔设置要求</w:t>
      </w:r>
      <w:bookmarkEnd w:id="1006"/>
      <w:r>
        <w:rPr>
          <w:rFonts w:hint="eastAsia" w:ascii="宋体" w:hAnsi="宋体" w:cs="宋体"/>
          <w:color w:val="auto"/>
          <w:kern w:val="0"/>
          <w:szCs w:val="21"/>
          <w:highlight w:val="none"/>
        </w:rPr>
        <w:t xml:space="preserve"> </w:t>
      </w:r>
    </w:p>
    <w:p w14:paraId="38F70A2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外窗下框宜有泄水结构，排水孔设在窗框两端拐角20-140mm处，排水孔必须设置两个以上，每个开口为5*40-60mm。</w:t>
      </w:r>
    </w:p>
    <w:p w14:paraId="3A8D80D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07" w:name="_Toc29070"/>
      <w:r>
        <w:rPr>
          <w:rFonts w:hint="eastAsia" w:ascii="宋体" w:hAnsi="宋体" w:cs="宋体"/>
          <w:color w:val="auto"/>
          <w:kern w:val="0"/>
          <w:szCs w:val="21"/>
          <w:highlight w:val="none"/>
        </w:rPr>
        <w:t>6.门窗淋水试验</w:t>
      </w:r>
      <w:bookmarkEnd w:id="1007"/>
    </w:p>
    <w:p w14:paraId="08D2F9D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门窗安装完毕并防水密封后，应做淋水试验，以检验门窗的渗漏情况。</w:t>
      </w:r>
    </w:p>
    <w:p w14:paraId="1F3F69C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七、装修铺贴工程</w:t>
      </w:r>
    </w:p>
    <w:p w14:paraId="34E10C4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（一）常见质量问题及原因分析</w:t>
      </w:r>
    </w:p>
    <w:p w14:paraId="222FD9B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1.墙砖空鼓</w:t>
      </w:r>
    </w:p>
    <w:p w14:paraId="6AB4349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（1）铝模混凝土墙面瓷砖空鼓</w:t>
      </w:r>
    </w:p>
    <w:p w14:paraId="79D3CFA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①问题描述</w:t>
      </w:r>
    </w:p>
    <w:p w14:paraId="7FE1C67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铝模混凝土墙面瓷砖空鼓，瓷砖与瓷砖胶粘接牢固、瓷砖胶与界面剂同样粘接牢固，界面剂与铝模混凝土面不粘脱层造成空鼓。</w:t>
      </w:r>
    </w:p>
    <w:p w14:paraId="6119584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②原因分析</w:t>
      </w:r>
    </w:p>
    <w:p w14:paraId="6F33497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铝模混凝土，为了脱模方便，涂有一层脱模剂，脱模剂含有丰富的化学物质，具有一定的油性和附着性能，脱模剂的作用是为了不使混凝土与铝合金模板粘结在一起，起到隔离作用，与瓷砖粘贴正好相反，若脱模剂未清理干净，容易导致瓷砖铺贴空鼓、脱落。</w:t>
      </w:r>
    </w:p>
    <w:p w14:paraId="1079DA4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（2）水泥砂浆抹灰墙面瓷砖空鼓 (瓷砖胶与抹灰脱层空鼓)</w:t>
      </w:r>
    </w:p>
    <w:p w14:paraId="6964DF4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①问题描述</w:t>
      </w:r>
    </w:p>
    <w:p w14:paraId="5F6F2B2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水泥砂浆抹灰墙面瓷砖铺贴空鼓，瓷砖与瓷砖胶粘接牢固，瓷砖胶与抹灰脱层造成空鼓。</w:t>
      </w:r>
    </w:p>
    <w:p w14:paraId="3D62776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②原因分析</w:t>
      </w:r>
    </w:p>
    <w:p w14:paraId="39061F4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a.水泥砂浆抹灰层本身存在空鼓开裂或水泥砂浆强度不足的情况工人在铺贴瓷砖时未关注及检查抹灰基底的情况、直接铺贴，导致后面瓷砖空鼓。</w:t>
      </w:r>
    </w:p>
    <w:p w14:paraId="065841C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b.铺贴瓷砖墙面抹灰基层违规使用玻璃纤维网，造成空鼓。</w:t>
      </w:r>
    </w:p>
    <w:p w14:paraId="0C44F59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（3）水泥砂浆抹灰墙面瓷砖空鼓(水泥砂浆抹灰强度问题空鼓)</w:t>
      </w:r>
    </w:p>
    <w:p w14:paraId="4377C04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①问题描述</w:t>
      </w:r>
    </w:p>
    <w:p w14:paraId="22121C0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水泥砂浆抹灰强度不足、空鼓开裂、起砂。</w:t>
      </w:r>
    </w:p>
    <w:p w14:paraId="328ACF3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②原因分析</w:t>
      </w:r>
    </w:p>
    <w:p w14:paraId="647F3BC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a.加气混凝土砌块吸水性强，使用水泥砂浆抹灰，由于水分被加气混凝土砌块吸干，砂浆不能充分水化，强度无法增长，导致抹灰砂浆空鼓。</w:t>
      </w:r>
    </w:p>
    <w:p w14:paraId="4D6A5E3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b.工人在施工过程中为了增加砂浆的和易性，在砂浆中参入砂浆王等外加剂。</w:t>
      </w:r>
    </w:p>
    <w:p w14:paraId="2F34926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c.工人在砂浆搅拌过程中未按正确的配和比搅拌及搅拌不均匀或者沙子含泥量过大等原因。</w:t>
      </w:r>
    </w:p>
    <w:p w14:paraId="042E840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（4）保温砂浆墙面瓷砖空鼓</w:t>
      </w:r>
    </w:p>
    <w:p w14:paraId="1F062CD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①问题描述</w:t>
      </w:r>
    </w:p>
    <w:p w14:paraId="064D68B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保温砂浆上贴砖空鼓脱落。</w:t>
      </w:r>
    </w:p>
    <w:p w14:paraId="0E3A0DF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②原因分析</w:t>
      </w:r>
    </w:p>
    <w:p w14:paraId="4723DDB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a.保温砂浆是以各种轻质材料为骨料，以水泥为胶凝料，掺和一些改性添加剂，搅拌混合而制成的一种预拌干粉砂浆，其强度本身就不满足贴砖。</w:t>
      </w:r>
    </w:p>
    <w:p w14:paraId="7A5AA66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b.保温砂浆的收缩系数与瓷砖胶的收缩系数不一样，两种不同、差异大的材料粘在一起，当温度变化时，收缩尺寸不一样，导致空鼓脱层(分开)。</w:t>
      </w:r>
    </w:p>
    <w:p w14:paraId="35705AD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（5）厨卫间、阳台防水层瓷砖空鼓</w:t>
      </w:r>
    </w:p>
    <w:p w14:paraId="23A587B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①问题描述</w:t>
      </w:r>
    </w:p>
    <w:p w14:paraId="7D5AE78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厨卫间、阳台防水层瓷砖空鼓，无界面剂，粘接剂与防水层不粘或防水层与铝模混凝土面不粘接。</w:t>
      </w:r>
    </w:p>
    <w:p w14:paraId="3FE4BF1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②原因分析</w:t>
      </w:r>
    </w:p>
    <w:p w14:paraId="50F9F52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a.目前墙面使用的大多为聚合物水泥防水涂料，由于涂料本身固化成膜，在墙体表面形成一层水无法浸透的防水层，所用胶泥与防水层兼容性较差，胶泥无法与它粘结，导致瓷砖空鼓。</w:t>
      </w:r>
    </w:p>
    <w:p w14:paraId="770353E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b.施工班组在涂刷防水涂料之前，对于铝模或抹灰面的基底未清理干净，直接涂刷上去，或防水涂料未按规范要求涂刷，防水层粘结强度不足，造成防水层与基底层不粘接。</w:t>
      </w:r>
    </w:p>
    <w:p w14:paraId="6418150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2.地砖空鼓</w:t>
      </w:r>
    </w:p>
    <w:p w14:paraId="79CFE22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（1）地砖 (玻化砖) 铺贴空鼓</w:t>
      </w:r>
    </w:p>
    <w:p w14:paraId="192D62A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①问题描述</w:t>
      </w:r>
    </w:p>
    <w:p w14:paraId="4DD14FE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地砖铺贴空鼓，瓷砖与瓷砖胶大面脱层。</w:t>
      </w:r>
    </w:p>
    <w:p w14:paraId="7B0EDA6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②原因分析</w:t>
      </w:r>
    </w:p>
    <w:p w14:paraId="2DD3693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玻化砖吸水率低，背面的灰尘、氧化镁未清理，瓷砖背面不吸水导致胶泥与瓷砖背面无法有效粘接在一起，随着铺贴后气温变化，热胀冷缩就会导致脱层空鼓。</w:t>
      </w:r>
    </w:p>
    <w:p w14:paraId="1034D5E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 xml:space="preserve">（二）施工材料选择 </w:t>
      </w:r>
    </w:p>
    <w:p w14:paraId="563B679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1.砂</w:t>
      </w:r>
    </w:p>
    <w:p w14:paraId="2208D96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严格按照瓷砖产品说明选用砂的粒径，颗粒粗细程度均匀，含泥量&lt;3%。无明确说明时，通常选用中沙，其粒径宜为0.35mm--0.5mm。</w:t>
      </w:r>
    </w:p>
    <w:p w14:paraId="6812906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2.水泥</w:t>
      </w:r>
    </w:p>
    <w:p w14:paraId="1B1B1D1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严格按照瓷砖产品说明选用水泥，如无特别说明，通常选用325#普通硅酸盐水泥。</w:t>
      </w:r>
    </w:p>
    <w:p w14:paraId="0A068F1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3.界面剂</w:t>
      </w:r>
    </w:p>
    <w:p w14:paraId="75E76AB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界面剂是用于改善砂浆层与水泥混凝土、加气混凝土或以粉煤灰石灰、页岩、陶粒等为主要原材料的砌块或砖等材料基面粘接性能的水泥基介质。通常分为于粉类界面剂和液体类界面剂，优先选用双组份界面剂。</w:t>
      </w:r>
    </w:p>
    <w:p w14:paraId="1D92681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（1）所选用的界面剂必须有有检测报告、合格证。界面剂必须按产品使用说明和要求配比正确使用。</w:t>
      </w:r>
    </w:p>
    <w:p w14:paraId="6EA3561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（2）若采用瓷砖胶铺贴，所选用界面剂需与相应瓷砖胶配合使用，建议为同一品牌配套产品，确保兼容性，不得随意搭配。</w:t>
      </w:r>
    </w:p>
    <w:p w14:paraId="7DF6284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4.瓷砖胶</w:t>
      </w:r>
    </w:p>
    <w:p w14:paraId="388BA59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瓷砖胶又称陶瓷砖粘合剂或粘结剂、粘胶泥等，粘结力是水泥砂浆的数倍，能有效粘贴大型的瓷砖石材，避免掉砖的风险。粘结强度高，吸水率低，抗泛碱性强，主要用于粘贴瓷砖、面砖、地砖等装饰材料。</w:t>
      </w:r>
    </w:p>
    <w:p w14:paraId="37608E1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（1）瓷砖胶可分为墙面及地面瓷砖胶，墙面瓷砖胶具有一定抗下垂能力。地面瓷砖胶具有一定流动能力，便于瓷砖胶在地面摊开及揉压瓷砖胶按技术指标，又可分为普通型瓷砖胶和强力型瓷砖胶。</w:t>
      </w:r>
    </w:p>
    <w:p w14:paraId="3F69863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（2）所选用的瓷砖胶必须有有检测报告、合格证。瓷砖胶必须按产品使用说明和要求配比正确使用。</w:t>
      </w:r>
    </w:p>
    <w:p w14:paraId="516ED39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（3）在瓷砖铺贴时，若使用界面剂，所选用界面剂需与相应瓷砖胶配合使用，不得随意搭配。</w:t>
      </w:r>
    </w:p>
    <w:p w14:paraId="53B7A28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（4）地砖铺贴瓷砖胶通常选用专用薄贴地砖瓷砖胶，当地面砖规格≥600mm*1200mm时，需采用强力型瓷砖胶。</w:t>
      </w:r>
    </w:p>
    <w:p w14:paraId="5E3D49F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（5）墙砖铺贴瓷砖胶的选用，需主要考虑瓷砖吸水率、瓷砖边长、墙体基层类型，具体情况见下表:</w:t>
      </w:r>
    </w:p>
    <w:p w14:paraId="3172155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墙砖铺贴瓷砖胶</w:t>
      </w:r>
    </w:p>
    <w:tbl>
      <w:tblPr>
        <w:tblStyle w:val="5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9"/>
        <w:gridCol w:w="2017"/>
        <w:gridCol w:w="1420"/>
        <w:gridCol w:w="1420"/>
        <w:gridCol w:w="1421"/>
        <w:gridCol w:w="1421"/>
      </w:tblGrid>
      <w:tr w14:paraId="60FF8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restart"/>
            <w:vAlign w:val="center"/>
          </w:tcPr>
          <w:p w14:paraId="76C11D42">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部位</w:t>
            </w:r>
          </w:p>
        </w:tc>
        <w:tc>
          <w:tcPr>
            <w:tcW w:w="2017" w:type="dxa"/>
            <w:vMerge w:val="restart"/>
            <w:vAlign w:val="center"/>
          </w:tcPr>
          <w:p w14:paraId="3EE2AF7B">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墙体基层</w:t>
            </w:r>
          </w:p>
        </w:tc>
        <w:tc>
          <w:tcPr>
            <w:tcW w:w="2840" w:type="dxa"/>
            <w:gridSpan w:val="2"/>
            <w:vAlign w:val="center"/>
          </w:tcPr>
          <w:p w14:paraId="260CB935">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陶质砖</w:t>
            </w:r>
          </w:p>
        </w:tc>
        <w:tc>
          <w:tcPr>
            <w:tcW w:w="2842" w:type="dxa"/>
            <w:gridSpan w:val="2"/>
            <w:vAlign w:val="center"/>
          </w:tcPr>
          <w:p w14:paraId="1BA15877">
            <w:pPr>
              <w:keepNext w:val="0"/>
              <w:keepLines w:val="0"/>
              <w:suppressLineNumbers w:val="0"/>
              <w:adjustRightInd w:val="0"/>
              <w:snapToGrid w:val="0"/>
              <w:spacing w:before="0" w:beforeAutospacing="0" w:after="0" w:afterAutospacing="0" w:line="360" w:lineRule="auto"/>
              <w:ind w:left="0" w:right="0" w:firstLine="422" w:firstLineChars="200"/>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瓷质砖</w:t>
            </w:r>
          </w:p>
        </w:tc>
      </w:tr>
      <w:tr w14:paraId="4D47C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Merge w:val="continue"/>
            <w:vAlign w:val="center"/>
          </w:tcPr>
          <w:p w14:paraId="078F8B0A">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ascii="宋体" w:hAnsi="宋体" w:cs="宋体"/>
                <w:color w:val="auto"/>
                <w:kern w:val="0"/>
                <w:szCs w:val="21"/>
                <w:highlight w:val="none"/>
              </w:rPr>
            </w:pPr>
          </w:p>
        </w:tc>
        <w:tc>
          <w:tcPr>
            <w:tcW w:w="2017" w:type="dxa"/>
            <w:vMerge w:val="continue"/>
            <w:vAlign w:val="center"/>
          </w:tcPr>
          <w:p w14:paraId="695FF255">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ascii="宋体" w:hAnsi="宋体" w:cs="宋体"/>
                <w:color w:val="auto"/>
                <w:kern w:val="0"/>
                <w:szCs w:val="21"/>
                <w:highlight w:val="none"/>
              </w:rPr>
            </w:pPr>
          </w:p>
        </w:tc>
        <w:tc>
          <w:tcPr>
            <w:tcW w:w="1420" w:type="dxa"/>
            <w:vAlign w:val="center"/>
          </w:tcPr>
          <w:p w14:paraId="5AF4A49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单边边长＜600mm</w:t>
            </w:r>
          </w:p>
        </w:tc>
        <w:tc>
          <w:tcPr>
            <w:tcW w:w="1420" w:type="dxa"/>
            <w:vAlign w:val="center"/>
          </w:tcPr>
          <w:p w14:paraId="5212CF2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单边边长≥600mm</w:t>
            </w:r>
          </w:p>
        </w:tc>
        <w:tc>
          <w:tcPr>
            <w:tcW w:w="1421" w:type="dxa"/>
            <w:vAlign w:val="center"/>
          </w:tcPr>
          <w:p w14:paraId="77F41F2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单边边长＜600mm</w:t>
            </w:r>
          </w:p>
        </w:tc>
        <w:tc>
          <w:tcPr>
            <w:tcW w:w="1421" w:type="dxa"/>
            <w:vAlign w:val="center"/>
          </w:tcPr>
          <w:p w14:paraId="3C50D37A">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单边边长≥600mm</w:t>
            </w:r>
          </w:p>
        </w:tc>
      </w:tr>
      <w:tr w14:paraId="3791A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9" w:type="dxa"/>
            <w:vAlign w:val="center"/>
          </w:tcPr>
          <w:p w14:paraId="62AB169F">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室内</w:t>
            </w:r>
          </w:p>
        </w:tc>
        <w:tc>
          <w:tcPr>
            <w:tcW w:w="2017" w:type="dxa"/>
            <w:vAlign w:val="center"/>
          </w:tcPr>
          <w:p w14:paraId="22D768B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混凝土、砌块、轻质条板、抹灰层、防水层</w:t>
            </w:r>
          </w:p>
        </w:tc>
        <w:tc>
          <w:tcPr>
            <w:tcW w:w="1420" w:type="dxa"/>
            <w:vAlign w:val="center"/>
          </w:tcPr>
          <w:p w14:paraId="38C17B19">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普通型</w:t>
            </w:r>
          </w:p>
        </w:tc>
        <w:tc>
          <w:tcPr>
            <w:tcW w:w="1420" w:type="dxa"/>
            <w:vAlign w:val="center"/>
          </w:tcPr>
          <w:p w14:paraId="74B1FF5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普通型</w:t>
            </w:r>
          </w:p>
        </w:tc>
        <w:tc>
          <w:tcPr>
            <w:tcW w:w="1421" w:type="dxa"/>
            <w:vAlign w:val="center"/>
          </w:tcPr>
          <w:p w14:paraId="5F2AEF9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强力型</w:t>
            </w:r>
          </w:p>
        </w:tc>
        <w:tc>
          <w:tcPr>
            <w:tcW w:w="1421" w:type="dxa"/>
            <w:vAlign w:val="center"/>
          </w:tcPr>
          <w:p w14:paraId="6F5FD8B4">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强力型（背砖做双组份界面剂）</w:t>
            </w:r>
          </w:p>
        </w:tc>
      </w:tr>
      <w:tr w14:paraId="713D4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1119" w:type="dxa"/>
            <w:vAlign w:val="center"/>
          </w:tcPr>
          <w:p w14:paraId="6770AEF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b/>
                <w:bCs/>
                <w:color w:val="auto"/>
                <w:kern w:val="0"/>
                <w:szCs w:val="21"/>
                <w:highlight w:val="none"/>
              </w:rPr>
            </w:pPr>
            <w:r>
              <w:rPr>
                <w:rFonts w:hint="eastAsia" w:ascii="宋体" w:hAnsi="宋体" w:cs="宋体"/>
                <w:b/>
                <w:bCs/>
                <w:color w:val="auto"/>
                <w:kern w:val="0"/>
                <w:szCs w:val="21"/>
                <w:highlight w:val="none"/>
              </w:rPr>
              <w:t>室外</w:t>
            </w:r>
          </w:p>
        </w:tc>
        <w:tc>
          <w:tcPr>
            <w:tcW w:w="2017" w:type="dxa"/>
            <w:vAlign w:val="center"/>
          </w:tcPr>
          <w:p w14:paraId="4E4C5F97">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混凝土、砌块</w:t>
            </w:r>
          </w:p>
        </w:tc>
        <w:tc>
          <w:tcPr>
            <w:tcW w:w="5682" w:type="dxa"/>
            <w:gridSpan w:val="4"/>
            <w:vAlign w:val="center"/>
          </w:tcPr>
          <w:p w14:paraId="1302A77B">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强力型</w:t>
            </w:r>
          </w:p>
        </w:tc>
      </w:tr>
    </w:tbl>
    <w:p w14:paraId="34A2D35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注:①普通型适用于室内墙面高吸水率瓷砖 (吸水率&gt;10% 陶质砖)的粘贴。</w:t>
      </w:r>
    </w:p>
    <w:p w14:paraId="5875596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②强力型适用于室内外墙面中/低吸水率瓷砖(吸水率≤10%的瓷质砖、炬质砖、陶瓷板) 粘贴。</w:t>
      </w:r>
    </w:p>
    <w:p w14:paraId="235DC64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地砖铺贴瓷砖胶的选用，主要考虑地面基层、瓷砖边长情况，从而评估地面基层是否需要预先涂刷双组份界面剂。</w:t>
      </w:r>
    </w:p>
    <w:p w14:paraId="6305847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瓷砖胶材料使用注意事项</w:t>
      </w:r>
    </w:p>
    <w:p w14:paraId="344E360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①保存:运输和储存瓷砖胶时，避免潮湿和阳光暴晒。同一品牌、类型瓷砖胶单独存放，受潮结块的瓷砖胶应废弃，不得继续使用。</w:t>
      </w:r>
    </w:p>
    <w:p w14:paraId="041591D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②清洁:瓷砖背面应清洁无尘 (玻化砖无需用水浸泡，但粘贴前应将瓷砖后面的浮尘等清洁干净)</w:t>
      </w:r>
    </w:p>
    <w:p w14:paraId="5A585D9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③基层: 基层应坚实，无脱模剂，对吸水率低的基层表面除浮灰、浮浆后涂界面剂。</w:t>
      </w:r>
    </w:p>
    <w:p w14:paraId="69F476B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④时间:确保在瓷砖粘合剂的开启时间内 (一般为20分钟具体按照产品使用说明) 粘贴瓷砖。</w:t>
      </w:r>
    </w:p>
    <w:p w14:paraId="7A448DC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⑤碾压:瓷砖贴好后，应适当碾压，以保证泥浆饱满</w:t>
      </w:r>
    </w:p>
    <w:p w14:paraId="018AA5C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⑥清理:在施工过程中，应及时用湿海绵将粘在瓷砖表面的瓷砖粘合剂清理干净，24小时内不要接触水。</w:t>
      </w:r>
    </w:p>
    <w:p w14:paraId="454676F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⑦温度:施工区域环境温度为5-35C，当在低于5C或高于35°C气温下施工时，应采取保证工程质量的有效措施。</w:t>
      </w:r>
    </w:p>
    <w:p w14:paraId="04BDAB8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⑧环境:避免在阳光直射或强风天气施工。</w:t>
      </w:r>
    </w:p>
    <w:p w14:paraId="400E2BE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5.填缝剂</w:t>
      </w:r>
    </w:p>
    <w:p w14:paraId="16DDE94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（1）白水泥</w:t>
      </w:r>
    </w:p>
    <w:p w14:paraId="00C9919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早期室内装修常用的勾缝材料。时间长了粉化现象严重，砖缝易发黄变脏，在潮湿环境里易滋生霉菌。</w:t>
      </w:r>
    </w:p>
    <w:p w14:paraId="6141972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（2）填缝剂</w:t>
      </w:r>
    </w:p>
    <w:p w14:paraId="0D6EBA1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主要成份是白水泥及微量聚合物、颜料等，表层强度要略高于白水泥，高端产品具有一定的防霉效果，但不具备防水性，时间长了和白水泥一样砖缝很易变脏。</w:t>
      </w:r>
    </w:p>
    <w:p w14:paraId="2FA3D3D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drawing>
          <wp:anchor distT="0" distB="0" distL="114300" distR="114300" simplePos="0" relativeHeight="251667456" behindDoc="0" locked="0" layoutInCell="1" allowOverlap="1">
            <wp:simplePos x="0" y="0"/>
            <wp:positionH relativeFrom="page">
              <wp:posOffset>977900</wp:posOffset>
            </wp:positionH>
            <wp:positionV relativeFrom="page">
              <wp:posOffset>3192145</wp:posOffset>
            </wp:positionV>
            <wp:extent cx="5796915" cy="1973580"/>
            <wp:effectExtent l="19050" t="0" r="0" b="0"/>
            <wp:wrapSquare wrapText="bothSides"/>
            <wp:docPr id="110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图片 31"/>
                    <pic:cNvPicPr>
                      <a:picLocks noChangeAspect="1" noChangeArrowheads="1"/>
                    </pic:cNvPicPr>
                  </pic:nvPicPr>
                  <pic:blipFill>
                    <a:blip r:embed="rId55"/>
                    <a:srcRect/>
                    <a:stretch>
                      <a:fillRect/>
                    </a:stretch>
                  </pic:blipFill>
                  <pic:spPr>
                    <a:xfrm>
                      <a:off x="0" y="0"/>
                      <a:ext cx="5796915" cy="1973580"/>
                    </a:xfrm>
                    <a:prstGeom prst="rect">
                      <a:avLst/>
                    </a:prstGeom>
                    <a:noFill/>
                    <a:ln w="9525">
                      <a:noFill/>
                      <a:miter lim="800000"/>
                      <a:headEnd/>
                      <a:tailEnd/>
                    </a:ln>
                    <a:effectLst/>
                  </pic:spPr>
                </pic:pic>
              </a:graphicData>
            </a:graphic>
          </wp:anchor>
        </w:drawing>
      </w:r>
      <w:r>
        <w:rPr>
          <w:rFonts w:hint="eastAsia" w:ascii="宋体" w:hAnsi="宋体" w:cs="宋体"/>
          <w:color w:val="auto"/>
          <w:kern w:val="0"/>
          <w:szCs w:val="21"/>
          <w:highlight w:val="none"/>
        </w:rPr>
        <w:t>（3）美缝剂</w:t>
      </w:r>
    </w:p>
    <w:p w14:paraId="0AF81C4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主要成分是高分子聚合物加颜料、助剂，色彩丰富，颜色亮丽,表层强度高韧性好、易于擦洗、防水防潮。美缝剂分亮光和亚光两种可根据不同瓷砖搭配使用。</w:t>
      </w:r>
    </w:p>
    <w:p w14:paraId="7B25CA2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6.瓷砖</w:t>
      </w:r>
    </w:p>
    <w:p w14:paraId="266513A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瓷砖由粘土和其他无机非金属原料经成型、烧结等工艺生产的板状或块状陶瓷制品。</w:t>
      </w:r>
    </w:p>
    <w:p w14:paraId="0003613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（1）《陶瓷砖》GB/T4100-2015对瓷砖分类及代号做了详细规定(见表7.2)</w:t>
      </w:r>
    </w:p>
    <w:p w14:paraId="6B0265A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（2）瓷砖的吸水率大小对瓷砖的施工工艺和施工材料的选择都有重要影响，对于需要浸泡的瓷砖，在使用前，须按照瓷砖产品使用说明进行充分浸泡，晾置阴干后再使用。</w:t>
      </w:r>
    </w:p>
    <w:p w14:paraId="0696BF7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（3）每批次瓷砖进场需有产品合格证和质量检测报告，对吸水率高的瓷砖可以采用湿铺贴，对吸水率低的瓷砖建议使用瓷砖胶铺贴。</w:t>
      </w:r>
    </w:p>
    <w:p w14:paraId="1064097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注:①吸水率:干燥的单位质量的产品达到水饱和时所吸收的水的质量用质量百分数表示。②一般瓷质砖吸水率不超过0.5%;陶质砖吸水率大于10%。</w:t>
      </w:r>
    </w:p>
    <w:p w14:paraId="2933E93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（4）瓷砖表面应光洁、方正、平整，质地坚固，其品种、规格、尺寸、色泽应符合设计规定，产品出厂时须出具产品合格证、出厂检验报告，各项性能指标应符合现行国家标准。</w:t>
      </w:r>
    </w:p>
    <w:p w14:paraId="6FC7081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（5）不得有色斑、缺楞、掉角、暗痕和裂纹等缺陷。</w:t>
      </w:r>
    </w:p>
    <w:p w14:paraId="59FB52B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（三）关键工序重点提示</w:t>
      </w:r>
    </w:p>
    <w:p w14:paraId="28AFC39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1.铝模墙面瓷砖铺贴工序</w:t>
      </w:r>
    </w:p>
    <w:p w14:paraId="0495284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（1）基层处理:铝模墙面须清理掉混凝土表面脱模剂一可采用NaOH(碱性) 涂刷洗去掉油渍，NaOH涂刷后马上用高压水枪冲洗墙面干净一待混凝土墙面晾干后，滚涂双组份界面剂。</w:t>
      </w:r>
    </w:p>
    <w:p w14:paraId="44CC16E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（2）铺贴施工:界面剂滚涂干燥后，用专用瓷砖胶铺贴瓷砖。</w:t>
      </w:r>
    </w:p>
    <w:p w14:paraId="7CB31AF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（3）清洁勾缝:墙砖铺贴完成7--15天后进行勾缝。</w:t>
      </w:r>
    </w:p>
    <w:p w14:paraId="5BE0E53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2.水泥砂浆抹灰墙面瓷砖铺贴工序</w:t>
      </w:r>
    </w:p>
    <w:p w14:paraId="74605A7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（1）基层处理:清理浮灰、污染物一滚涂双组份瓷砖界面剂</w:t>
      </w:r>
    </w:p>
    <w:p w14:paraId="0874F4B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（2）铺贴施工:用瓷砖胶铺贴瓷砖。</w:t>
      </w:r>
    </w:p>
    <w:p w14:paraId="1554A56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（3）清洁勾缝:铺贴完成7--15天后进行勾缝</w:t>
      </w:r>
    </w:p>
    <w:p w14:paraId="1BB427D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3.厨卫、阳台防水墙面瓷砖铺贴工序</w:t>
      </w:r>
    </w:p>
    <w:p w14:paraId="72A3C30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（1）基层处理: 清理表面浮灰、污染物等一滚涂1.5厚聚合物水泥防水涂料 (II) (具体材料按设计要求使用)一清理表面浮灰、污染物等一滚涂双组份界面剂。</w:t>
      </w:r>
    </w:p>
    <w:p w14:paraId="07328C9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（2）铺贴施工:用瓷砖胶铺贴瓷砖。</w:t>
      </w:r>
    </w:p>
    <w:p w14:paraId="564FD2D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（3）清洁勾缝</w:t>
      </w:r>
    </w:p>
    <w:p w14:paraId="00369CD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（4）防水涂料施工应符合下列规定</w:t>
      </w:r>
    </w:p>
    <w:p w14:paraId="4212560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①双组分涂料应按配比要求在现场配制，并应使用机械搅拌均匀，不得有颗粒悬浮物。</w:t>
      </w:r>
    </w:p>
    <w:p w14:paraId="37FA648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②防水涂料应薄涂、多遍施工，前后两遍的涂刷方向应相互垂直，涂层厚度应均匀，不得有漏刷或堆积现象。</w:t>
      </w:r>
    </w:p>
    <w:p w14:paraId="48C9006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③应在前一遍涂层实干后，再涂刷下一遍涂料;施工时宜先涂刷立面，后涂刷平面。</w:t>
      </w:r>
    </w:p>
    <w:p w14:paraId="21E54D5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④防水涂膜最后一遍施工时，可在涂层表面撒砂。</w:t>
      </w:r>
    </w:p>
    <w:p w14:paraId="7564319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4.地砖铺贴施工工序</w:t>
      </w:r>
    </w:p>
    <w:p w14:paraId="2A365AA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（1）基层处理:水电安装完成并完成排查一地面高度、整洁度等检查符合要求一洒水润湿，随铺随刷素水泥浆。</w:t>
      </w:r>
    </w:p>
    <w:p w14:paraId="26F2A9C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砂浆结合层:按设计图纸配置干硬性水泥砂浆，一般体积配比为水泥:砂子=1:3，搅拌均匀，随办随用，初凝前用完，干硬性程度以“手捏成团，落地成花”为宜。基层清理后，随铺随刷素水泥浆让地面起浆。将拌熟的干硬性水泥砂浆均匀铺设，铺设厚度为超过面层标高线3--4mm为宜。</w:t>
      </w:r>
    </w:p>
    <w:p w14:paraId="3B541B1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地砖铺贴:将背部粉尘等清除干净的地砖进行预铺，并用胶锤敲打结实，拿起瓷砖，查看垫层砂浆是否有欠浆或不平整，补充砂浆填实，重复数次，直至砂浆平实。铺贴前应在砖背抹5--10mm素水泥浆涂抹均匀，边角收浆饱满。将均匀涂抹素水泥浆的地砖铺上，胶锤轻击使其与砂浆粘接紧密，和基准砖平齐。用2mm或5mm (按设计图纸)十字卡控制砖缝。</w:t>
      </w:r>
    </w:p>
    <w:p w14:paraId="5E1A6BA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（4）清洁养护:将瓷砖表面清理干净，随铺随清理，砖缝边胶泥也要清理干净，防止不同材质热胀冷缩导致空鼓。当地砖铺贴完24小时内取走十字卡并开始洒水养护，早晚各一次，养护时间不得少于3天。</w:t>
      </w:r>
    </w:p>
    <w:p w14:paraId="4E6DEEA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（四）施工控制要点</w:t>
      </w:r>
    </w:p>
    <w:p w14:paraId="6F3A00C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1.场地移交控制要点</w:t>
      </w:r>
    </w:p>
    <w:p w14:paraId="12ACFD7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（1）铝模脱模剂须清理干净</w:t>
      </w:r>
    </w:p>
    <w:p w14:paraId="3FE5304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（2）墙面垂平度&lt;4mm。</w:t>
      </w:r>
    </w:p>
    <w:p w14:paraId="62EF35B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（3）抹灰墙面强度足够、无空鼓、开裂。</w:t>
      </w:r>
    </w:p>
    <w:p w14:paraId="52D1FF3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（4）铺贴墙面不允许挂玻纤网</w:t>
      </w:r>
    </w:p>
    <w:p w14:paraId="48C561D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（5）地面浮浆使用刨地机清理干净</w:t>
      </w:r>
    </w:p>
    <w:p w14:paraId="35BF07A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（6）地砖铺贴保证铺贴厚度不小于4公分 (于硬性水泥砂浆做基层的铺贴方法)。</w:t>
      </w:r>
    </w:p>
    <w:p w14:paraId="466DDEF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（7）厨房、卫生间、铺贴瓷砖的公区墙面，抹灰严禁使用玻纤网如与设计图纸要求冲突，需与设计提前沟通)，避免后期铺贴空鼓。</w:t>
      </w:r>
    </w:p>
    <w:p w14:paraId="494829F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2.材料使用控制要点</w:t>
      </w:r>
    </w:p>
    <w:p w14:paraId="023C006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（1）瓷砖背部灰尘、氧化镁清理彻底。</w:t>
      </w:r>
    </w:p>
    <w:p w14:paraId="1EEFB38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（2）按产品使用说明，浸泡充分，放置阴干。</w:t>
      </w:r>
    </w:p>
    <w:p w14:paraId="6F44307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（3）瓷砖胶等各种粘接剂须严格按产品使用说明搅拌、静置、存放及使用。</w:t>
      </w:r>
    </w:p>
    <w:p w14:paraId="0268B3D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3.铺贴瓷砖胶泥饱满度控制要点</w:t>
      </w:r>
    </w:p>
    <w:p w14:paraId="03239B0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（1）瓷砖批刮:瓷砖背面应先用批刀将胶泥用力压实，然后再次上料，用锯齿形刮刀梳理成条状;瓷砖背面涂抹的胶泥应薄厚一致，严禁瓷砖边厚，中间薄。</w:t>
      </w:r>
    </w:p>
    <w:p w14:paraId="5FAB288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（2）揉压:瓷砖铺贴后应充分揉压，使瓷砖胶充满瓷砖和基面之间的空间。</w:t>
      </w:r>
    </w:p>
    <w:p w14:paraId="50B9FE8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4.砖背胶施工控制要点</w:t>
      </w:r>
    </w:p>
    <w:p w14:paraId="545F515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（1）砖背清理:低吸水率玻化砖背面氧化镁和粉尘应清理干净。</w:t>
      </w:r>
    </w:p>
    <w:p w14:paraId="000FD3B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（2）背胶涂刷:使用滚涂将浆料均匀滚涂在砖背面，厚度约为1mm。</w:t>
      </w:r>
    </w:p>
    <w:p w14:paraId="7843287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（3）背胶晾干:按产品使用说明，控制晾置时间，待浆料干固后方可进行铺贴。</w:t>
      </w:r>
    </w:p>
    <w:p w14:paraId="6F2127C9">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08" w:name="_Toc17221"/>
      <w:r>
        <w:rPr>
          <w:rFonts w:hint="eastAsia" w:ascii="宋体" w:hAnsi="宋体" w:cs="宋体"/>
          <w:color w:val="auto"/>
          <w:kern w:val="0"/>
          <w:szCs w:val="21"/>
          <w:highlight w:val="none"/>
        </w:rPr>
        <w:t>八、屋面工程</w:t>
      </w:r>
      <w:bookmarkEnd w:id="1008"/>
    </w:p>
    <w:p w14:paraId="44B98E99">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09" w:name="_Toc29738"/>
      <w:r>
        <w:rPr>
          <w:rFonts w:hint="eastAsia" w:ascii="宋体" w:hAnsi="宋体" w:cs="宋体"/>
          <w:color w:val="auto"/>
          <w:kern w:val="0"/>
          <w:szCs w:val="21"/>
          <w:highlight w:val="none"/>
        </w:rPr>
        <w:t>（一）常见质量问题及原因分析</w:t>
      </w:r>
      <w:bookmarkEnd w:id="1009"/>
    </w:p>
    <w:p w14:paraId="092A7CC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1.常的质量问题</w:t>
      </w:r>
    </w:p>
    <w:p w14:paraId="058E7CF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（1）屋面结构板开裂渗漏。</w:t>
      </w:r>
    </w:p>
    <w:p w14:paraId="00B6D4C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（2）出屋面管道、二次结构根部渗漏。</w:t>
      </w:r>
    </w:p>
    <w:p w14:paraId="73048DB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（3）女儿墙侧面渗漏。</w:t>
      </w:r>
    </w:p>
    <w:p w14:paraId="48CDCBB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（4）屋面防水构造做法不合理。</w:t>
      </w:r>
    </w:p>
    <w:p w14:paraId="767E69E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（5）屋面排水不畅、积水。</w:t>
      </w:r>
    </w:p>
    <w:p w14:paraId="7A3F20A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（6）女儿墙外侧污染严重。</w:t>
      </w:r>
    </w:p>
    <w:p w14:paraId="5F0D589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2.原因分析</w:t>
      </w:r>
    </w:p>
    <w:p w14:paraId="316A13F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（1）屋面结构板浇筑时未充分振捣。</w:t>
      </w:r>
    </w:p>
    <w:p w14:paraId="0992189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（2）出屋面管道未预埋钢套管，出屋面结构未随屋面板一次性浇筑成型。</w:t>
      </w:r>
    </w:p>
    <w:p w14:paraId="6C0018E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（3）泛水高度内结构未采用止水螺杆加固。</w:t>
      </w:r>
    </w:p>
    <w:p w14:paraId="0E44468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（4）防水施工时基层处理不到位，防水附加层未加强，防水卷材铺贴后空鼓、被破坏;变形缝位置未按图纸、图集做法施工防水。</w:t>
      </w:r>
    </w:p>
    <w:p w14:paraId="6D40726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（5）屋面泛水坡度不够，局部倒泛水，天沟坡度不足。</w:t>
      </w:r>
    </w:p>
    <w:p w14:paraId="2F368F6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（6）女儿墙压顶未向内找坡，坡度不足5%。</w:t>
      </w:r>
    </w:p>
    <w:p w14:paraId="2DAAADD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（二）施工材料选择</w:t>
      </w:r>
    </w:p>
    <w:p w14:paraId="221FF34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1.屋面工程所用的防水、保温材料应有产品合格证书和性能检测报告，材料的品种、规格、性能等必须符合国家现行产品标准和设计要求。</w:t>
      </w:r>
    </w:p>
    <w:p w14:paraId="7361990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2.找坡层宜采用轻骨料混凝土，找平层宜采用水泥砂浆或细石混凝土，找坡层和找平层材料的质量及配合比，应符合设计要求。</w:t>
      </w:r>
    </w:p>
    <w:p w14:paraId="7CA66E1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3.隔汽层应设置在结构层与保温层之间: 隔汽层应选用气密性、水密性好的材料，隔汽层所用材料的质量，应符合设计要求。</w:t>
      </w:r>
    </w:p>
    <w:p w14:paraId="59B5D83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4.隔离层可采用于铺塑料膜、土工布、卷材或铺抹低强度等级砂浆，隔离层所用材料的质量及配合比，应符合设计要求。</w:t>
      </w:r>
    </w:p>
    <w:p w14:paraId="279FE3F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5.保护层可采用块体材料、水泥砂浆或者细石混凝土。</w:t>
      </w:r>
    </w:p>
    <w:p w14:paraId="2C273BD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（三）关键工序重点提示</w:t>
      </w:r>
    </w:p>
    <w:p w14:paraId="6F52A46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屋面详细做法需严格按照设计图纸要求施工。</w:t>
      </w:r>
    </w:p>
    <w:p w14:paraId="7AB10D7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1.常规两道防水倒置式屋面工艺流程</w:t>
      </w:r>
    </w:p>
    <w:p w14:paraId="7A49D02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基层处理→防水层→隔离层→保温层→隔离层→找坡找平层→防水层→隔离层→面层</w:t>
      </w:r>
    </w:p>
    <w:p w14:paraId="55BF795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2.常规正置式屋面工艺流程</w:t>
      </w:r>
    </w:p>
    <w:p w14:paraId="0469CE4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基层处理→保温层→隔离层→找坡找平层→防水层→面层</w:t>
      </w:r>
    </w:p>
    <w:p w14:paraId="51F0097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3.重点工序说明</w:t>
      </w:r>
    </w:p>
    <w:p w14:paraId="390BE57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（1）保温层:保温板依线错缝铺设，板块之间的缝隙不得有砂浆，以免形成冷桥。保温层设置排气道及出屋面排气孔。</w:t>
      </w:r>
    </w:p>
    <w:p w14:paraId="3CF7CEB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（2）找平层:分格缝纵横间距不宜大于6m，分格缝的宽度宜为5mm--20mm，找坡层表面平整度的允许偏差为7mm，找平层表面平整度的允许偏差为5mm。</w:t>
      </w:r>
    </w:p>
    <w:p w14:paraId="23F7BE3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（3）保护层:保护层施工应待卷材铺贴完成或涂料固化成膜后进行。</w:t>
      </w:r>
    </w:p>
    <w:p w14:paraId="0F6902B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①用块体材料做保护层时，宜设置分格缝，分格缝纵横间距不应大于10m，分格缝宽度宜为20mm。</w:t>
      </w:r>
    </w:p>
    <w:p w14:paraId="081E621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②用水泥砂浆做保护层时，表面应抹平压光，并应设表面分格缝，分格面积宜为1m。</w:t>
      </w:r>
    </w:p>
    <w:p w14:paraId="6F36A2A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③用细石混凝土做保护层时，混凝土应振捣密实，表面应抹平压光，分格缝纵横间距不应大于6m。分格缝的宽度宜为10mm--20mm。</w:t>
      </w:r>
    </w:p>
    <w:p w14:paraId="1555A31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④块体材料、水泥砂浆或细石混凝土保护层与女儿墙和山墙之间，应预留宽度为30mm的缝隙，缝内宜填塞聚苯乙烯泡沫塑料，并应用密封材料嵌填密实。</w:t>
      </w:r>
    </w:p>
    <w:p w14:paraId="2991CF7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（4）斜屋面檐口倒置式防水层上设置暗沟，一般要求斜屋面最低处应设100mm宽的暗沟，在暗沟内最低处设D=50mm滤水管 (滤水管外可满铺陶粒至屋面瓦下找平层)。在滤水管上接D=30mm排水管，间距约3m，排水管横排、坚排均可。管出屋面30mm (屋面保温层的通气与排水)，具体请以设计图纸为准。</w:t>
      </w:r>
    </w:p>
    <w:p w14:paraId="69A718B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4.施工控制要点</w:t>
      </w:r>
    </w:p>
    <w:p w14:paraId="4B8312BE">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10" w:name="_Toc16013"/>
      <w:r>
        <w:rPr>
          <w:rFonts w:hint="eastAsia" w:ascii="宋体" w:hAnsi="宋体" w:cs="宋体"/>
          <w:color w:val="auto"/>
          <w:kern w:val="0"/>
          <w:szCs w:val="21"/>
          <w:highlight w:val="none"/>
        </w:rPr>
        <w:t>（1）屋面（平、斜）板砼结构自防水要求</w:t>
      </w:r>
      <w:bookmarkEnd w:id="1010"/>
    </w:p>
    <w:p w14:paraId="43C5EBB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①模板刚度和支撑整体稳定性必须满足施工要求，模板拼缝严实。</w:t>
      </w:r>
    </w:p>
    <w:p w14:paraId="5B50635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②严格控制砼坍落度，确保斜屋面板砼浇捣时不下滑为宜。</w:t>
      </w:r>
    </w:p>
    <w:p w14:paraId="4AB3EB9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③浇捣时分两次振捣，插入式与平板式振捣相结合，斜屋面宜采用手提式小型平板振捣器。</w:t>
      </w:r>
    </w:p>
    <w:p w14:paraId="3830B5D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④砼面压抹密实，要求砼初凝前二次压抹密实。</w:t>
      </w:r>
    </w:p>
    <w:p w14:paraId="2D805D3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⑤确保 7 天保湿养护（浸水材料覆盖），养护不少于 14 天。</w:t>
      </w:r>
    </w:p>
    <w:p w14:paraId="1B644FA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⑥北方地区宜首选塑料薄膜覆盖自养方案。</w:t>
      </w:r>
    </w:p>
    <w:p w14:paraId="285950F3">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11" w:name="_Toc6815"/>
      <w:r>
        <w:rPr>
          <w:rFonts w:hint="eastAsia" w:ascii="宋体" w:hAnsi="宋体" w:cs="宋体"/>
          <w:color w:val="auto"/>
          <w:kern w:val="0"/>
          <w:szCs w:val="21"/>
          <w:highlight w:val="none"/>
        </w:rPr>
        <w:t>（2）防水施工要求</w:t>
      </w:r>
      <w:bookmarkEnd w:id="1011"/>
    </w:p>
    <w:p w14:paraId="6D0DC9B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①防水施工前必须对结构做蓄水试验（斜屋面做淋水试验），在保证结构不渗水前提下方可进行下道工序施工；</w:t>
      </w:r>
    </w:p>
    <w:p w14:paraId="496908E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②卷材和涂膜防水施工严格按设计、规范要求和公司要求进行施工。</w:t>
      </w:r>
    </w:p>
    <w:p w14:paraId="79CD522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③防水砂浆：严禁出现空鼓、开裂现象，严格控制外加剂掺量。</w:t>
      </w:r>
    </w:p>
    <w:p w14:paraId="0702757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④防水层坎台收口：女儿墙、构筑物的防水层上翻高度一般为 300mm；收头必须采用隐蔽处理，收头于泛水线下，或“乙”字型镀锌压条收头（具体以设计要求为准）。</w:t>
      </w:r>
    </w:p>
    <w:p w14:paraId="53CB9C0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⑤细石砼保护层：</w:t>
      </w:r>
    </w:p>
    <w:p w14:paraId="0B4173A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a.钢筋网片应采用焊接型网片；φ4＠200*200（置于细石砼中部偏上）。</w:t>
      </w:r>
    </w:p>
    <w:p w14:paraId="031988E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b.砼振捣并碾压密实，收水后分二次压光；</w:t>
      </w:r>
    </w:p>
    <w:p w14:paraId="117A105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c.分格缝应上下贯通，间距小于 6 米，缝宽不小于 30mm，距女儿墙周边 200mm 处断开。待分格缝干燥后嵌填专用嵌缝防水油膏。严禁屋面防水保温保护层施工完成后，切缝完成分格缝施工。</w:t>
      </w:r>
    </w:p>
    <w:p w14:paraId="4F1E3FE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d.保湿养护不小于 14 天。</w:t>
      </w:r>
    </w:p>
    <w:p w14:paraId="5CD9DE2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⑥具体细部尺寸及做法以设计要求为准。</w:t>
      </w:r>
    </w:p>
    <w:p w14:paraId="77995A64">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12" w:name="_Toc7530"/>
      <w:r>
        <w:rPr>
          <w:rFonts w:hint="eastAsia" w:ascii="宋体" w:hAnsi="宋体" w:cs="宋体"/>
          <w:color w:val="auto"/>
          <w:kern w:val="0"/>
          <w:szCs w:val="21"/>
          <w:highlight w:val="none"/>
        </w:rPr>
        <w:t>（3）瓦屋面施工要求</w:t>
      </w:r>
      <w:bookmarkEnd w:id="1012"/>
    </w:p>
    <w:p w14:paraId="0434397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①屋面瓦必须按设计要求座浆铺设、铜丝绑扎固定。</w:t>
      </w:r>
    </w:p>
    <w:p w14:paraId="353A005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②坡顶、坡边，必须瓦峰靠主墙，且周边设置 45°防水砂浆坎台，上部靠主墙应打密封胶处理；</w:t>
      </w:r>
    </w:p>
    <w:p w14:paraId="72E321D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③坡脚泛水处严禁瓦片伸至主墙根部，确保泛水宽度大于 300mm；</w:t>
      </w:r>
    </w:p>
    <w:p w14:paraId="42194DD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④按设计要求安装排气管，严禁出屋面排气孔、避雷针等在瓦沟内设置；</w:t>
      </w:r>
    </w:p>
    <w:p w14:paraId="5401D23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⑤为防止檐口出现直裂缝，铺设瓦片时应预设加强网片（外露尺寸至檐口底部），最后一次性收头完毕。</w:t>
      </w:r>
    </w:p>
    <w:p w14:paraId="0922E7A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（4）屋面细部构造要求</w:t>
      </w:r>
    </w:p>
    <w:p w14:paraId="45E8A89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①天沟、檐沟</w:t>
      </w:r>
    </w:p>
    <w:p w14:paraId="4207D7C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a.天沟两侧墙体严禁用砖砌；控制天沟支模厚度宜采用带止水片钢筋对顶，严禁铁丝对拉。</w:t>
      </w:r>
    </w:p>
    <w:p w14:paraId="2A7F20B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b.天沟的几何尺寸（宽度、深度）必须满足设计要求；坡向、坡度正确，严禁倒坡；</w:t>
      </w:r>
    </w:p>
    <w:p w14:paraId="309FC58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c.基层必须密实平整，阴阳角部位必须做 R 角（或 45 度角）处理；</w:t>
      </w:r>
    </w:p>
    <w:p w14:paraId="318DFAC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d.天沟防水层必须规范施工，瓦屋面上翻至瓦背面100mm以上（屋面防水也要下翻至天沟150mm以下）。天沟防水宜采用JS水泥基防水涂膜1.5mm厚。面抹1：3水泥砂浆保护层20mm厚。</w:t>
      </w:r>
    </w:p>
    <w:p w14:paraId="4D148A3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②水落口处防水处理</w:t>
      </w:r>
    </w:p>
    <w:p w14:paraId="2D6D0E1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a.雨水排水头子或过水孔预埋套管尺寸、规格、位置正确，一次预埋到位；</w:t>
      </w:r>
    </w:p>
    <w:p w14:paraId="54B1ED3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b.雨水口周边做防水附加层。</w:t>
      </w:r>
    </w:p>
    <w:p w14:paraId="693EF2A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③屋面天沟、檐沟、水落管、泛水、变形缝、伸出屋面的管道等必须先安装完成并试水检查后，再按设计要求做屋面防水施工和屋面各构造层施工。</w:t>
      </w:r>
    </w:p>
    <w:p w14:paraId="3EA5487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④墙体变形缝处理</w:t>
      </w:r>
    </w:p>
    <w:p w14:paraId="6AD835C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a.室内变形缝宽度，必须严格按设计要求留设。</w:t>
      </w:r>
    </w:p>
    <w:p w14:paraId="392A8D6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b.底层要保留一面墙后砌 (清理建筑垃圾)，待上部楼层包括屋面部分)全部工序处理完毕后，再完成墙体砌筑。</w:t>
      </w:r>
    </w:p>
    <w:p w14:paraId="6FE9368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⑤屋面变形缝处理</w:t>
      </w:r>
    </w:p>
    <w:p w14:paraId="07C11C0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a.无论是平屋面还是斜屋面，必须同屋面板一起浇筑碎变形缝防水坎台，碎坎台高度按设计要求的相应大样图施工。</w:t>
      </w:r>
    </w:p>
    <w:p w14:paraId="2BDB3CC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b.变形缝封盖处理，按设计要求扣整体盖板和做防水层。屋面其它不同部位变形缝的施工，均按设计要求及相关大3样图施工。</w:t>
      </w:r>
    </w:p>
    <w:p w14:paraId="2C09B64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⑥立面变形缝处理</w:t>
      </w:r>
    </w:p>
    <w:p w14:paraId="3FAF068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a.外墙立面变形缝均采用铝或不锈钢盖板封闭，盖板呈“V”型 (伸缩缝) 或企口型 (沉降缝)，具体按设计构造要求施工。</w:t>
      </w:r>
    </w:p>
    <w:p w14:paraId="68A5E76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b.饰面施工至变形缝两侧时留设100mm固定，盖板基底表面要求平整密实，盖板宽度等于缝宽+2X100mm，沉降缝采用平板的也可单侧固定，另一侧填塞耐候密封胶，严禁盖板固定在饰面层外。</w:t>
      </w:r>
    </w:p>
    <w:p w14:paraId="6F7C57A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c.盖板两侧与饰面层之间必须采用耐候密封胶密封。</w:t>
      </w:r>
    </w:p>
    <w:p w14:paraId="7B1AFD9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d.重点控制垂直阴角处的接口，水平盖板在垂直盖板内侧上翻300mm以上，且采用耐候密封胶粘贴牢固。</w:t>
      </w:r>
    </w:p>
    <w:p w14:paraId="31BE873F">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13" w:name="_Toc13815"/>
      <w:r>
        <w:rPr>
          <w:rFonts w:hint="eastAsia" w:ascii="宋体" w:hAnsi="宋体" w:cs="宋体"/>
          <w:color w:val="auto"/>
          <w:kern w:val="0"/>
          <w:szCs w:val="21"/>
          <w:highlight w:val="none"/>
        </w:rPr>
        <w:t>九、石材工程</w:t>
      </w:r>
      <w:bookmarkEnd w:id="1013"/>
    </w:p>
    <w:p w14:paraId="750D388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（一）常见质量问题及原因分析</w:t>
      </w:r>
    </w:p>
    <w:p w14:paraId="59B734B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1.景观石材泛碱</w:t>
      </w:r>
    </w:p>
    <w:p w14:paraId="4A49666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（1）问题描述</w:t>
      </w:r>
    </w:p>
    <w:p w14:paraId="697D77F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石材泛碱是湿贴石材常见的一种通病形式，小区内水系、景墙及铺装时而会出现泛碱等情况，影响小区硬质观感，而且反碱洗掉后会重复出现，增加维保成本。</w:t>
      </w:r>
    </w:p>
    <w:p w14:paraId="43C066C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（2）原因分析</w:t>
      </w:r>
    </w:p>
    <w:p w14:paraId="0C54C37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天然石材内部存在许多毛细管，具有很强的虹吸能力，故天然石材抗渗透能力较。当石材以湿贴方式施工时，其所用水泥砂浆中的氢氧化钙等碱性物质，被大量的水分溶离出来渗透至石材表面，与空气中的二氧化碳反应，形成碳酸钙，当水分蒸发后，碳酸钙就呈结晶状物质停留在表面形成泛碱现象。</w:t>
      </w:r>
    </w:p>
    <w:p w14:paraId="27DAC0D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根据水泥中碱性物质被溶解时的水分来源，当拌和水泥砂浆时水灰比过高，其来自水泥的拌和水导致的泛碱，称为“一次泛碱”;石材安装完成在使用过程中，当雨水等外来水渗入石材底下与水泥砂浆反应导致的泛碱，称为“二次泛碱”</w:t>
      </w:r>
    </w:p>
    <w:p w14:paraId="0FFBEAC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③常见的泛碱原因有: 挡墙背面未粉刷，雨水从灰缝中流到景墙正面形成泛碱。种植土高于压顶石底线，施工不规范，容易产生泛碱;压顶石材未挤胶施工或石材未打胶导致雨水流入粉刷层。</w:t>
      </w:r>
    </w:p>
    <w:p w14:paraId="7253D86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2.石材断裂</w:t>
      </w:r>
    </w:p>
    <w:p w14:paraId="07BFE34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（1）问题描述</w:t>
      </w:r>
    </w:p>
    <w:p w14:paraId="49179BD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地面铺装的石材，后期容易松动，出现裂缝，影响美观及使用体验，后期更换石材容易产生色差，不易维修。</w:t>
      </w:r>
    </w:p>
    <w:p w14:paraId="61F6055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（2）原因分析</w:t>
      </w:r>
    </w:p>
    <w:p w14:paraId="1E4534A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①石材的自然缺陷，在铺装选材的过程中不严谨，导致采用有缺陷的石材铺贴，在遇到荷载时相较正常石材容易断裂。</w:t>
      </w:r>
    </w:p>
    <w:p w14:paraId="0A2651A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②地面基础的沉降和撕裂是导致石材断裂的原因，由于地基处理不到位或基层处理不平整，造成后期的沉降或石材松动。</w:t>
      </w:r>
    </w:p>
    <w:p w14:paraId="6028B2C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③外部损伤会导致地面石材断裂，包括不适当的施工技术和使用过程中的荷载超过石材承受的极限压力。</w:t>
      </w:r>
    </w:p>
    <w:p w14:paraId="290AF45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（二）施工材料选择</w:t>
      </w:r>
    </w:p>
    <w:p w14:paraId="47EC2C1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1.石材</w:t>
      </w:r>
    </w:p>
    <w:p w14:paraId="76F899A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（1）石材品种、材质、饰面、色泽、密度应符合设计及样板要求。</w:t>
      </w:r>
    </w:p>
    <w:p w14:paraId="485D47A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（2）饰面处理要求均匀到位、规格板 (线条)无明显孔洞和崩边崩角、禁止有裂纹和色差。</w:t>
      </w:r>
    </w:p>
    <w:p w14:paraId="2703FB6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（3）长度宽度误差士lmm，厚度不少于标准或设计最小值，否则退场处理。</w:t>
      </w:r>
    </w:p>
    <w:p w14:paraId="30B483D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（4）按合同或设计要求提供石材放射线、吸水率、强度等试验报告。</w:t>
      </w:r>
    </w:p>
    <w:p w14:paraId="20D23F2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2.粘结砂浆</w:t>
      </w:r>
    </w:p>
    <w:p w14:paraId="1983B97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按材料标准选用益胶泥品牌型号，性能必须符合《GB 24264-2009 饰面石材用胶粘剂》要求，拉伸、浸水拉伸、热老化拉伸、冻融后拉伸强度均达1MPa以上，并能用于防潮层及有防水要求的部位粘贴。</w:t>
      </w:r>
    </w:p>
    <w:p w14:paraId="196C879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3.密封胶</w:t>
      </w:r>
    </w:p>
    <w:p w14:paraId="32A3F61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按材料标准采用品牌型号，要求为石材耐候密封胶，级别为20级以上，颜色按样板。</w:t>
      </w:r>
    </w:p>
    <w:p w14:paraId="0B2F8D8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（三）关键工序重点提示</w:t>
      </w:r>
    </w:p>
    <w:p w14:paraId="01D9A49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1.外墙干挂石材装饰工程</w:t>
      </w:r>
    </w:p>
    <w:p w14:paraId="5FDB4C0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标准工序:放线、找规则→基层处理→安装锚栓→安装错板→安装坚龙骨→安装横龙骨→安装石材和挂件→打密封胶→清洗。</w:t>
      </w:r>
    </w:p>
    <w:p w14:paraId="546ACBF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2.外墙石材保温装饰一体板</w:t>
      </w:r>
    </w:p>
    <w:p w14:paraId="539D362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根据工艺的不同，安装工序有所不同，主要工序有:基层清理和验收→放线定位→安装底层挂件→搅拌砂浆→板背和基面抹浆→一体板安装→安装上层挂件→勾缝打胶→成品保护。</w:t>
      </w:r>
    </w:p>
    <w:p w14:paraId="09062E5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3.外墙石材湿贴工程</w:t>
      </w:r>
    </w:p>
    <w:p w14:paraId="263B12E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标准工序:基层清理和验收→放线定位→临时支撑点→搅拌砂浆→背面预处理 (防碱背涂) 和抹胶浆→基层涂刷界面剂粘结板面→预安装石材→安装固定石材→清洗勾缝打胶。</w:t>
      </w:r>
    </w:p>
    <w:p w14:paraId="06AEF69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4.园建石材铺贴工程</w:t>
      </w:r>
    </w:p>
    <w:p w14:paraId="5760E70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标准工序:土方分层回填夯实→基层处理→弹控制线→预铺、试排→大面积上浆铺贴→勾缝、擦缝→成品保护。</w:t>
      </w:r>
    </w:p>
    <w:p w14:paraId="57888EC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（四）施工控制要点</w:t>
      </w:r>
    </w:p>
    <w:p w14:paraId="26B989B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1.石材工程防水</w:t>
      </w:r>
    </w:p>
    <w:p w14:paraId="29E880E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（1）石材与主体结构间的防水</w:t>
      </w:r>
    </w:p>
    <w:p w14:paraId="08AB74F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①石材与其它结构之间的防水，涉及与主体的女儿墙 (山墙)、阳台、屋檐、门窗、变形缝、线管口等主体各个收边部位的节点防水。施工时，在收边部位宜采用有利于防水要求的构造。</w:t>
      </w:r>
    </w:p>
    <w:p w14:paraId="0C6489A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②在檐口、阳台底、窗顶线等位置，石材应设置滴水线、散水，避免雨水流向石材收边位置;在变形缝内增加防水构造。严格控制收口部位的石材与主体之间的变形。</w:t>
      </w:r>
    </w:p>
    <w:p w14:paraId="7BB0203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③严格控制挂石幕墙骨架的变形。要求主龙骨距离收边受力点不宜超过300mm，并适当增加锚固点;超过300mm时应增加一道龙骨加固;门窗洞周边应有一道加强龙骨。</w:t>
      </w:r>
    </w:p>
    <w:p w14:paraId="6728BF1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④严禁幕墙完成后出现内向渗漏。内向渗漏点往往在外难发现、查找和检修，从而导致结构钢材腐蚀，造成结构安全隐患。</w:t>
      </w:r>
    </w:p>
    <w:p w14:paraId="49C50F1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（2）石材与石材间的防水</w:t>
      </w:r>
    </w:p>
    <w:p w14:paraId="7F9182E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①石材拼缝常规方法有: 拼密缝和留缝打密封胶两种。</w:t>
      </w:r>
    </w:p>
    <w:p w14:paraId="2C3B01D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拼密缝适用于面积较小的工程。拼密缝施工实际缝宽往往也有lmm左右。雨水一般不易从垂直面的板缝流进内部，主要是从平面、斜面、阴角等位置流进。所以拼密缝时仍需要在石材顶部等关键位置打密封胶防水。拼密缝时经常因接缝加工或安装时的误差而影响外观。</w:t>
      </w:r>
    </w:p>
    <w:p w14:paraId="3177193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b.一般修补的方法:用AB干挂胶、云石胶等作填缝材料，可保持外观效果，也可加强防水作用。</w:t>
      </w:r>
    </w:p>
    <w:p w14:paraId="593C981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c.留缝打密封胶在工程中比较常用。不但有防水作用，也有装饰效果，有利于石材安装。石材安装严禁留设朝天缝</w:t>
      </w:r>
    </w:p>
    <w:p w14:paraId="3BE42A9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（3）石材自身的防水</w:t>
      </w:r>
    </w:p>
    <w:p w14:paraId="4D94BC9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①石材属于多孔材料，石材自身材质，对防水特别重要</w:t>
      </w:r>
    </w:p>
    <w:p w14:paraId="2687A24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②石材的选择:石材的抗折、抗压、抗拉强度和密度、色泽花纹等必须满足设计要求。石材自身的防水不仅能保持石材表面的装饰性和使用的耐久性，且在寒冷地区对防止石材渗入雨水后内部冻胀破裂非常重要。</w:t>
      </w:r>
    </w:p>
    <w:p w14:paraId="1ACD236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③密封胶的选择:要求选用的密封胶对石材和其它基体都有良好的粘结性能 (附着力)，并具有良好的延伸性、耐候性和对材料不具有腐蚀性。并适合“石材用的中性、耐候、密封”等要求的材料。施工控制要点如下:</w:t>
      </w:r>
    </w:p>
    <w:p w14:paraId="1EE238C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a.施工要点:洗墙、风于、贴分色纸和塞泡沫条、注胶、撕分色纸和修整胶缝。打胶厚度宜为3.5mm，打胶宽度和粘结面应大于胶的厚度，打完胶后注意成品保护。</w:t>
      </w:r>
    </w:p>
    <w:p w14:paraId="1565EBF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b.密封胶按产品要求储存，保质期内使用，打胶基体密实、干净干燥，避免在雨天施工、避免与粉尘大的工序交叉作业。</w:t>
      </w:r>
    </w:p>
    <w:p w14:paraId="4E11C20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2.干挂石材工程施工控制要点</w:t>
      </w:r>
    </w:p>
    <w:p w14:paraId="6B7009F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（1）基层处理中针对有蜂窝、露筋和孔洞等缺陷部位，应按实际情况另外选择邻近锚固点、对问题基层补强、增加锚固角码等加固方案。</w:t>
      </w:r>
    </w:p>
    <w:p w14:paraId="2F1F5E0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（2）钻孔时应垂直于结构面，成孔后先用风机吹于净孔内灰尘，针对化学锚栓安装应先置入化学药剂再旋转安装，硬化后方可安装锚板针对机械锚栓可直接将锚栓敲进孔洞，安装锚板后直接拧紧螺帽。</w:t>
      </w:r>
    </w:p>
    <w:p w14:paraId="7E087FF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（3）石材安装时，石材与挂件或挂件与横龙骨接触不齐平时应用五金垫片垫平，保证每块石材的重力都由挂件传到钢架上面，禁止直接垫在下一层石材上面安装，结构胶未干时不可承受额外重力。</w:t>
      </w:r>
    </w:p>
    <w:p w14:paraId="5B9288A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（4）窗台</w:t>
      </w:r>
    </w:p>
    <w:p w14:paraId="0C00F16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①安装前基底应增设柔性防水附加层，向上延伸至下框 (有附框的在主附框之间延伸即可) 内侧，向下延伸至窗台100mm以下,具体按设计大样图。</w:t>
      </w:r>
    </w:p>
    <w:p w14:paraId="69F8839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②阳台、露台栏杆可踏面和顶面均向台内找坡，外窗台向外找坡，坡度均不小于5%，严禁倒装或平装，严禁侧坡。</w:t>
      </w:r>
    </w:p>
    <w:p w14:paraId="630B4B5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（5）门眉、窗眉干挂安装时，线脚底必须设滴水功能 (鹰嘴或滴水槽)，并设滴水孔@1000。</w:t>
      </w:r>
    </w:p>
    <w:p w14:paraId="1C68BE5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（6）线条拼装</w:t>
      </w:r>
    </w:p>
    <w:p w14:paraId="3B29E0D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①线条顶面与外墙饰面材料 (面砖或石材) 接触处采用座浆施工或硅胶、云石胶注胶密封，且线条上部必须有大于5%的坡度。</w:t>
      </w:r>
    </w:p>
    <w:p w14:paraId="56A10DA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②上部外墙为涂料饰面的，线条必须紧贴墙体防水层安装饰面砂浆在根部应改用防水砂浆，阴角处理成R角，或采用上部镶嵌批水条处理。</w:t>
      </w:r>
    </w:p>
    <w:p w14:paraId="135C589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③线脚底部必须设滴水功能，如鹰嘴或滴水槽</w:t>
      </w:r>
    </w:p>
    <w:p w14:paraId="5C21D98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（7）女儿墙、栏板顶部，拼装必须采用碰角，即平面压立面，石材密封胶密封，上部两阳角处严禁“海棠口”。</w:t>
      </w:r>
    </w:p>
    <w:p w14:paraId="75250EE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（8）石材湿贴安装前必须对石材做防碱背涂处理，湿贴砂浆内必须掺一定量减水引气剂，以防产生白晰现象。石材与墙体间水泥砂浆灌浆必须饱满密实。</w:t>
      </w:r>
    </w:p>
    <w:p w14:paraId="138C3C5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（9）干挂石材，主体外墙面必须抹防水砂浆和外墙防水后，方可安装挂龙骨。无论采用何种方式固定锚板 (结构预埋件或后置预埋件)预埋件的周边、膨胀螺栓周边，必须用结构胶封闭，由石材安装负责做好防水处理。</w:t>
      </w:r>
    </w:p>
    <w:p w14:paraId="594792D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（10）室外栏杆的安装，必须固定在基层上，严禁开凿石材后安装;栏杆与石材交接的四周均应施打结构耐候密封胶。</w:t>
      </w:r>
    </w:p>
    <w:p w14:paraId="66F379C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（11）阳露台内侧于挂石材到下部时应预留空间，在防水泛水收头完成后才能封闭。12.带圆弧造型线条或圆弧门窗洞口外挂石应先放中线后施工切忌从一头向另一头放样施工。</w:t>
      </w:r>
    </w:p>
    <w:p w14:paraId="5A15264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（12）石材安装前必须对基层做淋水试验，特别是阳台、给排水管管口等，一定要进行隐蔽验收，并办理好工序交接验收手续，防止水管和防水层被破坏而留下隐患。</w:t>
      </w:r>
    </w:p>
    <w:p w14:paraId="06F40E4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（13）石材安装前必须对基层做淋水试验，特别是阳台、给排水管管口等，一定要进行隐蔽验收，并办理好工序交接验收手续，防止水管和防水层被破坏而留下隐患。</w:t>
      </w:r>
    </w:p>
    <w:p w14:paraId="4890B29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3.外墙石材保温装饰一体板</w:t>
      </w:r>
    </w:p>
    <w:p w14:paraId="63FFF38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复核调整，根据“先整体、后局部，高精度控制低精度”原则检查各面墙、门窗洞、梁柱、飘板、阳台和水管等建筑构件的具体规格和位置，核对与图纸上的偏差，然后协调相关单位整改或对石材深化图进行微调，条件允许可弹出每件石材的边线。</w:t>
      </w:r>
    </w:p>
    <w:p w14:paraId="0DDF6F8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（2）钻孔、安装底层和上层锚栓和挂件</w:t>
      </w:r>
    </w:p>
    <w:p w14:paraId="46ACEE5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①T形挂件工艺(上下扣)</w:t>
      </w:r>
    </w:p>
    <w:p w14:paraId="37AF33A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底部挂件，先在挂件相应墙面位置钻孔和安装锚栓固定角码，再在预埋件槽口涂干挂胶，然后调节挂件并使用螺栓固定，之后进行装饰板粘贴工序。</w:t>
      </w:r>
    </w:p>
    <w:p w14:paraId="7918865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顶部挂件，完成装饰板粘贴工序后，在挂件相应墙面位置钻孔和安装锚栓固定角码，再在预埋件槽口涂干挂胶，然后调节挂件并使用螺栓固定。</w:t>
      </w:r>
    </w:p>
    <w:p w14:paraId="056A4FE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②吊挂、L形挂件工艺 (吊挂+挑挂)</w:t>
      </w:r>
    </w:p>
    <w:p w14:paraId="0902ED8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底部挂件，先在挂件相应墙面位置钻孔和安装锚栓固定角码，再在预埋件或板底边槽口涂干挂胶，然后调节挂件并使用螺栓固定，之后进行装饰板粘贴工序。</w:t>
      </w:r>
    </w:p>
    <w:p w14:paraId="250A4FF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顶部挂件，完成装饰板粘贴工序后，在挂件相应墙面位置钻孔和安装锚栓固定角码，再使用螺栓 (双自攻螺丝或单套普通螺丝) 与预埋件固定。</w:t>
      </w:r>
    </w:p>
    <w:p w14:paraId="3E113FA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③卡固式工艺(干字挂件)</w:t>
      </w:r>
    </w:p>
    <w:p w14:paraId="2AE6B1A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底部挂件:先在挂件相应墙面位置钻孔和安装锚栓固定角码，再调节挂件并使用螺栓固定，之后进行装饰板粘贴工序。</w:t>
      </w:r>
    </w:p>
    <w:p w14:paraId="49BB328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顶部挂件:完成装饰板粘贴工序后，在挂件相应墙面位置钻孔和安装锚栓固定角码，再调节挂件卡住石材并使用螺栓固定。</w:t>
      </w:r>
    </w:p>
    <w:p w14:paraId="5C60032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纠偏要求:当顶部或中间卡固件只能卡固一侧板材而无法卡固(或都卡扣不足1.5mm)另一侧板材时，应对另一侧板材增加卡固件。</w:t>
      </w:r>
    </w:p>
    <w:p w14:paraId="37BE6EA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④防水冲刷:在雨天或跟带水工序交叉作业时，施工中或施工刚完成的部位应有防止雨水和施工用水渗入一体板粘结层内的措施。</w:t>
      </w:r>
    </w:p>
    <w:p w14:paraId="64F996E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4.外墙石材湿贴工程</w:t>
      </w:r>
    </w:p>
    <w:p w14:paraId="7F4D7FB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（1）基层清理和验收</w:t>
      </w:r>
    </w:p>
    <w:p w14:paraId="32DAB8D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①符合度:复查现场各种结构与设计图纸的符合程度，并检查是否有其它工序影响到石材安装，有偏差时应咨询当地项目 (甲方)后修改原结构或设计方案。</w:t>
      </w:r>
    </w:p>
    <w:p w14:paraId="575F248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②平整度:检查现场施工范围的基面平整程度，包括水平度和垂直度，保证粘贴砂浆的厚度不会出现局部过厚或过薄，结构爆模偏差应专项修整方案，基层需要找平时，过厚的找平层应分层施工并加钢网加固。</w:t>
      </w:r>
    </w:p>
    <w:p w14:paraId="4C09BA7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密实度:检查基面的原设计强度和实际施工质量，原设计强度偏低时应增加点式扣件锚固加固，现场有开裂、起砂、起皮、空鼓等质量问题时需要专项整改和加固，表面有粉尘和污渍时可用清水冲洗干净，表面抹灰时压了光的可用打磨机打毛，混凝土原面应涂专用界面剂再施工。</w:t>
      </w:r>
    </w:p>
    <w:p w14:paraId="5E28FE3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（2）放线、找规矩</w:t>
      </w:r>
    </w:p>
    <w:p w14:paraId="313EA72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①布控制线:根据项目部和总包方提供基准线，在建筑每面挂石的墙面、柱面上弹出水平线一道或多道 (按高度大小) 和在墙角收边处弹出垂直线一道或多道 (按面积大小、而且尽量通长)。</w:t>
      </w:r>
    </w:p>
    <w:p w14:paraId="1075466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复核调整:根据“先整体、后局部，高精度控制低精度”原则，检查各面墙、门窗洞、梁柱、飘板、阳台和水管等建筑构件的具体规格和位置，核对与图纸上的偏差，然后协调相关单位整改或对石材深化图进行微调，条件允许可弹出每件石材的边线。</w:t>
      </w:r>
    </w:p>
    <w:p w14:paraId="4D291F3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（3）搅拌砂浆</w:t>
      </w:r>
    </w:p>
    <w:p w14:paraId="2C31E91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①取料:选取符合要求的水源和按标准存放的干砂浆。</w:t>
      </w:r>
    </w:p>
    <w:p w14:paraId="41AE092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②配比:按材料说明要求进行加水加干砂浆。</w:t>
      </w:r>
    </w:p>
    <w:p w14:paraId="07B583D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③搅拌:使用电动搅拌器进行两次为时5分钟搅拌，其中搅拌间隔为5-10分钟。</w:t>
      </w:r>
    </w:p>
    <w:p w14:paraId="31FBFF4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（4）背面预处理和抹胶浆</w:t>
      </w:r>
    </w:p>
    <w:p w14:paraId="71FE97A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抹浆:使用搅拌好的胶泥，用齿形刮刀在板背纵横向刮浆各一遍以上，要求均匀到位，最后一遍刮浆方向应与基面最后一遍刮浆方向平行。</w:t>
      </w:r>
    </w:p>
    <w:p w14:paraId="7521620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（5）基层抹胶浆</w:t>
      </w:r>
    </w:p>
    <w:p w14:paraId="17FA92C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①加固:混凝土面、砖基面等非砂浆抹灰面的基层，使用专用界面剂，合格抹灰面不需该工序。</w:t>
      </w:r>
    </w:p>
    <w:p w14:paraId="15771C3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②抹浆:使用搅拌好的胶泥，在板背纵横向刮浆各一遍以上均匀到位，最后一遍刮浆方向应与饰面板背的最后一遍刮浆方向平行。</w:t>
      </w:r>
    </w:p>
    <w:p w14:paraId="339B08A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（6）大板加固(针对规格&gt;900X600X20或&gt;800X600X25，可2点或多点加固)</w:t>
      </w:r>
    </w:p>
    <w:p w14:paraId="1BF4C35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①金属丝吊挂:在板背挂件定位处将侧边至板背钻穿或将板背切三角形斜槽，然后穿绑双股金属丝，使用钢钉调节或固定在墙上。</w:t>
      </w:r>
    </w:p>
    <w:p w14:paraId="680CBE2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②挂件对扣:在板的上下边定位分中切槽，下扣先行安装板材安装时对准下扣，板材安装上墙后再安装上扣。</w:t>
      </w:r>
    </w:p>
    <w:p w14:paraId="48DBFE2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（7）吊底板安装 (参考大板对扣工艺)</w:t>
      </w:r>
    </w:p>
    <w:p w14:paraId="6C62861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①开槽:在板的上下边定位分中切槽。</w:t>
      </w:r>
    </w:p>
    <w:p w14:paraId="2931884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②试装:安装角码挂件并试安装吊底板，调整好角码位置并固定。</w:t>
      </w:r>
    </w:p>
    <w:p w14:paraId="176773E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③抹浆:在基层和板背按标准括浆一遍以上，槽口满涂结构胶。</w:t>
      </w:r>
    </w:p>
    <w:p w14:paraId="525E76A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④安装:按试装位置固定板材并拧紧挂件，然后根据土建情况进行刮浆或塞浆。</w:t>
      </w:r>
    </w:p>
    <w:p w14:paraId="432C2E8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（8）线条加固</w:t>
      </w:r>
    </w:p>
    <w:p w14:paraId="7EFA6D5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①挑挂:非垂直线条或垂直底线和顶线安装时，安装固定角码和挑件并在线条背面相应地方开挂件槽 (槽口斜上)，基层和线条背面抹胶浆 (按上面标准)，并在槽口填胶泥，然后安装并调整线条(按下面标准)，其中，垂直线条的底线和顶线应安装一套挑件 (较重线条应按水平线标准安装)，水平线要求不少于2套/m。</w:t>
      </w:r>
    </w:p>
    <w:p w14:paraId="7A40BF8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②侧扣:包括上下扣、左右扣、转角扣，当采用上下扣时可参考大板对扣工艺安装:当左右扣或转角扣时，先在挂件位开槽然后在基层和线条背面抹胶浆 (按上面标准、有挑挂要求时也要符合挑挂施工标准)并安装线条，最后安装两边侧扣 (注:连续安装线条时，一边已安装侧扣的只需安装一边侧扣)</w:t>
      </w:r>
    </w:p>
    <w:p w14:paraId="2A4A352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（9）饰面板湿贴</w:t>
      </w:r>
    </w:p>
    <w:p w14:paraId="2BF17BC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①试装:将抹好背浆的板材贴上抹浆基面，揉压和轻轻锤击板面，之后检查完成面的平整情况。</w:t>
      </w:r>
    </w:p>
    <w:p w14:paraId="20D2FBB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②补浆:试装完成面比放线完成面小(凹进去) 时，应适当增加部份砂浆。</w:t>
      </w:r>
    </w:p>
    <w:p w14:paraId="4D1EC69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③走浆:试装完成面比放线完成面大(凸出来)时，应适当刮去部份砂浆。</w:t>
      </w:r>
    </w:p>
    <w:p w14:paraId="0CE14BF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④锤实:安装第一件或中间返工时，从中间向四周锤实，之后从已安装的一边锤向未安装的另一边进行锤实。</w:t>
      </w:r>
    </w:p>
    <w:p w14:paraId="284CE2C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⑤刮浆:锤实石材后，应及时刮走挤出来的砂浆，未开始凝固的砂浆可以再次回收利用。</w:t>
      </w:r>
    </w:p>
    <w:p w14:paraId="7F9AF19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（10）清洗打胶</w:t>
      </w:r>
    </w:p>
    <w:p w14:paraId="1DC002C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①清洗:砂浆凝固前用湿布擦干净，不得冲水。</w:t>
      </w:r>
    </w:p>
    <w:p w14:paraId="45CAC08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②打胶:将石材接缝里面的胶泥勾出来，然后塞泡沫条、贴美纹纸后打密封胶。</w:t>
      </w:r>
    </w:p>
    <w:p w14:paraId="1D44857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5.园建石材铺贴工程</w:t>
      </w:r>
    </w:p>
    <w:p w14:paraId="69FBB53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（1）基层处理</w:t>
      </w:r>
    </w:p>
    <w:p w14:paraId="5544AB3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园路、广场路槽开挖平整后必须二次夯实，回填至水稳层混凝土垫层)底面以下统一由总包施工，夯实系数不小于0.94，由项目部组织室外场地移交，签章确认。基础垫层如为碎石，应选用质地坚硬、强度均匀、级配合适和未风化的石料，粒径宜为10-40mm最大粒径不应大于垫层厚度的2/3，软硬不同的石料不能掺用。</w:t>
      </w:r>
    </w:p>
    <w:p w14:paraId="215A01D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②混凝土基层清理</w:t>
      </w:r>
    </w:p>
    <w:p w14:paraId="2A1F6D1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a.基层表面凹凸不平、遗留砂浆等，将容易产生面层下陷而积水。基础表面含有浮灰等，容易造成砂浆强度低，导致面层空鼓。</w:t>
      </w:r>
    </w:p>
    <w:p w14:paraId="6F3F5AE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b.为精确排版，可以在四周墙面上弹出标高控制线或安放标准块，在基层上弹出排版线。</w:t>
      </w:r>
    </w:p>
    <w:p w14:paraId="2F5A08D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（2）铺贴材料</w:t>
      </w:r>
    </w:p>
    <w:p w14:paraId="288C016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水泥与中粗砂比例宜为1:2--1:3，干湿度控制标准是“手捏成团、手松不散、落地开花”。为增加粘接度，在基层上进行套浆(水灰比为0.5的素水泥浆),随刷随铺干硬性砂浆的结合层。</w:t>
      </w:r>
    </w:p>
    <w:p w14:paraId="6B74D32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（3）铺贴工艺</w:t>
      </w:r>
    </w:p>
    <w:p w14:paraId="4676926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①利用靠尺控制平整度，需贯穿在整个铺贴过程中。根据预铺效果，轻敲压实，利用靠尺控制平整度。</w:t>
      </w:r>
    </w:p>
    <w:p w14:paraId="2A87C47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②通过不同规格的十字卡等控制缝宽，靠尺控制平整度</w:t>
      </w:r>
    </w:p>
    <w:p w14:paraId="34F63D3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③大面积铺贴时，可拉十字控制线，纵横各铺一行，作为大面积铺贴表筋用，并根据编号及试排时的缝隙，在十字控制线交点开始铺贴，向两侧或后退方向顺序铺贴。</w:t>
      </w:r>
    </w:p>
    <w:p w14:paraId="2D1A0A1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④铺贴留缝工艺</w:t>
      </w:r>
    </w:p>
    <w:p w14:paraId="735E0C9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a.密缝 (自然缝):当设计要求密缝铺装时，缝宽不允许超过1.5mm，控制在1-1.5mm之间。.</w:t>
      </w:r>
    </w:p>
    <w:p w14:paraId="35C54CA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b.当设计要求干缝铺装时，缝宽需控制在3-4mm，施工过程中使用成品十字卡等缝卡控制缝宽。</w:t>
      </w:r>
    </w:p>
    <w:p w14:paraId="72601D0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c.当设计要求留缝 (离缝) 铺装时，需设计明确留缝宽度，根据铺装材料规格大小、铺贴效果等确定缝宽，一般常规铺装留缝为:2mm、3mm、5mm、6mm、8mm、10mm等。冰裂纹铺装、文化石铺装、碎拼铺装等，会要求10-15mm的缝宽。</w:t>
      </w:r>
    </w:p>
    <w:p w14:paraId="0151E43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d.灌缝前，先清缝、即将缝隙内垃圾清理干净。地面铺装要求采用灌缝的方式进行，确保灌缝饱满均匀、横平竖直，缝隙通透缝深均匀，缝线整齐划一，凹缝两侧平行。</w:t>
      </w:r>
    </w:p>
    <w:p w14:paraId="0C02FF7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e.灌缝:将制作好的黑色成品专用勾缝剂挤入缝隙，勾缝剂溢出为止，待初凝时进行压缝。</w:t>
      </w:r>
    </w:p>
    <w:p w14:paraId="6D5AB92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f.扫缝:一般1-3mm内的缝，可不处理。也可根据效果进行扫缝。即铺装完成后，面层覆盖细沙，用管帚来回扫动，将细沙填至缝内。</w:t>
      </w:r>
    </w:p>
    <w:p w14:paraId="041B577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g.勾缝或灌缝深度:低于铺装面层表面3mm。</w:t>
      </w:r>
    </w:p>
    <w:p w14:paraId="78D2598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h.切缝(洗缝):石材灌缝之前，如缝宽不一，可进行切缝确保石材面层的缝宽均匀、缝顺直。</w:t>
      </w:r>
    </w:p>
    <w:p w14:paraId="54C3CC58">
      <w:pPr>
        <w:adjustRightInd w:val="0"/>
        <w:snapToGrid w:val="0"/>
        <w:spacing w:line="360" w:lineRule="auto"/>
        <w:ind w:firstLine="420" w:firstLineChars="200"/>
        <w:jc w:val="left"/>
        <w:outlineLvl w:val="9"/>
        <w:rPr>
          <w:rFonts w:ascii="宋体" w:hAnsi="宋体" w:cs="宋体"/>
          <w:color w:val="auto"/>
          <w:kern w:val="0"/>
          <w:szCs w:val="21"/>
          <w:highlight w:val="none"/>
        </w:rPr>
      </w:pPr>
      <w:bookmarkStart w:id="1014" w:name="_Toc6070"/>
      <w:r>
        <w:rPr>
          <w:rFonts w:hint="eastAsia" w:ascii="宋体" w:hAnsi="宋体" w:cs="宋体"/>
          <w:color w:val="auto"/>
          <w:kern w:val="0"/>
          <w:szCs w:val="21"/>
          <w:highlight w:val="none"/>
        </w:rPr>
        <w:t>十、建筑防水工程</w:t>
      </w:r>
      <w:bookmarkEnd w:id="1014"/>
    </w:p>
    <w:p w14:paraId="371C82C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（一）常见质量问题及原因分析</w:t>
      </w:r>
    </w:p>
    <w:p w14:paraId="364BE24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1.防水保护层空鼓</w:t>
      </w:r>
    </w:p>
    <w:p w14:paraId="74F2991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（1）问题描述:屋面、卫生间防水保护层空鼓。</w:t>
      </w:r>
    </w:p>
    <w:p w14:paraId="0235919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（2）原因分析</w:t>
      </w:r>
    </w:p>
    <w:p w14:paraId="7C7ABB1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①保护层施工前基层清理不彻底。</w:t>
      </w:r>
    </w:p>
    <w:p w14:paraId="022EF4B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②养护不到位。</w:t>
      </w:r>
    </w:p>
    <w:p w14:paraId="32ABDD1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2.防水层涂刷质量不合格</w:t>
      </w:r>
    </w:p>
    <w:p w14:paraId="2C217A5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（1）问题描述:卫生间防水层厚度不足，不成膜，观感差。</w:t>
      </w:r>
    </w:p>
    <w:p w14:paraId="14DED74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（2）原因分析</w:t>
      </w:r>
    </w:p>
    <w:p w14:paraId="539F6AB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①前置工序缺陷处理不及时，新工序开始前验收不严格，基层处理不到位，带“病”施工。</w:t>
      </w:r>
    </w:p>
    <w:p w14:paraId="5EEB8B9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②未分遍涂刷防水层，没有严格按照图纸要求厚度施工。</w:t>
      </w:r>
    </w:p>
    <w:p w14:paraId="142E7DC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③防水材料不合格。</w:t>
      </w:r>
    </w:p>
    <w:p w14:paraId="1F714A2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④防水材料调配不规范。</w:t>
      </w:r>
    </w:p>
    <w:p w14:paraId="4F518D1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3.止水钢板施工质量不合格</w:t>
      </w:r>
    </w:p>
    <w:p w14:paraId="3513FF6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（1）问题描述:止水钢板未按要求焊接连接;止水钢板未封闭。</w:t>
      </w:r>
    </w:p>
    <w:p w14:paraId="07971E0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（2）原因分析:止水钢板施工工艺交底不严，过程管控缺失，浇筑前隐蔽验收不严格。</w:t>
      </w:r>
    </w:p>
    <w:p w14:paraId="7D853C4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4.未按防水构造施工</w:t>
      </w:r>
    </w:p>
    <w:p w14:paraId="1DBAC65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（1）问题描述:屋面防水层没有按设计要求上翻;防水卷材铺贴前未做找平，管口防水层没有按要求上翻。</w:t>
      </w:r>
    </w:p>
    <w:p w14:paraId="3BB1FCB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（2）原因分析:施工前无效交底，过程管控缺失，无分部工程验收。</w:t>
      </w:r>
    </w:p>
    <w:p w14:paraId="36856F4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5.其他常见问题</w:t>
      </w:r>
    </w:p>
    <w:tbl>
      <w:tblPr>
        <w:tblStyle w:val="56"/>
        <w:tblW w:w="94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4536"/>
        <w:gridCol w:w="4103"/>
      </w:tblGrid>
      <w:tr w14:paraId="1348A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7" w:type="dxa"/>
          </w:tcPr>
          <w:p w14:paraId="696A9BB6">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序号</w:t>
            </w:r>
          </w:p>
        </w:tc>
        <w:tc>
          <w:tcPr>
            <w:tcW w:w="4536" w:type="dxa"/>
          </w:tcPr>
          <w:p w14:paraId="4ADCAF97">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常见问题</w:t>
            </w:r>
          </w:p>
        </w:tc>
        <w:tc>
          <w:tcPr>
            <w:tcW w:w="4103" w:type="dxa"/>
          </w:tcPr>
          <w:p w14:paraId="797D505F">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原因分析</w:t>
            </w:r>
          </w:p>
        </w:tc>
      </w:tr>
      <w:tr w14:paraId="01AE5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7" w:type="dxa"/>
            <w:vAlign w:val="center"/>
          </w:tcPr>
          <w:p w14:paraId="2D18C66E">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1</w:t>
            </w:r>
          </w:p>
        </w:tc>
        <w:tc>
          <w:tcPr>
            <w:tcW w:w="4536" w:type="dxa"/>
          </w:tcPr>
          <w:p w14:paraId="6AC7FC82">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防水砂浆:水泥砂浆中没有加防水剂、抹灰厚度不够。</w:t>
            </w:r>
          </w:p>
        </w:tc>
        <w:tc>
          <w:tcPr>
            <w:tcW w:w="4103" w:type="dxa"/>
            <w:vMerge w:val="restart"/>
          </w:tcPr>
          <w:p w14:paraId="2044BC84">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szCs w:val="21"/>
                <w:highlight w:val="none"/>
              </w:rPr>
              <w:t>（1）</w:t>
            </w:r>
            <w:r>
              <w:rPr>
                <w:rFonts w:hint="eastAsia" w:ascii="宋体" w:hAnsi="宋体" w:cs="宋体"/>
                <w:color w:val="auto"/>
                <w:kern w:val="0"/>
                <w:szCs w:val="21"/>
                <w:highlight w:val="none"/>
              </w:rPr>
              <w:t>材料过程验收缺失。</w:t>
            </w:r>
          </w:p>
          <w:p w14:paraId="47A01C36">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szCs w:val="21"/>
                <w:highlight w:val="none"/>
              </w:rPr>
              <w:t>（2）</w:t>
            </w:r>
            <w:r>
              <w:rPr>
                <w:rFonts w:hint="eastAsia" w:ascii="宋体" w:hAnsi="宋体" w:cs="宋体"/>
                <w:color w:val="auto"/>
                <w:kern w:val="0"/>
                <w:szCs w:val="21"/>
                <w:highlight w:val="none"/>
              </w:rPr>
              <w:t>无效技术交底，结果验收不严格。</w:t>
            </w:r>
          </w:p>
          <w:p w14:paraId="42D87447">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szCs w:val="21"/>
                <w:highlight w:val="none"/>
              </w:rPr>
              <w:t>（3）</w:t>
            </w:r>
            <w:r>
              <w:rPr>
                <w:rFonts w:hint="eastAsia" w:ascii="宋体" w:hAnsi="宋体" w:cs="宋体"/>
                <w:color w:val="auto"/>
                <w:kern w:val="0"/>
                <w:szCs w:val="21"/>
                <w:highlight w:val="none"/>
              </w:rPr>
              <w:t>施工工艺不符合《住宅室内防水工程技术规范》要求。</w:t>
            </w:r>
          </w:p>
        </w:tc>
      </w:tr>
      <w:tr w14:paraId="60647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7" w:type="dxa"/>
            <w:vAlign w:val="center"/>
          </w:tcPr>
          <w:p w14:paraId="4507646C">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2</w:t>
            </w:r>
          </w:p>
        </w:tc>
        <w:tc>
          <w:tcPr>
            <w:tcW w:w="4536" w:type="dxa"/>
          </w:tcPr>
          <w:p w14:paraId="26D2543C">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防水卷材:容易粘接不牢、密封不严实、形成空鼓。</w:t>
            </w:r>
          </w:p>
        </w:tc>
        <w:tc>
          <w:tcPr>
            <w:tcW w:w="4103" w:type="dxa"/>
            <w:vMerge w:val="continue"/>
          </w:tcPr>
          <w:p w14:paraId="26AB8476">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ascii="宋体" w:hAnsi="宋体" w:cs="宋体"/>
                <w:color w:val="auto"/>
                <w:kern w:val="0"/>
                <w:szCs w:val="21"/>
                <w:highlight w:val="none"/>
              </w:rPr>
            </w:pPr>
          </w:p>
        </w:tc>
      </w:tr>
      <w:tr w14:paraId="085B1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7" w:type="dxa"/>
            <w:vAlign w:val="center"/>
          </w:tcPr>
          <w:p w14:paraId="3311B2E3">
            <w:pPr>
              <w:keepNext w:val="0"/>
              <w:keepLines w:val="0"/>
              <w:suppressLineNumbers w:val="0"/>
              <w:adjustRightInd w:val="0"/>
              <w:snapToGrid w:val="0"/>
              <w:spacing w:before="0" w:beforeAutospacing="0" w:after="0" w:afterAutospacing="0" w:line="360" w:lineRule="auto"/>
              <w:ind w:left="0" w:right="0"/>
              <w:jc w:val="center"/>
              <w:outlineLvl w:val="9"/>
              <w:rPr>
                <w:rFonts w:ascii="宋体" w:hAnsi="宋体" w:cs="宋体"/>
                <w:color w:val="auto"/>
                <w:kern w:val="0"/>
                <w:szCs w:val="21"/>
                <w:highlight w:val="none"/>
              </w:rPr>
            </w:pPr>
            <w:r>
              <w:rPr>
                <w:rFonts w:hint="eastAsia" w:ascii="宋体" w:hAnsi="宋体" w:cs="宋体"/>
                <w:color w:val="auto"/>
                <w:kern w:val="0"/>
                <w:szCs w:val="21"/>
                <w:highlight w:val="none"/>
              </w:rPr>
              <w:t>3</w:t>
            </w:r>
          </w:p>
        </w:tc>
        <w:tc>
          <w:tcPr>
            <w:tcW w:w="4536" w:type="dxa"/>
          </w:tcPr>
          <w:p w14:paraId="69A5C951">
            <w:pPr>
              <w:keepNext w:val="0"/>
              <w:keepLines w:val="0"/>
              <w:suppressLineNumbers w:val="0"/>
              <w:adjustRightInd w:val="0"/>
              <w:snapToGrid w:val="0"/>
              <w:spacing w:before="0" w:beforeAutospacing="0" w:after="0" w:afterAutospacing="0" w:line="360" w:lineRule="auto"/>
              <w:ind w:left="0" w:right="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聚合物水泥防水涂料:没做厚度不够、卷边、脱落。</w:t>
            </w:r>
          </w:p>
        </w:tc>
        <w:tc>
          <w:tcPr>
            <w:tcW w:w="4103" w:type="dxa"/>
            <w:vMerge w:val="continue"/>
          </w:tcPr>
          <w:p w14:paraId="0B86447C">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ascii="宋体" w:hAnsi="宋体" w:cs="宋体"/>
                <w:color w:val="auto"/>
                <w:kern w:val="0"/>
                <w:szCs w:val="21"/>
                <w:highlight w:val="none"/>
              </w:rPr>
            </w:pPr>
          </w:p>
        </w:tc>
      </w:tr>
    </w:tbl>
    <w:p w14:paraId="2F2EF75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bCs/>
          <w:color w:val="auto"/>
          <w:szCs w:val="21"/>
          <w:highlight w:val="none"/>
        </w:rPr>
        <w:t>（</w:t>
      </w:r>
      <w:r>
        <w:rPr>
          <w:rFonts w:hint="eastAsia" w:ascii="宋体" w:hAnsi="宋体" w:cs="宋体"/>
          <w:color w:val="auto"/>
          <w:kern w:val="0"/>
          <w:szCs w:val="21"/>
          <w:highlight w:val="none"/>
        </w:rPr>
        <w:t>二）施工材料选择</w:t>
      </w:r>
    </w:p>
    <w:p w14:paraId="0A8FB6F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1.公司各项目目前主要防水材料有:改性沥青耐根穿刺防水卷材、防水砂浆和聚合物水泥防水涂料，具体以施工图为准。</w:t>
      </w:r>
    </w:p>
    <w:p w14:paraId="463456C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2.止水钢板</w:t>
      </w:r>
    </w:p>
    <w:p w14:paraId="172A622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钢板止水带(3mm厚止水钢板、宽度不小于300mm、折边30-50mm,折边朝向迎水面，搭接长度不小于20mm，四面围焊)，或按设计要求采用优质橡胶止水带。</w:t>
      </w:r>
    </w:p>
    <w:p w14:paraId="24BE16D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（三）关键工序重点提示</w:t>
      </w:r>
    </w:p>
    <w:p w14:paraId="53C367C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1.铺防水卷材施工工序</w:t>
      </w:r>
    </w:p>
    <w:p w14:paraId="3CC7737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基层处理→配制水泥粘结浆→细部节点处理、附加层增强施工→涂刮水泥凝胶→铺贴卷材→排气、压实→卷材搭接→撕开隔离膜→自检修补→分项工程验收</w:t>
      </w:r>
    </w:p>
    <w:p w14:paraId="1E02B4D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（1）基层清理</w:t>
      </w:r>
    </w:p>
    <w:p w14:paraId="66B7178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①清除基层表面杂物、油污、砂子、钉子、木屑、凸出表面的石子、砂浆疙瘩等，清扫工作必须落实，并及时修补，使得表面平整，严禁存在明显的凹凸现象(如模板拼缝)，基层平整度至5mm。</w:t>
      </w:r>
    </w:p>
    <w:p w14:paraId="3F27DC8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②阴阳角采用水泥砂浆抹成圆弧角，阴角最小半径50mm，阳角最小20mm。</w:t>
      </w:r>
    </w:p>
    <w:p w14:paraId="45904C6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（2）配制水泥凝结浆</w:t>
      </w:r>
    </w:p>
    <w:p w14:paraId="47FE79B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配合比为水:水泥=1:2(重量比)。拌制:先按比例将水倒入原已备好的拌浆桶，再将水泥徐徐放入水中，浸泡15--20分钟，使水泥充分浸透，当水面不再冒气泡时再把桶面多余的水倒掉 (气温大于30度时加入水泥用量的5%--8%聚合物建筑胶 (保水剂))，用电动搅拌机进行搅拌，搅拌时间为5分钟。</w:t>
      </w:r>
    </w:p>
    <w:p w14:paraId="4F01A3C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（3）刮涂水泥浆</w:t>
      </w:r>
    </w:p>
    <w:p w14:paraId="6DA5FA1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刮涂厚度应视基层平整度而定，水泥凝浆粘结层宜控制在2--3mm,过薄达不到最优粘结效果 ，过厚则水泥凝浆堆积易开裂。基面水泥浆随铺随刮浆，每次刮浆面积稍大于单张铺贴反应粘的面积，反应粘上刮浆厚度1mm左右，必须在基面和反应粘上的水泥浆触干前完成铺贴和排气。</w:t>
      </w:r>
    </w:p>
    <w:p w14:paraId="2FD92E4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（4）细部节点处理</w:t>
      </w:r>
    </w:p>
    <w:p w14:paraId="2D6B181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应按节点构造图要求，在需要增加加强层的阴阳角、管边、施工缝等部位做附加层处理。</w:t>
      </w:r>
    </w:p>
    <w:p w14:paraId="5508406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（5）铺贴卷材</w:t>
      </w:r>
    </w:p>
    <w:p w14:paraId="04F535A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把已剪好的卷材反铺于基面上 (即底部隔离膜朝上)，待剥去卷材全部隔离膜后，再将水泥凝胶刮涂在卷材粘结面和墙面待铺位置然后分别由两人从卷材的两端配合抬起，顺墙面放在待铺位置上 (必须在墙面和卷材上的水泥凝结浆触干前完成铺贴和空鼓处排气)。卷材与相邻卷材之间为平行搭接，待长、短边搭接施工时再揭除上下卷材搭接隔离膜。</w:t>
      </w:r>
    </w:p>
    <w:p w14:paraId="32C7A19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（6）刮压排气</w:t>
      </w:r>
    </w:p>
    <w:p w14:paraId="6BC990E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待卷材铺贴完成后，用软橡胶板从中间向卷材搭接方向另一侧刮压并排出空气，使卷材充分满粘于基面上。搭接铺贴下一幅卷材时，将位于下层的卷材搭接部位的隔离膜揭起，将上层卷材对准搭接控制线平整粘贴在下层卷材上，刮压排出空气，充分满粘。经过上述步骤如还存在气泡，可用直径小于lmm的钉子戳破气泡，将气泡内空气排出，再用较干的水泥浆压实钉子眼。</w:t>
      </w:r>
    </w:p>
    <w:p w14:paraId="4380E7C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（7）卷材搭接、收头封边</w:t>
      </w:r>
    </w:p>
    <w:p w14:paraId="03A3C7E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直接将上下层卷材搭接处的隔离膜撕开，将卷材搭接在一起，长边搭接宽度为80mm，短边搭接宽度为100mm，最后用水泥凝胶将搭接部位抹平密封。</w:t>
      </w:r>
    </w:p>
    <w:p w14:paraId="5CF60BF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（8）晾放晾放24小时至48小时 (具体时间视环境温度而定，一般情况下，温度愈高所需时间愈短，高温天气下，防水层应防止暴晒 (可用遮阳布或其他物品遮盖)，使水泥凝胶达到一定强度后方可进行其它工序施工。</w:t>
      </w:r>
    </w:p>
    <w:p w14:paraId="35E6414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（9）自检修理</w:t>
      </w:r>
    </w:p>
    <w:p w14:paraId="5A5FE4F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检查所有自粘卷材面是否存在撕裂、刺穿、空鼓等现象，对存在质量缺陷的部位及时进行维修，对于气泡 (空鼓)直径小于100mm的卷材，用针刺破排气，再用大针筒往内注凝结浆压实，留下的针眼用较干的凝结浆压实;对于气泡 (空鼓) 直径大于100mm的卷材，切开将空鼓部分剪掉，再补一块新的 (面积超过气泡边缘的100mm宽)反应粘，重新将基底清理干净，并将基底和反应粘上刮浆压实。</w:t>
      </w:r>
    </w:p>
    <w:p w14:paraId="530DF82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2.卫生间防水施工工序</w:t>
      </w:r>
    </w:p>
    <w:p w14:paraId="6084AB0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坎台成型→沉箱基底处理→弹防水上翻高度线→防水层施工→立管安装→防水层蓄水试验→保护层施工</w:t>
      </w:r>
    </w:p>
    <w:p w14:paraId="541CA46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（1）坎台成型</w:t>
      </w:r>
    </w:p>
    <w:p w14:paraId="15A48BD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卫生间沉箱加固体系到位，反坎及倒角一次成型，成型效果美观反坎宽度及高度满足要求</w:t>
      </w:r>
    </w:p>
    <w:p w14:paraId="6037474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（2）沉箱基底处理</w:t>
      </w:r>
    </w:p>
    <w:p w14:paraId="37A8349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模板拆除后，立即对基底进行处理，确保无积尘、杂物等，找平时坡向预埋的排水管位置，做好养护，无空鼓。</w:t>
      </w:r>
    </w:p>
    <w:p w14:paraId="2588ED3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（3）弹防水上翻高度线</w:t>
      </w:r>
    </w:p>
    <w:p w14:paraId="010790C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砌体施工完成后(铝模标段在结构成型后)，在超出坎台100mm(阳台为结构完成面上翻200mm) 位置弹出防水上翻高度线。 (以设计要求为准)</w:t>
      </w:r>
    </w:p>
    <w:p w14:paraId="4F4A0FF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（4）结构蓄水试验</w:t>
      </w:r>
    </w:p>
    <w:p w14:paraId="4B53F14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结构蓄水24小时以上，100%按要求试验、检查、整改完成后才能进入下道工序。</w:t>
      </w:r>
    </w:p>
    <w:p w14:paraId="0918960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（5）防水层施工</w:t>
      </w:r>
    </w:p>
    <w:p w14:paraId="0614268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①1.5mm厚JS聚合物水泥防水涂料涂到防水上翻高度线位置。</w:t>
      </w:r>
    </w:p>
    <w:p w14:paraId="708C805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②防水涂料延伸至门洞口两侧及门槛位置，高度、厚度满足设计要求。</w:t>
      </w:r>
    </w:p>
    <w:p w14:paraId="23CF19F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③在管道和洞口位置设置防水加强层，套管边防水细部加强处理。</w:t>
      </w:r>
    </w:p>
    <w:p w14:paraId="60069B4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（6）立管安装</w:t>
      </w:r>
    </w:p>
    <w:p w14:paraId="586AD87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防水施工完成后进行立管安装，集水器用胶条密封保护。</w:t>
      </w:r>
    </w:p>
    <w:p w14:paraId="412846D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（7）防水层蓄水试验。</w:t>
      </w:r>
    </w:p>
    <w:p w14:paraId="529BD36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（8）保护层施工</w:t>
      </w:r>
    </w:p>
    <w:p w14:paraId="63A3F81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3.门窗填塞工序</w:t>
      </w:r>
    </w:p>
    <w:p w14:paraId="53AD604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洞口检查→基层处理→窗框固定→塞缝填充→打胶密封→淋水试验</w:t>
      </w:r>
    </w:p>
    <w:p w14:paraId="628017A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（1）洞口检查:窗框与预留洞口间间距在10-30mm内。若间距大于30mm，用C20细石加镀锌钢网浇筑。</w:t>
      </w:r>
    </w:p>
    <w:p w14:paraId="6EEDBC8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（2）基层处理:打凿混凝土，确保基层平整，并清理基层碎石块灰尘等垃圾，保持基层清洁。</w:t>
      </w:r>
    </w:p>
    <w:p w14:paraId="0461E05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（3）窗框固定:用热镀锌件固定在混凝土构件或混凝土预制块上严禁固定在加气混凝土砌块上。</w:t>
      </w:r>
    </w:p>
    <w:p w14:paraId="542188B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（4）塞缝填充:采用防水砂浆塞缝，外门窗外侧塞缝面应处理平整 。防水砂浆采用1:2干硬性防水砂浆 (内掺水泥用量5%的防水</w:t>
      </w:r>
    </w:p>
    <w:p w14:paraId="5C14B0A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（5）打胶密封:用中性建筑耐候胶密封。打胶前应清理掉框上打胶位置保护膜，严禁密封胶直接施打在外墙涂料或窗框保护膜上。</w:t>
      </w:r>
    </w:p>
    <w:p w14:paraId="0B96230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（6）淋水实验:设置排水孔、防水密封后做淋水试验，避免渗漏,</w:t>
      </w:r>
    </w:p>
    <w:p w14:paraId="0B66788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4.外墙螺栓孔洞封堵工序</w:t>
      </w:r>
    </w:p>
    <w:p w14:paraId="6F93684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剔除塑料套管→内侧打发泡剂→两侧发泡剂回压距表面25mm→外墙外侧用水冲洗湿润后，用微膨胀防水砂浆封堵(分两次封堵)，外侧补成圆饼状→外侧刷1.5mm厚防水涂料→内侧微膨胀防水砂浆封堵</w:t>
      </w:r>
    </w:p>
    <w:p w14:paraId="463087E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（1）在封堵螺杆洞前应该注意螺杆洞的清理，不能留有木屑等杂物，及油渍。</w:t>
      </w:r>
    </w:p>
    <w:p w14:paraId="145552F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（2）外墙PVC套管方向要正确，大头在外侧，小头在内侧，保证内高外低。</w:t>
      </w:r>
    </w:p>
    <w:p w14:paraId="4589D54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（3）封堵的聚氨酷发泡剂及专用砂浆必须压到墙体并压实。</w:t>
      </w:r>
    </w:p>
    <w:p w14:paraId="6BE7DB6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（4）封堵的专用砂浆必须养护</w:t>
      </w:r>
    </w:p>
    <w:p w14:paraId="461F95C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（5）防水砂浆分两次封堵，避免砂浆开裂起泡等。</w:t>
      </w:r>
    </w:p>
    <w:p w14:paraId="226E1F7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（四）施工控制要点</w:t>
      </w:r>
    </w:p>
    <w:p w14:paraId="4B08361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1.卫生间防水施工控制要点</w:t>
      </w:r>
    </w:p>
    <w:p w14:paraId="1B2D179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（1）蓄水试验100%按要求试验、检查、整改完成后才能进入下道工。</w:t>
      </w:r>
    </w:p>
    <w:p w14:paraId="5E16B18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（2）沉箱内找平层的排水坡度、方向正确。</w:t>
      </w:r>
    </w:p>
    <w:p w14:paraId="5371142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（3）1.5厚JS聚合物水泥防水涂膜上翻高度超出坎台100mm，并延伸至门洞口侧面和门槛位置，在管道、洞口处设置防水加强层。</w:t>
      </w:r>
    </w:p>
    <w:p w14:paraId="569A6D3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（4）卫生间的内墙抹灰防水砂浆必须按设计要求单独配置使用，严禁与其他内墙抹灰砂浆混用。</w:t>
      </w:r>
    </w:p>
    <w:p w14:paraId="25A0052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（5）门槛石必须采用湿铺贴。</w:t>
      </w:r>
    </w:p>
    <w:p w14:paraId="6126683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2.水部分节点样图说明</w:t>
      </w:r>
    </w:p>
    <w:p w14:paraId="6F373AC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关注设计图纸中包含的节点大样图，主要有:</w:t>
      </w:r>
    </w:p>
    <w:p w14:paraId="4F76DB6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（1）管道穿楼板封堵。</w:t>
      </w:r>
    </w:p>
    <w:p w14:paraId="4ABF61A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（2）地漏口堵塞节点。</w:t>
      </w:r>
    </w:p>
    <w:p w14:paraId="35C50D0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（3）穿卫生间烟道防水节点。</w:t>
      </w:r>
    </w:p>
    <w:p w14:paraId="22D2D6E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（4）穿墙管道堵塞节点。</w:t>
      </w:r>
    </w:p>
    <w:p w14:paraId="172E936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（5）穿墙螺杆洞堵塞节点。</w:t>
      </w:r>
    </w:p>
    <w:p w14:paraId="58162EB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（6）预制空调管孔洞大样</w:t>
      </w:r>
    </w:p>
    <w:p w14:paraId="2C2C3DB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（7）屋面落水口侧排地漏节点</w:t>
      </w:r>
    </w:p>
    <w:p w14:paraId="6548175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（8）外墙铝合金窗防渗漏节点。</w:t>
      </w:r>
    </w:p>
    <w:p w14:paraId="72B7753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（9）阳台花池防水做法。</w:t>
      </w:r>
    </w:p>
    <w:p w14:paraId="3A575D9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（10）管道穿越楼板、屋面板预埋套管做法。</w:t>
      </w:r>
    </w:p>
    <w:p w14:paraId="3675DBE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十一、建筑电气工程</w:t>
      </w:r>
    </w:p>
    <w:p w14:paraId="5D6CADD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（一）常见质量问题及解决方案</w:t>
      </w:r>
    </w:p>
    <w:p w14:paraId="5AA6D2E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1.预埋线管多层叠加或间距不足造成楼板开裂</w:t>
      </w:r>
    </w:p>
    <w:p w14:paraId="316ACA3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（1）问题描述:预埋线管多层叠加或间距不足造成楼板开裂。</w:t>
      </w:r>
    </w:p>
    <w:p w14:paraId="5AD235B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（2）解决方案:主体预埋施工时线管敷设严禁3层及以上叠加敷设，线管预埋间距不小于3cm。</w:t>
      </w:r>
    </w:p>
    <w:p w14:paraId="598B5D96">
      <w:pPr>
        <w:adjustRightInd w:val="0"/>
        <w:snapToGrid w:val="0"/>
        <w:spacing w:line="360" w:lineRule="auto"/>
        <w:ind w:firstLine="420" w:firstLineChars="200"/>
        <w:jc w:val="left"/>
        <w:outlineLvl w:val="9"/>
        <w:rPr>
          <w:rFonts w:ascii="宋体" w:hAnsi="宋体" w:cs="宋体"/>
          <w:color w:val="auto"/>
          <w:kern w:val="0"/>
          <w:szCs w:val="21"/>
          <w:highlight w:val="none"/>
        </w:rPr>
      </w:pPr>
    </w:p>
    <w:p w14:paraId="40C693C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2.机电二次配管开槽、补槽不到位造成墙面空鼓</w:t>
      </w:r>
    </w:p>
    <w:p w14:paraId="2A321B4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（1）问题描述:机电二次配管开槽、补槽不到位造成墙面空鼓。</w:t>
      </w:r>
    </w:p>
    <w:p w14:paraId="3D59B14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（2）解决方案:</w:t>
      </w:r>
    </w:p>
    <w:p w14:paraId="6AAE404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①水电二次配管施工前项目部必须对安装班组每位操作人员进行详细的专项技术交底，让每位员工掌握关键施工要领，从思想上引起施工人员高度重视。</w:t>
      </w:r>
    </w:p>
    <w:p w14:paraId="4948387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②严格控制补槽所用的砂石颗粒大小、水泥标号、砂浆配合比例严禁采用砌筑砂浆。</w:t>
      </w:r>
    </w:p>
    <w:p w14:paraId="65D2027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③安装施工员、质检员、班组长定期对现场施工质量进行检查加强施工过程的监督、管理</w:t>
      </w:r>
    </w:p>
    <w:p w14:paraId="01FBF6B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④线管开槽控制线要求:线管间距=15mm、线管与砌体墙间距三15mm，开槽控制线宽度=线管外径+线管间距+线管距墙间距，开槽控制线布置清晰合理。严禁水平开槽，如必须水平开槽的，水平开槽长度不得大于800mm。</w:t>
      </w:r>
    </w:p>
    <w:p w14:paraId="747E2F4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⑤水电开槽必须采用专用开槽机开槽，严禁采用电锤或人工开槽线槽开槽深度=线管外径+不小于15mm保护层。</w:t>
      </w:r>
    </w:p>
    <w:p w14:paraId="19C2535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⑥线槽内的灰尘、浮砂必须清理干净，对于有松动的部位必须清理掉。</w:t>
      </w:r>
    </w:p>
    <w:p w14:paraId="00F95E7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⑦浮灰清理后线盒固定前必须采用楼层临时水引水管对线槽进行浇水浸湿，使墙体充分湿润。</w:t>
      </w:r>
    </w:p>
    <w:p w14:paraId="34A8AB5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⑧在修补线槽前一天应用自来水对线槽进行洒水冲洗，使线槽充分湿润。对于4根以下线槽采用1:2水泥砂浆进行修补，严格控制砂浆比例，严格实施分层修补。对于五根及以上比较密集的线槽，线管间距应控制在15mm以上，采用不低于C20细石混凝土进行修补，通过模板对线槽进行固定，模板比线槽最宽处宽100mm，浇捣细石混凝土振捣密实。</w:t>
      </w:r>
    </w:p>
    <w:p w14:paraId="0CC0EEB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⑨补槽完成后必须对线槽进行洒水养护，避免线槽出现空鼓开裂现象。</w:t>
      </w:r>
    </w:p>
    <w:p w14:paraId="001D8C6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（二）施工控制要点</w:t>
      </w:r>
    </w:p>
    <w:p w14:paraId="3DBE678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1.屋面防水渗漏电气相关控制要点</w:t>
      </w:r>
    </w:p>
    <w:p w14:paraId="57DC932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（1）洋房、别墅顶层屋面楼板一般要求暗敷的电线管采用金属管其它层仍采用塑料管。为减少金属电线管使用量，洋房、别墅顶层屋面楼板只暗敷照明线管和顶层露台的插座电线管，其它线管 (含空调挂机插座回路) 在顶层地面楼板内暗敷，具体以设计图纸为准。</w:t>
      </w:r>
    </w:p>
    <w:p w14:paraId="62B8026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（2）屋面太阳能热水设备的配电和控制线管穿过屋面板应设防水套管，具体做法详设计大样图。</w:t>
      </w:r>
    </w:p>
    <w:p w14:paraId="5AF6356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2.墙体防水渗漏电气相关控制要点</w:t>
      </w:r>
    </w:p>
    <w:p w14:paraId="786E9A6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（1）电箱在建筑外墙暗敷时，箱盖需朝室内开不能朝室外开，以免破坏外墙防水留下渗漏隐患</w:t>
      </w:r>
    </w:p>
    <w:p w14:paraId="02DF904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（2）住宅暗敷配电箱厚度应控制在100m以内，不能超出墙身厚度。若配电箱尺寸较大时则箱背面墙身抹灰应有防开裂措施，具体详见设计大样图。</w:t>
      </w:r>
    </w:p>
    <w:p w14:paraId="4CA45C0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在阳台、露台室外墙壁上设置壁灯和插座，如果壁灯或插座上部无遮雨的屋檐或挡雨板时，该壁灯和插座会被雨水淋湿，水可能经缝隙渗漏到底盒，并沿电线管向低端流。因此，户内引至壁灯或插座的那段暗敷电线管必须走天花板，从高点引入灯盒或插座盒，保证电线管口朝下，避免渗水倒流。</w:t>
      </w:r>
    </w:p>
    <w:p w14:paraId="32E45F0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（4）顶层露台的室外插座电线管要改走屋面板。</w:t>
      </w:r>
    </w:p>
    <w:p w14:paraId="552DDD1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3.地下室底板防水渗漏电气相关控制要点</w:t>
      </w:r>
    </w:p>
    <w:p w14:paraId="7920753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别墅地下室结构防水底板内不宜敷设电线管。由于结构底板较薄电线管暗敷其间有可能降低或破坏防水效果，存在隐患。</w:t>
      </w:r>
    </w:p>
    <w:p w14:paraId="086AB6F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4.电箱及线管埋设防开裂控制要点</w:t>
      </w:r>
    </w:p>
    <w:p w14:paraId="544F7BC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（1）墙身暗敷电箱及进出线管应有防开裂的措施，具体做法详见设计大样图。</w:t>
      </w:r>
    </w:p>
    <w:p w14:paraId="145941B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（2）墙体或现浇楼板内暗敷线管和底盒应有防开裂的措施，具体做法详见设计大样图。</w:t>
      </w:r>
    </w:p>
    <w:p w14:paraId="55F2CF0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（3）上下钢筋平行或交叉时线管敷设的要正确，如下图所示:</w:t>
      </w:r>
    </w:p>
    <w:p w14:paraId="46806E2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①塑料电线导管在现浇楼板上下两层钢筋网内居中敷设，同一处只允许两层管交叉，不允许三层及以上管线的交叉，且管交叉处与上下层钢筋错开。</w:t>
      </w:r>
    </w:p>
    <w:p w14:paraId="16C9DAB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②当电线导管没有上筋时，应采取局部加强措施。</w:t>
      </w:r>
    </w:p>
    <w:p w14:paraId="41AF81E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十二、章建筑给水、排水工程</w:t>
      </w:r>
    </w:p>
    <w:p w14:paraId="7F593F9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（一）常见质量问题及解决方案</w:t>
      </w:r>
    </w:p>
    <w:p w14:paraId="025F1B9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1.管道预埋件一次预埋不到位造成渗漏水</w:t>
      </w:r>
      <w:r>
        <w:rPr>
          <w:rFonts w:ascii="宋体" w:hAnsi="宋体" w:cs="宋体"/>
          <w:color w:val="auto"/>
          <w:kern w:val="0"/>
          <w:szCs w:val="21"/>
          <w:highlight w:val="none"/>
        </w:rPr>
        <mc:AlternateContent>
          <mc:Choice Requires="wps">
            <w:drawing>
              <wp:anchor distT="0" distB="0" distL="114300" distR="114300" simplePos="0" relativeHeight="251949056" behindDoc="0" locked="0" layoutInCell="1" allowOverlap="1">
                <wp:simplePos x="0" y="0"/>
                <wp:positionH relativeFrom="column">
                  <wp:posOffset>3276600</wp:posOffset>
                </wp:positionH>
                <wp:positionV relativeFrom="paragraph">
                  <wp:posOffset>89348945</wp:posOffset>
                </wp:positionV>
                <wp:extent cx="1821180" cy="635"/>
                <wp:effectExtent l="353695" t="12700" r="15875" b="139065"/>
                <wp:wrapNone/>
                <wp:docPr id="175" name="自选图形 2084"/>
                <wp:cNvGraphicFramePr/>
                <a:graphic xmlns:a="http://schemas.openxmlformats.org/drawingml/2006/main">
                  <a:graphicData uri="http://schemas.microsoft.com/office/word/2010/wordprocessingShape">
                    <wps:wsp>
                      <wps:cNvSpPr/>
                      <wps:spPr>
                        <a:xfrm>
                          <a:off x="0" y="0"/>
                          <a:ext cx="1821180" cy="635"/>
                        </a:xfrm>
                        <a:prstGeom prst="borderCallout1">
                          <a:avLst>
                            <a:gd name="adj1" fmla="val 18000000"/>
                            <a:gd name="adj2" fmla="val -4185"/>
                            <a:gd name="adj3" fmla="val 18000000"/>
                            <a:gd name="adj4" fmla="val -19421"/>
                          </a:avLst>
                        </a:prstGeom>
                        <a:noFill/>
                        <a:ln w="25400" cap="flat" cmpd="sng">
                          <a:solidFill>
                            <a:srgbClr val="385D8A"/>
                          </a:solidFill>
                          <a:prstDash val="solid"/>
                          <a:round/>
                          <a:headEnd type="none" w="med" len="med"/>
                          <a:tailEnd type="none" w="med" len="med"/>
                        </a:ln>
                      </wps:spPr>
                      <wps:txbx>
                        <w:txbxContent>
                          <w:p w14:paraId="392B981E"/>
                        </w:txbxContent>
                      </wps:txbx>
                      <wps:bodyPr anchor="ctr" anchorCtr="0" upright="1"/>
                    </wps:wsp>
                  </a:graphicData>
                </a:graphic>
              </wp:anchor>
            </w:drawing>
          </mc:Choice>
          <mc:Fallback>
            <w:pict>
              <v:shape id="自选图形 2084" o:spid="_x0000_s1026" o:spt="47" type="#_x0000_t47" style="position:absolute;left:0pt;margin-left:258pt;margin-top:7035.35pt;height:0.05pt;width:143.4pt;z-index:251949056;v-text-anchor:middle;mso-width-relative:page;mso-height-relative:page;" filled="f" stroked="t" coordsize="21600,21600" o:gfxdata="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AvAg13Z&#10;AAAADwEAAA8AAAAAAAAAAQAgAAAAIgAAAGRycy9kb3ducmV2LnhtbFBLAQIUABQAAAAIAIdO4kBp&#10;2QePWAIAAM4EAAAOAAAAAAAAAAEAIAAAACgBAABkcnMvZTJvRG9jLnhtbFBLBQYAAAAABgAGAFkB&#10;AADyBQAAAAA=&#10;" adj="-4195,3888000,-904,3888000">
                <v:fill on="f" focussize="0,0"/>
                <v:stroke weight="2pt" color="#385D8A" joinstyle="round"/>
                <v:imagedata o:title=""/>
                <o:lock v:ext="edit" aspectratio="f"/>
                <v:textbox>
                  <w:txbxContent>
                    <w:p w14:paraId="392B981E"/>
                  </w:txbxContent>
                </v:textbox>
              </v:shape>
            </w:pict>
          </mc:Fallback>
        </mc:AlternateContent>
      </w:r>
      <w:r>
        <w:rPr>
          <w:rFonts w:ascii="宋体" w:hAnsi="宋体" w:cs="宋体"/>
          <w:color w:val="auto"/>
          <w:kern w:val="0"/>
          <w:szCs w:val="21"/>
          <w:highlight w:val="none"/>
        </w:rPr>
        <mc:AlternateContent>
          <mc:Choice Requires="wps">
            <w:drawing>
              <wp:anchor distT="0" distB="0" distL="114300" distR="114300" simplePos="0" relativeHeight="251950080" behindDoc="0" locked="0" layoutInCell="1" allowOverlap="1">
                <wp:simplePos x="0" y="0"/>
                <wp:positionH relativeFrom="column">
                  <wp:posOffset>3313430</wp:posOffset>
                </wp:positionH>
                <wp:positionV relativeFrom="paragraph">
                  <wp:posOffset>83093560</wp:posOffset>
                </wp:positionV>
                <wp:extent cx="1813560" cy="635"/>
                <wp:effectExtent l="542290" t="12700" r="25400" b="139065"/>
                <wp:wrapNone/>
                <wp:docPr id="176" name="自选图形 2085"/>
                <wp:cNvGraphicFramePr/>
                <a:graphic xmlns:a="http://schemas.openxmlformats.org/drawingml/2006/main">
                  <a:graphicData uri="http://schemas.microsoft.com/office/word/2010/wordprocessingShape">
                    <wps:wsp>
                      <wps:cNvSpPr/>
                      <wps:spPr>
                        <a:xfrm>
                          <a:off x="0" y="0"/>
                          <a:ext cx="1813560" cy="635"/>
                        </a:xfrm>
                        <a:prstGeom prst="borderCallout1">
                          <a:avLst>
                            <a:gd name="adj1" fmla="val 18000000"/>
                            <a:gd name="adj2" fmla="val -4204"/>
                            <a:gd name="adj3" fmla="val 18000000"/>
                            <a:gd name="adj4" fmla="val -29903"/>
                          </a:avLst>
                        </a:prstGeom>
                        <a:noFill/>
                        <a:ln w="25400" cap="flat" cmpd="sng">
                          <a:solidFill>
                            <a:srgbClr val="385D8A"/>
                          </a:solidFill>
                          <a:prstDash val="solid"/>
                          <a:round/>
                          <a:headEnd type="none" w="med" len="med"/>
                          <a:tailEnd type="none" w="med" len="med"/>
                        </a:ln>
                      </wps:spPr>
                      <wps:txbx>
                        <w:txbxContent>
                          <w:p w14:paraId="0CDE42BE"/>
                        </w:txbxContent>
                      </wps:txbx>
                      <wps:bodyPr anchor="ctr" anchorCtr="0" upright="1"/>
                    </wps:wsp>
                  </a:graphicData>
                </a:graphic>
              </wp:anchor>
            </w:drawing>
          </mc:Choice>
          <mc:Fallback>
            <w:pict>
              <v:shape id="自选图形 2085" o:spid="_x0000_s1026" o:spt="47" type="#_x0000_t47" style="position:absolute;left:0pt;margin-left:260.9pt;margin-top:6542.8pt;height:0.05pt;width:142.8pt;z-index:251950080;v-text-anchor:middle;mso-width-relative:page;mso-height-relative:page;" filled="f" stroked="t" coordsize="21600,21600" o:gfxdata="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Bpd&#10;4xjdAAAADwEAAA8AAAAAAAAAAQAgAAAAIgAAAGRycy9kb3ducmV2LnhtbFBLAQIUABQAAAAIAIdO&#10;4kCsH92QVwIAAM4EAAAOAAAAAAAAAAEAIAAAACwBAABkcnMvZTJvRG9jLnhtbFBLBQYAAAAABgAG&#10;AFkBAAD1BQAAAAA=&#10;" adj="-6459,3888000,-908,3888000">
                <v:fill on="f" focussize="0,0"/>
                <v:stroke weight="2pt" color="#385D8A" joinstyle="round"/>
                <v:imagedata o:title=""/>
                <o:lock v:ext="edit" aspectratio="f"/>
                <v:textbox>
                  <w:txbxContent>
                    <w:p w14:paraId="0CDE42BE"/>
                  </w:txbxContent>
                </v:textbox>
              </v:shape>
            </w:pict>
          </mc:Fallback>
        </mc:AlternateContent>
      </w:r>
    </w:p>
    <w:p w14:paraId="27EFFD9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（1）问题描述:管道预埋件及后期吊洞未按照规范要求操作造成管道根部渗漏。</w:t>
      </w:r>
    </w:p>
    <w:p w14:paraId="40BAA6B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（2）解决方案:预埋前地漏、立管等管道提前进行优化定位确保一次预埋到位，控制过程施工质量，确保一次成优，如偏位需重新打洞移位，洞口应比管道大两档，分两次进行吊洞，确保吊洞不会渗漏水。</w:t>
      </w:r>
    </w:p>
    <w:p w14:paraId="30BCD75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2.户内水暖管道交叉作业成品保护不到位导致管道破裂</w:t>
      </w:r>
    </w:p>
    <w:p w14:paraId="69B27F2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（1）问题描述:户内水暖管道交叉作业成品保护不到位导致管道破</w:t>
      </w:r>
    </w:p>
    <w:p w14:paraId="596F63A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（2）解决方案:施工前做好技术交底工作，样板先行，过程加强现场管控，及时浇筑保护层，确保全程带压施工，避免渗漏。</w:t>
      </w:r>
    </w:p>
    <w:p w14:paraId="3BD7D6D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3.户内水暖配件未安装严密、施工采用劣质管件造成渗漏</w:t>
      </w:r>
    </w:p>
    <w:p w14:paraId="370EB50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（1）问题描述:户内水暖配件未安装严密、施工采用劣质管件造成渗漏。</w:t>
      </w:r>
    </w:p>
    <w:p w14:paraId="6A47643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（1）解决方案:施工前做好技术交底工作，样板先行，过程加强现场管控，及时纠正错误，避免大面积渗漏水现象。</w:t>
      </w:r>
    </w:p>
    <w:p w14:paraId="2487BA07">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4.室外给排水管道未按照图集要求进行分层夯实、回填土采用建筑垃圾、回填厚度不足等原因造成管道破裂</w:t>
      </w:r>
    </w:p>
    <w:p w14:paraId="5050DBFB">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（1）问题描述:室外给排水管道未按照图集要求进行分层夯实、回填土采用建筑垃圾、回填厚度不足等原因造成管道破裂。</w:t>
      </w:r>
    </w:p>
    <w:p w14:paraId="78FF277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（2）解决方案:施工前做好技术交底工作，样板先行，过程加强现场管控，及时纠正错误，做好工序验收避免大面积渗漏水现象。</w:t>
      </w:r>
    </w:p>
    <w:p w14:paraId="50E254E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（二）施工控制要点</w:t>
      </w:r>
    </w:p>
    <w:p w14:paraId="5CCD1CC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1.内给排水</w:t>
      </w:r>
    </w:p>
    <w:p w14:paraId="5C25305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（1）给水系统</w:t>
      </w:r>
    </w:p>
    <w:p w14:paraId="5046B43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①给水管材选择</w:t>
      </w:r>
    </w:p>
    <w:p w14:paraId="5C30F54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详见建筑给水排水设计总说明。</w:t>
      </w:r>
    </w:p>
    <w:p w14:paraId="68E87E2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②毛坯房预留的给水管接口，必须凸出抹灰面15mm。</w:t>
      </w:r>
    </w:p>
    <w:p w14:paraId="4B6AEC06">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③住宅预留的公共清洁取水龙头设置于水表井内，数量详见设计图纸。</w:t>
      </w:r>
    </w:p>
    <w:p w14:paraId="55AE45D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（2）排水系统</w:t>
      </w:r>
    </w:p>
    <w:p w14:paraId="63E3498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①管材选择详见建筑给水排水设计总说明。</w:t>
      </w:r>
    </w:p>
    <w:p w14:paraId="5BB6284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②沉箱式卫生间的侧排地漏 (二次排水用)应紧贴结构板敷设 (若采用排水立管穿越沉箱底楼板时设漏水器排除沉箱内积水，则漏水器在楼板现浇时预埋)。地面上的地漏一律采用直排地漏。非降板设计的隔层排水系统，管件要求选用带检查口管件。</w:t>
      </w:r>
    </w:p>
    <w:p w14:paraId="4660EC4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③安装于下层厨、卫顶板下的排水横管，应紧贴板底或梁底敷设。</w:t>
      </w:r>
    </w:p>
    <w:p w14:paraId="43745A3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④卫生间地漏、洗衣机地漏、浴缸排水管、柱盆排水管、洗菜盆排水管:按设计要求配50mm水封的P、S型存水弯，存水弯不得重复设置。</w:t>
      </w:r>
    </w:p>
    <w:p w14:paraId="04E98F0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⑤屋面雨水斗应按照设计要求设置钢制或铸铁雨水斗，不得用塑料地漏、塑料雨水斗代替。</w:t>
      </w:r>
    </w:p>
    <w:p w14:paraId="0B7F22E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⑥首层私家花园、公共水表井应配套排水设施。</w:t>
      </w:r>
    </w:p>
    <w:p w14:paraId="31E3B7C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（3）器具安装</w:t>
      </w:r>
    </w:p>
    <w:p w14:paraId="00AE0EB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①台面盆、柱盆、洗菜盆龙头均采用角阀、软管连接的冷热水龙头。</w:t>
      </w:r>
    </w:p>
    <w:p w14:paraId="660DBF7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②安装高度</w:t>
      </w:r>
    </w:p>
    <w:p w14:paraId="6318F14A">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热水器、厨卫洁具给水管、角阀等的安装高度按照设计要求或者国家标准图的要求安装。</w:t>
      </w:r>
    </w:p>
    <w:p w14:paraId="763CD400">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（4）预留预埋.</w:t>
      </w:r>
    </w:p>
    <w:p w14:paraId="36E89451">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①墙体内给水管槽施工要求</w:t>
      </w:r>
    </w:p>
    <w:p w14:paraId="1E7EBBB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a.位于砖墙内:应在墙体砌筑时预留合适深度的凹槽，</w:t>
      </w:r>
    </w:p>
    <w:p w14:paraId="5E58C47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b.位于加气块墙体内:先于墙体面放线，后采用机械开槽方式开</w:t>
      </w:r>
    </w:p>
    <w:p w14:paraId="74D2885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②楼板洞口预留:采用合适口径的镀锌钢套管 (配拉手)，要求套管两端封闭后，固定于模板上，待础初凝后立即取出。管道井公区水系统钢套管不用取出。</w:t>
      </w:r>
    </w:p>
    <w:p w14:paraId="52994C6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③套管、防水套管的做法、设置位置详见设计图纸。</w:t>
      </w:r>
    </w:p>
    <w:p w14:paraId="04FDC7C2">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（5）其他规定</w:t>
      </w:r>
    </w:p>
    <w:p w14:paraId="2AB1E2C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①上人和非上人屋面、种植屋面侧排地漏施工要求:其底面低结构面5--10mm。</w:t>
      </w:r>
    </w:p>
    <w:p w14:paraId="3EBD0E6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②屋顶管道支架固定: 应按设计要求在单独的墩上预埋角铁支架，后采用镀锌管卡固定，禁止用膨胀螺栓直接固定在屋面结构层或防水层上。</w:t>
      </w:r>
    </w:p>
    <w:p w14:paraId="12BC7B8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③施工临时给排水</w:t>
      </w:r>
    </w:p>
    <w:p w14:paraId="1164B01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a.给水:管径大于或等于50mm的管道采用钢管，小于50mm管道可采用UPVC给水管。</w:t>
      </w:r>
    </w:p>
    <w:p w14:paraId="3A63AEC4">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b.排水:路口洗车专用的沉沙池有效容积需大于2m，过路排水管采用钢筋硷排水管，排水明沟必须采用砖砌，内尺寸 (宽x深) :250mmx200mm，每50米应设一个大于0.5m3的沉沙池，否则禁止排入正式的排水管。</w:t>
      </w:r>
    </w:p>
    <w:p w14:paraId="690210A9">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2.室外给排水</w:t>
      </w:r>
    </w:p>
    <w:p w14:paraId="10364F1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（1）管材、检查井、井盖</w:t>
      </w:r>
    </w:p>
    <w:p w14:paraId="77CD8CA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管材的选择，检查井、井盖的选型详见室外给排水设计总说明。</w:t>
      </w:r>
    </w:p>
    <w:p w14:paraId="1C5CCD3E">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（2）给水系统</w:t>
      </w:r>
    </w:p>
    <w:p w14:paraId="40B7591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①室外园建用水点配洒水复合井埋地处理，按设计采用专门的园林绿化龙头。</w:t>
      </w:r>
    </w:p>
    <w:p w14:paraId="705A925C">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②分期开发的工地，每期的室外给水主管需采用阀门隔断便检修。管道埋设深度、管道基础按照室外给排水总说明进行施工。</w:t>
      </w:r>
    </w:p>
    <w:p w14:paraId="2569753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（3）污水系统</w:t>
      </w:r>
    </w:p>
    <w:p w14:paraId="77A7D7AF">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①检查井按设计要求采用塑料检查井或国标砖砌检查井。</w:t>
      </w:r>
    </w:p>
    <w:p w14:paraId="4101AF98">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②工程施工中，管道基础应按照室外给排水总说明进行施工。</w:t>
      </w:r>
    </w:p>
    <w:p w14:paraId="19D2A423">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③检查井须采用现浇的临时井盖封堵。</w:t>
      </w:r>
    </w:p>
    <w:p w14:paraId="5FB642C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附则</w:t>
      </w:r>
    </w:p>
    <w:p w14:paraId="61EACA25">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1.本管控细则由工程管理部负责解释；</w:t>
      </w:r>
    </w:p>
    <w:p w14:paraId="1BE9D03D">
      <w:pPr>
        <w:adjustRightInd w:val="0"/>
        <w:snapToGrid w:val="0"/>
        <w:spacing w:line="360" w:lineRule="auto"/>
        <w:ind w:firstLine="420" w:firstLineChars="200"/>
        <w:jc w:val="left"/>
        <w:outlineLvl w:val="9"/>
        <w:rPr>
          <w:rFonts w:ascii="宋体" w:hAnsi="宋体" w:cs="宋体"/>
          <w:color w:val="auto"/>
          <w:kern w:val="0"/>
          <w:szCs w:val="21"/>
          <w:highlight w:val="none"/>
        </w:rPr>
      </w:pPr>
      <w:r>
        <w:rPr>
          <w:rFonts w:hint="eastAsia" w:ascii="宋体" w:hAnsi="宋体" w:cs="宋体"/>
          <w:color w:val="auto"/>
          <w:kern w:val="0"/>
          <w:szCs w:val="21"/>
          <w:highlight w:val="none"/>
        </w:rPr>
        <w:t>2.本管控细则适用于经发地产及全资子公司、代管公司；</w:t>
      </w:r>
    </w:p>
    <w:p w14:paraId="6C2FBD5B">
      <w:pPr>
        <w:adjustRightInd w:val="0"/>
        <w:snapToGrid w:val="0"/>
        <w:spacing w:line="360" w:lineRule="auto"/>
        <w:ind w:firstLine="420" w:firstLineChars="200"/>
        <w:jc w:val="left"/>
        <w:outlineLvl w:val="9"/>
        <w:rPr>
          <w:rFonts w:cs="宋体" w:asciiTheme="minorEastAsia" w:hAnsiTheme="minorEastAsia" w:eastAsiaTheme="minorEastAsia"/>
          <w:color w:val="auto"/>
          <w:sz w:val="24"/>
          <w:highlight w:val="none"/>
        </w:rPr>
      </w:pPr>
      <w:r>
        <w:rPr>
          <w:rFonts w:hint="eastAsia" w:ascii="宋体" w:hAnsi="宋体" w:cs="宋体"/>
          <w:color w:val="auto"/>
          <w:kern w:val="0"/>
          <w:szCs w:val="21"/>
          <w:highlight w:val="none"/>
        </w:rPr>
        <w:t>3.本管控细则自正式印发之日起执行，原制度规定与本管控细则不一致的，以本细则为准。</w:t>
      </w:r>
    </w:p>
    <w:p w14:paraId="1E8DADF9">
      <w:pPr>
        <w:adjustRightInd w:val="0"/>
        <w:snapToGrid w:val="0"/>
        <w:spacing w:line="360" w:lineRule="auto"/>
        <w:outlineLvl w:val="9"/>
        <w:rPr>
          <w:rFonts w:cs="宋体" w:asciiTheme="minorEastAsia" w:hAnsiTheme="minorEastAsia" w:eastAsiaTheme="minorEastAsia"/>
          <w:b/>
          <w:color w:val="auto"/>
          <w:sz w:val="36"/>
          <w:szCs w:val="36"/>
          <w:highlight w:val="none"/>
        </w:rPr>
      </w:pPr>
      <w:r>
        <w:rPr>
          <w:rFonts w:hint="eastAsia" w:cs="宋体" w:asciiTheme="minorEastAsia" w:hAnsiTheme="minorEastAsia" w:eastAsiaTheme="minorEastAsia"/>
          <w:b/>
          <w:color w:val="auto"/>
          <w:sz w:val="36"/>
          <w:szCs w:val="36"/>
          <w:highlight w:val="none"/>
        </w:rPr>
        <w:br w:type="page"/>
      </w:r>
      <w:r>
        <w:rPr>
          <w:rFonts w:hint="eastAsia" w:cs="宋体" w:asciiTheme="minorEastAsia" w:hAnsiTheme="minorEastAsia" w:eastAsiaTheme="minorEastAsia"/>
          <w:color w:val="auto"/>
          <w:sz w:val="21"/>
          <w:szCs w:val="21"/>
          <w:highlight w:val="none"/>
        </w:rPr>
        <w:t>附件</w:t>
      </w:r>
      <w:r>
        <w:rPr>
          <w:rFonts w:hint="eastAsia" w:cs="宋体" w:asciiTheme="minorEastAsia" w:hAnsiTheme="minorEastAsia" w:eastAsiaTheme="minorEastAsia"/>
          <w:color w:val="auto"/>
          <w:sz w:val="21"/>
          <w:szCs w:val="21"/>
          <w:highlight w:val="none"/>
          <w:lang w:val="en-US" w:eastAsia="zh-CN"/>
        </w:rPr>
        <w:t>四十一</w:t>
      </w:r>
      <w:r>
        <w:rPr>
          <w:rFonts w:hint="eastAsia" w:cs="宋体" w:asciiTheme="minorEastAsia" w:hAnsiTheme="minorEastAsia" w:eastAsiaTheme="minorEastAsia"/>
          <w:color w:val="auto"/>
          <w:sz w:val="21"/>
          <w:szCs w:val="21"/>
          <w:highlight w:val="none"/>
        </w:rPr>
        <w:t>：</w:t>
      </w:r>
    </w:p>
    <w:p w14:paraId="5C138AD2">
      <w:pPr>
        <w:adjustRightInd w:val="0"/>
        <w:snapToGrid w:val="0"/>
        <w:spacing w:line="360" w:lineRule="auto"/>
        <w:jc w:val="center"/>
        <w:outlineLvl w:val="9"/>
        <w:rPr>
          <w:rFonts w:cs="宋体" w:asciiTheme="minorEastAsia" w:hAnsiTheme="minorEastAsia" w:eastAsiaTheme="minorEastAsia"/>
          <w:b/>
          <w:color w:val="auto"/>
          <w:sz w:val="32"/>
          <w:szCs w:val="32"/>
          <w:highlight w:val="none"/>
        </w:rPr>
      </w:pPr>
      <w:r>
        <w:rPr>
          <w:rFonts w:hint="eastAsia" w:cs="宋体" w:asciiTheme="minorEastAsia" w:hAnsiTheme="minorEastAsia" w:eastAsiaTheme="minorEastAsia"/>
          <w:b/>
          <w:color w:val="auto"/>
          <w:sz w:val="32"/>
          <w:szCs w:val="32"/>
          <w:highlight w:val="none"/>
        </w:rPr>
        <w:t>外墙及门窗淋水试验实施办法</w:t>
      </w:r>
    </w:p>
    <w:p w14:paraId="363EB426">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前言</w:t>
      </w:r>
    </w:p>
    <w:p w14:paraId="7E0D4780">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lang w:eastAsia="zh-TW"/>
        </w:rPr>
      </w:pPr>
      <w:r>
        <w:rPr>
          <w:rFonts w:hint="eastAsia" w:cs="宋体" w:asciiTheme="minorEastAsia" w:hAnsiTheme="minorEastAsia" w:eastAsiaTheme="minorEastAsia"/>
          <w:color w:val="auto"/>
          <w:sz w:val="21"/>
          <w:szCs w:val="21"/>
          <w:highlight w:val="none"/>
        </w:rPr>
        <w:t>房屋交付后,遇到降水量大且持续时间较长长的天气环境，已交付使用的房屋出现的渗漏问题较多，给维修带来很大的困难，同时也给公司造成一定的负面影响。此次通过对比学习万科外墙及门窗淋水试验实施办法，并结合西安地区实际情况，建议我公司施工在建项目的建筑外墙、铝合金（塑钢）门窗、幕墙等，在交付使用前全面做一次外墙及门窗淋水试验，使得问题早暴露早整改，降低交付质量缺陷点，提升交房后业主的满意度。</w:t>
      </w:r>
    </w:p>
    <w:p w14:paraId="1892E43B">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1、目的：</w:t>
      </w:r>
    </w:p>
    <w:p w14:paraId="25E2BCE0">
      <w:pPr>
        <w:adjustRightInd w:val="0"/>
        <w:snapToGrid w:val="0"/>
        <w:spacing w:line="360" w:lineRule="auto"/>
        <w:ind w:firstLine="411" w:firstLineChars="196"/>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color w:val="auto"/>
          <w:sz w:val="21"/>
          <w:szCs w:val="21"/>
          <w:highlight w:val="none"/>
        </w:rPr>
        <w:t>为确保外墙及门窗交付业主后正常使用，杜绝渗漏现象发生，交付前必须对外墙渗漏问题进行全面系统的试验检查，使得问题早暴露早整改，降低交付质量缺陷点，提升交房后业主的满意度。</w:t>
      </w:r>
    </w:p>
    <w:p w14:paraId="27E7E75A">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2、适用范围：</w:t>
      </w:r>
    </w:p>
    <w:p w14:paraId="55AC8D99">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适用于经发地产所有在建项目的建筑外墙、铝合金（塑钢）门窗、幕墙等。</w:t>
      </w:r>
    </w:p>
    <w:p w14:paraId="4C7D5650">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3、外墙淋水试验实施时间：</w:t>
      </w:r>
    </w:p>
    <w:p w14:paraId="3FECFC74">
      <w:pPr>
        <w:adjustRightInd w:val="0"/>
        <w:snapToGrid w:val="0"/>
        <w:spacing w:line="360" w:lineRule="auto"/>
        <w:ind w:firstLine="420" w:firstLineChars="20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外墙淋水试验的开始时间应在外保温工程、外门窗安装收口密封完成，外墙涂料等装饰工程全部完成后开始实施（注意避开冬季，以免外墙结冰），在竣工验收前结束。</w:t>
      </w:r>
    </w:p>
    <w:p w14:paraId="2E53E109">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4、外墙淋水试验各单位职责</w:t>
      </w:r>
    </w:p>
    <w:p w14:paraId="7919109B">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4.1建设单位项目部职责</w:t>
      </w:r>
    </w:p>
    <w:p w14:paraId="17B47CD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4.1.1审核总包淋水试验方案和进度计划，组织监理、总包、门窗施工单位召开协调会，明确标准和要求。</w:t>
      </w:r>
    </w:p>
    <w:p w14:paraId="18F5324B">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4.1.2确定各标段、各楼栋外墙淋水试验的具体时间，督促淋水试验按计划进行。</w:t>
      </w:r>
    </w:p>
    <w:p w14:paraId="69E67D34">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4.1.3协助监理协调处理总包、分包之间的关系，确保淋水试验正常进行。</w:t>
      </w:r>
    </w:p>
    <w:p w14:paraId="0A319248">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4.1.4及时掌握淋水试验的进展和发生渗漏的情况，并进行原因分析和判断，对总分包单位上报的问题分类整改方案予以确认。</w:t>
      </w:r>
    </w:p>
    <w:p w14:paraId="57F64A27">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4.1.5协助监理督促总包和相关单位及时整改，并复查。</w:t>
      </w:r>
    </w:p>
    <w:p w14:paraId="006E182D">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4.2监理单位职责</w:t>
      </w:r>
    </w:p>
    <w:p w14:paraId="368778D6">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4.2.1审核总包淋水方案和进度计划，确定其符合工程进度和标准要求。</w:t>
      </w:r>
    </w:p>
    <w:p w14:paraId="74E83F0E">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4.2.2监督总包按计划进行各楼栋、各立面淋水试验，确保淋水试验按照计划执行。</w:t>
      </w:r>
    </w:p>
    <w:p w14:paraId="51EDA041">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4.2.3协调处理总包、分包之间的关系，确保淋水试验正常进行。</w:t>
      </w:r>
    </w:p>
    <w:p w14:paraId="66BB84CB">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4.2.4各标段监理工程师负责对试验部位逐个检查，记录各楼栋、各立面淋水开始时间，渗漏点位置和发生时间，并拍摄照片，协助总包做好相应标识。</w:t>
      </w:r>
    </w:p>
    <w:p w14:paraId="4050C2DB">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4.2.5及时向甲方项目部提交淋水试验检查记录表。</w:t>
      </w:r>
    </w:p>
    <w:p w14:paraId="3C8DA206">
      <w:pPr>
        <w:adjustRightInd w:val="0"/>
        <w:snapToGrid w:val="0"/>
        <w:spacing w:line="360" w:lineRule="auto"/>
        <w:outlineLvl w:val="9"/>
        <w:rPr>
          <w:rFonts w:cs="宋体" w:asciiTheme="minorEastAsia" w:hAnsiTheme="minorEastAsia" w:eastAsiaTheme="minorEastAsia"/>
          <w:color w:val="auto"/>
          <w:sz w:val="21"/>
          <w:szCs w:val="21"/>
          <w:highlight w:val="none"/>
          <w:lang w:eastAsia="zh-TW"/>
        </w:rPr>
      </w:pPr>
      <w:r>
        <w:rPr>
          <w:rFonts w:hint="eastAsia" w:cs="宋体" w:asciiTheme="minorEastAsia" w:hAnsiTheme="minorEastAsia" w:eastAsiaTheme="minorEastAsia"/>
          <w:color w:val="auto"/>
          <w:sz w:val="21"/>
          <w:szCs w:val="21"/>
          <w:highlight w:val="none"/>
        </w:rPr>
        <w:t>4.2.6分析各渗漏点发生的原因，对总分包单位上报的问题分类整改方案予以审核。督促施工单位制定渗漏部位整改方案，落实整改责任和时间，并督促责任单位按要求整改。</w:t>
      </w:r>
    </w:p>
    <w:p w14:paraId="20E2BBBF">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4.2.7检查责任单位对渗漏点的整改施工，跟进其整改效果，记录整改完成情况，并及时报送建设单位项目部。</w:t>
      </w:r>
    </w:p>
    <w:p w14:paraId="7A75DE0E">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4.2.8监督检查责任单位对完成整改的渗漏点进行淋水复查，确保问题点全部关闭。</w:t>
      </w:r>
    </w:p>
    <w:p w14:paraId="7199DD4D">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4.3总包单位职责</w:t>
      </w:r>
    </w:p>
    <w:p w14:paraId="74C6B067">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4.3.1根据淋水试验要求和项目实际情况，编制淋水试验方案和进度计划并向监理报审，经监理和建设单位项目部批准后严格执行。</w:t>
      </w:r>
    </w:p>
    <w:p w14:paraId="4F5C5439">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4.3.2负责本标段范围内各楼栋、各立面的全面淋水布管工作，保证正常供水，组织实施全面淋水试验。</w:t>
      </w:r>
    </w:p>
    <w:p w14:paraId="64E2E10C">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4.3.3 主动推进各楼栋、各立面淋水试验的进行，按照淋水试验方案，准时开始淋水，淋水时间达到要求后，及时停止淋水。</w:t>
      </w:r>
    </w:p>
    <w:p w14:paraId="28020857">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4.3.4负责对试验部位逐个检查，记录渗漏点位置和发生时间，做好相应标识。</w:t>
      </w:r>
    </w:p>
    <w:p w14:paraId="004889F4">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4.3.5分析各渗漏点发生的原因，制定渗漏点整改方案；及时按照要求进行整改，整改完成后进行淋水复查。</w:t>
      </w:r>
    </w:p>
    <w:p w14:paraId="14E83337">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4.3.6提供水电等支持，配合其它单位完成渗漏整改、淋水复查工作。</w:t>
      </w:r>
    </w:p>
    <w:p w14:paraId="32F92C57">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4.3.7外墙试水施工单位必须保证有2人配合验收工作，其主要工作是配合外墙管连接及水管加水、水管下吊、检查墙体渗漏等。</w:t>
      </w:r>
    </w:p>
    <w:p w14:paraId="3803313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4.3.8保证每两个小时检查1次，记录并标记建筑实体渗水问题点，回馈给项目部和监理公司。</w:t>
      </w:r>
    </w:p>
    <w:p w14:paraId="619818C9">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4.4门窗施工单位职责</w:t>
      </w:r>
    </w:p>
    <w:p w14:paraId="63C24996">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4.4.1跟踪协助总包单位完成淋水布管工作，确保每樘外墙门窗处于布管“水幕”之下。</w:t>
      </w:r>
    </w:p>
    <w:p w14:paraId="7409EC7E">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4.4.2若因建筑立面、门窗顶飘窗板等原因，总包统一布管无法淋到门窗上，门窗施工单位必须自行布管对门窗上口淋水。</w:t>
      </w:r>
    </w:p>
    <w:p w14:paraId="659CD5B0">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4.4.3对发生在门窗周边和门窗范围内的渗漏点进行记录，并组织整改、淋水复查工作。</w:t>
      </w:r>
    </w:p>
    <w:p w14:paraId="5435A3BD">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4.4.4门窗淋水施工单位必须保证1人配合验收工作，其主要工作是配合门窗淋水及协助发现问题点。</w:t>
      </w:r>
    </w:p>
    <w:p w14:paraId="501A6D6E">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5、外墙淋水试验的布管及淋水要求</w:t>
      </w:r>
    </w:p>
    <w:p w14:paraId="46CAC4D0">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5.1布管淋水一般要求</w:t>
      </w:r>
    </w:p>
    <w:p w14:paraId="3DD2A3BC">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5.1.1淋水管采用内径20mmPPR管；用3㎜钻头在管上沿直线钻孔，孔距100㎜，“喷孔”对着墙体或窗体，在被检表面形成连续水幕。</w:t>
      </w:r>
    </w:p>
    <w:p w14:paraId="39605EA7">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5.1.2淋水管挂墙的总长度（包括主管所接的多根淋水管）应根据水压而定，确保每根淋水管的小孔都有充足的水量流出。</w:t>
      </w:r>
    </w:p>
    <w:p w14:paraId="2AFE3A2B">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5.1.3淋水管取水点为每户预留的自来水给水点，为保证淋水水量均匀，每户的取水点均应连接在淋水管网上。</w:t>
      </w:r>
    </w:p>
    <w:p w14:paraId="20DCFBE0">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5.1.4对于高层和小高层住宅，一般从上向下按每3-5层为一淋水段挂设喷淋管。为保证喷淋水源的压力和水流量，不宜挂设多道。</w:t>
      </w:r>
    </w:p>
    <w:p w14:paraId="6098ED9A">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5.1.5挂墙管可用钢丝绳通过屋面进行整体固定，并通过麻线与窗扇或阳台栏杆进行连接固定加强。在固定淋水设备时严禁在墙上打孔、钉钉等破坏墙体的固定方式。</w:t>
      </w:r>
    </w:p>
    <w:p w14:paraId="1BEE889F">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5.2淋水试验要求</w:t>
      </w:r>
    </w:p>
    <w:p w14:paraId="328A6018">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5.2.1淋水试验开始前应关闭外墙面上的所有窗户，一般自上而下进行。</w:t>
      </w:r>
    </w:p>
    <w:p w14:paraId="100B73C3">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5.2.2各路供水管分别设置阀门，控制供水量及水压；淋水压力不够时，淋水单位应采取有效的加压措施，保证淋水管出水压力为0.2Mpa（出水口压力需采用压力表实测）。</w:t>
      </w:r>
    </w:p>
    <w:p w14:paraId="53AC6395">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5.2.3淋水管从被淋水层上一层户内外窗引出，确保外墙体的每个角落均可以覆盖，并做有效固定保证淋水管不变形，在PPR管挠度过大不能满足有效淋水的情况下必须采用固定或悬垂用具处理</w:t>
      </w:r>
    </w:p>
    <w:p w14:paraId="0358FB83">
      <w:pPr>
        <w:adjustRightInd w:val="0"/>
        <w:snapToGrid w:val="0"/>
        <w:spacing w:line="360" w:lineRule="auto"/>
        <w:outlineLvl w:val="9"/>
        <w:rPr>
          <w:rFonts w:cs="宋体" w:asciiTheme="minorEastAsia" w:hAnsiTheme="minorEastAsia" w:eastAsiaTheme="minorEastAsia"/>
          <w:color w:val="auto"/>
          <w:sz w:val="21"/>
          <w:szCs w:val="21"/>
          <w:highlight w:val="none"/>
          <w:lang w:eastAsia="zh-TW"/>
        </w:rPr>
      </w:pPr>
      <w:r>
        <w:rPr>
          <w:rFonts w:hint="eastAsia" w:cs="宋体" w:asciiTheme="minorEastAsia" w:hAnsiTheme="minorEastAsia" w:eastAsiaTheme="minorEastAsia"/>
          <w:color w:val="auto"/>
          <w:sz w:val="21"/>
          <w:szCs w:val="21"/>
          <w:highlight w:val="none"/>
        </w:rPr>
        <w:t>5.2.4淋水量应控制在3L/(m2·min)以上，每次持续淋水时间为12小时或淋水至发生严重渗漏为止。开始淋水后的第2小时、第4小时、第8小时、第12小时进行检查，检查所淋水范围内的全部外墙墙体及外墙窗缝隙。</w:t>
      </w:r>
    </w:p>
    <w:p w14:paraId="54BFB57B">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5.2.5淋水时根据压力表指示调整控制阀大小，最远程淋水点水压力一般不宜小于1.5kg，且确保压力不过大（不影响喷淋）。</w:t>
      </w:r>
    </w:p>
    <w:p w14:paraId="3BA3AEB6">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5.2.6每一部分淋水试验结束24h后，由建设单位、施工单位、监理单位、外窗安装单位技术人员共同对外墙及外窗进行观察检查，发现有渗漏水、渗湿、印水现象的部位作醒目标记，查明渗漏原因，并将检查情况作详细书面记录，留下照片备查。</w:t>
      </w:r>
    </w:p>
    <w:p w14:paraId="6EFA411B">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5.2.7对淋水试验检查出的渗水部位，各方必须共同分析原因，进行整改处理后，重新对渗漏的部位进行淋水试验，直至不再出现渗漏点为止。</w:t>
      </w:r>
    </w:p>
    <w:p w14:paraId="0C495412">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5.3门窗淋水专项：</w:t>
      </w:r>
    </w:p>
    <w:p w14:paraId="449225DF">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5.3.1对于层数3层及以下的住宅产品门窗淋水验收可采用喷水装置人工检验，使压力大于0.2Mpa的雾状仿雨水沿窗框缝以1m/分钟的速度冲淋，水头角度不大于90度，淋水5分钟后无水渗漏到室内为合格。</w:t>
      </w:r>
    </w:p>
    <w:p w14:paraId="1F92093A">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5.3.2喷水顺序为：首先，在沿洞口最下部的水平接缝进行喷水；其次，垂直接缝处；最后，洞口最上部的水平接缝处。</w:t>
      </w:r>
    </w:p>
    <w:p w14:paraId="5BFE0195">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5.3.3需进行喷水试验的位置包括：（a）窗框与洞口之间；（b）窗框与窗扇之间；</w:t>
      </w:r>
    </w:p>
    <w:p w14:paraId="4C233CB8">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（c）横梃、竖梃位置；（d）玻璃与型材之间。</w:t>
      </w:r>
    </w:p>
    <w:p w14:paraId="208D9449">
      <w:pPr>
        <w:adjustRightInd w:val="0"/>
        <w:snapToGrid w:val="0"/>
        <w:spacing w:line="360" w:lineRule="auto"/>
        <w:outlineLvl w:val="9"/>
        <w:rPr>
          <w:rFonts w:hint="eastAsia"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sz w:val="24"/>
          <w:highlight w:val="none"/>
        </w:rPr>
        <w:t>5.3.4喷水试验设备设备如下图所示：</w:t>
      </w:r>
    </w:p>
    <w:p w14:paraId="28D8E0E0">
      <w:pPr>
        <w:adjustRightInd w:val="0"/>
        <w:snapToGrid w:val="0"/>
        <w:spacing w:line="360" w:lineRule="auto"/>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sz w:val="24"/>
          <w:highlight w:val="none"/>
        </w:rPr>
        <w:drawing>
          <wp:inline distT="0" distB="0" distL="114300" distR="114300">
            <wp:extent cx="2866390" cy="2206625"/>
            <wp:effectExtent l="0" t="0" r="10160" b="3175"/>
            <wp:docPr id="1105" name="图片 852" descr="http://www.qyjzjc.cn/UploadFiles/2012791141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图片 852" descr="http://www.qyjzjc.cn/UploadFiles/20127911410944.jpg"/>
                    <pic:cNvPicPr>
                      <a:picLocks noChangeAspect="1" noChangeArrowheads="1"/>
                    </pic:cNvPicPr>
                  </pic:nvPicPr>
                  <pic:blipFill>
                    <a:blip r:embed="rId56" r:link="rId57"/>
                    <a:srcRect/>
                    <a:stretch>
                      <a:fillRect/>
                    </a:stretch>
                  </pic:blipFill>
                  <pic:spPr>
                    <a:xfrm>
                      <a:off x="0" y="0"/>
                      <a:ext cx="2866390" cy="2206625"/>
                    </a:xfrm>
                    <a:prstGeom prst="rect">
                      <a:avLst/>
                    </a:prstGeom>
                    <a:noFill/>
                    <a:ln w="9525">
                      <a:noFill/>
                      <a:miter lim="800000"/>
                      <a:headEnd/>
                      <a:tailEnd/>
                    </a:ln>
                  </pic:spPr>
                </pic:pic>
              </a:graphicData>
            </a:graphic>
          </wp:inline>
        </w:drawing>
      </w:r>
    </w:p>
    <w:p w14:paraId="01CAF102">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主要包括两部分：</w:t>
      </w:r>
    </w:p>
    <w:p w14:paraId="6918534F">
      <w:pPr>
        <w:numPr>
          <w:ilvl w:val="0"/>
          <w:numId w:val="16"/>
        </w:numPr>
        <w:adjustRightInd w:val="0"/>
        <w:snapToGrid w:val="0"/>
        <w:spacing w:line="360" w:lineRule="auto"/>
        <w:ind w:left="0" w:firstLine="0"/>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直径19mm的花园浇水软管；</w:t>
      </w:r>
    </w:p>
    <w:p w14:paraId="04379DE3">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（b）铜质喷嘴、控制阀以及安装在喷嘴和控制阀之间的压力表。</w:t>
      </w:r>
    </w:p>
    <w:p w14:paraId="74F9DCD0">
      <w:pPr>
        <w:adjustRightInd w:val="0"/>
        <w:snapToGrid w:val="0"/>
        <w:spacing w:line="360" w:lineRule="auto"/>
        <w:outlineLvl w:val="9"/>
        <w:rPr>
          <w:rFonts w:cs="宋体" w:asciiTheme="minorEastAsia" w:hAnsiTheme="minorEastAsia" w:eastAsiaTheme="minorEastAsia"/>
          <w:b/>
          <w:color w:val="auto"/>
          <w:sz w:val="21"/>
          <w:szCs w:val="21"/>
          <w:highlight w:val="none"/>
        </w:rPr>
      </w:pPr>
      <w:r>
        <w:rPr>
          <w:rFonts w:hint="eastAsia" w:cs="宋体" w:asciiTheme="minorEastAsia" w:hAnsiTheme="minorEastAsia" w:eastAsiaTheme="minorEastAsia"/>
          <w:b/>
          <w:color w:val="auto"/>
          <w:sz w:val="21"/>
          <w:szCs w:val="21"/>
          <w:highlight w:val="none"/>
        </w:rPr>
        <w:t>6、安全及注意事项：</w:t>
      </w:r>
    </w:p>
    <w:p w14:paraId="7EC6807C">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6.1外墙、窗淋水作业人员在确保自身安全的情况下进行工作，监理工程师如发现施单位人员的操作方法有安全隐患时，应立即给予制止，确保安全施工；</w:t>
      </w:r>
    </w:p>
    <w:p w14:paraId="4A4D75E0">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6.2外墙淋水，应着重把握检查时间及检查墙体有无渗水现象；</w:t>
      </w:r>
    </w:p>
    <w:p w14:paraId="5D2DB3CA">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6.3发现渗水问题，要求施工单位及时整改至复检合格；</w:t>
      </w:r>
    </w:p>
    <w:p w14:paraId="7E37E24C">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6.4淋水检验完成后应及时关闭给水点，并逐个确认。</w:t>
      </w:r>
    </w:p>
    <w:p w14:paraId="232D1AEA">
      <w:pPr>
        <w:outlineLvl w:val="9"/>
        <w:rPr>
          <w:rFonts w:cs="宋体" w:asciiTheme="minorEastAsia" w:hAnsiTheme="minorEastAsia" w:eastAsiaTheme="minorEastAsia"/>
          <w:color w:val="auto"/>
          <w:sz w:val="24"/>
          <w:highlight w:val="none"/>
        </w:rPr>
      </w:pPr>
      <w:r>
        <w:rPr>
          <w:rFonts w:hint="eastAsia" w:cs="宋体" w:asciiTheme="minorEastAsia" w:hAnsiTheme="minorEastAsia" w:eastAsiaTheme="minorEastAsia"/>
          <w:color w:val="auto"/>
          <w:sz w:val="24"/>
          <w:highlight w:val="none"/>
        </w:rPr>
        <w:br w:type="page"/>
      </w:r>
    </w:p>
    <w:p w14:paraId="3AEA370D">
      <w:pPr>
        <w:adjustRightInd w:val="0"/>
        <w:snapToGrid w:val="0"/>
        <w:spacing w:line="360" w:lineRule="auto"/>
        <w:outlineLvl w:val="9"/>
        <w:rPr>
          <w:rFonts w:cs="宋体" w:asciiTheme="minorEastAsia" w:hAnsiTheme="minorEastAsia" w:eastAsiaTheme="minorEastAsia"/>
          <w:color w:val="auto"/>
          <w:sz w:val="21"/>
          <w:szCs w:val="21"/>
          <w:highlight w:val="none"/>
        </w:rPr>
      </w:pPr>
      <w:r>
        <w:rPr>
          <w:rFonts w:hint="eastAsia" w:cs="宋体" w:asciiTheme="minorEastAsia" w:hAnsiTheme="minorEastAsia" w:eastAsiaTheme="minorEastAsia"/>
          <w:color w:val="auto"/>
          <w:sz w:val="21"/>
          <w:szCs w:val="21"/>
          <w:highlight w:val="none"/>
        </w:rPr>
        <w:t>附件1：淋水试验检查表</w:t>
      </w:r>
    </w:p>
    <w:p w14:paraId="110683C6">
      <w:pPr>
        <w:adjustRightInd w:val="0"/>
        <w:snapToGrid w:val="0"/>
        <w:spacing w:line="360" w:lineRule="auto"/>
        <w:outlineLvl w:val="9"/>
        <w:rPr>
          <w:rFonts w:cs="宋体" w:asciiTheme="minorEastAsia" w:hAnsiTheme="minorEastAsia" w:eastAsiaTheme="minorEastAsia"/>
          <w:color w:val="auto"/>
          <w:szCs w:val="21"/>
          <w:highlight w:val="none"/>
        </w:rPr>
      </w:pPr>
      <w:r>
        <w:rPr>
          <w:rFonts w:cs="宋体" w:asciiTheme="minorEastAsia" w:hAnsiTheme="minorEastAsia" w:eastAsiaTheme="minorEastAsia"/>
          <w:b/>
          <w:color w:val="auto"/>
          <w:sz w:val="32"/>
          <w:szCs w:val="32"/>
          <w:highlight w:val="none"/>
        </w:rPr>
        <w:drawing>
          <wp:inline distT="0" distB="0" distL="0" distR="0">
            <wp:extent cx="5943600" cy="5834380"/>
            <wp:effectExtent l="0" t="0" r="0" b="7620"/>
            <wp:docPr id="18" name="图片 4" descr="E:\backup\Documents\WeChat Files\wxid_5i7r6nrpdo5t21\FileStorage\Temp\1709548618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descr="E:\backup\Documents\WeChat Files\wxid_5i7r6nrpdo5t21\FileStorage\Temp\1709548618814.png"/>
                    <pic:cNvPicPr>
                      <a:picLocks noChangeAspect="1" noChangeArrowheads="1"/>
                    </pic:cNvPicPr>
                  </pic:nvPicPr>
                  <pic:blipFill>
                    <a:blip r:embed="rId58"/>
                    <a:srcRect/>
                    <a:stretch>
                      <a:fillRect/>
                    </a:stretch>
                  </pic:blipFill>
                  <pic:spPr>
                    <a:xfrm>
                      <a:off x="0" y="0"/>
                      <a:ext cx="5943600" cy="5834766"/>
                    </a:xfrm>
                    <a:prstGeom prst="rect">
                      <a:avLst/>
                    </a:prstGeom>
                    <a:noFill/>
                    <a:ln w="9525">
                      <a:noFill/>
                      <a:miter lim="800000"/>
                      <a:headEnd/>
                      <a:tailEnd/>
                    </a:ln>
                  </pic:spPr>
                </pic:pic>
              </a:graphicData>
            </a:graphic>
          </wp:inline>
        </w:drawing>
      </w:r>
      <w:r>
        <w:rPr>
          <w:rFonts w:hint="eastAsia" w:cs="宋体" w:asciiTheme="minorEastAsia" w:hAnsiTheme="minorEastAsia" w:eastAsiaTheme="minorEastAsia"/>
          <w:b/>
          <w:color w:val="auto"/>
          <w:sz w:val="32"/>
          <w:szCs w:val="32"/>
          <w:highlight w:val="none"/>
        </w:rPr>
        <w:br w:type="page"/>
      </w:r>
    </w:p>
    <w:p w14:paraId="1FF154B8">
      <w:pPr>
        <w:spacing w:line="360" w:lineRule="auto"/>
        <w:outlineLvl w:val="9"/>
        <w:rPr>
          <w:rFonts w:hint="eastAsia" w:cs="宋体" w:asciiTheme="minorEastAsia" w:hAnsiTheme="minorEastAsia" w:eastAsiaTheme="minorEastAsia"/>
          <w:color w:val="auto"/>
          <w:szCs w:val="21"/>
          <w:highlight w:val="none"/>
          <w:lang w:eastAsia="zh-CN"/>
        </w:rPr>
      </w:pPr>
      <w:r>
        <w:rPr>
          <w:rFonts w:hint="eastAsia" w:cs="宋体" w:asciiTheme="minorEastAsia" w:hAnsiTheme="minorEastAsia" w:eastAsiaTheme="minorEastAsia"/>
          <w:color w:val="auto"/>
          <w:szCs w:val="21"/>
          <w:highlight w:val="none"/>
        </w:rPr>
        <w:t>附件四十</w:t>
      </w:r>
      <w:r>
        <w:rPr>
          <w:rFonts w:hint="eastAsia" w:cs="宋体" w:asciiTheme="minorEastAsia" w:hAnsiTheme="minorEastAsia" w:eastAsiaTheme="minorEastAsia"/>
          <w:color w:val="auto"/>
          <w:szCs w:val="21"/>
          <w:highlight w:val="none"/>
          <w:lang w:val="en-US" w:eastAsia="zh-CN"/>
        </w:rPr>
        <w:t>二</w:t>
      </w:r>
    </w:p>
    <w:p w14:paraId="581F95F7">
      <w:pPr>
        <w:widowControl/>
        <w:adjustRightInd w:val="0"/>
        <w:snapToGrid w:val="0"/>
        <w:spacing w:line="360" w:lineRule="auto"/>
        <w:jc w:val="center"/>
        <w:outlineLvl w:val="9"/>
        <w:rPr>
          <w:rFonts w:cs="宋体" w:asciiTheme="minorEastAsia" w:hAnsiTheme="minorEastAsia" w:eastAsiaTheme="minorEastAsia"/>
          <w:b/>
          <w:bCs/>
          <w:color w:val="auto"/>
          <w:kern w:val="0"/>
          <w:sz w:val="32"/>
          <w:szCs w:val="32"/>
          <w:highlight w:val="none"/>
        </w:rPr>
      </w:pPr>
      <w:r>
        <w:rPr>
          <w:rFonts w:hint="eastAsia" w:cs="宋体" w:asciiTheme="minorEastAsia" w:hAnsiTheme="minorEastAsia" w:eastAsiaTheme="minorEastAsia"/>
          <w:b/>
          <w:bCs/>
          <w:color w:val="auto"/>
          <w:kern w:val="0"/>
          <w:sz w:val="32"/>
          <w:szCs w:val="32"/>
          <w:highlight w:val="none"/>
        </w:rPr>
        <w:t>关于新能源车辆使用要求</w:t>
      </w:r>
    </w:p>
    <w:p w14:paraId="1841996D">
      <w:pPr>
        <w:adjustRightInd w:val="0"/>
        <w:snapToGrid w:val="0"/>
        <w:spacing w:line="360" w:lineRule="auto"/>
        <w:outlineLvl w:val="9"/>
        <w:rPr>
          <w:rFonts w:cs="宋体" w:asciiTheme="minorEastAsia" w:hAnsiTheme="minorEastAsia" w:eastAsiaTheme="minorEastAsia"/>
          <w:b/>
          <w:bCs/>
          <w:color w:val="auto"/>
          <w:sz w:val="21"/>
          <w:szCs w:val="21"/>
          <w:highlight w:val="none"/>
        </w:rPr>
      </w:pPr>
      <w:r>
        <w:rPr>
          <w:rFonts w:hint="eastAsia" w:cs="宋体" w:asciiTheme="minorEastAsia" w:hAnsiTheme="minorEastAsia" w:eastAsiaTheme="minorEastAsia"/>
          <w:b/>
          <w:bCs/>
          <w:color w:val="auto"/>
          <w:sz w:val="24"/>
          <w:highlight w:val="none"/>
        </w:rPr>
        <w:t xml:space="preserve"> </w:t>
      </w:r>
      <w:r>
        <w:rPr>
          <w:rFonts w:hint="eastAsia" w:cs="宋体" w:asciiTheme="minorEastAsia" w:hAnsiTheme="minorEastAsia" w:eastAsiaTheme="minorEastAsia"/>
          <w:b/>
          <w:bCs/>
          <w:color w:val="auto"/>
          <w:sz w:val="21"/>
          <w:szCs w:val="21"/>
          <w:highlight w:val="none"/>
        </w:rPr>
        <w:t xml:space="preserve">   根据《西安市商混运输车辆清洁替代专项实施方案》和《经开区大气污染治理专项行动方案（2023-2027 年）》文件要求，承包人应优先使用新能源、清洁能源或国六排放标准的工程车辆、商混运输车辆以及符合“双三标准”的非道路移动机械。</w:t>
      </w:r>
    </w:p>
    <w:p w14:paraId="5D3EBEAB">
      <w:pPr>
        <w:outlineLvl w:val="9"/>
        <w:rPr>
          <w:rFonts w:cs="宋体"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br w:type="page"/>
      </w:r>
    </w:p>
    <w:p w14:paraId="240463ED">
      <w:pPr>
        <w:adjustRightInd w:val="0"/>
        <w:snapToGrid w:val="0"/>
        <w:spacing w:line="360" w:lineRule="auto"/>
        <w:outlineLvl w:val="9"/>
        <w:rPr>
          <w:rFonts w:cs="宋体" w:asciiTheme="minorEastAsia" w:hAnsiTheme="minorEastAsia" w:eastAsiaTheme="minorEastAsia"/>
          <w:b/>
          <w:bCs/>
          <w:color w:val="auto"/>
          <w:sz w:val="24"/>
          <w:highlight w:val="none"/>
        </w:rPr>
      </w:pPr>
      <w:r>
        <w:rPr>
          <w:rFonts w:hint="eastAsia" w:cs="宋体" w:asciiTheme="minorEastAsia" w:hAnsiTheme="minorEastAsia" w:eastAsiaTheme="minorEastAsia"/>
          <w:color w:val="auto"/>
          <w:sz w:val="21"/>
          <w:szCs w:val="21"/>
          <w:highlight w:val="none"/>
        </w:rPr>
        <w:t>附件四十</w:t>
      </w:r>
      <w:r>
        <w:rPr>
          <w:rFonts w:hint="eastAsia" w:cs="宋体" w:asciiTheme="minorEastAsia" w:hAnsiTheme="minorEastAsia" w:eastAsiaTheme="minorEastAsia"/>
          <w:color w:val="auto"/>
          <w:sz w:val="21"/>
          <w:szCs w:val="21"/>
          <w:highlight w:val="none"/>
          <w:lang w:val="en-US" w:eastAsia="zh-CN"/>
        </w:rPr>
        <w:t>三</w:t>
      </w:r>
      <w:r>
        <w:rPr>
          <w:rFonts w:hint="eastAsia" w:cs="宋体" w:asciiTheme="minorEastAsia" w:hAnsiTheme="minorEastAsia" w:eastAsiaTheme="minorEastAsia"/>
          <w:bCs/>
          <w:color w:val="auto"/>
          <w:sz w:val="21"/>
          <w:szCs w:val="21"/>
          <w:highlight w:val="none"/>
        </w:rPr>
        <w:t xml:space="preserve"> ：</w:t>
      </w:r>
    </w:p>
    <w:p w14:paraId="11E79F18">
      <w:pPr>
        <w:spacing w:line="560" w:lineRule="exact"/>
        <w:ind w:firstLine="360" w:firstLineChars="100"/>
        <w:jc w:val="center"/>
        <w:outlineLvl w:val="9"/>
        <w:rPr>
          <w:rFonts w:hint="eastAsia" w:ascii="方正小标宋简体" w:hAnsi="方正小标宋简体" w:eastAsia="方正小标宋简体" w:cs="方正小标宋简体"/>
          <w:color w:val="auto"/>
          <w:sz w:val="44"/>
          <w:szCs w:val="44"/>
          <w:highlight w:val="none"/>
        </w:rPr>
      </w:pPr>
      <w:bookmarkStart w:id="1015" w:name="_Hlk164757292"/>
      <w:r>
        <w:rPr>
          <w:rFonts w:hint="eastAsia" w:ascii="方正小标宋简体" w:hAnsi="方正小标宋简体" w:eastAsia="方正小标宋简体" w:cs="方正小标宋简体"/>
          <w:color w:val="auto"/>
          <w:sz w:val="36"/>
          <w:szCs w:val="36"/>
          <w:highlight w:val="none"/>
        </w:rPr>
        <w:t>第三方评估体系管理办法</w:t>
      </w:r>
    </w:p>
    <w:bookmarkEnd w:id="1015"/>
    <w:p w14:paraId="41093AE1">
      <w:pPr>
        <w:spacing w:line="560" w:lineRule="exact"/>
        <w:jc w:val="center"/>
        <w:outlineLvl w:val="9"/>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（2024年4月修订）</w:t>
      </w:r>
    </w:p>
    <w:p w14:paraId="79C679F5">
      <w:pPr>
        <w:numPr>
          <w:ilvl w:val="0"/>
          <w:numId w:val="17"/>
        </w:num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目的</w:t>
      </w:r>
    </w:p>
    <w:p w14:paraId="5C831B29">
      <w:pPr>
        <w:spacing w:line="560" w:lineRule="exact"/>
        <w:ind w:firstLine="420" w:firstLineChars="200"/>
        <w:outlineLvl w:val="9"/>
        <w:rPr>
          <w:rFonts w:hint="eastAsia" w:ascii="宋体" w:hAnsi="宋体" w:eastAsia="宋体" w:cs="宋体"/>
          <w:color w:val="auto"/>
          <w:sz w:val="21"/>
          <w:szCs w:val="21"/>
          <w:highlight w:val="none"/>
        </w:rPr>
      </w:pPr>
      <w:bookmarkStart w:id="1016" w:name="_Hlk164757311"/>
      <w:r>
        <w:rPr>
          <w:rFonts w:hint="eastAsia" w:ascii="宋体" w:hAnsi="宋体" w:eastAsia="宋体" w:cs="宋体"/>
          <w:color w:val="auto"/>
          <w:sz w:val="21"/>
          <w:szCs w:val="21"/>
          <w:highlight w:val="none"/>
        </w:rPr>
        <w:t>为提升项目工程质量，保持经发地产品牌和白桦林系产品在行业的市场竞争力。强化项目工程质量过程考核，提前规避质量风险，改进施工方法，切实提高房屋质量及交付工作，减少客户投诉率、降低返修率。</w:t>
      </w:r>
    </w:p>
    <w:bookmarkEnd w:id="1016"/>
    <w:p w14:paraId="0AE66F4E">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二、适用范围</w:t>
      </w:r>
    </w:p>
    <w:p w14:paraId="5B27F792">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适用于经发地产经营性项目。</w:t>
      </w:r>
    </w:p>
    <w:p w14:paraId="4272B9B8">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三、职责</w:t>
      </w:r>
    </w:p>
    <w:p w14:paraId="1CAF32D4">
      <w:pPr>
        <w:numPr>
          <w:ilvl w:val="0"/>
          <w:numId w:val="18"/>
        </w:num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工程管理部</w:t>
      </w:r>
    </w:p>
    <w:p w14:paraId="71BA571F">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1.负责第三方评估单位的考察、谈判、合同签订、履约评价工作。</w:t>
      </w:r>
    </w:p>
    <w:p w14:paraId="7C86CE83">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2.以提升房屋质量满意度、规避重大质量安全风险为导向，负责定期不断深化、迭代第三方检查体系。</w:t>
      </w:r>
    </w:p>
    <w:p w14:paraId="7E9BF8DE">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3.负责公司第三方检查的工作组织、开展和运行。</w:t>
      </w:r>
    </w:p>
    <w:p w14:paraId="5336BE02">
      <w:pPr>
        <w:pStyle w:val="14"/>
        <w:spacing w:line="560" w:lineRule="exact"/>
        <w:ind w:firstLine="64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4.定期组织第三方评估体系培训，做好体系赋能工作。</w:t>
      </w:r>
    </w:p>
    <w:p w14:paraId="58BFB1B7">
      <w:pPr>
        <w:pStyle w:val="14"/>
        <w:spacing w:line="560" w:lineRule="exact"/>
        <w:ind w:firstLine="64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5.对第三方单位评估效果进行意见收集，并做好反馈，保证评估效果。</w:t>
      </w:r>
    </w:p>
    <w:p w14:paraId="47C5A750">
      <w:pPr>
        <w:numPr>
          <w:ilvl w:val="0"/>
          <w:numId w:val="18"/>
        </w:num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项目部</w:t>
      </w:r>
    </w:p>
    <w:p w14:paraId="12EB1B37">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1.配合公司做好第三方单位的检查工作。</w:t>
      </w:r>
    </w:p>
    <w:p w14:paraId="64068A6C">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2.对于第三方单位检查提出的问题限期整改，并制定质量安全管理措施，提升公司交付质量。</w:t>
      </w:r>
    </w:p>
    <w:p w14:paraId="5E0E0595">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四、第三方评估检查管理要求</w:t>
      </w:r>
    </w:p>
    <w:p w14:paraId="5FDED168">
      <w:pPr>
        <w:spacing w:before="76" w:beforeLines="20" w:after="190" w:afterLines="50"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（一）第三方评估检查内容及频次</w:t>
      </w:r>
    </w:p>
    <w:p w14:paraId="6E09E58C">
      <w:pPr>
        <w:pStyle w:val="22"/>
        <w:outlineLvl w:val="9"/>
        <w:rPr>
          <w:rFonts w:hint="eastAsia"/>
          <w:color w:val="auto"/>
          <w:highlight w:val="none"/>
        </w:rPr>
      </w:pPr>
    </w:p>
    <w:tbl>
      <w:tblPr>
        <w:tblStyle w:val="5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8"/>
        <w:gridCol w:w="1465"/>
        <w:gridCol w:w="935"/>
        <w:gridCol w:w="3928"/>
        <w:gridCol w:w="2105"/>
      </w:tblGrid>
      <w:tr w14:paraId="402C9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dxa"/>
            <w:vAlign w:val="center"/>
          </w:tcPr>
          <w:p w14:paraId="13F89824">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1465" w:type="dxa"/>
            <w:vAlign w:val="center"/>
          </w:tcPr>
          <w:p w14:paraId="632DFE57">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分类</w:t>
            </w:r>
          </w:p>
        </w:tc>
        <w:tc>
          <w:tcPr>
            <w:tcW w:w="935" w:type="dxa"/>
            <w:vAlign w:val="center"/>
          </w:tcPr>
          <w:p w14:paraId="1C8EF40A">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检查</w:t>
            </w:r>
          </w:p>
          <w:p w14:paraId="55941B37">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单元</w:t>
            </w:r>
          </w:p>
        </w:tc>
        <w:tc>
          <w:tcPr>
            <w:tcW w:w="3928" w:type="dxa"/>
            <w:vAlign w:val="center"/>
          </w:tcPr>
          <w:p w14:paraId="7F5EAA20">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主要检查内容</w:t>
            </w:r>
          </w:p>
        </w:tc>
        <w:tc>
          <w:tcPr>
            <w:tcW w:w="2105" w:type="dxa"/>
            <w:vAlign w:val="center"/>
          </w:tcPr>
          <w:p w14:paraId="56715BD1">
            <w:pPr>
              <w:keepNext w:val="0"/>
              <w:keepLines w:val="0"/>
              <w:suppressLineNumbers w:val="0"/>
              <w:spacing w:before="0" w:beforeAutospacing="0" w:after="0" w:afterAutospacing="0" w:line="360" w:lineRule="exact"/>
              <w:ind w:left="0" w:right="0" w:firstLine="632" w:firstLineChars="300"/>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频次</w:t>
            </w:r>
          </w:p>
        </w:tc>
      </w:tr>
      <w:tr w14:paraId="01344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dxa"/>
            <w:vAlign w:val="center"/>
          </w:tcPr>
          <w:p w14:paraId="426AC41F">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1465" w:type="dxa"/>
            <w:vAlign w:val="center"/>
          </w:tcPr>
          <w:p w14:paraId="78F07FC8">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质量安全过程评估</w:t>
            </w:r>
          </w:p>
        </w:tc>
        <w:tc>
          <w:tcPr>
            <w:tcW w:w="935" w:type="dxa"/>
            <w:vAlign w:val="center"/>
          </w:tcPr>
          <w:p w14:paraId="75597E2E">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标段</w:t>
            </w:r>
          </w:p>
        </w:tc>
        <w:tc>
          <w:tcPr>
            <w:tcW w:w="3928" w:type="dxa"/>
            <w:vAlign w:val="center"/>
          </w:tcPr>
          <w:p w14:paraId="1C60397A">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实测实量、质量风险、防渗漏、</w:t>
            </w:r>
          </w:p>
          <w:p w14:paraId="4E7B9453">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安全文明、现场材料</w:t>
            </w:r>
          </w:p>
        </w:tc>
        <w:tc>
          <w:tcPr>
            <w:tcW w:w="2105" w:type="dxa"/>
            <w:vAlign w:val="center"/>
          </w:tcPr>
          <w:p w14:paraId="0B99F29D">
            <w:pPr>
              <w:keepNext w:val="0"/>
              <w:keepLines w:val="0"/>
              <w:suppressLineNumbers w:val="0"/>
              <w:spacing w:before="0" w:beforeAutospacing="0" w:after="0" w:afterAutospacing="0" w:line="360" w:lineRule="exact"/>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每年3轮：</w:t>
            </w:r>
          </w:p>
          <w:p w14:paraId="53BB4BFA">
            <w:pPr>
              <w:keepNext w:val="0"/>
              <w:keepLines w:val="0"/>
              <w:suppressLineNumbers w:val="0"/>
              <w:spacing w:before="0" w:beforeAutospacing="0" w:after="0" w:afterAutospacing="0" w:line="360" w:lineRule="exact"/>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3至5月第一轮</w:t>
            </w:r>
          </w:p>
          <w:p w14:paraId="45232926">
            <w:pPr>
              <w:keepNext w:val="0"/>
              <w:keepLines w:val="0"/>
              <w:suppressLineNumbers w:val="0"/>
              <w:spacing w:before="0" w:beforeAutospacing="0" w:after="0" w:afterAutospacing="0" w:line="360" w:lineRule="exact"/>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6至8月第二轮</w:t>
            </w:r>
          </w:p>
          <w:p w14:paraId="62AEFC7A">
            <w:pPr>
              <w:keepNext w:val="0"/>
              <w:keepLines w:val="0"/>
              <w:suppressLineNumbers w:val="0"/>
              <w:spacing w:before="0" w:beforeAutospacing="0" w:after="0" w:afterAutospacing="0" w:line="360" w:lineRule="exact"/>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9至11月第三轮</w:t>
            </w:r>
          </w:p>
        </w:tc>
      </w:tr>
      <w:tr w14:paraId="40BB2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dxa"/>
            <w:vAlign w:val="center"/>
          </w:tcPr>
          <w:p w14:paraId="677B5C0F">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p>
        </w:tc>
        <w:tc>
          <w:tcPr>
            <w:tcW w:w="1465" w:type="dxa"/>
            <w:vAlign w:val="center"/>
          </w:tcPr>
          <w:p w14:paraId="67F6127B">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安全</w:t>
            </w:r>
          </w:p>
          <w:p w14:paraId="6A44CC12">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专项评估</w:t>
            </w:r>
          </w:p>
        </w:tc>
        <w:tc>
          <w:tcPr>
            <w:tcW w:w="935" w:type="dxa"/>
            <w:vAlign w:val="center"/>
          </w:tcPr>
          <w:p w14:paraId="4C42189F">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标段</w:t>
            </w:r>
          </w:p>
        </w:tc>
        <w:tc>
          <w:tcPr>
            <w:tcW w:w="3928" w:type="dxa"/>
            <w:vAlign w:val="center"/>
          </w:tcPr>
          <w:p w14:paraId="35FBDF79">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危大工程、大型设备、管理行为</w:t>
            </w:r>
          </w:p>
        </w:tc>
        <w:tc>
          <w:tcPr>
            <w:tcW w:w="2105" w:type="dxa"/>
            <w:vAlign w:val="center"/>
          </w:tcPr>
          <w:p w14:paraId="1532A651">
            <w:pPr>
              <w:keepNext w:val="0"/>
              <w:keepLines w:val="0"/>
              <w:suppressLineNumbers w:val="0"/>
              <w:spacing w:before="0" w:beforeAutospacing="0" w:after="0" w:afterAutospacing="0" w:line="360" w:lineRule="exact"/>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每年不低于一次</w:t>
            </w:r>
          </w:p>
        </w:tc>
      </w:tr>
      <w:tr w14:paraId="6EB36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8" w:type="dxa"/>
            <w:vAlign w:val="center"/>
          </w:tcPr>
          <w:p w14:paraId="5059C37B">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p>
        </w:tc>
        <w:tc>
          <w:tcPr>
            <w:tcW w:w="1465" w:type="dxa"/>
            <w:vAlign w:val="center"/>
          </w:tcPr>
          <w:p w14:paraId="6ADC73EE">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交付评估</w:t>
            </w:r>
          </w:p>
        </w:tc>
        <w:tc>
          <w:tcPr>
            <w:tcW w:w="935" w:type="dxa"/>
            <w:vAlign w:val="center"/>
          </w:tcPr>
          <w:p w14:paraId="41B3B854">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标段</w:t>
            </w:r>
          </w:p>
        </w:tc>
        <w:tc>
          <w:tcPr>
            <w:tcW w:w="3928" w:type="dxa"/>
          </w:tcPr>
          <w:p w14:paraId="60E06D2B">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户内观感、外立面观感、</w:t>
            </w:r>
          </w:p>
          <w:p w14:paraId="21D23AD4">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园林观感、公共部位观感、专项指标扣分</w:t>
            </w:r>
          </w:p>
        </w:tc>
        <w:tc>
          <w:tcPr>
            <w:tcW w:w="2105" w:type="dxa"/>
            <w:vAlign w:val="center"/>
          </w:tcPr>
          <w:p w14:paraId="70474003">
            <w:pPr>
              <w:keepNext w:val="0"/>
              <w:keepLines w:val="0"/>
              <w:suppressLineNumbers w:val="0"/>
              <w:spacing w:before="0" w:beforeAutospacing="0" w:after="0" w:afterAutospacing="0" w:line="360" w:lineRule="exact"/>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交付前组织一次</w:t>
            </w:r>
          </w:p>
        </w:tc>
      </w:tr>
    </w:tbl>
    <w:p w14:paraId="7B582B21">
      <w:pPr>
        <w:spacing w:before="190" w:beforeLines="50" w:after="190" w:afterLines="50" w:line="560" w:lineRule="exac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（二）第三方评估检查的开始时间及完成时间</w:t>
      </w:r>
    </w:p>
    <w:tbl>
      <w:tblPr>
        <w:tblStyle w:val="5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1680"/>
        <w:gridCol w:w="876"/>
        <w:gridCol w:w="2064"/>
        <w:gridCol w:w="1980"/>
        <w:gridCol w:w="1708"/>
      </w:tblGrid>
      <w:tr w14:paraId="0CB66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dxa"/>
            <w:vAlign w:val="center"/>
          </w:tcPr>
          <w:p w14:paraId="5C43A061">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1680" w:type="dxa"/>
            <w:vAlign w:val="center"/>
          </w:tcPr>
          <w:p w14:paraId="6B1816E3">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分类</w:t>
            </w:r>
          </w:p>
        </w:tc>
        <w:tc>
          <w:tcPr>
            <w:tcW w:w="876" w:type="dxa"/>
            <w:vAlign w:val="center"/>
          </w:tcPr>
          <w:p w14:paraId="4F98D78C">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业态</w:t>
            </w:r>
          </w:p>
        </w:tc>
        <w:tc>
          <w:tcPr>
            <w:tcW w:w="2064" w:type="dxa"/>
            <w:vAlign w:val="center"/>
          </w:tcPr>
          <w:p w14:paraId="7A2FA0C0">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开始时间</w:t>
            </w:r>
          </w:p>
        </w:tc>
        <w:tc>
          <w:tcPr>
            <w:tcW w:w="1980" w:type="dxa"/>
            <w:vAlign w:val="center"/>
          </w:tcPr>
          <w:p w14:paraId="01B354F8">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完成时间</w:t>
            </w:r>
          </w:p>
        </w:tc>
        <w:tc>
          <w:tcPr>
            <w:tcW w:w="1708" w:type="dxa"/>
            <w:vAlign w:val="center"/>
          </w:tcPr>
          <w:p w14:paraId="3FAE29E1">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评估体系</w:t>
            </w:r>
          </w:p>
        </w:tc>
      </w:tr>
      <w:tr w14:paraId="20F0D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dxa"/>
            <w:vAlign w:val="center"/>
          </w:tcPr>
          <w:p w14:paraId="1A9075B5">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1680" w:type="dxa"/>
            <w:vAlign w:val="center"/>
          </w:tcPr>
          <w:p w14:paraId="7570187C">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质量安全</w:t>
            </w:r>
          </w:p>
          <w:p w14:paraId="148032E8">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过程评估</w:t>
            </w:r>
          </w:p>
        </w:tc>
        <w:tc>
          <w:tcPr>
            <w:tcW w:w="876" w:type="dxa"/>
            <w:vAlign w:val="center"/>
          </w:tcPr>
          <w:p w14:paraId="1360B28E">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住宅</w:t>
            </w:r>
          </w:p>
        </w:tc>
        <w:tc>
          <w:tcPr>
            <w:tcW w:w="2064" w:type="dxa"/>
            <w:vAlign w:val="center"/>
          </w:tcPr>
          <w:p w14:paraId="0C75A937">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主体结构拆模三层以上</w:t>
            </w:r>
          </w:p>
        </w:tc>
        <w:tc>
          <w:tcPr>
            <w:tcW w:w="1980" w:type="dxa"/>
            <w:vAlign w:val="center"/>
          </w:tcPr>
          <w:p w14:paraId="4146A550">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项目竣工验收</w:t>
            </w:r>
          </w:p>
        </w:tc>
        <w:tc>
          <w:tcPr>
            <w:tcW w:w="1708" w:type="dxa"/>
            <w:vAlign w:val="center"/>
          </w:tcPr>
          <w:p w14:paraId="40D64C80">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住宅评估体系</w:t>
            </w:r>
          </w:p>
        </w:tc>
      </w:tr>
      <w:tr w14:paraId="6F194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dxa"/>
            <w:vMerge w:val="restart"/>
            <w:vAlign w:val="center"/>
          </w:tcPr>
          <w:p w14:paraId="01E85A47">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p>
        </w:tc>
        <w:tc>
          <w:tcPr>
            <w:tcW w:w="1680" w:type="dxa"/>
            <w:vMerge w:val="restart"/>
            <w:vAlign w:val="center"/>
          </w:tcPr>
          <w:p w14:paraId="20E18166">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质量安全</w:t>
            </w:r>
          </w:p>
          <w:p w14:paraId="3756DA67">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过程评估</w:t>
            </w:r>
          </w:p>
        </w:tc>
        <w:tc>
          <w:tcPr>
            <w:tcW w:w="876" w:type="dxa"/>
            <w:vMerge w:val="restart"/>
            <w:vAlign w:val="center"/>
          </w:tcPr>
          <w:p w14:paraId="6FC55945">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商业</w:t>
            </w:r>
          </w:p>
        </w:tc>
        <w:tc>
          <w:tcPr>
            <w:tcW w:w="2064" w:type="dxa"/>
            <w:vAlign w:val="center"/>
          </w:tcPr>
          <w:p w14:paraId="76451B21">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主体结构拆模三层以上</w:t>
            </w:r>
          </w:p>
        </w:tc>
        <w:tc>
          <w:tcPr>
            <w:tcW w:w="1980" w:type="dxa"/>
            <w:vAlign w:val="center"/>
          </w:tcPr>
          <w:p w14:paraId="23D6F01B">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幕墙龙骨开始</w:t>
            </w:r>
          </w:p>
        </w:tc>
        <w:tc>
          <w:tcPr>
            <w:tcW w:w="1708" w:type="dxa"/>
            <w:vAlign w:val="center"/>
          </w:tcPr>
          <w:p w14:paraId="65ADBB41">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住宅评估体系</w:t>
            </w:r>
          </w:p>
        </w:tc>
      </w:tr>
      <w:tr w14:paraId="7BCF0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dxa"/>
            <w:vMerge w:val="continue"/>
            <w:vAlign w:val="center"/>
          </w:tcPr>
          <w:p w14:paraId="19B5505C">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p>
        </w:tc>
        <w:tc>
          <w:tcPr>
            <w:tcW w:w="1680" w:type="dxa"/>
            <w:vMerge w:val="continue"/>
            <w:vAlign w:val="center"/>
          </w:tcPr>
          <w:p w14:paraId="48B83237">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p>
        </w:tc>
        <w:tc>
          <w:tcPr>
            <w:tcW w:w="876" w:type="dxa"/>
            <w:vMerge w:val="continue"/>
            <w:vAlign w:val="center"/>
          </w:tcPr>
          <w:p w14:paraId="0ACA3F96">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p>
        </w:tc>
        <w:tc>
          <w:tcPr>
            <w:tcW w:w="2064" w:type="dxa"/>
            <w:vAlign w:val="center"/>
          </w:tcPr>
          <w:p w14:paraId="191E0AD0">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幕墙龙骨开始</w:t>
            </w:r>
          </w:p>
        </w:tc>
        <w:tc>
          <w:tcPr>
            <w:tcW w:w="1980" w:type="dxa"/>
            <w:vAlign w:val="center"/>
          </w:tcPr>
          <w:p w14:paraId="056BDCCA">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项目竣工验收</w:t>
            </w:r>
          </w:p>
        </w:tc>
        <w:tc>
          <w:tcPr>
            <w:tcW w:w="1708" w:type="dxa"/>
            <w:vAlign w:val="center"/>
          </w:tcPr>
          <w:p w14:paraId="63F8FBE3">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商业评估体系</w:t>
            </w:r>
          </w:p>
        </w:tc>
      </w:tr>
      <w:tr w14:paraId="1BCFA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dxa"/>
            <w:vAlign w:val="center"/>
          </w:tcPr>
          <w:p w14:paraId="6487079F">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p>
        </w:tc>
        <w:tc>
          <w:tcPr>
            <w:tcW w:w="1680" w:type="dxa"/>
            <w:vAlign w:val="center"/>
          </w:tcPr>
          <w:p w14:paraId="10309DAF">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安全</w:t>
            </w:r>
          </w:p>
          <w:p w14:paraId="67F98905">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专项评估</w:t>
            </w:r>
          </w:p>
        </w:tc>
        <w:tc>
          <w:tcPr>
            <w:tcW w:w="876" w:type="dxa"/>
            <w:vAlign w:val="center"/>
          </w:tcPr>
          <w:p w14:paraId="60005C72">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住宅、商业</w:t>
            </w:r>
          </w:p>
        </w:tc>
        <w:tc>
          <w:tcPr>
            <w:tcW w:w="2064" w:type="dxa"/>
            <w:vAlign w:val="center"/>
          </w:tcPr>
          <w:p w14:paraId="640C37F1">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塔吊、爬架、施工电梯同时具备</w:t>
            </w:r>
          </w:p>
        </w:tc>
        <w:tc>
          <w:tcPr>
            <w:tcW w:w="1980" w:type="dxa"/>
            <w:vAlign w:val="center"/>
          </w:tcPr>
          <w:p w14:paraId="6E3E1578">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施工电梯拆除</w:t>
            </w:r>
          </w:p>
        </w:tc>
        <w:tc>
          <w:tcPr>
            <w:tcW w:w="1708" w:type="dxa"/>
            <w:vAlign w:val="center"/>
          </w:tcPr>
          <w:p w14:paraId="00159ED5">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安全专项</w:t>
            </w:r>
          </w:p>
          <w:p w14:paraId="7E106B61">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评估体系</w:t>
            </w:r>
          </w:p>
        </w:tc>
      </w:tr>
      <w:tr w14:paraId="00595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dxa"/>
            <w:vAlign w:val="center"/>
          </w:tcPr>
          <w:p w14:paraId="1E00C872">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w:t>
            </w:r>
          </w:p>
        </w:tc>
        <w:tc>
          <w:tcPr>
            <w:tcW w:w="1680" w:type="dxa"/>
            <w:vAlign w:val="center"/>
          </w:tcPr>
          <w:p w14:paraId="6D7393BF">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交付评估</w:t>
            </w:r>
          </w:p>
        </w:tc>
        <w:tc>
          <w:tcPr>
            <w:tcW w:w="876" w:type="dxa"/>
            <w:vAlign w:val="center"/>
          </w:tcPr>
          <w:p w14:paraId="3414CA5C">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2064" w:type="dxa"/>
            <w:vAlign w:val="center"/>
          </w:tcPr>
          <w:p w14:paraId="02EBE129">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980" w:type="dxa"/>
            <w:vAlign w:val="center"/>
          </w:tcPr>
          <w:p w14:paraId="666D60BD">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不晚于交付前</w:t>
            </w:r>
          </w:p>
          <w:p w14:paraId="7EFE3D3D">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20天完成</w:t>
            </w:r>
          </w:p>
        </w:tc>
        <w:tc>
          <w:tcPr>
            <w:tcW w:w="1708" w:type="dxa"/>
            <w:vAlign w:val="center"/>
          </w:tcPr>
          <w:p w14:paraId="06459D86">
            <w:pPr>
              <w:keepNext w:val="0"/>
              <w:keepLines w:val="0"/>
              <w:suppressLineNumbers w:val="0"/>
              <w:spacing w:before="0" w:beforeAutospacing="0" w:after="0" w:afterAutospacing="0" w:line="360" w:lineRule="exact"/>
              <w:ind w:left="0" w:right="0"/>
              <w:jc w:val="center"/>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14:paraId="64A58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6" w:type="dxa"/>
            <w:gridSpan w:val="6"/>
            <w:vAlign w:val="center"/>
          </w:tcPr>
          <w:p w14:paraId="1F15D8F4">
            <w:pPr>
              <w:keepNext w:val="0"/>
              <w:keepLines w:val="0"/>
              <w:suppressLineNumbers w:val="0"/>
              <w:spacing w:before="0" w:beforeAutospacing="0" w:after="0" w:afterAutospacing="0" w:line="360" w:lineRule="exact"/>
              <w:ind w:left="0" w:right="0"/>
              <w:jc w:val="left"/>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过程评估：不具备评估条件的项目（如结构拆模或冬季暂停施工项目）不参与评估。</w:t>
            </w:r>
          </w:p>
        </w:tc>
      </w:tr>
    </w:tbl>
    <w:p w14:paraId="02F0B755">
      <w:pPr>
        <w:spacing w:before="190" w:beforeLines="50" w:line="560" w:lineRule="exact"/>
        <w:outlineLvl w:val="9"/>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lang w:bidi="ar"/>
        </w:rPr>
        <w:t>（三）</w:t>
      </w:r>
      <w:r>
        <w:rPr>
          <w:rFonts w:hint="eastAsia" w:ascii="宋体" w:hAnsi="宋体" w:eastAsia="宋体" w:cs="宋体"/>
          <w:color w:val="auto"/>
          <w:sz w:val="21"/>
          <w:szCs w:val="21"/>
          <w:highlight w:val="none"/>
        </w:rPr>
        <w:t>第三方评估检查过程管理要求</w:t>
      </w:r>
    </w:p>
    <w:p w14:paraId="3BA8AB03">
      <w:pPr>
        <w:pStyle w:val="14"/>
        <w:spacing w:line="560" w:lineRule="exact"/>
        <w:ind w:firstLine="64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1.评估管理流程：第三方评估计划落实确定--评估前防渗漏测区抽测--第三方评估组人员抵达现场--评估体系宣贯--现场评估--总结分析会。</w:t>
      </w:r>
    </w:p>
    <w:p w14:paraId="73E229F2">
      <w:pPr>
        <w:pStyle w:val="14"/>
        <w:spacing w:line="560" w:lineRule="exact"/>
        <w:ind w:firstLine="64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2.每季度第三方评估检查计划需提前一个月与第三方单位沟通确定，各项目具体评估时间由第三方单位确定。</w:t>
      </w:r>
    </w:p>
    <w:p w14:paraId="6316429B">
      <w:pPr>
        <w:pStyle w:val="14"/>
        <w:spacing w:line="560" w:lineRule="exact"/>
        <w:ind w:firstLine="64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3.第三方评估过程工程管理部需全程监督，但各项目工程管理部经办人需回避，以保证飞检工作公平公正。</w:t>
      </w:r>
    </w:p>
    <w:p w14:paraId="463539F3">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4.第三方评估时间由第三方单位评估组长于前一天下午4点左右通知。</w:t>
      </w:r>
    </w:p>
    <w:p w14:paraId="3D41D3D7">
      <w:pPr>
        <w:pStyle w:val="14"/>
        <w:spacing w:line="560" w:lineRule="exact"/>
        <w:ind w:firstLine="64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5.第三方评估过程中，总分包单位、监理单位、项目部、工程管理部等不得干预各项目标段飞检成绩，保证第三方飞检的公平公正性。</w:t>
      </w:r>
    </w:p>
    <w:p w14:paraId="0ED0001D">
      <w:pPr>
        <w:pStyle w:val="14"/>
        <w:spacing w:line="560" w:lineRule="exact"/>
        <w:ind w:firstLine="64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6.第三方评估总结分析会召开时间由评估组长确定，提前半小时通知。若因总分包、监理单位、项目部等原因造成总结分析会议无法按时召开，由评估组长直接宣告最终评估结果，评估小组可以自行离场。</w:t>
      </w:r>
    </w:p>
    <w:p w14:paraId="0D4DB767">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7.各项目对第三方评估结果若有异议，可由项目部以议题形式上报工程管理委员会审议，如在工程管理委员会无法形成统一意见，可再次上报总经办会决议。</w:t>
      </w:r>
    </w:p>
    <w:p w14:paraId="3CECFFD9">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五、第三方评估结果的整改</w:t>
      </w:r>
    </w:p>
    <w:p w14:paraId="40D72EA9">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lang w:bidi="ar"/>
        </w:rPr>
        <w:t>（一）</w:t>
      </w:r>
      <w:r>
        <w:rPr>
          <w:rFonts w:hint="eastAsia" w:ascii="宋体" w:hAnsi="宋体" w:eastAsia="宋体" w:cs="宋体"/>
          <w:color w:val="auto"/>
          <w:sz w:val="21"/>
          <w:szCs w:val="21"/>
          <w:highlight w:val="none"/>
        </w:rPr>
        <w:t>评估整改报告根据质量及安全问题分类回复，安全问题要求7天内整改闭合，质量问题要求15天内整改闭合，起算时间以报告邮件正式发送项目部为准。</w:t>
      </w:r>
    </w:p>
    <w:p w14:paraId="20A09B7C">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lang w:bidi="ar"/>
        </w:rPr>
        <w:t>（二）</w:t>
      </w:r>
      <w:r>
        <w:rPr>
          <w:rFonts w:hint="eastAsia" w:ascii="宋体" w:hAnsi="宋体" w:eastAsia="宋体" w:cs="宋体"/>
          <w:color w:val="auto"/>
          <w:sz w:val="21"/>
          <w:szCs w:val="21"/>
          <w:highlight w:val="none"/>
        </w:rPr>
        <w:t>材料问题从发现之日起3日内，必须按照公司《材料设备管理办法》办理相应退场手续，工程管理部监督。</w:t>
      </w:r>
    </w:p>
    <w:p w14:paraId="1B6D7AFE">
      <w:pPr>
        <w:pStyle w:val="14"/>
        <w:spacing w:line="560" w:lineRule="exact"/>
        <w:ind w:firstLine="640"/>
        <w:outlineLvl w:val="9"/>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lang w:bidi="ar"/>
        </w:rPr>
        <w:t>（三）</w:t>
      </w:r>
      <w:r>
        <w:rPr>
          <w:rFonts w:hint="eastAsia" w:ascii="宋体" w:hAnsi="宋体" w:eastAsia="宋体" w:cs="宋体"/>
          <w:color w:val="auto"/>
          <w:sz w:val="21"/>
          <w:szCs w:val="21"/>
          <w:highlight w:val="none"/>
        </w:rPr>
        <w:t>交付评估过程中发现存在功能试验缺陷，如：屋面漏水、管道通球试验不合格、外墙及门窗淋水渗漏等问题情况，项目部须要求承包方对所有屋面、外墙、管道重新进行相应功能试验，工程管理部监督。</w:t>
      </w:r>
    </w:p>
    <w:p w14:paraId="7B5735E7">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六、第三方单位及评估体系管理要求</w:t>
      </w:r>
    </w:p>
    <w:p w14:paraId="24FD97A5">
      <w:pPr>
        <w:pStyle w:val="14"/>
        <w:spacing w:line="560" w:lineRule="exact"/>
        <w:ind w:firstLine="640"/>
        <w:outlineLvl w:val="9"/>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lang w:bidi="ar"/>
        </w:rPr>
        <w:t>（一）</w:t>
      </w:r>
      <w:r>
        <w:rPr>
          <w:rFonts w:hint="eastAsia" w:ascii="宋体" w:hAnsi="宋体" w:eastAsia="宋体" w:cs="宋体"/>
          <w:color w:val="auto"/>
          <w:sz w:val="21"/>
          <w:szCs w:val="21"/>
          <w:highlight w:val="none"/>
        </w:rPr>
        <w:t>工程管理部每半年对第三方飞检单位进行履约评估，并根据履约情况来确定第三方单位合同是否续签。</w:t>
      </w:r>
    </w:p>
    <w:p w14:paraId="737EA855">
      <w:pPr>
        <w:pStyle w:val="14"/>
        <w:spacing w:line="560" w:lineRule="exact"/>
        <w:ind w:firstLine="640"/>
        <w:outlineLvl w:val="9"/>
        <w:rPr>
          <w:rFonts w:hint="eastAsia" w:ascii="宋体" w:hAnsi="宋体" w:eastAsia="宋体" w:cs="宋体"/>
          <w:color w:val="auto"/>
          <w:kern w:val="0"/>
          <w:sz w:val="21"/>
          <w:szCs w:val="21"/>
          <w:highlight w:val="none"/>
          <w:lang w:bidi="ar"/>
        </w:rPr>
      </w:pPr>
      <w:r>
        <w:rPr>
          <w:rFonts w:hint="eastAsia" w:ascii="宋体" w:hAnsi="宋体" w:eastAsia="宋体" w:cs="宋体"/>
          <w:color w:val="auto"/>
          <w:kern w:val="0"/>
          <w:sz w:val="21"/>
          <w:szCs w:val="21"/>
          <w:highlight w:val="none"/>
          <w:lang w:bidi="ar"/>
        </w:rPr>
        <w:t>（二）每年3月前工程管理部需组织召开第三方评估的年度总结分析会，剖析项目管理缺陷，提出改进方向，并对飞检评估体系进行讨论优化。</w:t>
      </w:r>
    </w:p>
    <w:p w14:paraId="2B89218F">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七、附则</w:t>
      </w:r>
    </w:p>
    <w:p w14:paraId="7CC424EF">
      <w:pPr>
        <w:spacing w:line="560" w:lineRule="exact"/>
        <w:ind w:firstLine="420" w:firstLineChars="200"/>
        <w:outlineLvl w:val="9"/>
        <w:rPr>
          <w:rFonts w:hint="eastAsia" w:ascii="宋体" w:hAnsi="宋体" w:eastAsia="宋体" w:cs="宋体"/>
          <w:color w:val="auto"/>
          <w:kern w:val="0"/>
          <w:sz w:val="21"/>
          <w:szCs w:val="21"/>
          <w:highlight w:val="none"/>
          <w:lang w:bidi="ar"/>
        </w:rPr>
      </w:pPr>
      <w:r>
        <w:rPr>
          <w:rFonts w:hint="eastAsia" w:ascii="宋体" w:hAnsi="宋体" w:eastAsia="宋体" w:cs="宋体"/>
          <w:color w:val="auto"/>
          <w:kern w:val="0"/>
          <w:sz w:val="21"/>
          <w:szCs w:val="21"/>
          <w:highlight w:val="none"/>
          <w:lang w:bidi="ar"/>
        </w:rPr>
        <w:t>（一）本办法由工程管理部负责解释修订。</w:t>
      </w:r>
    </w:p>
    <w:p w14:paraId="0BBBA517">
      <w:pPr>
        <w:spacing w:line="560" w:lineRule="exact"/>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lang w:bidi="ar"/>
        </w:rPr>
        <w:t>（二）本办法适用于经发地产及全资子公司、代管公司，自印发日起生效。</w:t>
      </w:r>
    </w:p>
    <w:p w14:paraId="1D9D1EE1">
      <w:pPr>
        <w:keepNext w:val="0"/>
        <w:keepLines w:val="0"/>
        <w:pageBreakBefore w:val="0"/>
        <w:widowControl w:val="0"/>
        <w:tabs>
          <w:tab w:val="left" w:pos="540"/>
          <w:tab w:val="left" w:pos="1481"/>
          <w:tab w:val="center" w:pos="4589"/>
        </w:tabs>
        <w:kinsoku/>
        <w:wordWrap/>
        <w:overflowPunct/>
        <w:topLinePunct w:val="0"/>
        <w:autoSpaceDE/>
        <w:autoSpaceDN/>
        <w:bidi w:val="0"/>
        <w:adjustRightInd/>
        <w:snapToGrid/>
        <w:spacing w:line="560" w:lineRule="exact"/>
        <w:ind w:firstLine="420" w:firstLineChars="200"/>
        <w:textAlignment w:val="auto"/>
        <w:outlineLvl w:val="9"/>
        <w:rPr>
          <w:rFonts w:hint="eastAsia" w:ascii="宋体" w:hAnsi="宋体" w:eastAsia="宋体" w:cs="宋体"/>
          <w:b w:val="0"/>
          <w:bCs w:val="0"/>
          <w:color w:val="auto"/>
          <w:kern w:val="0"/>
          <w:sz w:val="21"/>
          <w:szCs w:val="21"/>
          <w:highlight w:val="none"/>
          <w:lang w:val="en-US" w:eastAsia="zh-CN"/>
        </w:rPr>
      </w:pPr>
      <w:r>
        <w:rPr>
          <w:rFonts w:hint="eastAsia" w:ascii="宋体" w:hAnsi="宋体" w:eastAsia="宋体" w:cs="宋体"/>
          <w:b w:val="0"/>
          <w:bCs w:val="0"/>
          <w:color w:val="auto"/>
          <w:kern w:val="0"/>
          <w:sz w:val="21"/>
          <w:szCs w:val="21"/>
          <w:highlight w:val="none"/>
          <w:lang w:val="en-US" w:eastAsia="zh-CN"/>
        </w:rPr>
        <w:t>注：</w:t>
      </w:r>
      <w:r>
        <w:rPr>
          <w:rFonts w:hint="eastAsia" w:ascii="宋体" w:hAnsi="宋体" w:cs="宋体"/>
          <w:b w:val="0"/>
          <w:bCs w:val="0"/>
          <w:color w:val="auto"/>
          <w:kern w:val="0"/>
          <w:sz w:val="21"/>
          <w:szCs w:val="21"/>
          <w:highlight w:val="none"/>
          <w:lang w:val="en-US" w:eastAsia="zh-CN"/>
        </w:rPr>
        <w:t>其他</w:t>
      </w:r>
      <w:r>
        <w:rPr>
          <w:rFonts w:hint="eastAsia" w:ascii="宋体" w:hAnsi="宋体" w:eastAsia="宋体" w:cs="宋体"/>
          <w:b w:val="0"/>
          <w:bCs w:val="0"/>
          <w:color w:val="auto"/>
          <w:kern w:val="0"/>
          <w:sz w:val="21"/>
          <w:szCs w:val="21"/>
          <w:highlight w:val="none"/>
          <w:lang w:val="en-US" w:eastAsia="zh-CN"/>
        </w:rPr>
        <w:t>附件由发包人提供电子版</w:t>
      </w:r>
    </w:p>
    <w:p w14:paraId="6F259CE6">
      <w:pPr>
        <w:adjustRightInd w:val="0"/>
        <w:snapToGrid w:val="0"/>
        <w:spacing w:line="360" w:lineRule="auto"/>
        <w:jc w:val="center"/>
        <w:rPr>
          <w:rFonts w:hint="eastAsia" w:ascii="宋体" w:hAnsi="宋体"/>
          <w:b/>
          <w:sz w:val="32"/>
          <w:szCs w:val="32"/>
          <w:lang w:eastAsia="zh-CN"/>
        </w:rPr>
      </w:pPr>
    </w:p>
    <w:p w14:paraId="3A549ECE">
      <w:pPr>
        <w:adjustRightInd w:val="0"/>
        <w:snapToGrid w:val="0"/>
        <w:spacing w:line="360" w:lineRule="auto"/>
        <w:jc w:val="center"/>
        <w:rPr>
          <w:rFonts w:ascii="宋体" w:hAnsi="宋体"/>
          <w:b/>
          <w:sz w:val="32"/>
          <w:szCs w:val="32"/>
        </w:rPr>
      </w:pPr>
      <w:r>
        <w:rPr>
          <w:rFonts w:hint="eastAsia" w:ascii="宋体" w:hAnsi="宋体"/>
          <w:b/>
          <w:sz w:val="32"/>
          <w:szCs w:val="32"/>
          <w:lang w:eastAsia="zh-CN"/>
        </w:rPr>
        <w:t>附：</w:t>
      </w:r>
      <w:r>
        <w:rPr>
          <w:rFonts w:hint="eastAsia" w:ascii="宋体" w:hAnsi="宋体"/>
          <w:b/>
          <w:sz w:val="32"/>
          <w:szCs w:val="32"/>
        </w:rPr>
        <w:t>第三方评估考核结果执行办法</w:t>
      </w:r>
    </w:p>
    <w:p w14:paraId="6857346C">
      <w:pPr>
        <w:adjustRightInd w:val="0"/>
        <w:snapToGrid w:val="0"/>
        <w:spacing w:line="360" w:lineRule="auto"/>
        <w:ind w:firstLine="465"/>
        <w:rPr>
          <w:rFonts w:hint="eastAsia" w:ascii="宋体" w:hAnsi="宋体"/>
          <w:kern w:val="0"/>
          <w:sz w:val="24"/>
        </w:rPr>
      </w:pPr>
      <w:r>
        <w:rPr>
          <w:rFonts w:hint="eastAsia" w:ascii="宋体" w:hAnsi="宋体"/>
          <w:kern w:val="0"/>
          <w:sz w:val="24"/>
        </w:rPr>
        <w:t>专用合同条款第三方过程评估结果对总包单位、监理单位进度款支付、问题整改相关条款约定：</w:t>
      </w:r>
    </w:p>
    <w:p w14:paraId="4B2C50F0">
      <w:pPr>
        <w:adjustRightInd w:val="0"/>
        <w:snapToGrid w:val="0"/>
        <w:spacing w:line="360" w:lineRule="auto"/>
        <w:ind w:firstLine="465"/>
        <w:rPr>
          <w:rFonts w:hint="eastAsia" w:ascii="宋体" w:hAnsi="宋体"/>
          <w:kern w:val="0"/>
          <w:sz w:val="24"/>
        </w:rPr>
      </w:pPr>
      <w:r>
        <w:rPr>
          <w:rFonts w:hint="eastAsia" w:ascii="宋体" w:hAnsi="宋体"/>
          <w:kern w:val="0"/>
          <w:sz w:val="24"/>
        </w:rPr>
        <w:t>1.第三方评估综合得分≥89分，且单项得分≥84分，不奖不罚。</w:t>
      </w:r>
    </w:p>
    <w:p w14:paraId="38BB61C8">
      <w:pPr>
        <w:adjustRightInd w:val="0"/>
        <w:snapToGrid w:val="0"/>
        <w:spacing w:line="360" w:lineRule="auto"/>
        <w:ind w:firstLine="465"/>
        <w:rPr>
          <w:rFonts w:hint="eastAsia" w:ascii="宋体" w:hAnsi="宋体"/>
          <w:kern w:val="0"/>
          <w:sz w:val="24"/>
        </w:rPr>
      </w:pPr>
      <w:r>
        <w:rPr>
          <w:rFonts w:hint="eastAsia" w:ascii="宋体" w:hAnsi="宋体"/>
          <w:kern w:val="0"/>
          <w:sz w:val="24"/>
        </w:rPr>
        <w:t>2.86分≤第三方评估综合得分＜89分，或80分≤单项得分＜84分，暂扣当次应付进度款的5％，且一次性罚款15万元。</w:t>
      </w:r>
    </w:p>
    <w:p w14:paraId="09003F81">
      <w:pPr>
        <w:adjustRightInd w:val="0"/>
        <w:snapToGrid w:val="0"/>
        <w:spacing w:line="360" w:lineRule="auto"/>
        <w:ind w:firstLine="465"/>
        <w:rPr>
          <w:rFonts w:hint="eastAsia" w:ascii="宋体" w:hAnsi="宋体"/>
          <w:kern w:val="0"/>
          <w:sz w:val="24"/>
        </w:rPr>
      </w:pPr>
      <w:r>
        <w:rPr>
          <w:rFonts w:hint="eastAsia" w:ascii="宋体" w:hAnsi="宋体"/>
          <w:kern w:val="0"/>
          <w:sz w:val="24"/>
        </w:rPr>
        <w:t>3.80分≤第三方评估综合得分＜86分，或76分≤单项得分＜80分，暂扣当次应付进度款的10％，且一次性罚款30万元，总包单位无条件更换项目主要负责人；</w:t>
      </w:r>
    </w:p>
    <w:p w14:paraId="08DC296A">
      <w:pPr>
        <w:adjustRightInd w:val="0"/>
        <w:snapToGrid w:val="0"/>
        <w:spacing w:line="360" w:lineRule="auto"/>
        <w:ind w:firstLine="465"/>
        <w:rPr>
          <w:rFonts w:hint="eastAsia" w:ascii="宋体" w:hAnsi="宋体"/>
          <w:kern w:val="0"/>
          <w:sz w:val="24"/>
        </w:rPr>
      </w:pPr>
      <w:r>
        <w:rPr>
          <w:rFonts w:hint="eastAsia" w:ascii="宋体" w:hAnsi="宋体"/>
          <w:kern w:val="0"/>
          <w:sz w:val="24"/>
        </w:rPr>
        <w:t>4.第三方评估综合得分＜80分，或单项得分＜76分，暂停当次进度款支付，并向所属公司发函，由公司领导约谈企业负责人，且一次性罚款50万元。</w:t>
      </w:r>
    </w:p>
    <w:p w14:paraId="0D342AF4">
      <w:pPr>
        <w:adjustRightInd w:val="0"/>
        <w:snapToGrid w:val="0"/>
        <w:spacing w:line="360" w:lineRule="auto"/>
        <w:ind w:firstLine="465"/>
        <w:rPr>
          <w:rFonts w:hint="eastAsia" w:ascii="宋体" w:hAnsi="宋体"/>
          <w:kern w:val="0"/>
          <w:sz w:val="24"/>
        </w:rPr>
      </w:pPr>
      <w:r>
        <w:rPr>
          <w:rFonts w:hint="eastAsia" w:ascii="宋体" w:hAnsi="宋体"/>
          <w:kern w:val="0"/>
          <w:sz w:val="24"/>
        </w:rPr>
        <w:t>5.总包单位收到三方评估报告后须15天内完成整改，若未按期整改复验完成，每推迟1天，扣除总包单位违约金1000元/每天；扣除监理单位违约金200元/每天。</w:t>
      </w:r>
    </w:p>
    <w:p w14:paraId="10A0D94A">
      <w:pPr>
        <w:adjustRightInd w:val="0"/>
        <w:snapToGrid w:val="0"/>
        <w:spacing w:line="360" w:lineRule="auto"/>
        <w:ind w:firstLine="465"/>
        <w:rPr>
          <w:rFonts w:hint="eastAsia" w:ascii="宋体" w:hAnsi="宋体"/>
          <w:kern w:val="0"/>
          <w:sz w:val="24"/>
        </w:rPr>
      </w:pPr>
      <w:r>
        <w:rPr>
          <w:rFonts w:hint="eastAsia" w:ascii="宋体" w:hAnsi="宋体"/>
          <w:kern w:val="0"/>
          <w:sz w:val="24"/>
        </w:rPr>
        <w:t>6.对于上次暂扣的进度款，若标段在下一次第三方评估综合得分≥89分，单项得分≥84分，且上次评估提出问题整改复验完成，则总包单位、监理单位可在下一次进度款申请支付时合并申请。</w:t>
      </w:r>
    </w:p>
    <w:p w14:paraId="68343908">
      <w:pPr>
        <w:adjustRightInd w:val="0"/>
        <w:snapToGrid w:val="0"/>
        <w:spacing w:line="360" w:lineRule="auto"/>
        <w:ind w:firstLine="465"/>
        <w:rPr>
          <w:rFonts w:ascii="宋体" w:hAnsi="宋体"/>
          <w:kern w:val="0"/>
          <w:sz w:val="24"/>
        </w:rPr>
      </w:pPr>
      <w:r>
        <w:rPr>
          <w:rFonts w:hint="eastAsia" w:ascii="宋体" w:hAnsi="宋体"/>
          <w:kern w:val="0"/>
          <w:sz w:val="24"/>
        </w:rPr>
        <w:t>7、若监理单位在评估过程中同时管理多个标段，综合取所管标段第三方评估综合得分的平均值，单项得分取所管各标段第三方评估单项得分的最低值。</w:t>
      </w:r>
    </w:p>
    <w:p w14:paraId="7BF3BF3E">
      <w:pPr>
        <w:adjustRightInd w:val="0"/>
        <w:snapToGrid w:val="0"/>
        <w:spacing w:line="360" w:lineRule="auto"/>
        <w:outlineLvl w:val="9"/>
        <w:rPr>
          <w:rFonts w:cs="宋体" w:asciiTheme="minorEastAsia" w:hAnsiTheme="minorEastAsia" w:eastAsiaTheme="minorEastAsia"/>
          <w:color w:val="auto"/>
          <w:sz w:val="24"/>
          <w:highlight w:val="none"/>
        </w:rPr>
      </w:pPr>
      <w:r>
        <w:rPr>
          <w:rFonts w:hint="eastAsia" w:ascii="宋体" w:hAnsi="宋体" w:eastAsia="宋体" w:cs="宋体"/>
          <w:color w:val="auto"/>
          <w:kern w:val="0"/>
          <w:sz w:val="21"/>
          <w:szCs w:val="21"/>
          <w:highlight w:val="none"/>
        </w:rPr>
        <w:br w:type="page"/>
      </w:r>
      <w:r>
        <w:rPr>
          <w:rFonts w:hint="eastAsia" w:cs="宋体" w:asciiTheme="minorEastAsia" w:hAnsiTheme="minorEastAsia" w:eastAsiaTheme="minorEastAsia"/>
          <w:bCs/>
          <w:color w:val="auto"/>
          <w:sz w:val="21"/>
          <w:szCs w:val="21"/>
          <w:highlight w:val="none"/>
        </w:rPr>
        <w:t>附件四十</w:t>
      </w:r>
      <w:r>
        <w:rPr>
          <w:rFonts w:hint="eastAsia" w:cs="宋体" w:asciiTheme="minorEastAsia" w:hAnsiTheme="minorEastAsia" w:eastAsiaTheme="minorEastAsia"/>
          <w:bCs/>
          <w:color w:val="auto"/>
          <w:sz w:val="21"/>
          <w:szCs w:val="21"/>
          <w:highlight w:val="none"/>
          <w:lang w:val="en-US" w:eastAsia="zh-CN"/>
        </w:rPr>
        <w:t>四</w:t>
      </w:r>
      <w:r>
        <w:rPr>
          <w:rFonts w:hint="eastAsia" w:cs="宋体" w:asciiTheme="minorEastAsia" w:hAnsiTheme="minorEastAsia" w:eastAsiaTheme="minorEastAsia"/>
          <w:bCs/>
          <w:color w:val="auto"/>
          <w:sz w:val="21"/>
          <w:szCs w:val="21"/>
          <w:highlight w:val="none"/>
        </w:rPr>
        <w:t>：</w:t>
      </w:r>
    </w:p>
    <w:p w14:paraId="3C9E4699">
      <w:pPr>
        <w:adjustRightInd w:val="0"/>
        <w:snapToGrid w:val="0"/>
        <w:spacing w:line="360" w:lineRule="auto"/>
        <w:jc w:val="center"/>
        <w:outlineLvl w:val="9"/>
        <w:rPr>
          <w:rFonts w:asciiTheme="minorEastAsia" w:hAnsiTheme="minorEastAsia" w:eastAsiaTheme="minorEastAsia"/>
          <w:b/>
          <w:color w:val="auto"/>
          <w:sz w:val="32"/>
          <w:szCs w:val="32"/>
          <w:highlight w:val="none"/>
        </w:rPr>
      </w:pPr>
      <w:r>
        <w:rPr>
          <w:rFonts w:hint="eastAsia" w:asciiTheme="minorEastAsia" w:hAnsiTheme="minorEastAsia" w:eastAsiaTheme="minorEastAsia"/>
          <w:b/>
          <w:color w:val="auto"/>
          <w:sz w:val="32"/>
          <w:szCs w:val="32"/>
          <w:highlight w:val="none"/>
        </w:rPr>
        <w:t>项目安全文明施工实施细则</w:t>
      </w:r>
    </w:p>
    <w:p w14:paraId="6D7109D8">
      <w:pPr>
        <w:pStyle w:val="30"/>
        <w:adjustRightInd w:val="0"/>
        <w:snapToGrid w:val="0"/>
        <w:spacing w:line="360" w:lineRule="auto"/>
        <w:outlineLvl w:val="9"/>
        <w:rPr>
          <w:rFonts w:cs="黑体" w:asciiTheme="minorEastAsia" w:hAnsiTheme="minorEastAsia" w:eastAsiaTheme="minorEastAsia"/>
          <w:color w:val="auto"/>
          <w:sz w:val="21"/>
          <w:szCs w:val="21"/>
          <w:highlight w:val="none"/>
        </w:rPr>
      </w:pPr>
      <w:r>
        <w:rPr>
          <w:rFonts w:hint="eastAsia" w:cs="黑体" w:asciiTheme="minorEastAsia" w:hAnsiTheme="minorEastAsia" w:eastAsiaTheme="minorEastAsia"/>
          <w:b/>
          <w:color w:val="auto"/>
          <w:sz w:val="21"/>
          <w:szCs w:val="21"/>
          <w:highlight w:val="none"/>
        </w:rPr>
        <w:t>一、目的</w:t>
      </w:r>
    </w:p>
    <w:p w14:paraId="4C0C06F8">
      <w:pPr>
        <w:bidi w:val="0"/>
        <w:spacing w:line="360" w:lineRule="auto"/>
        <w:ind w:firstLine="420" w:firstLineChars="200"/>
        <w:outlineLvl w:val="9"/>
        <w:rPr>
          <w:rFonts w:hint="eastAsia" w:cs="仿宋_GB2312" w:asciiTheme="minorEastAsia" w:hAnsiTheme="minorEastAsia" w:eastAsiaTheme="minorEastAsia"/>
          <w:bCs/>
          <w:color w:val="auto"/>
          <w:kern w:val="0"/>
          <w:sz w:val="21"/>
          <w:szCs w:val="21"/>
          <w:highlight w:val="none"/>
          <w:lang w:val="en-US" w:eastAsia="zh-CN" w:bidi="ar-SA"/>
        </w:rPr>
      </w:pPr>
      <w:r>
        <w:rPr>
          <w:rFonts w:hint="eastAsia" w:cs="仿宋_GB2312" w:asciiTheme="minorEastAsia" w:hAnsiTheme="minorEastAsia" w:eastAsiaTheme="minorEastAsia"/>
          <w:bCs/>
          <w:color w:val="auto"/>
          <w:kern w:val="0"/>
          <w:sz w:val="21"/>
          <w:szCs w:val="21"/>
          <w:highlight w:val="none"/>
          <w:lang w:val="en-US" w:eastAsia="zh-CN" w:bidi="ar-SA"/>
        </w:rPr>
        <w:t>为提高西安经发地产在建项目施工现场安全文明施工管理水平，进一步提升企业品牌形象，促进施工现场安全文明标准化、规范化、制度化、长效化管理，预防伤亡事故的发生，保证施工人员的安全和健康，确保工程建设顺利进行。根据国家和地方现行相关政策法规及公司相关管理要求，编制本操作指引。</w:t>
      </w:r>
    </w:p>
    <w:p w14:paraId="49D19FFA">
      <w:pPr>
        <w:pStyle w:val="30"/>
        <w:adjustRightInd w:val="0"/>
        <w:snapToGrid w:val="0"/>
        <w:spacing w:line="360" w:lineRule="auto"/>
        <w:outlineLvl w:val="9"/>
        <w:rPr>
          <w:rFonts w:cs="黑体" w:asciiTheme="minorEastAsia" w:hAnsiTheme="minorEastAsia" w:eastAsiaTheme="minorEastAsia"/>
          <w:b/>
          <w:color w:val="auto"/>
          <w:sz w:val="21"/>
          <w:szCs w:val="21"/>
          <w:highlight w:val="none"/>
        </w:rPr>
      </w:pPr>
      <w:r>
        <w:rPr>
          <w:rFonts w:hint="eastAsia" w:cs="黑体" w:asciiTheme="minorEastAsia" w:hAnsiTheme="minorEastAsia" w:eastAsiaTheme="minorEastAsia"/>
          <w:b/>
          <w:color w:val="auto"/>
          <w:sz w:val="21"/>
          <w:szCs w:val="21"/>
          <w:highlight w:val="none"/>
        </w:rPr>
        <w:t>二、适用范围</w:t>
      </w:r>
    </w:p>
    <w:p w14:paraId="6CE3D794">
      <w:pPr>
        <w:pStyle w:val="30"/>
        <w:adjustRightInd w:val="0"/>
        <w:snapToGrid w:val="0"/>
        <w:spacing w:line="360" w:lineRule="auto"/>
        <w:ind w:firstLine="420" w:firstLineChars="200"/>
        <w:outlineLvl w:val="9"/>
        <w:rPr>
          <w:rFonts w:cs="仿宋_GB2312" w:asciiTheme="minorEastAsia" w:hAnsiTheme="minorEastAsia" w:eastAsiaTheme="minorEastAsia"/>
          <w:bCs/>
          <w:color w:val="auto"/>
          <w:sz w:val="21"/>
          <w:szCs w:val="21"/>
          <w:highlight w:val="none"/>
        </w:rPr>
      </w:pPr>
      <w:r>
        <w:rPr>
          <w:rFonts w:hint="eastAsia" w:cs="仿宋_GB2312" w:asciiTheme="minorEastAsia" w:hAnsiTheme="minorEastAsia" w:eastAsiaTheme="minorEastAsia"/>
          <w:bCs/>
          <w:color w:val="auto"/>
          <w:sz w:val="21"/>
          <w:szCs w:val="21"/>
          <w:highlight w:val="none"/>
        </w:rPr>
        <w:t>适用于经发地产所有在建项目的施工现场安全文明管理。</w:t>
      </w:r>
    </w:p>
    <w:p w14:paraId="5A2CEA6A">
      <w:pPr>
        <w:pStyle w:val="74"/>
        <w:adjustRightInd w:val="0"/>
        <w:snapToGrid w:val="0"/>
        <w:spacing w:line="360" w:lineRule="auto"/>
        <w:ind w:left="0" w:leftChars="0" w:firstLine="0" w:firstLineChars="0"/>
        <w:outlineLvl w:val="9"/>
        <w:rPr>
          <w:rFonts w:cs="黑体" w:asciiTheme="minorEastAsia" w:hAnsiTheme="minorEastAsia" w:eastAsiaTheme="minorEastAsia"/>
          <w:b/>
          <w:color w:val="auto"/>
          <w:sz w:val="21"/>
          <w:szCs w:val="21"/>
          <w:highlight w:val="none"/>
        </w:rPr>
      </w:pPr>
      <w:r>
        <w:rPr>
          <w:rFonts w:hint="eastAsia" w:cs="黑体" w:asciiTheme="minorEastAsia" w:hAnsiTheme="minorEastAsia" w:eastAsiaTheme="minorEastAsia"/>
          <w:b/>
          <w:color w:val="auto"/>
          <w:sz w:val="21"/>
          <w:szCs w:val="21"/>
          <w:highlight w:val="none"/>
        </w:rPr>
        <w:t>三、职责与权限</w:t>
      </w:r>
    </w:p>
    <w:p w14:paraId="26E5FECA">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（一）工程管理部</w:t>
      </w:r>
    </w:p>
    <w:p w14:paraId="2C908261">
      <w:pPr>
        <w:pStyle w:val="74"/>
        <w:numPr>
          <w:ilvl w:val="0"/>
          <w:numId w:val="19"/>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负责本指引的编制、修订、解释，确定项目安全文明施工的基本标准；</w:t>
      </w:r>
    </w:p>
    <w:p w14:paraId="6CA4B9C4">
      <w:pPr>
        <w:pStyle w:val="74"/>
        <w:numPr>
          <w:ilvl w:val="0"/>
          <w:numId w:val="19"/>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每月对公司各项目定期和不定期组织检查或抽查，做到安全生产检查制度化、标准化、经常化；</w:t>
      </w:r>
    </w:p>
    <w:p w14:paraId="1E93418E">
      <w:pPr>
        <w:pStyle w:val="74"/>
        <w:numPr>
          <w:ilvl w:val="0"/>
          <w:numId w:val="19"/>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在重大节假日前同办公室对公司各项目进行安全检查；</w:t>
      </w:r>
    </w:p>
    <w:p w14:paraId="76BCC486">
      <w:pPr>
        <w:pStyle w:val="74"/>
        <w:numPr>
          <w:ilvl w:val="0"/>
          <w:numId w:val="19"/>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每季度配合办公室召开季度（年度）安全会议；</w:t>
      </w:r>
    </w:p>
    <w:p w14:paraId="10DB3534">
      <w:pPr>
        <w:pStyle w:val="74"/>
        <w:numPr>
          <w:ilvl w:val="0"/>
          <w:numId w:val="19"/>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根据年度专项安全检查计划对项目部安全文明专项检查；</w:t>
      </w:r>
    </w:p>
    <w:p w14:paraId="364F1D6D">
      <w:pPr>
        <w:pStyle w:val="74"/>
        <w:numPr>
          <w:ilvl w:val="0"/>
          <w:numId w:val="19"/>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定期对监理、施工单位的安全监理、管理资料进行检查；</w:t>
      </w:r>
    </w:p>
    <w:p w14:paraId="6051F953">
      <w:pPr>
        <w:pStyle w:val="74"/>
        <w:numPr>
          <w:ilvl w:val="0"/>
          <w:numId w:val="19"/>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参与安全事故的调查处理，审核安全事故处理方案；</w:t>
      </w:r>
    </w:p>
    <w:p w14:paraId="5359F7D2">
      <w:pPr>
        <w:pStyle w:val="74"/>
        <w:numPr>
          <w:ilvl w:val="0"/>
          <w:numId w:val="19"/>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检查各项目双重预防机制的建立及实施。</w:t>
      </w:r>
    </w:p>
    <w:p w14:paraId="4F6082B8">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（二）项目部</w:t>
      </w:r>
    </w:p>
    <w:p w14:paraId="2C1744F9">
      <w:pPr>
        <w:pStyle w:val="74"/>
        <w:numPr>
          <w:ilvl w:val="0"/>
          <w:numId w:val="20"/>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负责安全文明施工标准在项目部的实施、执行、检查、总结、反馈；</w:t>
      </w:r>
    </w:p>
    <w:p w14:paraId="513DC121">
      <w:pPr>
        <w:pStyle w:val="74"/>
        <w:numPr>
          <w:ilvl w:val="0"/>
          <w:numId w:val="20"/>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审批监理单位安全文明监理实施细则；</w:t>
      </w:r>
    </w:p>
    <w:p w14:paraId="2CF6D3AB">
      <w:pPr>
        <w:pStyle w:val="74"/>
        <w:numPr>
          <w:ilvl w:val="0"/>
          <w:numId w:val="20"/>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审核施工单位安全文明施工专项方案；</w:t>
      </w:r>
    </w:p>
    <w:p w14:paraId="112E5DF1">
      <w:pPr>
        <w:pStyle w:val="74"/>
        <w:numPr>
          <w:ilvl w:val="0"/>
          <w:numId w:val="20"/>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负责检查、监督项目现场安全文明标准化管理情况；</w:t>
      </w:r>
    </w:p>
    <w:p w14:paraId="1B3E522C">
      <w:pPr>
        <w:pStyle w:val="74"/>
        <w:numPr>
          <w:ilvl w:val="0"/>
          <w:numId w:val="20"/>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参与公司及上级单位对项目安全文明专项检查；</w:t>
      </w:r>
    </w:p>
    <w:p w14:paraId="7105B78A">
      <w:pPr>
        <w:pStyle w:val="74"/>
        <w:numPr>
          <w:ilvl w:val="0"/>
          <w:numId w:val="20"/>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参与安全事故的调查处理，审核安全事故处理方案；</w:t>
      </w:r>
    </w:p>
    <w:p w14:paraId="118C23AE">
      <w:pPr>
        <w:pStyle w:val="74"/>
        <w:numPr>
          <w:ilvl w:val="0"/>
          <w:numId w:val="20"/>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根据公司双重预防机制要求，推进项目现场双重预防机制具体落实。</w:t>
      </w:r>
    </w:p>
    <w:p w14:paraId="47132E85">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（三）总（分）包单位</w:t>
      </w:r>
    </w:p>
    <w:p w14:paraId="75A47015">
      <w:pPr>
        <w:pStyle w:val="74"/>
        <w:numPr>
          <w:ilvl w:val="0"/>
          <w:numId w:val="21"/>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负责根据合同以及相关规范要求，落实相关安全文明标准化管理要求；</w:t>
      </w:r>
    </w:p>
    <w:p w14:paraId="778250C5">
      <w:pPr>
        <w:pStyle w:val="74"/>
        <w:numPr>
          <w:ilvl w:val="0"/>
          <w:numId w:val="21"/>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负责编制安全文明施工专项方案；</w:t>
      </w:r>
    </w:p>
    <w:p w14:paraId="7EE01D1F">
      <w:pPr>
        <w:pStyle w:val="74"/>
        <w:numPr>
          <w:ilvl w:val="0"/>
          <w:numId w:val="21"/>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协助安全事故调查处理；</w:t>
      </w:r>
    </w:p>
    <w:p w14:paraId="15DE1E83">
      <w:pPr>
        <w:pStyle w:val="74"/>
        <w:numPr>
          <w:ilvl w:val="0"/>
          <w:numId w:val="21"/>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负责编制并落实安全事故的处理方案；</w:t>
      </w:r>
    </w:p>
    <w:p w14:paraId="1C9215B2">
      <w:pPr>
        <w:pStyle w:val="74"/>
        <w:numPr>
          <w:ilvl w:val="0"/>
          <w:numId w:val="21"/>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负责项目现场双重预防机制的建立及落实。</w:t>
      </w:r>
    </w:p>
    <w:p w14:paraId="5F117C0E">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（四）监理单位</w:t>
      </w:r>
    </w:p>
    <w:p w14:paraId="003BF818">
      <w:pPr>
        <w:pStyle w:val="74"/>
        <w:numPr>
          <w:ilvl w:val="0"/>
          <w:numId w:val="22"/>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负责编制安全文明监理实施细则；</w:t>
      </w:r>
    </w:p>
    <w:p w14:paraId="0C1F9E9B">
      <w:pPr>
        <w:pStyle w:val="74"/>
        <w:numPr>
          <w:ilvl w:val="0"/>
          <w:numId w:val="22"/>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负责检查、监督项目现场安全文明标化管理情况；</w:t>
      </w:r>
    </w:p>
    <w:p w14:paraId="3A843E02">
      <w:pPr>
        <w:pStyle w:val="74"/>
        <w:numPr>
          <w:ilvl w:val="0"/>
          <w:numId w:val="22"/>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负责检查验收安全文明标准化整改效果；</w:t>
      </w:r>
    </w:p>
    <w:p w14:paraId="5D1F9621">
      <w:pPr>
        <w:pStyle w:val="74"/>
        <w:numPr>
          <w:ilvl w:val="0"/>
          <w:numId w:val="22"/>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协助安全事故的调查处理；审核安全事故处理方案；</w:t>
      </w:r>
    </w:p>
    <w:p w14:paraId="10D4C7F3">
      <w:pPr>
        <w:pStyle w:val="74"/>
        <w:numPr>
          <w:ilvl w:val="0"/>
          <w:numId w:val="22"/>
        </w:numPr>
        <w:adjustRightInd w:val="0"/>
        <w:snapToGrid w:val="0"/>
        <w:spacing w:line="360" w:lineRule="auto"/>
        <w:ind w:left="0" w:firstLine="420" w:firstLineChars="20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负责监督并评定事故处理方案的落实情况。</w:t>
      </w:r>
    </w:p>
    <w:p w14:paraId="2BC7605E">
      <w:pPr>
        <w:pStyle w:val="74"/>
        <w:adjustRightInd w:val="0"/>
        <w:snapToGrid w:val="0"/>
        <w:spacing w:line="360" w:lineRule="auto"/>
        <w:ind w:left="0" w:leftChars="0" w:firstLine="0" w:firstLineChars="0"/>
        <w:outlineLvl w:val="9"/>
        <w:rPr>
          <w:rFonts w:cs="黑体" w:asciiTheme="minorEastAsia" w:hAnsiTheme="minorEastAsia" w:eastAsiaTheme="minorEastAsia"/>
          <w:b/>
          <w:color w:val="auto"/>
          <w:sz w:val="21"/>
          <w:szCs w:val="21"/>
          <w:highlight w:val="none"/>
        </w:rPr>
      </w:pPr>
      <w:r>
        <w:rPr>
          <w:rFonts w:hint="eastAsia" w:cs="黑体" w:asciiTheme="minorEastAsia" w:hAnsiTheme="minorEastAsia" w:eastAsiaTheme="minorEastAsia"/>
          <w:b/>
          <w:color w:val="auto"/>
          <w:sz w:val="21"/>
          <w:szCs w:val="21"/>
          <w:highlight w:val="none"/>
        </w:rPr>
        <w:t>四、环境形象实施细则</w:t>
      </w:r>
    </w:p>
    <w:p w14:paraId="39B7B2FC">
      <w:pPr>
        <w:pStyle w:val="74"/>
        <w:adjustRightInd w:val="0"/>
        <w:snapToGrid w:val="0"/>
        <w:spacing w:line="360" w:lineRule="auto"/>
        <w:ind w:left="0" w:leftChars="0" w:firstLine="0" w:firstLineChars="0"/>
        <w:jc w:val="left"/>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（一）工地大门</w:t>
      </w:r>
    </w:p>
    <w:p w14:paraId="76B7DF2F">
      <w:pPr>
        <w:pStyle w:val="74"/>
        <w:adjustRightInd w:val="0"/>
        <w:snapToGrid w:val="0"/>
        <w:spacing w:line="360" w:lineRule="auto"/>
        <w:ind w:firstLine="480"/>
        <w:jc w:val="both"/>
        <w:outlineLvl w:val="9"/>
        <w:rPr>
          <w:rFonts w:cs="黑体" w:asciiTheme="minorEastAsia" w:hAnsiTheme="minorEastAsia" w:eastAsiaTheme="minorEastAsia"/>
          <w:b/>
          <w:color w:val="auto"/>
          <w:sz w:val="24"/>
          <w:highlight w:val="none"/>
        </w:rPr>
      </w:pPr>
      <w:r>
        <w:rPr>
          <w:rFonts w:cs="楷体_GB2312" w:asciiTheme="minorEastAsia" w:hAnsiTheme="minorEastAsia" w:eastAsiaTheme="minorEastAsia"/>
          <w:color w:val="auto"/>
          <w:sz w:val="24"/>
          <w:highlight w:val="none"/>
          <w:lang w:val="en-US" w:bidi="ar-SA"/>
        </w:rPr>
        <w:drawing>
          <wp:inline distT="0" distB="0" distL="0" distR="0">
            <wp:extent cx="5096510" cy="2981960"/>
            <wp:effectExtent l="19050" t="0" r="8890" b="0"/>
            <wp:docPr id="472" name="图片 130" descr="166364480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130" descr="1663644803752"/>
                    <pic:cNvPicPr>
                      <a:picLocks noChangeAspect="1" noChangeArrowheads="1"/>
                    </pic:cNvPicPr>
                  </pic:nvPicPr>
                  <pic:blipFill>
                    <a:blip r:embed="rId59"/>
                    <a:srcRect/>
                    <a:stretch>
                      <a:fillRect/>
                    </a:stretch>
                  </pic:blipFill>
                  <pic:spPr>
                    <a:xfrm>
                      <a:off x="0" y="0"/>
                      <a:ext cx="5096510" cy="2981960"/>
                    </a:xfrm>
                    <a:prstGeom prst="rect">
                      <a:avLst/>
                    </a:prstGeom>
                    <a:noFill/>
                    <a:ln w="9525">
                      <a:noFill/>
                      <a:miter lim="800000"/>
                      <a:headEnd/>
                      <a:tailEnd/>
                    </a:ln>
                  </pic:spPr>
                </pic:pic>
              </a:graphicData>
            </a:graphic>
          </wp:inline>
        </w:drawing>
      </w:r>
    </w:p>
    <w:p w14:paraId="262E5A4E">
      <w:pPr>
        <w:pStyle w:val="74"/>
        <w:adjustRightInd w:val="0"/>
        <w:snapToGrid w:val="0"/>
        <w:spacing w:line="360" w:lineRule="auto"/>
        <w:ind w:left="0" w:leftChars="0" w:firstLine="0" w:firstLineChars="0"/>
        <w:jc w:val="left"/>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（二）工地围挡</w:t>
      </w:r>
    </w:p>
    <w:p w14:paraId="5B68C707">
      <w:pPr>
        <w:pStyle w:val="74"/>
        <w:adjustRightInd w:val="0"/>
        <w:snapToGrid w:val="0"/>
        <w:spacing w:line="360" w:lineRule="auto"/>
        <w:ind w:firstLine="480"/>
        <w:jc w:val="both"/>
        <w:outlineLvl w:val="9"/>
        <w:rPr>
          <w:rFonts w:cs="仿宋_GB2312" w:asciiTheme="minorEastAsia" w:hAnsiTheme="minorEastAsia" w:eastAsiaTheme="minorEastAsia"/>
          <w:color w:val="auto"/>
          <w:sz w:val="24"/>
          <w:highlight w:val="none"/>
        </w:rPr>
      </w:pPr>
      <w:r>
        <w:rPr>
          <w:rFonts w:cs="楷体_GB2312" w:asciiTheme="minorEastAsia" w:hAnsiTheme="minorEastAsia" w:eastAsiaTheme="minorEastAsia"/>
          <w:color w:val="auto"/>
          <w:sz w:val="24"/>
          <w:highlight w:val="none"/>
          <w:lang w:val="en-US" w:bidi="ar-SA"/>
        </w:rPr>
        <w:drawing>
          <wp:inline distT="0" distB="0" distL="0" distR="0">
            <wp:extent cx="5136515" cy="2941955"/>
            <wp:effectExtent l="19050" t="0" r="6985" b="0"/>
            <wp:docPr id="473" name="图片 2" descr="1663643836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2" descr="1663643836714"/>
                    <pic:cNvPicPr>
                      <a:picLocks noChangeAspect="1" noChangeArrowheads="1"/>
                    </pic:cNvPicPr>
                  </pic:nvPicPr>
                  <pic:blipFill>
                    <a:blip r:embed="rId60"/>
                    <a:srcRect/>
                    <a:stretch>
                      <a:fillRect/>
                    </a:stretch>
                  </pic:blipFill>
                  <pic:spPr>
                    <a:xfrm>
                      <a:off x="0" y="0"/>
                      <a:ext cx="5136515" cy="2941955"/>
                    </a:xfrm>
                    <a:prstGeom prst="rect">
                      <a:avLst/>
                    </a:prstGeom>
                    <a:noFill/>
                    <a:ln w="9525">
                      <a:noFill/>
                      <a:miter lim="800000"/>
                      <a:headEnd/>
                      <a:tailEnd/>
                    </a:ln>
                  </pic:spPr>
                </pic:pic>
              </a:graphicData>
            </a:graphic>
          </wp:inline>
        </w:drawing>
      </w:r>
    </w:p>
    <w:p w14:paraId="48837DEC">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（三）工地办公区</w:t>
      </w:r>
    </w:p>
    <w:p w14:paraId="23F9DAD8">
      <w:pPr>
        <w:pStyle w:val="74"/>
        <w:adjustRightInd w:val="0"/>
        <w:snapToGrid w:val="0"/>
        <w:spacing w:line="360" w:lineRule="auto"/>
        <w:ind w:firstLine="0"/>
        <w:jc w:val="both"/>
        <w:outlineLvl w:val="9"/>
        <w:rPr>
          <w:rFonts w:cs="楷体_GB2312" w:asciiTheme="minorEastAsia" w:hAnsiTheme="minorEastAsia" w:eastAsiaTheme="minorEastAsia"/>
          <w:color w:val="auto"/>
          <w:sz w:val="24"/>
          <w:highlight w:val="none"/>
        </w:rPr>
      </w:pPr>
      <w:r>
        <w:rPr>
          <w:rFonts w:cs="仿宋_GB2312" w:asciiTheme="minorEastAsia" w:hAnsiTheme="minorEastAsia" w:eastAsiaTheme="minorEastAsia"/>
          <w:color w:val="auto"/>
          <w:sz w:val="24"/>
          <w:highlight w:val="none"/>
          <w:lang w:val="en-US" w:bidi="ar-SA"/>
        </w:rPr>
        <w:drawing>
          <wp:inline distT="0" distB="0" distL="0" distR="0">
            <wp:extent cx="4802505" cy="2003425"/>
            <wp:effectExtent l="19050" t="0" r="0" b="0"/>
            <wp:docPr id="474" name="图片 131" descr="166364495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131" descr="1663644956319"/>
                    <pic:cNvPicPr>
                      <a:picLocks noChangeAspect="1" noChangeArrowheads="1"/>
                    </pic:cNvPicPr>
                  </pic:nvPicPr>
                  <pic:blipFill>
                    <a:blip r:embed="rId61"/>
                    <a:srcRect/>
                    <a:stretch>
                      <a:fillRect/>
                    </a:stretch>
                  </pic:blipFill>
                  <pic:spPr>
                    <a:xfrm>
                      <a:off x="0" y="0"/>
                      <a:ext cx="4802505" cy="2003425"/>
                    </a:xfrm>
                    <a:prstGeom prst="rect">
                      <a:avLst/>
                    </a:prstGeom>
                    <a:noFill/>
                    <a:ln w="9525">
                      <a:noFill/>
                      <a:miter lim="800000"/>
                      <a:headEnd/>
                      <a:tailEnd/>
                    </a:ln>
                  </pic:spPr>
                </pic:pic>
              </a:graphicData>
            </a:graphic>
          </wp:inline>
        </w:drawing>
      </w:r>
    </w:p>
    <w:p w14:paraId="02B12E90">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（四）规章制度牌</w:t>
      </w:r>
    </w:p>
    <w:p w14:paraId="76E7450A">
      <w:pPr>
        <w:pStyle w:val="74"/>
        <w:adjustRightInd w:val="0"/>
        <w:snapToGrid w:val="0"/>
        <w:spacing w:line="360" w:lineRule="auto"/>
        <w:ind w:firstLine="0"/>
        <w:jc w:val="both"/>
        <w:outlineLvl w:val="9"/>
        <w:rPr>
          <w:rFonts w:cs="楷体_GB2312" w:asciiTheme="minorEastAsia" w:hAnsiTheme="minorEastAsia" w:eastAsiaTheme="minorEastAsia"/>
          <w:color w:val="auto"/>
          <w:sz w:val="24"/>
          <w:highlight w:val="none"/>
        </w:rPr>
      </w:pPr>
      <w:r>
        <w:rPr>
          <w:rFonts w:cs="楷体_GB2312" w:asciiTheme="minorEastAsia" w:hAnsiTheme="minorEastAsia" w:eastAsiaTheme="minorEastAsia"/>
          <w:color w:val="auto"/>
          <w:sz w:val="24"/>
          <w:highlight w:val="none"/>
          <w:lang w:val="en-US" w:bidi="ar-SA"/>
        </w:rPr>
        <w:drawing>
          <wp:inline distT="0" distB="0" distL="0" distR="0">
            <wp:extent cx="4834255" cy="1916430"/>
            <wp:effectExtent l="19050" t="0" r="4445" b="0"/>
            <wp:docPr id="475" name="图片 132" descr="166364509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132" descr="1663645093058"/>
                    <pic:cNvPicPr>
                      <a:picLocks noChangeAspect="1" noChangeArrowheads="1"/>
                    </pic:cNvPicPr>
                  </pic:nvPicPr>
                  <pic:blipFill>
                    <a:blip r:embed="rId62"/>
                    <a:srcRect/>
                    <a:stretch>
                      <a:fillRect/>
                    </a:stretch>
                  </pic:blipFill>
                  <pic:spPr>
                    <a:xfrm>
                      <a:off x="0" y="0"/>
                      <a:ext cx="4834255" cy="1916430"/>
                    </a:xfrm>
                    <a:prstGeom prst="rect">
                      <a:avLst/>
                    </a:prstGeom>
                    <a:noFill/>
                    <a:ln w="9525">
                      <a:noFill/>
                      <a:miter lim="800000"/>
                      <a:headEnd/>
                      <a:tailEnd/>
                    </a:ln>
                  </pic:spPr>
                </pic:pic>
              </a:graphicData>
            </a:graphic>
          </wp:inline>
        </w:drawing>
      </w:r>
    </w:p>
    <w:p w14:paraId="57A63E14">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（五）施工塔吊</w:t>
      </w:r>
    </w:p>
    <w:p w14:paraId="5CF31105">
      <w:pPr>
        <w:pStyle w:val="74"/>
        <w:adjustRightInd w:val="0"/>
        <w:snapToGrid w:val="0"/>
        <w:spacing w:line="360" w:lineRule="auto"/>
        <w:ind w:firstLine="0"/>
        <w:jc w:val="both"/>
        <w:outlineLvl w:val="9"/>
        <w:rPr>
          <w:rFonts w:cs="楷体_GB2312" w:asciiTheme="minorEastAsia" w:hAnsiTheme="minorEastAsia" w:eastAsiaTheme="minorEastAsia"/>
          <w:color w:val="auto"/>
          <w:sz w:val="24"/>
          <w:highlight w:val="none"/>
        </w:rPr>
      </w:pPr>
      <w:r>
        <w:rPr>
          <w:rFonts w:cs="楷体_GB2312" w:asciiTheme="minorEastAsia" w:hAnsiTheme="minorEastAsia" w:eastAsiaTheme="minorEastAsia"/>
          <w:color w:val="auto"/>
          <w:sz w:val="24"/>
          <w:highlight w:val="none"/>
          <w:lang w:val="en-US" w:bidi="ar-SA"/>
        </w:rPr>
        <w:drawing>
          <wp:inline distT="0" distB="0" distL="0" distR="0">
            <wp:extent cx="4810760" cy="2465070"/>
            <wp:effectExtent l="19050" t="0" r="8890" b="0"/>
            <wp:docPr id="476" name="图片 133" descr="166364566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133" descr="1663645661561"/>
                    <pic:cNvPicPr>
                      <a:picLocks noChangeAspect="1" noChangeArrowheads="1"/>
                    </pic:cNvPicPr>
                  </pic:nvPicPr>
                  <pic:blipFill>
                    <a:blip r:embed="rId63"/>
                    <a:srcRect/>
                    <a:stretch>
                      <a:fillRect/>
                    </a:stretch>
                  </pic:blipFill>
                  <pic:spPr>
                    <a:xfrm>
                      <a:off x="0" y="0"/>
                      <a:ext cx="4810760" cy="2465070"/>
                    </a:xfrm>
                    <a:prstGeom prst="rect">
                      <a:avLst/>
                    </a:prstGeom>
                    <a:noFill/>
                    <a:ln w="9525">
                      <a:noFill/>
                      <a:miter lim="800000"/>
                      <a:headEnd/>
                      <a:tailEnd/>
                    </a:ln>
                  </pic:spPr>
                </pic:pic>
              </a:graphicData>
            </a:graphic>
          </wp:inline>
        </w:drawing>
      </w:r>
    </w:p>
    <w:p w14:paraId="233F79AB">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（六）施工电梯</w:t>
      </w:r>
    </w:p>
    <w:p w14:paraId="315915A6">
      <w:pPr>
        <w:pStyle w:val="74"/>
        <w:adjustRightInd w:val="0"/>
        <w:snapToGrid w:val="0"/>
        <w:spacing w:line="360" w:lineRule="auto"/>
        <w:ind w:firstLine="0"/>
        <w:jc w:val="both"/>
        <w:outlineLvl w:val="9"/>
        <w:rPr>
          <w:rFonts w:cs="楷体_GB2312" w:asciiTheme="minorEastAsia" w:hAnsiTheme="minorEastAsia" w:eastAsiaTheme="minorEastAsia"/>
          <w:color w:val="auto"/>
          <w:sz w:val="24"/>
          <w:highlight w:val="none"/>
        </w:rPr>
      </w:pPr>
      <w:r>
        <w:rPr>
          <w:rFonts w:cs="楷体_GB2312" w:asciiTheme="minorEastAsia" w:hAnsiTheme="minorEastAsia" w:eastAsiaTheme="minorEastAsia"/>
          <w:color w:val="auto"/>
          <w:sz w:val="24"/>
          <w:highlight w:val="none"/>
          <w:lang w:val="en-US" w:bidi="ar-SA"/>
        </w:rPr>
        <w:drawing>
          <wp:inline distT="0" distB="0" distL="0" distR="0">
            <wp:extent cx="4659630" cy="1987550"/>
            <wp:effectExtent l="19050" t="0" r="7620" b="0"/>
            <wp:docPr id="477" name="图片 134" descr="166364573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134" descr="1663645732011"/>
                    <pic:cNvPicPr>
                      <a:picLocks noChangeAspect="1" noChangeArrowheads="1"/>
                    </pic:cNvPicPr>
                  </pic:nvPicPr>
                  <pic:blipFill>
                    <a:blip r:embed="rId64"/>
                    <a:srcRect/>
                    <a:stretch>
                      <a:fillRect/>
                    </a:stretch>
                  </pic:blipFill>
                  <pic:spPr>
                    <a:xfrm>
                      <a:off x="0" y="0"/>
                      <a:ext cx="4659630" cy="1987550"/>
                    </a:xfrm>
                    <a:prstGeom prst="rect">
                      <a:avLst/>
                    </a:prstGeom>
                    <a:noFill/>
                    <a:ln w="9525">
                      <a:noFill/>
                      <a:miter lim="800000"/>
                      <a:headEnd/>
                      <a:tailEnd/>
                    </a:ln>
                  </pic:spPr>
                </pic:pic>
              </a:graphicData>
            </a:graphic>
          </wp:inline>
        </w:drawing>
      </w:r>
    </w:p>
    <w:p w14:paraId="2D705589">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（七）安全通道</w:t>
      </w:r>
    </w:p>
    <w:p w14:paraId="603FDA92">
      <w:pPr>
        <w:pStyle w:val="74"/>
        <w:adjustRightInd w:val="0"/>
        <w:snapToGrid w:val="0"/>
        <w:spacing w:line="360" w:lineRule="auto"/>
        <w:ind w:firstLine="0"/>
        <w:jc w:val="both"/>
        <w:outlineLvl w:val="9"/>
        <w:rPr>
          <w:rFonts w:cs="楷体_GB2312" w:asciiTheme="minorEastAsia" w:hAnsiTheme="minorEastAsia" w:eastAsiaTheme="minorEastAsia"/>
          <w:color w:val="auto"/>
          <w:sz w:val="24"/>
          <w:highlight w:val="none"/>
        </w:rPr>
      </w:pPr>
      <w:r>
        <w:rPr>
          <w:rFonts w:cs="楷体_GB2312" w:asciiTheme="minorEastAsia" w:hAnsiTheme="minorEastAsia" w:eastAsiaTheme="minorEastAsia"/>
          <w:color w:val="auto"/>
          <w:sz w:val="24"/>
          <w:highlight w:val="none"/>
          <w:lang w:val="en-US" w:bidi="ar-SA"/>
        </w:rPr>
        <w:drawing>
          <wp:inline distT="0" distB="0" distL="0" distR="0">
            <wp:extent cx="4667250" cy="2289810"/>
            <wp:effectExtent l="19050" t="0" r="0" b="0"/>
            <wp:docPr id="478" name="图片 135" descr="166364578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35" descr="1663645786789"/>
                    <pic:cNvPicPr>
                      <a:picLocks noChangeAspect="1" noChangeArrowheads="1"/>
                    </pic:cNvPicPr>
                  </pic:nvPicPr>
                  <pic:blipFill>
                    <a:blip r:embed="rId65"/>
                    <a:srcRect/>
                    <a:stretch>
                      <a:fillRect/>
                    </a:stretch>
                  </pic:blipFill>
                  <pic:spPr>
                    <a:xfrm>
                      <a:off x="0" y="0"/>
                      <a:ext cx="4667250" cy="2289810"/>
                    </a:xfrm>
                    <a:prstGeom prst="rect">
                      <a:avLst/>
                    </a:prstGeom>
                    <a:noFill/>
                    <a:ln w="9525">
                      <a:noFill/>
                      <a:miter lim="800000"/>
                      <a:headEnd/>
                      <a:tailEnd/>
                    </a:ln>
                  </pic:spPr>
                </pic:pic>
              </a:graphicData>
            </a:graphic>
          </wp:inline>
        </w:drawing>
      </w:r>
    </w:p>
    <w:p w14:paraId="1A31C9E9">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（八）安全帽</w:t>
      </w:r>
    </w:p>
    <w:p w14:paraId="525ABB72">
      <w:pPr>
        <w:pStyle w:val="74"/>
        <w:adjustRightInd w:val="0"/>
        <w:snapToGrid w:val="0"/>
        <w:spacing w:line="360" w:lineRule="auto"/>
        <w:ind w:firstLine="0"/>
        <w:jc w:val="both"/>
        <w:outlineLvl w:val="9"/>
        <w:rPr>
          <w:rFonts w:cs="楷体_GB2312" w:asciiTheme="minorEastAsia" w:hAnsiTheme="minorEastAsia" w:eastAsiaTheme="minorEastAsia"/>
          <w:color w:val="auto"/>
          <w:sz w:val="24"/>
          <w:highlight w:val="none"/>
        </w:rPr>
      </w:pPr>
      <w:r>
        <w:rPr>
          <w:rFonts w:cs="楷体_GB2312" w:asciiTheme="minorEastAsia" w:hAnsiTheme="minorEastAsia" w:eastAsiaTheme="minorEastAsia"/>
          <w:color w:val="auto"/>
          <w:sz w:val="24"/>
          <w:highlight w:val="none"/>
          <w:lang w:val="en-US" w:bidi="ar-SA"/>
        </w:rPr>
        <w:drawing>
          <wp:inline distT="0" distB="0" distL="0" distR="0">
            <wp:extent cx="4699000" cy="2178685"/>
            <wp:effectExtent l="19050" t="0" r="6350" b="0"/>
            <wp:docPr id="479" name="图片 136" descr="166365540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36" descr="1663655409227"/>
                    <pic:cNvPicPr>
                      <a:picLocks noChangeAspect="1" noChangeArrowheads="1"/>
                    </pic:cNvPicPr>
                  </pic:nvPicPr>
                  <pic:blipFill>
                    <a:blip r:embed="rId66"/>
                    <a:srcRect/>
                    <a:stretch>
                      <a:fillRect/>
                    </a:stretch>
                  </pic:blipFill>
                  <pic:spPr>
                    <a:xfrm>
                      <a:off x="0" y="0"/>
                      <a:ext cx="4699000" cy="2178685"/>
                    </a:xfrm>
                    <a:prstGeom prst="rect">
                      <a:avLst/>
                    </a:prstGeom>
                    <a:noFill/>
                    <a:ln w="9525">
                      <a:noFill/>
                      <a:miter lim="800000"/>
                      <a:headEnd/>
                      <a:tailEnd/>
                    </a:ln>
                  </pic:spPr>
                </pic:pic>
              </a:graphicData>
            </a:graphic>
          </wp:inline>
        </w:drawing>
      </w:r>
    </w:p>
    <w:p w14:paraId="0C8DDED8">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（九）马甲</w:t>
      </w:r>
    </w:p>
    <w:p w14:paraId="7CAFF2F3">
      <w:pPr>
        <w:pStyle w:val="74"/>
        <w:adjustRightInd w:val="0"/>
        <w:snapToGrid w:val="0"/>
        <w:spacing w:line="360" w:lineRule="auto"/>
        <w:ind w:firstLine="0"/>
        <w:jc w:val="both"/>
        <w:outlineLvl w:val="9"/>
        <w:rPr>
          <w:rFonts w:cs="黑体" w:asciiTheme="minorEastAsia" w:hAnsiTheme="minorEastAsia" w:eastAsiaTheme="minorEastAsia"/>
          <w:b/>
          <w:color w:val="auto"/>
          <w:sz w:val="24"/>
          <w:highlight w:val="none"/>
        </w:rPr>
      </w:pPr>
      <w:r>
        <w:rPr>
          <w:rFonts w:cs="黑体" w:asciiTheme="minorEastAsia" w:hAnsiTheme="minorEastAsia" w:eastAsiaTheme="minorEastAsia"/>
          <w:b/>
          <w:color w:val="auto"/>
          <w:sz w:val="24"/>
          <w:highlight w:val="none"/>
          <w:lang w:val="en-US" w:bidi="ar-SA"/>
        </w:rPr>
        <w:drawing>
          <wp:inline distT="0" distB="0" distL="0" distR="0">
            <wp:extent cx="4635500" cy="2298065"/>
            <wp:effectExtent l="19050" t="0" r="0" b="0"/>
            <wp:docPr id="480" name="图片 137" descr="166365553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137" descr="1663655531753"/>
                    <pic:cNvPicPr>
                      <a:picLocks noChangeAspect="1" noChangeArrowheads="1"/>
                    </pic:cNvPicPr>
                  </pic:nvPicPr>
                  <pic:blipFill>
                    <a:blip r:embed="rId67"/>
                    <a:srcRect/>
                    <a:stretch>
                      <a:fillRect/>
                    </a:stretch>
                  </pic:blipFill>
                  <pic:spPr>
                    <a:xfrm>
                      <a:off x="0" y="0"/>
                      <a:ext cx="4635500" cy="2298065"/>
                    </a:xfrm>
                    <a:prstGeom prst="rect">
                      <a:avLst/>
                    </a:prstGeom>
                    <a:noFill/>
                    <a:ln w="9525">
                      <a:noFill/>
                      <a:miter lim="800000"/>
                      <a:headEnd/>
                      <a:tailEnd/>
                    </a:ln>
                  </pic:spPr>
                </pic:pic>
              </a:graphicData>
            </a:graphic>
          </wp:inline>
        </w:drawing>
      </w:r>
    </w:p>
    <w:p w14:paraId="1AB8C646">
      <w:pPr>
        <w:pStyle w:val="74"/>
        <w:adjustRightInd w:val="0"/>
        <w:snapToGrid w:val="0"/>
        <w:spacing w:line="360" w:lineRule="auto"/>
        <w:ind w:left="0" w:leftChars="0" w:firstLine="0" w:firstLineChars="0"/>
        <w:outlineLvl w:val="9"/>
        <w:rPr>
          <w:rFonts w:cs="黑体" w:asciiTheme="minorEastAsia" w:hAnsiTheme="minorEastAsia" w:eastAsiaTheme="minorEastAsia"/>
          <w:b/>
          <w:bCs/>
          <w:color w:val="auto"/>
          <w:sz w:val="21"/>
          <w:szCs w:val="21"/>
          <w:highlight w:val="none"/>
        </w:rPr>
      </w:pPr>
      <w:r>
        <w:rPr>
          <w:rFonts w:hint="eastAsia" w:cs="黑体" w:asciiTheme="minorEastAsia" w:hAnsiTheme="minorEastAsia" w:eastAsiaTheme="minorEastAsia"/>
          <w:b/>
          <w:bCs/>
          <w:color w:val="auto"/>
          <w:sz w:val="21"/>
          <w:szCs w:val="21"/>
          <w:highlight w:val="none"/>
        </w:rPr>
        <w:t>五、文明施工实施细则</w:t>
      </w:r>
    </w:p>
    <w:p w14:paraId="0739818F">
      <w:pPr>
        <w:bidi w:val="0"/>
        <w:spacing w:line="360" w:lineRule="auto"/>
        <w:ind w:firstLine="420" w:firstLineChars="200"/>
        <w:outlineLvl w:val="9"/>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文明施工的内容主要包括：安全标识、标牌；现场围挡与封闭管理；施工通道及场地围合；材料堆放；集中加工区；工完场清；临时水电；治污减霾；现场临时设施；环境保护等10项。</w:t>
      </w:r>
    </w:p>
    <w:p w14:paraId="6C480032">
      <w:pPr>
        <w:pStyle w:val="74"/>
        <w:adjustRightInd w:val="0"/>
        <w:snapToGrid w:val="0"/>
        <w:spacing w:line="360" w:lineRule="auto"/>
        <w:ind w:left="0" w:leftChars="0" w:firstLine="0" w:firstLineChars="0"/>
        <w:outlineLvl w:val="9"/>
        <w:rPr>
          <w:rFonts w:hint="eastAsia" w:cs="楷体_GB2312" w:asciiTheme="minorEastAsia" w:hAnsiTheme="minorEastAsia" w:eastAsiaTheme="minorEastAsia"/>
          <w:color w:val="auto"/>
          <w:sz w:val="21"/>
          <w:szCs w:val="21"/>
          <w:highlight w:val="none"/>
        </w:rPr>
        <w:sectPr>
          <w:headerReference r:id="rId23" w:type="first"/>
          <w:footerReference r:id="rId25" w:type="first"/>
          <w:headerReference r:id="rId22" w:type="default"/>
          <w:footerReference r:id="rId24" w:type="default"/>
          <w:pgSz w:w="12240" w:h="15840"/>
          <w:pgMar w:top="1440" w:right="1440" w:bottom="1440" w:left="1440" w:header="720" w:footer="720" w:gutter="0"/>
          <w:pgBorders>
            <w:top w:val="none" w:sz="0" w:space="0"/>
            <w:left w:val="none" w:sz="0" w:space="0"/>
            <w:bottom w:val="none" w:sz="0" w:space="0"/>
            <w:right w:val="none" w:sz="0" w:space="0"/>
          </w:pgBorders>
          <w:cols w:space="0" w:num="1"/>
          <w:titlePg/>
        </w:sectPr>
      </w:pPr>
      <w:r>
        <w:rPr>
          <w:rFonts w:hint="eastAsia" w:cs="楷体_GB2312" w:asciiTheme="minorEastAsia" w:hAnsiTheme="minorEastAsia" w:eastAsiaTheme="minorEastAsia"/>
          <w:color w:val="auto"/>
          <w:sz w:val="21"/>
          <w:szCs w:val="21"/>
          <w:highlight w:val="none"/>
        </w:rPr>
        <w:t>（一）安全标识、标牌</w:t>
      </w:r>
    </w:p>
    <w:p w14:paraId="5915C40A">
      <w:pPr>
        <w:pStyle w:val="74"/>
        <w:adjustRightInd w:val="0"/>
        <w:snapToGrid w:val="0"/>
        <w:spacing w:line="360" w:lineRule="auto"/>
        <w:ind w:left="0" w:leftChars="0" w:firstLine="0" w:firstLineChars="0"/>
        <w:outlineLvl w:val="9"/>
        <w:rPr>
          <w:rFonts w:hint="eastAsia" w:cs="楷体_GB2312" w:asciiTheme="minorEastAsia" w:hAnsiTheme="minorEastAsia" w:eastAsiaTheme="minorEastAsia"/>
          <w:color w:val="auto"/>
          <w:sz w:val="21"/>
          <w:szCs w:val="21"/>
          <w:highlight w:val="none"/>
        </w:rPr>
      </w:pPr>
    </w:p>
    <w:tbl>
      <w:tblPr>
        <w:tblStyle w:val="56"/>
        <w:tblW w:w="919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52"/>
        <w:gridCol w:w="4395"/>
        <w:gridCol w:w="3543"/>
      </w:tblGrid>
      <w:tr w14:paraId="34A8A2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52" w:type="dxa"/>
            <w:vAlign w:val="center"/>
          </w:tcPr>
          <w:p w14:paraId="3B55904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管理项目</w:t>
            </w:r>
          </w:p>
        </w:tc>
        <w:tc>
          <w:tcPr>
            <w:tcW w:w="4395" w:type="dxa"/>
            <w:vAlign w:val="center"/>
          </w:tcPr>
          <w:p w14:paraId="2DC4DAE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543" w:type="dxa"/>
            <w:vAlign w:val="center"/>
          </w:tcPr>
          <w:p w14:paraId="63602CB5">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0678F3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448" w:hRule="atLeast"/>
          <w:jc w:val="center"/>
        </w:trPr>
        <w:tc>
          <w:tcPr>
            <w:tcW w:w="1252" w:type="dxa"/>
          </w:tcPr>
          <w:p w14:paraId="64E49FE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八牌二图</w:t>
            </w:r>
          </w:p>
        </w:tc>
        <w:tc>
          <w:tcPr>
            <w:tcW w:w="4395" w:type="dxa"/>
          </w:tcPr>
          <w:p w14:paraId="5E805FD2">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1）工地主出入口处需设置：工程概况牌、安全措施牌、文明施工牌、入场须知牌、管理人员名单及监督电话牌、消防保卫制度牌、建筑工人维权须知牌、施工现场安全管理制度牌及施工总平面布置图、消防平面布置图等；</w:t>
            </w:r>
          </w:p>
          <w:p w14:paraId="21FB4ADE">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2）可用不锈钢制作及现场施工材料制作。要求美观、大方、醒目、耐用。</w:t>
            </w:r>
          </w:p>
          <w:p w14:paraId="3193129A">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tc>
        <w:tc>
          <w:tcPr>
            <w:tcW w:w="3543" w:type="dxa"/>
          </w:tcPr>
          <w:p w14:paraId="02C74AF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cs="仿宋_GB2312" w:asciiTheme="minorEastAsia" w:hAnsiTheme="minorEastAsia" w:eastAsiaTheme="minorEastAsia"/>
                <w:color w:val="auto"/>
                <w:sz w:val="24"/>
                <w:highlight w:val="none"/>
              </w:rPr>
              <w:drawing>
                <wp:anchor distT="0" distB="0" distL="0" distR="0" simplePos="0" relativeHeight="251668480" behindDoc="0" locked="0" layoutInCell="1" allowOverlap="1">
                  <wp:simplePos x="0" y="0"/>
                  <wp:positionH relativeFrom="column">
                    <wp:posOffset>-20320</wp:posOffset>
                  </wp:positionH>
                  <wp:positionV relativeFrom="paragraph">
                    <wp:posOffset>24765</wp:posOffset>
                  </wp:positionV>
                  <wp:extent cx="2065020" cy="1825625"/>
                  <wp:effectExtent l="19050" t="0" r="0" b="0"/>
                  <wp:wrapNone/>
                  <wp:docPr id="110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图片 28"/>
                          <pic:cNvPicPr>
                            <a:picLocks noChangeAspect="1" noChangeArrowheads="1"/>
                          </pic:cNvPicPr>
                        </pic:nvPicPr>
                        <pic:blipFill>
                          <a:blip r:embed="rId68"/>
                          <a:srcRect l="32903" r="7097" b="43562"/>
                          <a:stretch>
                            <a:fillRect/>
                          </a:stretch>
                        </pic:blipFill>
                        <pic:spPr>
                          <a:xfrm>
                            <a:off x="0" y="0"/>
                            <a:ext cx="2065020" cy="1825625"/>
                          </a:xfrm>
                          <a:prstGeom prst="rect">
                            <a:avLst/>
                          </a:prstGeom>
                          <a:noFill/>
                          <a:ln w="9525">
                            <a:noFill/>
                            <a:miter lim="800000"/>
                            <a:headEnd/>
                            <a:tailEnd/>
                          </a:ln>
                        </pic:spPr>
                      </pic:pic>
                    </a:graphicData>
                  </a:graphic>
                </wp:anchor>
              </w:drawing>
            </w:r>
          </w:p>
          <w:p w14:paraId="4D322941">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p w14:paraId="7734BE4B">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p w14:paraId="0886AB33">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p w14:paraId="3D16845C">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p w14:paraId="2BF325F2">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p w14:paraId="2D133660">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cs="仿宋_GB2312" w:asciiTheme="minorEastAsia" w:hAnsiTheme="minorEastAsia" w:eastAsiaTheme="minorEastAsia"/>
                <w:color w:val="auto"/>
                <w:sz w:val="24"/>
                <w:highlight w:val="none"/>
              </w:rPr>
              <w:drawing>
                <wp:anchor distT="0" distB="0" distL="0" distR="0" simplePos="0" relativeHeight="251669504" behindDoc="0" locked="0" layoutInCell="1" allowOverlap="1">
                  <wp:simplePos x="0" y="0"/>
                  <wp:positionH relativeFrom="column">
                    <wp:posOffset>22225</wp:posOffset>
                  </wp:positionH>
                  <wp:positionV relativeFrom="paragraph">
                    <wp:posOffset>191135</wp:posOffset>
                  </wp:positionV>
                  <wp:extent cx="2053590" cy="1586865"/>
                  <wp:effectExtent l="19050" t="0" r="3810" b="0"/>
                  <wp:wrapNone/>
                  <wp:docPr id="111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图片 57"/>
                          <pic:cNvPicPr>
                            <a:picLocks noChangeAspect="1" noChangeArrowheads="1"/>
                          </pic:cNvPicPr>
                        </pic:nvPicPr>
                        <pic:blipFill>
                          <a:blip r:embed="rId69"/>
                          <a:srcRect/>
                          <a:stretch>
                            <a:fillRect/>
                          </a:stretch>
                        </pic:blipFill>
                        <pic:spPr>
                          <a:xfrm>
                            <a:off x="0" y="0"/>
                            <a:ext cx="2053590" cy="1586865"/>
                          </a:xfrm>
                          <a:prstGeom prst="rect">
                            <a:avLst/>
                          </a:prstGeom>
                          <a:noFill/>
                          <a:ln w="9525">
                            <a:noFill/>
                            <a:miter lim="800000"/>
                            <a:headEnd/>
                            <a:tailEnd/>
                          </a:ln>
                        </pic:spPr>
                      </pic:pic>
                    </a:graphicData>
                  </a:graphic>
                </wp:anchor>
              </w:drawing>
            </w:r>
          </w:p>
          <w:p w14:paraId="19CE518A">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p w14:paraId="05BF19A1">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p w14:paraId="3C515B94">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p w14:paraId="56FC8DE8">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70528" behindDoc="0" locked="0" layoutInCell="1" allowOverlap="1">
                  <wp:simplePos x="0" y="0"/>
                  <wp:positionH relativeFrom="column">
                    <wp:posOffset>53340</wp:posOffset>
                  </wp:positionH>
                  <wp:positionV relativeFrom="paragraph">
                    <wp:posOffset>678180</wp:posOffset>
                  </wp:positionV>
                  <wp:extent cx="2022475" cy="1601470"/>
                  <wp:effectExtent l="19050" t="0" r="0" b="0"/>
                  <wp:wrapSquare wrapText="bothSides"/>
                  <wp:docPr id="1111"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图片 104"/>
                          <pic:cNvPicPr>
                            <a:picLocks noChangeAspect="1" noChangeArrowheads="1"/>
                          </pic:cNvPicPr>
                        </pic:nvPicPr>
                        <pic:blipFill>
                          <a:blip r:embed="rId70"/>
                          <a:srcRect/>
                          <a:stretch>
                            <a:fillRect/>
                          </a:stretch>
                        </pic:blipFill>
                        <pic:spPr>
                          <a:xfrm>
                            <a:off x="0" y="0"/>
                            <a:ext cx="2022475" cy="1601470"/>
                          </a:xfrm>
                          <a:prstGeom prst="rect">
                            <a:avLst/>
                          </a:prstGeom>
                          <a:noFill/>
                          <a:ln w="9525">
                            <a:noFill/>
                            <a:miter lim="800000"/>
                            <a:headEnd/>
                            <a:tailEnd/>
                          </a:ln>
                        </pic:spPr>
                      </pic:pic>
                    </a:graphicData>
                  </a:graphic>
                </wp:anchor>
              </w:drawing>
            </w:r>
          </w:p>
        </w:tc>
      </w:tr>
      <w:tr w14:paraId="6F9F13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67" w:hRule="atLeast"/>
          <w:jc w:val="center"/>
        </w:trPr>
        <w:tc>
          <w:tcPr>
            <w:tcW w:w="1252" w:type="dxa"/>
          </w:tcPr>
          <w:p w14:paraId="5847C51A">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安全警示牌</w:t>
            </w:r>
          </w:p>
        </w:tc>
        <w:tc>
          <w:tcPr>
            <w:tcW w:w="4395" w:type="dxa"/>
          </w:tcPr>
          <w:p w14:paraId="16A30C7F">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施工主出入口处应设置安全警示牌；可用不锈钢制作及现场施工材料制作。要求美观、大方、醒目、耐用。</w:t>
            </w:r>
          </w:p>
        </w:tc>
        <w:tc>
          <w:tcPr>
            <w:tcW w:w="3543" w:type="dxa"/>
          </w:tcPr>
          <w:p w14:paraId="26588CBD">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72576" behindDoc="0" locked="0" layoutInCell="1" allowOverlap="1">
                  <wp:simplePos x="0" y="0"/>
                  <wp:positionH relativeFrom="column">
                    <wp:posOffset>53340</wp:posOffset>
                  </wp:positionH>
                  <wp:positionV relativeFrom="paragraph">
                    <wp:posOffset>1718310</wp:posOffset>
                  </wp:positionV>
                  <wp:extent cx="2034540" cy="1777365"/>
                  <wp:effectExtent l="19050" t="0" r="3810" b="0"/>
                  <wp:wrapSquare wrapText="bothSides"/>
                  <wp:docPr id="1113" name="图片 274" descr="SAM_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图片 274" descr="SAM_2980"/>
                          <pic:cNvPicPr>
                            <a:picLocks noChangeAspect="1" noChangeArrowheads="1"/>
                          </pic:cNvPicPr>
                        </pic:nvPicPr>
                        <pic:blipFill>
                          <a:blip r:embed="rId71"/>
                          <a:srcRect/>
                          <a:stretch>
                            <a:fillRect/>
                          </a:stretch>
                        </pic:blipFill>
                        <pic:spPr>
                          <a:xfrm>
                            <a:off x="0" y="0"/>
                            <a:ext cx="2034540" cy="177736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drawing>
                <wp:anchor distT="0" distB="0" distL="0" distR="0" simplePos="0" relativeHeight="251671552" behindDoc="0" locked="0" layoutInCell="1" allowOverlap="1">
                  <wp:simplePos x="0" y="0"/>
                  <wp:positionH relativeFrom="column">
                    <wp:posOffset>53340</wp:posOffset>
                  </wp:positionH>
                  <wp:positionV relativeFrom="paragraph">
                    <wp:posOffset>61595</wp:posOffset>
                  </wp:positionV>
                  <wp:extent cx="2051050" cy="1581785"/>
                  <wp:effectExtent l="19050" t="0" r="6350" b="0"/>
                  <wp:wrapNone/>
                  <wp:docPr id="1112" name="图片 84" descr="C:\Users\ADMINI~1\AppData\Local\Temp\1511774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图片 84" descr="C:\Users\ADMINI~1\AppData\Local\Temp\1511774004(3).jpg"/>
                          <pic:cNvPicPr>
                            <a:picLocks noChangeAspect="1" noChangeArrowheads="1"/>
                          </pic:cNvPicPr>
                        </pic:nvPicPr>
                        <pic:blipFill>
                          <a:blip r:embed="rId72"/>
                          <a:srcRect/>
                          <a:stretch>
                            <a:fillRect/>
                          </a:stretch>
                        </pic:blipFill>
                        <pic:spPr>
                          <a:xfrm>
                            <a:off x="0" y="0"/>
                            <a:ext cx="2051050" cy="1581785"/>
                          </a:xfrm>
                          <a:prstGeom prst="rect">
                            <a:avLst/>
                          </a:prstGeom>
                          <a:noFill/>
                          <a:ln w="9525">
                            <a:noFill/>
                            <a:miter lim="800000"/>
                            <a:headEnd/>
                            <a:tailEnd/>
                          </a:ln>
                        </pic:spPr>
                      </pic:pic>
                    </a:graphicData>
                  </a:graphic>
                </wp:anchor>
              </w:drawing>
            </w:r>
          </w:p>
        </w:tc>
      </w:tr>
      <w:tr w14:paraId="0FCB05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3" w:hRule="atLeast"/>
          <w:jc w:val="center"/>
        </w:trPr>
        <w:tc>
          <w:tcPr>
            <w:tcW w:w="1252" w:type="dxa"/>
          </w:tcPr>
          <w:p w14:paraId="09FE09C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班前讲解台</w:t>
            </w:r>
          </w:p>
        </w:tc>
        <w:tc>
          <w:tcPr>
            <w:tcW w:w="4395" w:type="dxa"/>
          </w:tcPr>
          <w:p w14:paraId="28720DB7">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班前讲台可设置在施工区主要道路旁或主要入口处。</w:t>
            </w:r>
          </w:p>
        </w:tc>
        <w:tc>
          <w:tcPr>
            <w:tcW w:w="3543" w:type="dxa"/>
          </w:tcPr>
          <w:p w14:paraId="0FF386A1">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73600" behindDoc="0" locked="0" layoutInCell="1" allowOverlap="1">
                  <wp:simplePos x="0" y="0"/>
                  <wp:positionH relativeFrom="column">
                    <wp:posOffset>-36195</wp:posOffset>
                  </wp:positionH>
                  <wp:positionV relativeFrom="paragraph">
                    <wp:posOffset>113030</wp:posOffset>
                  </wp:positionV>
                  <wp:extent cx="2001520" cy="1783080"/>
                  <wp:effectExtent l="19050" t="0" r="0" b="0"/>
                  <wp:wrapNone/>
                  <wp:docPr id="111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图片 59"/>
                          <pic:cNvPicPr>
                            <a:picLocks noChangeAspect="1" noChangeArrowheads="1"/>
                          </pic:cNvPicPr>
                        </pic:nvPicPr>
                        <pic:blipFill>
                          <a:blip r:embed="rId73"/>
                          <a:srcRect/>
                          <a:stretch>
                            <a:fillRect/>
                          </a:stretch>
                        </pic:blipFill>
                        <pic:spPr>
                          <a:xfrm>
                            <a:off x="0" y="0"/>
                            <a:ext cx="2001520" cy="1783080"/>
                          </a:xfrm>
                          <a:prstGeom prst="rect">
                            <a:avLst/>
                          </a:prstGeom>
                          <a:noFill/>
                          <a:ln w="9525">
                            <a:noFill/>
                            <a:miter lim="800000"/>
                            <a:headEnd/>
                            <a:tailEnd/>
                          </a:ln>
                        </pic:spPr>
                      </pic:pic>
                    </a:graphicData>
                  </a:graphic>
                </wp:anchor>
              </w:drawing>
            </w:r>
          </w:p>
        </w:tc>
      </w:tr>
      <w:tr w14:paraId="76D5A3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33" w:hRule="atLeast"/>
          <w:jc w:val="center"/>
        </w:trPr>
        <w:tc>
          <w:tcPr>
            <w:tcW w:w="1252" w:type="dxa"/>
          </w:tcPr>
          <w:p w14:paraId="2743D5EA">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楼栋、楼层标识牌</w:t>
            </w:r>
          </w:p>
        </w:tc>
        <w:tc>
          <w:tcPr>
            <w:tcW w:w="4395" w:type="dxa"/>
          </w:tcPr>
          <w:p w14:paraId="359CA2D6">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 xml:space="preserve">外架上、人货梯门口楼层处应每层悬挂楼层标识牌，在施楼栋内每层应有标识牌。 </w:t>
            </w:r>
          </w:p>
        </w:tc>
        <w:tc>
          <w:tcPr>
            <w:tcW w:w="3543" w:type="dxa"/>
          </w:tcPr>
          <w:p w14:paraId="2EB30592">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74624" behindDoc="0" locked="0" layoutInCell="1" allowOverlap="1">
                  <wp:simplePos x="0" y="0"/>
                  <wp:positionH relativeFrom="column">
                    <wp:posOffset>-5715</wp:posOffset>
                  </wp:positionH>
                  <wp:positionV relativeFrom="paragraph">
                    <wp:posOffset>25400</wp:posOffset>
                  </wp:positionV>
                  <wp:extent cx="1971040" cy="1546225"/>
                  <wp:effectExtent l="19050" t="0" r="0" b="0"/>
                  <wp:wrapNone/>
                  <wp:docPr id="111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图片 47"/>
                          <pic:cNvPicPr>
                            <a:picLocks noChangeAspect="1" noChangeArrowheads="1"/>
                          </pic:cNvPicPr>
                        </pic:nvPicPr>
                        <pic:blipFill>
                          <a:blip r:embed="rId74"/>
                          <a:srcRect/>
                          <a:stretch>
                            <a:fillRect/>
                          </a:stretch>
                        </pic:blipFill>
                        <pic:spPr>
                          <a:xfrm>
                            <a:off x="0" y="0"/>
                            <a:ext cx="1971040" cy="1546225"/>
                          </a:xfrm>
                          <a:prstGeom prst="rect">
                            <a:avLst/>
                          </a:prstGeom>
                          <a:noFill/>
                          <a:ln w="9525">
                            <a:noFill/>
                            <a:miter lim="800000"/>
                            <a:headEnd/>
                            <a:tailEnd/>
                          </a:ln>
                        </pic:spPr>
                      </pic:pic>
                    </a:graphicData>
                  </a:graphic>
                </wp:anchor>
              </w:drawing>
            </w:r>
          </w:p>
        </w:tc>
      </w:tr>
      <w:tr w14:paraId="5F4AFE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34" w:hRule="atLeast"/>
          <w:jc w:val="center"/>
        </w:trPr>
        <w:tc>
          <w:tcPr>
            <w:tcW w:w="1252" w:type="dxa"/>
          </w:tcPr>
          <w:p w14:paraId="2C31820F">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外架验收牌</w:t>
            </w:r>
          </w:p>
        </w:tc>
        <w:tc>
          <w:tcPr>
            <w:tcW w:w="4395" w:type="dxa"/>
          </w:tcPr>
          <w:p w14:paraId="76DA2638">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外架搭设完成经验收合格方可使用，并在外架上悬挂外架验收牌</w:t>
            </w:r>
          </w:p>
          <w:p w14:paraId="0AFAB315">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sz w:val="21"/>
                <w:szCs w:val="21"/>
                <w:highlight w:val="none"/>
                <w:lang w:val="en-US"/>
              </w:rPr>
            </w:pPr>
          </w:p>
        </w:tc>
        <w:tc>
          <w:tcPr>
            <w:tcW w:w="3543" w:type="dxa"/>
          </w:tcPr>
          <w:p w14:paraId="4B0297C9">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76672" behindDoc="0" locked="0" layoutInCell="1" allowOverlap="1">
                  <wp:simplePos x="0" y="0"/>
                  <wp:positionH relativeFrom="column">
                    <wp:posOffset>0</wp:posOffset>
                  </wp:positionH>
                  <wp:positionV relativeFrom="paragraph">
                    <wp:posOffset>1674495</wp:posOffset>
                  </wp:positionV>
                  <wp:extent cx="2019935" cy="1633855"/>
                  <wp:effectExtent l="19050" t="0" r="0" b="0"/>
                  <wp:wrapNone/>
                  <wp:docPr id="11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图片 8"/>
                          <pic:cNvPicPr>
                            <a:picLocks noChangeAspect="1" noChangeArrowheads="1"/>
                          </pic:cNvPicPr>
                        </pic:nvPicPr>
                        <pic:blipFill>
                          <a:blip r:embed="rId75"/>
                          <a:srcRect/>
                          <a:stretch>
                            <a:fillRect/>
                          </a:stretch>
                        </pic:blipFill>
                        <pic:spPr>
                          <a:xfrm>
                            <a:off x="0" y="0"/>
                            <a:ext cx="2019935" cy="163385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drawing>
                <wp:anchor distT="0" distB="0" distL="114300" distR="114300" simplePos="0" relativeHeight="251675648" behindDoc="0" locked="0" layoutInCell="1" allowOverlap="1">
                  <wp:simplePos x="0" y="0"/>
                  <wp:positionH relativeFrom="column">
                    <wp:posOffset>-7620</wp:posOffset>
                  </wp:positionH>
                  <wp:positionV relativeFrom="paragraph">
                    <wp:posOffset>52705</wp:posOffset>
                  </wp:positionV>
                  <wp:extent cx="2018665" cy="1625600"/>
                  <wp:effectExtent l="19050" t="0" r="635" b="0"/>
                  <wp:wrapNone/>
                  <wp:docPr id="1116" name="图片 18" descr="166364573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图片 18" descr="1663645732011"/>
                          <pic:cNvPicPr>
                            <a:picLocks noChangeAspect="1" noChangeArrowheads="1"/>
                          </pic:cNvPicPr>
                        </pic:nvPicPr>
                        <pic:blipFill>
                          <a:blip r:embed="rId76" cstate="print"/>
                          <a:srcRect/>
                          <a:stretch>
                            <a:fillRect/>
                          </a:stretch>
                        </pic:blipFill>
                        <pic:spPr>
                          <a:xfrm>
                            <a:off x="0" y="0"/>
                            <a:ext cx="2018665" cy="1625600"/>
                          </a:xfrm>
                          <a:prstGeom prst="rect">
                            <a:avLst/>
                          </a:prstGeom>
                          <a:noFill/>
                          <a:ln w="9525">
                            <a:noFill/>
                            <a:miter lim="800000"/>
                            <a:headEnd/>
                            <a:tailEnd/>
                          </a:ln>
                        </pic:spPr>
                      </pic:pic>
                    </a:graphicData>
                  </a:graphic>
                </wp:anchor>
              </w:drawing>
            </w:r>
          </w:p>
        </w:tc>
      </w:tr>
      <w:tr w14:paraId="12B621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52" w:type="dxa"/>
          </w:tcPr>
          <w:p w14:paraId="6B35C7E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现场安全</w:t>
            </w:r>
          </w:p>
          <w:p w14:paraId="4EB98FC8">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禁令标识</w:t>
            </w:r>
          </w:p>
        </w:tc>
        <w:tc>
          <w:tcPr>
            <w:tcW w:w="4395" w:type="dxa"/>
          </w:tcPr>
          <w:p w14:paraId="0D21DB85">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按要求设置现场禁令、标识。</w:t>
            </w:r>
          </w:p>
          <w:p w14:paraId="2E80FDF1">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例：工地大门出入口处悬挂：施工重地闲人免进牌、必须戴安全帽牌、禁止吸烟牌、注意安全警示牌等；</w:t>
            </w:r>
          </w:p>
          <w:p w14:paraId="14A38165">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木工加工区悬挂：禁止吸烟牌、禁止烟火牌、当心机械伤人牌等；</w:t>
            </w:r>
          </w:p>
          <w:p w14:paraId="08728D43">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楼栋通道口：禁止吸烟牌、</w:t>
            </w:r>
          </w:p>
          <w:p w14:paraId="3CDAB497">
            <w:pPr>
              <w:keepNext w:val="0"/>
              <w:keepLines w:val="0"/>
              <w:suppressLineNumbers w:val="0"/>
              <w:adjustRightInd w:val="0"/>
              <w:snapToGrid w:val="0"/>
              <w:spacing w:before="0" w:beforeAutospacing="0" w:after="0" w:afterAutospacing="0" w:line="360" w:lineRule="auto"/>
              <w:ind w:left="0" w:right="0"/>
              <w:jc w:val="left"/>
              <w:outlineLvl w:val="9"/>
              <w:rPr>
                <w:rFonts w:asciiTheme="minorEastAsia" w:hAnsiTheme="minorEastAsia" w:eastAsiaTheme="minorEastAsia"/>
                <w:color w:val="auto"/>
                <w:highlight w:val="none"/>
                <w:lang w:val="en-US"/>
              </w:rPr>
            </w:pPr>
            <w:r>
              <w:rPr>
                <w:rFonts w:hint="eastAsia" w:cs="仿宋_GB2312" w:asciiTheme="minorEastAsia" w:hAnsiTheme="minorEastAsia" w:eastAsiaTheme="minorEastAsia"/>
                <w:color w:val="auto"/>
                <w:sz w:val="24"/>
                <w:highlight w:val="none"/>
              </w:rPr>
              <w:t>注意安全警示牌、当心落物警示牌、必须戴安全帽牌</w:t>
            </w:r>
          </w:p>
          <w:p w14:paraId="6F2A23DF">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0B854377">
            <w:pPr>
              <w:pStyle w:val="74"/>
              <w:keepNext w:val="0"/>
              <w:keepLines w:val="0"/>
              <w:suppressLineNumbers w:val="0"/>
              <w:spacing w:before="0" w:beforeAutospacing="0" w:after="0" w:afterAutospacing="0"/>
              <w:ind w:left="0" w:leftChars="0" w:right="0" w:firstLine="0" w:firstLineChars="0"/>
              <w:outlineLvl w:val="9"/>
              <w:rPr>
                <w:rFonts w:asciiTheme="minorEastAsia" w:hAnsiTheme="minorEastAsia" w:eastAsiaTheme="minorEastAsia"/>
                <w:color w:val="auto"/>
                <w:highlight w:val="none"/>
                <w:lang w:val="en-US"/>
              </w:rPr>
            </w:pPr>
          </w:p>
          <w:p w14:paraId="64D79CD1">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tc>
        <w:tc>
          <w:tcPr>
            <w:tcW w:w="3543" w:type="dxa"/>
          </w:tcPr>
          <w:p w14:paraId="0940CB3E">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cs="仿宋_GB2312" w:asciiTheme="minorEastAsia" w:hAnsiTheme="minorEastAsia" w:eastAsiaTheme="minorEastAsia"/>
                <w:color w:val="auto"/>
                <w:sz w:val="24"/>
                <w:highlight w:val="none"/>
              </w:rPr>
              <w:drawing>
                <wp:anchor distT="0" distB="0" distL="0" distR="0" simplePos="0" relativeHeight="251677696" behindDoc="0" locked="0" layoutInCell="1" allowOverlap="1">
                  <wp:simplePos x="0" y="0"/>
                  <wp:positionH relativeFrom="column">
                    <wp:posOffset>130810</wp:posOffset>
                  </wp:positionH>
                  <wp:positionV relativeFrom="paragraph">
                    <wp:posOffset>46355</wp:posOffset>
                  </wp:positionV>
                  <wp:extent cx="1801495" cy="1647825"/>
                  <wp:effectExtent l="19050" t="0" r="8255" b="0"/>
                  <wp:wrapNone/>
                  <wp:docPr id="111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图片 35"/>
                          <pic:cNvPicPr>
                            <a:picLocks noChangeAspect="1" noChangeArrowheads="1"/>
                          </pic:cNvPicPr>
                        </pic:nvPicPr>
                        <pic:blipFill>
                          <a:blip r:embed="rId77"/>
                          <a:srcRect/>
                          <a:stretch>
                            <a:fillRect/>
                          </a:stretch>
                        </pic:blipFill>
                        <pic:spPr>
                          <a:xfrm>
                            <a:off x="0" y="0"/>
                            <a:ext cx="1801495" cy="1647825"/>
                          </a:xfrm>
                          <a:prstGeom prst="rect">
                            <a:avLst/>
                          </a:prstGeom>
                          <a:noFill/>
                          <a:ln w="9525">
                            <a:noFill/>
                            <a:miter lim="800000"/>
                            <a:headEnd/>
                            <a:tailEnd/>
                          </a:ln>
                        </pic:spPr>
                      </pic:pic>
                    </a:graphicData>
                  </a:graphic>
                </wp:anchor>
              </w:drawing>
            </w:r>
          </w:p>
          <w:p w14:paraId="74C11C5A">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p w14:paraId="0B76C133">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lang w:val="en-US" w:bidi="ar-SA"/>
              </w:rPr>
              <w:drawing>
                <wp:anchor distT="0" distB="0" distL="0" distR="0" simplePos="0" relativeHeight="251678720" behindDoc="0" locked="0" layoutInCell="1" allowOverlap="1">
                  <wp:simplePos x="0" y="0"/>
                  <wp:positionH relativeFrom="column">
                    <wp:posOffset>170180</wp:posOffset>
                  </wp:positionH>
                  <wp:positionV relativeFrom="paragraph">
                    <wp:posOffset>1122680</wp:posOffset>
                  </wp:positionV>
                  <wp:extent cx="1534795" cy="1459865"/>
                  <wp:effectExtent l="19050" t="0" r="8255" b="0"/>
                  <wp:wrapNone/>
                  <wp:docPr id="11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图片 21"/>
                          <pic:cNvPicPr>
                            <a:picLocks noChangeAspect="1" noChangeArrowheads="1"/>
                          </pic:cNvPicPr>
                        </pic:nvPicPr>
                        <pic:blipFill>
                          <a:blip r:embed="rId78"/>
                          <a:srcRect/>
                          <a:stretch>
                            <a:fillRect/>
                          </a:stretch>
                        </pic:blipFill>
                        <pic:spPr>
                          <a:xfrm>
                            <a:off x="0" y="0"/>
                            <a:ext cx="1534795" cy="1459865"/>
                          </a:xfrm>
                          <a:prstGeom prst="rect">
                            <a:avLst/>
                          </a:prstGeom>
                          <a:noFill/>
                          <a:ln w="9525">
                            <a:noFill/>
                            <a:miter lim="800000"/>
                            <a:headEnd/>
                            <a:tailEnd/>
                          </a:ln>
                        </pic:spPr>
                      </pic:pic>
                    </a:graphicData>
                  </a:graphic>
                </wp:anchor>
              </w:drawing>
            </w:r>
          </w:p>
        </w:tc>
      </w:tr>
    </w:tbl>
    <w:p w14:paraId="08E18DF7">
      <w:pPr>
        <w:pStyle w:val="74"/>
        <w:adjustRightInd w:val="0"/>
        <w:snapToGrid w:val="0"/>
        <w:spacing w:line="360" w:lineRule="auto"/>
        <w:outlineLvl w:val="9"/>
        <w:rPr>
          <w:rFonts w:hint="eastAsia" w:cs="楷体_GB2312" w:asciiTheme="minorEastAsia" w:hAnsiTheme="minorEastAsia" w:eastAsiaTheme="minorEastAsia"/>
          <w:color w:val="auto"/>
          <w:sz w:val="24"/>
          <w:highlight w:val="none"/>
        </w:rPr>
        <w:sectPr>
          <w:pgSz w:w="12240" w:h="15840"/>
          <w:pgMar w:top="1440" w:right="1440" w:bottom="1440" w:left="1440" w:header="720" w:footer="720" w:gutter="0"/>
          <w:pgBorders>
            <w:top w:val="none" w:sz="0" w:space="0"/>
            <w:left w:val="none" w:sz="0" w:space="0"/>
            <w:bottom w:val="none" w:sz="0" w:space="0"/>
            <w:right w:val="none" w:sz="0" w:space="0"/>
          </w:pgBorders>
          <w:cols w:space="0" w:num="1"/>
          <w:titlePg/>
        </w:sectPr>
      </w:pPr>
    </w:p>
    <w:p w14:paraId="73C623C3">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（二）现场围挡与封闭管理</w:t>
      </w:r>
    </w:p>
    <w:tbl>
      <w:tblPr>
        <w:tblStyle w:val="56"/>
        <w:tblW w:w="918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76"/>
        <w:gridCol w:w="4367"/>
        <w:gridCol w:w="3544"/>
      </w:tblGrid>
      <w:tr w14:paraId="2061AB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76" w:type="dxa"/>
            <w:vAlign w:val="center"/>
          </w:tcPr>
          <w:p w14:paraId="65948E7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367" w:type="dxa"/>
            <w:vAlign w:val="center"/>
          </w:tcPr>
          <w:p w14:paraId="6132CF1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544" w:type="dxa"/>
            <w:vAlign w:val="center"/>
          </w:tcPr>
          <w:p w14:paraId="420978F7">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6ADD76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22" w:hRule="atLeast"/>
          <w:jc w:val="center"/>
        </w:trPr>
        <w:tc>
          <w:tcPr>
            <w:tcW w:w="1276" w:type="dxa"/>
          </w:tcPr>
          <w:p w14:paraId="41A9A83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施工围挡</w:t>
            </w:r>
          </w:p>
        </w:tc>
        <w:tc>
          <w:tcPr>
            <w:tcW w:w="4367" w:type="dxa"/>
          </w:tcPr>
          <w:p w14:paraId="634E4996">
            <w:pPr>
              <w:pStyle w:val="74"/>
              <w:keepNext w:val="0"/>
              <w:keepLines w:val="0"/>
              <w:numPr>
                <w:ilvl w:val="0"/>
                <w:numId w:val="23"/>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施工现场围挡严格按施工总平面图布局、样式；应连续、密闭；</w:t>
            </w:r>
          </w:p>
          <w:p w14:paraId="5B573FA7">
            <w:pPr>
              <w:pStyle w:val="74"/>
              <w:keepNext w:val="0"/>
              <w:keepLines w:val="0"/>
              <w:numPr>
                <w:ilvl w:val="0"/>
                <w:numId w:val="23"/>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1"/>
                <w:szCs w:val="21"/>
                <w:highlight w:val="none"/>
              </w:rPr>
            </w:pPr>
            <w:r>
              <w:rPr>
                <w:rFonts w:cs="仿宋_GB2312" w:asciiTheme="minorEastAsia" w:hAnsiTheme="minorEastAsia" w:eastAsiaTheme="minorEastAsia"/>
                <w:color w:val="auto"/>
                <w:sz w:val="21"/>
                <w:szCs w:val="21"/>
                <w:highlight w:val="none"/>
              </w:rPr>
              <w:t>一般</w:t>
            </w:r>
            <w:r>
              <w:rPr>
                <w:rFonts w:hint="eastAsia" w:cs="仿宋_GB2312" w:asciiTheme="minorEastAsia" w:hAnsiTheme="minorEastAsia" w:eastAsiaTheme="minorEastAsia"/>
                <w:color w:val="auto"/>
                <w:sz w:val="21"/>
                <w:szCs w:val="21"/>
                <w:highlight w:val="none"/>
              </w:rPr>
              <w:t>路段的工地周围设置高于2.0m的围挡；在市区主要路段的工地周围设置高于2.5m的围挡</w:t>
            </w:r>
            <w:r>
              <w:rPr>
                <w:rFonts w:cs="仿宋_GB2312" w:asciiTheme="minorEastAsia" w:hAnsiTheme="minorEastAsia" w:eastAsiaTheme="minorEastAsia"/>
                <w:color w:val="auto"/>
                <w:sz w:val="21"/>
                <w:szCs w:val="21"/>
                <w:highlight w:val="none"/>
              </w:rPr>
              <w:t>；</w:t>
            </w:r>
          </w:p>
          <w:p w14:paraId="0FD956A6">
            <w:pPr>
              <w:pStyle w:val="74"/>
              <w:keepNext w:val="0"/>
              <w:keepLines w:val="0"/>
              <w:numPr>
                <w:ilvl w:val="0"/>
                <w:numId w:val="23"/>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1"/>
                <w:szCs w:val="21"/>
                <w:highlight w:val="none"/>
              </w:rPr>
            </w:pPr>
            <w:r>
              <w:rPr>
                <w:rFonts w:cs="仿宋_GB2312" w:asciiTheme="minorEastAsia" w:hAnsiTheme="minorEastAsia" w:eastAsiaTheme="minorEastAsia"/>
                <w:color w:val="auto"/>
                <w:sz w:val="21"/>
                <w:szCs w:val="21"/>
                <w:highlight w:val="none"/>
              </w:rPr>
              <w:t>围挡</w:t>
            </w:r>
            <w:r>
              <w:rPr>
                <w:rFonts w:hint="eastAsia" w:cs="仿宋_GB2312" w:asciiTheme="minorEastAsia" w:hAnsiTheme="minorEastAsia" w:eastAsiaTheme="minorEastAsia"/>
                <w:color w:val="auto"/>
                <w:sz w:val="21"/>
                <w:szCs w:val="21"/>
                <w:highlight w:val="none"/>
              </w:rPr>
              <w:t>必须沿工地四周连续设置，使用砌块砌筑围挡时应按设计要求设置加强垛，并确保围挡无破损，使用金属定型材料的围挡要确保支撑牢固，挡板保持不变型、无破损、无锈蚀</w:t>
            </w:r>
            <w:r>
              <w:rPr>
                <w:rFonts w:cs="仿宋_GB2312" w:asciiTheme="minorEastAsia" w:hAnsiTheme="minorEastAsia" w:eastAsiaTheme="minorEastAsia"/>
                <w:color w:val="auto"/>
                <w:sz w:val="21"/>
                <w:szCs w:val="21"/>
                <w:highlight w:val="none"/>
              </w:rPr>
              <w:t>；</w:t>
            </w:r>
          </w:p>
          <w:p w14:paraId="0E5D66DD">
            <w:pPr>
              <w:pStyle w:val="74"/>
              <w:keepNext w:val="0"/>
              <w:keepLines w:val="0"/>
              <w:numPr>
                <w:ilvl w:val="0"/>
                <w:numId w:val="23"/>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1"/>
                <w:szCs w:val="21"/>
                <w:highlight w:val="none"/>
              </w:rPr>
            </w:pPr>
            <w:r>
              <w:rPr>
                <w:rFonts w:cs="仿宋_GB2312" w:asciiTheme="minorEastAsia" w:hAnsiTheme="minorEastAsia" w:eastAsiaTheme="minorEastAsia"/>
                <w:color w:val="auto"/>
                <w:sz w:val="21"/>
                <w:szCs w:val="21"/>
                <w:highlight w:val="none"/>
              </w:rPr>
              <w:t>墙面</w:t>
            </w:r>
            <w:r>
              <w:rPr>
                <w:rFonts w:hint="eastAsia" w:cs="仿宋_GB2312" w:asciiTheme="minorEastAsia" w:hAnsiTheme="minorEastAsia" w:eastAsiaTheme="minorEastAsia"/>
                <w:color w:val="auto"/>
                <w:sz w:val="21"/>
                <w:szCs w:val="21"/>
                <w:highlight w:val="none"/>
              </w:rPr>
              <w:t>建议采用施工企业、政府、公司营销宣传进行美化</w:t>
            </w:r>
            <w:r>
              <w:rPr>
                <w:rFonts w:cs="仿宋_GB2312" w:asciiTheme="minorEastAsia" w:hAnsiTheme="minorEastAsia" w:eastAsiaTheme="minorEastAsia"/>
                <w:color w:val="auto"/>
                <w:sz w:val="21"/>
                <w:szCs w:val="21"/>
                <w:highlight w:val="none"/>
              </w:rPr>
              <w:t>。</w:t>
            </w:r>
          </w:p>
        </w:tc>
        <w:tc>
          <w:tcPr>
            <w:tcW w:w="3544" w:type="dxa"/>
          </w:tcPr>
          <w:p w14:paraId="28CB8959">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79744" behindDoc="0" locked="0" layoutInCell="1" allowOverlap="1">
                  <wp:simplePos x="0" y="0"/>
                  <wp:positionH relativeFrom="column">
                    <wp:posOffset>-8255</wp:posOffset>
                  </wp:positionH>
                  <wp:positionV relativeFrom="paragraph">
                    <wp:posOffset>68580</wp:posOffset>
                  </wp:positionV>
                  <wp:extent cx="2084070" cy="1774190"/>
                  <wp:effectExtent l="19050" t="0" r="0" b="0"/>
                  <wp:wrapNone/>
                  <wp:docPr id="1120"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图片 73"/>
                          <pic:cNvPicPr>
                            <a:picLocks noChangeAspect="1" noChangeArrowheads="1"/>
                          </pic:cNvPicPr>
                        </pic:nvPicPr>
                        <pic:blipFill>
                          <a:blip r:embed="rId79"/>
                          <a:srcRect/>
                          <a:stretch>
                            <a:fillRect/>
                          </a:stretch>
                        </pic:blipFill>
                        <pic:spPr>
                          <a:xfrm>
                            <a:off x="0" y="0"/>
                            <a:ext cx="2084070" cy="1774190"/>
                          </a:xfrm>
                          <a:prstGeom prst="rect">
                            <a:avLst/>
                          </a:prstGeom>
                          <a:noFill/>
                          <a:ln w="9525">
                            <a:noFill/>
                            <a:miter lim="800000"/>
                            <a:headEnd/>
                            <a:tailEnd/>
                          </a:ln>
                        </pic:spPr>
                      </pic:pic>
                    </a:graphicData>
                  </a:graphic>
                </wp:anchor>
              </w:drawing>
            </w:r>
          </w:p>
          <w:p w14:paraId="3B1FE368">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cs="仿宋_GB2312" w:asciiTheme="minorEastAsia" w:hAnsiTheme="minorEastAsia" w:eastAsiaTheme="minorEastAsia"/>
                <w:color w:val="auto"/>
                <w:sz w:val="24"/>
                <w:highlight w:val="none"/>
              </w:rPr>
              <w:drawing>
                <wp:anchor distT="0" distB="0" distL="0" distR="0" simplePos="0" relativeHeight="251680768" behindDoc="0" locked="0" layoutInCell="1" allowOverlap="1">
                  <wp:simplePos x="0" y="0"/>
                  <wp:positionH relativeFrom="column">
                    <wp:posOffset>5080</wp:posOffset>
                  </wp:positionH>
                  <wp:positionV relativeFrom="paragraph">
                    <wp:posOffset>1612900</wp:posOffset>
                  </wp:positionV>
                  <wp:extent cx="2089785" cy="1914525"/>
                  <wp:effectExtent l="19050" t="0" r="5715" b="0"/>
                  <wp:wrapNone/>
                  <wp:docPr id="112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图片 72"/>
                          <pic:cNvPicPr>
                            <a:picLocks noChangeAspect="1" noChangeArrowheads="1"/>
                          </pic:cNvPicPr>
                        </pic:nvPicPr>
                        <pic:blipFill>
                          <a:blip r:embed="rId80"/>
                          <a:srcRect/>
                          <a:stretch>
                            <a:fillRect/>
                          </a:stretch>
                        </pic:blipFill>
                        <pic:spPr>
                          <a:xfrm>
                            <a:off x="0" y="0"/>
                            <a:ext cx="2089785" cy="1914525"/>
                          </a:xfrm>
                          <a:prstGeom prst="rect">
                            <a:avLst/>
                          </a:prstGeom>
                          <a:noFill/>
                          <a:ln w="9525">
                            <a:noFill/>
                            <a:miter lim="800000"/>
                            <a:headEnd/>
                            <a:tailEnd/>
                          </a:ln>
                        </pic:spPr>
                      </pic:pic>
                    </a:graphicData>
                  </a:graphic>
                </wp:anchor>
              </w:drawing>
            </w:r>
          </w:p>
        </w:tc>
      </w:tr>
      <w:tr w14:paraId="5F7E44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76" w:type="dxa"/>
          </w:tcPr>
          <w:p w14:paraId="1513C0F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门卫、道闸封闭管理</w:t>
            </w:r>
          </w:p>
        </w:tc>
        <w:tc>
          <w:tcPr>
            <w:tcW w:w="4367" w:type="dxa"/>
          </w:tcPr>
          <w:p w14:paraId="216949A9">
            <w:pPr>
              <w:pStyle w:val="74"/>
              <w:keepNext w:val="0"/>
              <w:keepLines w:val="0"/>
              <w:numPr>
                <w:ilvl w:val="0"/>
                <w:numId w:val="23"/>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工地大门设置门卫室，要求具备良好的视野，室内应张贴门卫岗位职责；</w:t>
            </w:r>
          </w:p>
          <w:p w14:paraId="3A0E5381">
            <w:pPr>
              <w:pStyle w:val="74"/>
              <w:keepNext w:val="0"/>
              <w:keepLines w:val="0"/>
              <w:numPr>
                <w:ilvl w:val="0"/>
                <w:numId w:val="23"/>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出入口设置门禁系统、道闸、视频监控系统，其他部位禁止人员出入；</w:t>
            </w:r>
          </w:p>
          <w:p w14:paraId="1932A8AD">
            <w:pPr>
              <w:pStyle w:val="74"/>
              <w:keepNext w:val="0"/>
              <w:keepLines w:val="0"/>
              <w:numPr>
                <w:ilvl w:val="0"/>
                <w:numId w:val="23"/>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门卫人员对进出入车辆、人员进行管理，不得随意出入；找人及送货人员应有接访人接进，并填写“外来人员进出登记证”后方可进入。</w:t>
            </w:r>
          </w:p>
        </w:tc>
        <w:tc>
          <w:tcPr>
            <w:tcW w:w="3544" w:type="dxa"/>
          </w:tcPr>
          <w:p w14:paraId="67DA1C67">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81792" behindDoc="0" locked="0" layoutInCell="1" allowOverlap="1">
                  <wp:simplePos x="0" y="0"/>
                  <wp:positionH relativeFrom="column">
                    <wp:posOffset>-1905</wp:posOffset>
                  </wp:positionH>
                  <wp:positionV relativeFrom="paragraph">
                    <wp:posOffset>223520</wp:posOffset>
                  </wp:positionV>
                  <wp:extent cx="2062480" cy="1921510"/>
                  <wp:effectExtent l="19050" t="0" r="0" b="0"/>
                  <wp:wrapSquare wrapText="bothSides"/>
                  <wp:docPr id="1122" name="图片 273" descr="15028469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图片 273" descr="1502846980(1)"/>
                          <pic:cNvPicPr>
                            <a:picLocks noChangeAspect="1" noChangeArrowheads="1"/>
                          </pic:cNvPicPr>
                        </pic:nvPicPr>
                        <pic:blipFill>
                          <a:blip r:embed="rId81"/>
                          <a:srcRect/>
                          <a:stretch>
                            <a:fillRect/>
                          </a:stretch>
                        </pic:blipFill>
                        <pic:spPr>
                          <a:xfrm>
                            <a:off x="0" y="0"/>
                            <a:ext cx="2062480" cy="1921510"/>
                          </a:xfrm>
                          <a:prstGeom prst="rect">
                            <a:avLst/>
                          </a:prstGeom>
                          <a:noFill/>
                          <a:ln w="9525">
                            <a:noFill/>
                            <a:miter lim="800000"/>
                            <a:headEnd/>
                            <a:tailEnd/>
                          </a:ln>
                        </pic:spPr>
                      </pic:pic>
                    </a:graphicData>
                  </a:graphic>
                </wp:anchor>
              </w:drawing>
            </w:r>
          </w:p>
        </w:tc>
      </w:tr>
      <w:tr w14:paraId="2299F9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76" w:type="dxa"/>
          </w:tcPr>
          <w:p w14:paraId="3E1C567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视频监控系统</w:t>
            </w:r>
          </w:p>
        </w:tc>
        <w:tc>
          <w:tcPr>
            <w:tcW w:w="4367" w:type="dxa"/>
          </w:tcPr>
          <w:p w14:paraId="3E703ECE">
            <w:pPr>
              <w:pStyle w:val="74"/>
              <w:keepNext w:val="0"/>
              <w:keepLines w:val="0"/>
              <w:numPr>
                <w:ilvl w:val="0"/>
                <w:numId w:val="24"/>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施工现场安装视频监控系统并设置专用的视频监控室，并安排专人进行操作监控；监控系统需连接互联网；</w:t>
            </w:r>
          </w:p>
          <w:p w14:paraId="20B6F078">
            <w:pPr>
              <w:pStyle w:val="74"/>
              <w:keepNext w:val="0"/>
              <w:keepLines w:val="0"/>
              <w:numPr>
                <w:ilvl w:val="0"/>
                <w:numId w:val="24"/>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施工现场的主要作业面、料场、大门、仓库、围墙或塔吊等部位均应安装监控</w:t>
            </w:r>
            <w:r>
              <w:rPr>
                <w:rFonts w:hint="eastAsia" w:cs="仿宋_GB2312" w:asciiTheme="minorEastAsia" w:hAnsiTheme="minorEastAsia" w:eastAsiaTheme="minorEastAsia"/>
                <w:color w:val="auto"/>
                <w:sz w:val="21"/>
                <w:szCs w:val="21"/>
                <w:highlight w:val="none"/>
                <w:lang w:val="en-US" w:bidi="ar-SA"/>
              </w:rPr>
              <w:drawing>
                <wp:anchor distT="0" distB="0" distL="0" distR="0" simplePos="0" relativeHeight="251682816" behindDoc="0" locked="0" layoutInCell="1" allowOverlap="1">
                  <wp:simplePos x="0" y="0"/>
                  <wp:positionH relativeFrom="column">
                    <wp:posOffset>2850515</wp:posOffset>
                  </wp:positionH>
                  <wp:positionV relativeFrom="paragraph">
                    <wp:posOffset>116840</wp:posOffset>
                  </wp:positionV>
                  <wp:extent cx="1946275" cy="1516380"/>
                  <wp:effectExtent l="0" t="0" r="15875" b="7620"/>
                  <wp:wrapNone/>
                  <wp:docPr id="11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图片 23"/>
                          <pic:cNvPicPr>
                            <a:picLocks noChangeAspect="1" noChangeArrowheads="1"/>
                          </pic:cNvPicPr>
                        </pic:nvPicPr>
                        <pic:blipFill>
                          <a:blip r:embed="rId82"/>
                          <a:srcRect/>
                          <a:stretch>
                            <a:fillRect/>
                          </a:stretch>
                        </pic:blipFill>
                        <pic:spPr>
                          <a:xfrm>
                            <a:off x="0" y="0"/>
                            <a:ext cx="1946275" cy="151638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1"/>
                <w:szCs w:val="21"/>
                <w:highlight w:val="none"/>
              </w:rPr>
              <w:t>点，应做到无监控盲区。</w:t>
            </w:r>
          </w:p>
          <w:p w14:paraId="4208D562">
            <w:pPr>
              <w:pStyle w:val="74"/>
              <w:keepNext w:val="0"/>
              <w:keepLines w:val="0"/>
              <w:suppressLineNumbers w:val="0"/>
              <w:adjustRightInd w:val="0"/>
              <w:snapToGrid w:val="0"/>
              <w:spacing w:before="0" w:beforeAutospacing="0" w:after="0" w:afterAutospacing="0" w:line="360" w:lineRule="auto"/>
              <w:ind w:right="0" w:firstLine="0"/>
              <w:jc w:val="left"/>
              <w:outlineLvl w:val="9"/>
              <w:rPr>
                <w:rFonts w:cs="仿宋_GB2312" w:asciiTheme="minorEastAsia" w:hAnsiTheme="minorEastAsia" w:eastAsiaTheme="minorEastAsia"/>
                <w:color w:val="auto"/>
                <w:sz w:val="21"/>
                <w:szCs w:val="21"/>
                <w:highlight w:val="none"/>
              </w:rPr>
            </w:pPr>
          </w:p>
          <w:p w14:paraId="3C8A3528">
            <w:pPr>
              <w:pStyle w:val="74"/>
              <w:keepNext w:val="0"/>
              <w:keepLines w:val="0"/>
              <w:suppressLineNumbers w:val="0"/>
              <w:adjustRightInd w:val="0"/>
              <w:snapToGrid w:val="0"/>
              <w:spacing w:before="0" w:beforeAutospacing="0" w:after="0" w:afterAutospacing="0" w:line="360" w:lineRule="auto"/>
              <w:ind w:right="0" w:firstLine="0"/>
              <w:jc w:val="left"/>
              <w:outlineLvl w:val="9"/>
              <w:rPr>
                <w:rFonts w:cs="仿宋_GB2312" w:asciiTheme="minorEastAsia" w:hAnsiTheme="minorEastAsia" w:eastAsiaTheme="minorEastAsia"/>
                <w:color w:val="auto"/>
                <w:sz w:val="21"/>
                <w:szCs w:val="21"/>
                <w:highlight w:val="none"/>
              </w:rPr>
            </w:pPr>
          </w:p>
          <w:p w14:paraId="0D4D5080">
            <w:pPr>
              <w:pStyle w:val="74"/>
              <w:keepNext w:val="0"/>
              <w:keepLines w:val="0"/>
              <w:suppressLineNumbers w:val="0"/>
              <w:adjustRightInd w:val="0"/>
              <w:snapToGrid w:val="0"/>
              <w:spacing w:before="0" w:beforeAutospacing="0" w:after="0" w:afterAutospacing="0" w:line="360" w:lineRule="auto"/>
              <w:ind w:right="0" w:firstLine="0"/>
              <w:jc w:val="left"/>
              <w:outlineLvl w:val="9"/>
              <w:rPr>
                <w:rFonts w:cs="仿宋_GB2312" w:asciiTheme="minorEastAsia" w:hAnsiTheme="minorEastAsia" w:eastAsiaTheme="minorEastAsia"/>
                <w:color w:val="auto"/>
                <w:sz w:val="21"/>
                <w:szCs w:val="21"/>
                <w:highlight w:val="none"/>
              </w:rPr>
            </w:pPr>
          </w:p>
          <w:p w14:paraId="6C13D449">
            <w:pPr>
              <w:pStyle w:val="74"/>
              <w:keepNext w:val="0"/>
              <w:keepLines w:val="0"/>
              <w:suppressLineNumbers w:val="0"/>
              <w:adjustRightInd w:val="0"/>
              <w:snapToGrid w:val="0"/>
              <w:spacing w:before="0" w:beforeAutospacing="0" w:after="0" w:afterAutospacing="0" w:line="360" w:lineRule="auto"/>
              <w:ind w:right="0" w:firstLine="0"/>
              <w:jc w:val="left"/>
              <w:outlineLvl w:val="9"/>
              <w:rPr>
                <w:rFonts w:cs="仿宋_GB2312" w:asciiTheme="minorEastAsia" w:hAnsiTheme="minorEastAsia" w:eastAsiaTheme="minorEastAsia"/>
                <w:color w:val="auto"/>
                <w:sz w:val="21"/>
                <w:szCs w:val="21"/>
                <w:highlight w:val="none"/>
              </w:rPr>
            </w:pPr>
          </w:p>
          <w:p w14:paraId="44F01B4F">
            <w:pPr>
              <w:pStyle w:val="74"/>
              <w:keepNext w:val="0"/>
              <w:keepLines w:val="0"/>
              <w:suppressLineNumbers w:val="0"/>
              <w:adjustRightInd w:val="0"/>
              <w:snapToGrid w:val="0"/>
              <w:spacing w:before="0" w:beforeAutospacing="0" w:after="0" w:afterAutospacing="0" w:line="360" w:lineRule="auto"/>
              <w:ind w:right="0" w:firstLine="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lang w:val="en-US" w:bidi="ar-SA"/>
              </w:rPr>
              <w:drawing>
                <wp:anchor distT="0" distB="0" distL="114300" distR="114300" simplePos="0" relativeHeight="251880448" behindDoc="0" locked="0" layoutInCell="1" allowOverlap="1">
                  <wp:simplePos x="0" y="0"/>
                  <wp:positionH relativeFrom="column">
                    <wp:posOffset>2860040</wp:posOffset>
                  </wp:positionH>
                  <wp:positionV relativeFrom="paragraph">
                    <wp:posOffset>106680</wp:posOffset>
                  </wp:positionV>
                  <wp:extent cx="1908175" cy="1317625"/>
                  <wp:effectExtent l="0" t="0" r="15875" b="15875"/>
                  <wp:wrapNone/>
                  <wp:docPr id="1317" name="图片 7" descr="C:\Documents and Settings\WRB\桌面\QQ图片20150113095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图片 7" descr="C:\Documents and Settings\WRB\桌面\QQ图片20150113095644.png"/>
                          <pic:cNvPicPr>
                            <a:picLocks noChangeAspect="1" noChangeArrowheads="1"/>
                          </pic:cNvPicPr>
                        </pic:nvPicPr>
                        <pic:blipFill>
                          <a:blip r:embed="rId83"/>
                          <a:srcRect/>
                          <a:stretch>
                            <a:fillRect/>
                          </a:stretch>
                        </pic:blipFill>
                        <pic:spPr>
                          <a:xfrm>
                            <a:off x="0" y="0"/>
                            <a:ext cx="1908175" cy="1317625"/>
                          </a:xfrm>
                          <a:prstGeom prst="rect">
                            <a:avLst/>
                          </a:prstGeom>
                          <a:noFill/>
                          <a:ln w="9525">
                            <a:noFill/>
                            <a:miter lim="800000"/>
                            <a:headEnd/>
                            <a:tailEnd/>
                          </a:ln>
                        </pic:spPr>
                      </pic:pic>
                    </a:graphicData>
                  </a:graphic>
                </wp:anchor>
              </w:drawing>
            </w:r>
          </w:p>
          <w:p w14:paraId="6D43148F">
            <w:pPr>
              <w:pStyle w:val="74"/>
              <w:keepNext w:val="0"/>
              <w:keepLines w:val="0"/>
              <w:suppressLineNumbers w:val="0"/>
              <w:adjustRightInd w:val="0"/>
              <w:snapToGrid w:val="0"/>
              <w:spacing w:before="0" w:beforeAutospacing="0" w:after="0" w:afterAutospacing="0" w:line="360" w:lineRule="auto"/>
              <w:ind w:right="0" w:firstLine="0"/>
              <w:jc w:val="left"/>
              <w:outlineLvl w:val="9"/>
              <w:rPr>
                <w:rFonts w:cs="仿宋_GB2312" w:asciiTheme="minorEastAsia" w:hAnsiTheme="minorEastAsia" w:eastAsiaTheme="minorEastAsia"/>
                <w:color w:val="auto"/>
                <w:sz w:val="21"/>
                <w:szCs w:val="21"/>
                <w:highlight w:val="none"/>
              </w:rPr>
            </w:pPr>
          </w:p>
          <w:p w14:paraId="1D14803F">
            <w:pPr>
              <w:pStyle w:val="74"/>
              <w:keepNext w:val="0"/>
              <w:keepLines w:val="0"/>
              <w:suppressLineNumbers w:val="0"/>
              <w:adjustRightInd w:val="0"/>
              <w:snapToGrid w:val="0"/>
              <w:spacing w:before="0" w:beforeAutospacing="0" w:after="0" w:afterAutospacing="0" w:line="360" w:lineRule="auto"/>
              <w:ind w:right="0" w:firstLine="0"/>
              <w:jc w:val="left"/>
              <w:outlineLvl w:val="9"/>
              <w:rPr>
                <w:rFonts w:cs="仿宋_GB2312" w:asciiTheme="minorEastAsia" w:hAnsiTheme="minorEastAsia" w:eastAsiaTheme="minorEastAsia"/>
                <w:color w:val="auto"/>
                <w:sz w:val="21"/>
                <w:szCs w:val="21"/>
                <w:highlight w:val="none"/>
              </w:rPr>
            </w:pPr>
          </w:p>
          <w:p w14:paraId="724D86B8">
            <w:pPr>
              <w:pStyle w:val="74"/>
              <w:keepNext w:val="0"/>
              <w:keepLines w:val="0"/>
              <w:suppressLineNumbers w:val="0"/>
              <w:adjustRightInd w:val="0"/>
              <w:snapToGrid w:val="0"/>
              <w:spacing w:before="0" w:beforeAutospacing="0" w:after="0" w:afterAutospacing="0" w:line="360" w:lineRule="auto"/>
              <w:ind w:right="0" w:firstLine="0"/>
              <w:jc w:val="left"/>
              <w:outlineLvl w:val="9"/>
              <w:rPr>
                <w:rFonts w:cs="仿宋_GB2312" w:asciiTheme="minorEastAsia" w:hAnsiTheme="minorEastAsia" w:eastAsiaTheme="minorEastAsia"/>
                <w:color w:val="auto"/>
                <w:sz w:val="21"/>
                <w:szCs w:val="21"/>
                <w:highlight w:val="none"/>
              </w:rPr>
            </w:pPr>
          </w:p>
          <w:p w14:paraId="3480ED94">
            <w:pPr>
              <w:pStyle w:val="74"/>
              <w:keepNext w:val="0"/>
              <w:keepLines w:val="0"/>
              <w:suppressLineNumbers w:val="0"/>
              <w:adjustRightInd w:val="0"/>
              <w:snapToGrid w:val="0"/>
              <w:spacing w:before="0" w:beforeAutospacing="0" w:after="0" w:afterAutospacing="0" w:line="360" w:lineRule="auto"/>
              <w:ind w:right="0" w:firstLine="0"/>
              <w:jc w:val="left"/>
              <w:outlineLvl w:val="9"/>
              <w:rPr>
                <w:rFonts w:cs="仿宋_GB2312" w:asciiTheme="minorEastAsia" w:hAnsiTheme="minorEastAsia" w:eastAsiaTheme="minorEastAsia"/>
                <w:color w:val="auto"/>
                <w:sz w:val="21"/>
                <w:szCs w:val="21"/>
                <w:highlight w:val="none"/>
              </w:rPr>
            </w:pPr>
          </w:p>
          <w:p w14:paraId="776FEA84">
            <w:pPr>
              <w:pStyle w:val="74"/>
              <w:keepNext w:val="0"/>
              <w:keepLines w:val="0"/>
              <w:suppressLineNumbers w:val="0"/>
              <w:adjustRightInd w:val="0"/>
              <w:snapToGrid w:val="0"/>
              <w:spacing w:before="0" w:beforeAutospacing="0" w:after="0" w:afterAutospacing="0" w:line="360" w:lineRule="auto"/>
              <w:ind w:right="0" w:firstLine="0"/>
              <w:jc w:val="left"/>
              <w:outlineLvl w:val="9"/>
              <w:rPr>
                <w:rFonts w:cs="仿宋_GB2312" w:asciiTheme="minorEastAsia" w:hAnsiTheme="minorEastAsia" w:eastAsiaTheme="minorEastAsia"/>
                <w:color w:val="auto"/>
                <w:sz w:val="21"/>
                <w:szCs w:val="21"/>
                <w:highlight w:val="none"/>
              </w:rPr>
            </w:pPr>
          </w:p>
        </w:tc>
        <w:tc>
          <w:tcPr>
            <w:tcW w:w="3544" w:type="dxa"/>
          </w:tcPr>
          <w:p w14:paraId="4548CBAB">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683840" behindDoc="0" locked="0" layoutInCell="1" allowOverlap="1">
                  <wp:simplePos x="0" y="0"/>
                  <wp:positionH relativeFrom="column">
                    <wp:posOffset>146050</wp:posOffset>
                  </wp:positionH>
                  <wp:positionV relativeFrom="paragraph">
                    <wp:posOffset>20955</wp:posOffset>
                  </wp:positionV>
                  <wp:extent cx="1758950" cy="998220"/>
                  <wp:effectExtent l="0" t="0" r="12700" b="11430"/>
                  <wp:wrapNone/>
                  <wp:docPr id="1124" name="图片 7" descr="C:\Documents and Settings\WRB\桌面\QQ图片20150113095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图片 7" descr="C:\Documents and Settings\WRB\桌面\QQ图片20150113095644.png"/>
                          <pic:cNvPicPr>
                            <a:picLocks noChangeAspect="1" noChangeArrowheads="1"/>
                          </pic:cNvPicPr>
                        </pic:nvPicPr>
                        <pic:blipFill>
                          <a:blip r:embed="rId83"/>
                          <a:srcRect/>
                          <a:stretch>
                            <a:fillRect/>
                          </a:stretch>
                        </pic:blipFill>
                        <pic:spPr>
                          <a:xfrm>
                            <a:off x="0" y="0"/>
                            <a:ext cx="1758950" cy="998220"/>
                          </a:xfrm>
                          <a:prstGeom prst="rect">
                            <a:avLst/>
                          </a:prstGeom>
                          <a:noFill/>
                          <a:ln w="9525">
                            <a:noFill/>
                            <a:miter lim="800000"/>
                            <a:headEnd/>
                            <a:tailEnd/>
                          </a:ln>
                        </pic:spPr>
                      </pic:pic>
                    </a:graphicData>
                  </a:graphic>
                </wp:anchor>
              </w:drawing>
            </w:r>
          </w:p>
          <w:p w14:paraId="7344D486">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tc>
      </w:tr>
    </w:tbl>
    <w:p w14:paraId="2D106719">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（三）施工通道及场地围合</w:t>
      </w:r>
    </w:p>
    <w:tbl>
      <w:tblPr>
        <w:tblStyle w:val="56"/>
        <w:tblW w:w="916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22"/>
        <w:gridCol w:w="4394"/>
        <w:gridCol w:w="3544"/>
      </w:tblGrid>
      <w:tr w14:paraId="6FEEB6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22" w:type="dxa"/>
            <w:vAlign w:val="center"/>
          </w:tcPr>
          <w:p w14:paraId="2E554515">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394" w:type="dxa"/>
            <w:vAlign w:val="center"/>
          </w:tcPr>
          <w:p w14:paraId="70127BE5">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544" w:type="dxa"/>
            <w:vAlign w:val="center"/>
          </w:tcPr>
          <w:p w14:paraId="18A6D5F8">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433067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22" w:type="dxa"/>
          </w:tcPr>
          <w:p w14:paraId="1DBB3CEF">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施工道路</w:t>
            </w:r>
          </w:p>
        </w:tc>
        <w:tc>
          <w:tcPr>
            <w:tcW w:w="4394" w:type="dxa"/>
          </w:tcPr>
          <w:p w14:paraId="344A7C4E">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1）施工道路采用砼硬化或砼预制块/钢板铺设（预制块、钢板周转使用），每天有专人清理维护。</w:t>
            </w:r>
          </w:p>
          <w:p w14:paraId="092B530E">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2)道路硬化。坡度、排水沟设置正确，无积水，施工道路宽度合理、无严重破损、干净整洁，现场场地和道路要平坦、通畅，并设置相应的安全防护设施和安全标志，道路上不得堆放建筑材料或其它杂物。</w:t>
            </w:r>
          </w:p>
          <w:p w14:paraId="1CA789D7">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3)现场内的临时道路应考虑形成环路，以满足现场临时消防的需要（推荐）。</w:t>
            </w:r>
          </w:p>
          <w:p w14:paraId="099BA845">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3C700D96">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298F042F">
            <w:pPr>
              <w:pStyle w:val="74"/>
              <w:keepNext w:val="0"/>
              <w:keepLines w:val="0"/>
              <w:suppressLineNumbers w:val="0"/>
              <w:spacing w:before="0" w:beforeAutospacing="0" w:after="0" w:afterAutospacing="0"/>
              <w:ind w:left="0" w:leftChars="0" w:right="0" w:firstLine="0" w:firstLineChars="0"/>
              <w:outlineLvl w:val="9"/>
              <w:rPr>
                <w:rFonts w:asciiTheme="minorEastAsia" w:hAnsiTheme="minorEastAsia" w:eastAsiaTheme="minorEastAsia"/>
                <w:color w:val="auto"/>
                <w:highlight w:val="none"/>
                <w:lang w:val="en-US"/>
              </w:rPr>
            </w:pPr>
          </w:p>
          <w:p w14:paraId="2B0F9803">
            <w:pPr>
              <w:pStyle w:val="74"/>
              <w:keepNext w:val="0"/>
              <w:keepLines w:val="0"/>
              <w:suppressLineNumbers w:val="0"/>
              <w:spacing w:before="0" w:beforeAutospacing="0" w:after="0" w:afterAutospacing="0"/>
              <w:ind w:left="0" w:leftChars="0" w:right="0" w:firstLine="0" w:firstLineChars="0"/>
              <w:outlineLvl w:val="9"/>
              <w:rPr>
                <w:rFonts w:asciiTheme="minorEastAsia" w:hAnsiTheme="minorEastAsia" w:eastAsiaTheme="minorEastAsia"/>
                <w:color w:val="auto"/>
                <w:highlight w:val="none"/>
                <w:lang w:val="en-US"/>
              </w:rPr>
            </w:pPr>
          </w:p>
          <w:p w14:paraId="3A4E5C8C">
            <w:pPr>
              <w:pStyle w:val="74"/>
              <w:keepNext w:val="0"/>
              <w:keepLines w:val="0"/>
              <w:suppressLineNumbers w:val="0"/>
              <w:spacing w:before="0" w:beforeAutospacing="0" w:after="0" w:afterAutospacing="0"/>
              <w:ind w:left="0" w:leftChars="0" w:right="0" w:firstLine="0" w:firstLineChars="0"/>
              <w:outlineLvl w:val="9"/>
              <w:rPr>
                <w:rFonts w:asciiTheme="minorEastAsia" w:hAnsiTheme="minorEastAsia" w:eastAsiaTheme="minorEastAsia"/>
                <w:color w:val="auto"/>
                <w:highlight w:val="none"/>
                <w:lang w:val="en-US"/>
              </w:rPr>
            </w:pPr>
          </w:p>
          <w:p w14:paraId="2AE4667B">
            <w:pPr>
              <w:pStyle w:val="74"/>
              <w:keepNext w:val="0"/>
              <w:keepLines w:val="0"/>
              <w:suppressLineNumbers w:val="0"/>
              <w:spacing w:before="0" w:beforeAutospacing="0" w:after="0" w:afterAutospacing="0"/>
              <w:ind w:left="0" w:leftChars="0" w:right="0" w:firstLine="0" w:firstLineChars="0"/>
              <w:outlineLvl w:val="9"/>
              <w:rPr>
                <w:rFonts w:asciiTheme="minorEastAsia" w:hAnsiTheme="minorEastAsia" w:eastAsiaTheme="minorEastAsia"/>
                <w:color w:val="auto"/>
                <w:highlight w:val="none"/>
                <w:lang w:val="en-US"/>
              </w:rPr>
            </w:pPr>
          </w:p>
        </w:tc>
        <w:tc>
          <w:tcPr>
            <w:tcW w:w="3544" w:type="dxa"/>
          </w:tcPr>
          <w:p w14:paraId="4E1FF9E4">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cs="仿宋_GB2312" w:asciiTheme="minorEastAsia" w:hAnsiTheme="minorEastAsia" w:eastAsiaTheme="minorEastAsia"/>
                <w:color w:val="auto"/>
                <w:sz w:val="24"/>
                <w:highlight w:val="none"/>
              </w:rPr>
              <w:drawing>
                <wp:anchor distT="0" distB="0" distL="0" distR="0" simplePos="0" relativeHeight="251684864" behindDoc="0" locked="0" layoutInCell="1" allowOverlap="1">
                  <wp:simplePos x="0" y="0"/>
                  <wp:positionH relativeFrom="column">
                    <wp:posOffset>20955</wp:posOffset>
                  </wp:positionH>
                  <wp:positionV relativeFrom="paragraph">
                    <wp:posOffset>99695</wp:posOffset>
                  </wp:positionV>
                  <wp:extent cx="1708785" cy="1247140"/>
                  <wp:effectExtent l="0" t="0" r="5715" b="10160"/>
                  <wp:wrapNone/>
                  <wp:docPr id="1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图片 1"/>
                          <pic:cNvPicPr>
                            <a:picLocks noChangeAspect="1" noChangeArrowheads="1"/>
                          </pic:cNvPicPr>
                        </pic:nvPicPr>
                        <pic:blipFill>
                          <a:blip r:embed="rId84"/>
                          <a:srcRect/>
                          <a:stretch>
                            <a:fillRect/>
                          </a:stretch>
                        </pic:blipFill>
                        <pic:spPr>
                          <a:xfrm>
                            <a:off x="0" y="0"/>
                            <a:ext cx="1708785" cy="1247140"/>
                          </a:xfrm>
                          <a:prstGeom prst="rect">
                            <a:avLst/>
                          </a:prstGeom>
                          <a:noFill/>
                          <a:ln w="9525">
                            <a:noFill/>
                            <a:miter lim="800000"/>
                            <a:headEnd/>
                            <a:tailEnd/>
                          </a:ln>
                        </pic:spPr>
                      </pic:pic>
                    </a:graphicData>
                  </a:graphic>
                </wp:anchor>
              </w:drawing>
            </w:r>
          </w:p>
          <w:p w14:paraId="70A6D09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p w14:paraId="7A148CC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86912" behindDoc="0" locked="0" layoutInCell="1" allowOverlap="1">
                  <wp:simplePos x="0" y="0"/>
                  <wp:positionH relativeFrom="column">
                    <wp:posOffset>21590</wp:posOffset>
                  </wp:positionH>
                  <wp:positionV relativeFrom="paragraph">
                    <wp:posOffset>2075815</wp:posOffset>
                  </wp:positionV>
                  <wp:extent cx="2004060" cy="1086485"/>
                  <wp:effectExtent l="0" t="0" r="15240" b="18415"/>
                  <wp:wrapNone/>
                  <wp:docPr id="112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图片 61"/>
                          <pic:cNvPicPr>
                            <a:picLocks noChangeAspect="1" noChangeArrowheads="1"/>
                          </pic:cNvPicPr>
                        </pic:nvPicPr>
                        <pic:blipFill>
                          <a:blip r:embed="rId85" cstate="print"/>
                          <a:srcRect/>
                          <a:stretch>
                            <a:fillRect/>
                          </a:stretch>
                        </pic:blipFill>
                        <pic:spPr>
                          <a:xfrm>
                            <a:off x="0" y="0"/>
                            <a:ext cx="2004060" cy="108648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drawing>
                <wp:anchor distT="0" distB="0" distL="0" distR="0" simplePos="0" relativeHeight="251685888" behindDoc="0" locked="0" layoutInCell="1" allowOverlap="1">
                  <wp:simplePos x="0" y="0"/>
                  <wp:positionH relativeFrom="column">
                    <wp:posOffset>11430</wp:posOffset>
                  </wp:positionH>
                  <wp:positionV relativeFrom="paragraph">
                    <wp:posOffset>791845</wp:posOffset>
                  </wp:positionV>
                  <wp:extent cx="1786255" cy="1246505"/>
                  <wp:effectExtent l="0" t="0" r="4445" b="10795"/>
                  <wp:wrapNone/>
                  <wp:docPr id="1126" name="图片 67" descr="DSC02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图片 67" descr="DSC02679"/>
                          <pic:cNvPicPr>
                            <a:picLocks noChangeAspect="1" noChangeArrowheads="1"/>
                          </pic:cNvPicPr>
                        </pic:nvPicPr>
                        <pic:blipFill>
                          <a:blip r:embed="rId86"/>
                          <a:srcRect/>
                          <a:stretch>
                            <a:fillRect/>
                          </a:stretch>
                        </pic:blipFill>
                        <pic:spPr>
                          <a:xfrm>
                            <a:off x="0" y="0"/>
                            <a:ext cx="1786255" cy="1246505"/>
                          </a:xfrm>
                          <a:prstGeom prst="rect">
                            <a:avLst/>
                          </a:prstGeom>
                          <a:noFill/>
                          <a:ln w="9525">
                            <a:noFill/>
                            <a:miter lim="800000"/>
                            <a:headEnd/>
                            <a:tailEnd/>
                          </a:ln>
                        </pic:spPr>
                      </pic:pic>
                    </a:graphicData>
                  </a:graphic>
                </wp:anchor>
              </w:drawing>
            </w:r>
          </w:p>
        </w:tc>
      </w:tr>
      <w:tr w14:paraId="5E676C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7" w:hRule="atLeast"/>
          <w:jc w:val="center"/>
        </w:trPr>
        <w:tc>
          <w:tcPr>
            <w:tcW w:w="1222" w:type="dxa"/>
          </w:tcPr>
          <w:p w14:paraId="1B297454">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场地围合</w:t>
            </w:r>
          </w:p>
        </w:tc>
        <w:tc>
          <w:tcPr>
            <w:tcW w:w="4394" w:type="dxa"/>
          </w:tcPr>
          <w:p w14:paraId="2B7CF8A8">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1)施工区域与生活区采用高围挡隔离，</w:t>
            </w:r>
            <w:r>
              <w:rPr>
                <w:rFonts w:hint="eastAsia" w:cs="仿宋_GB2312" w:asciiTheme="minorEastAsia" w:hAnsiTheme="minorEastAsia" w:eastAsiaTheme="minorEastAsia"/>
                <w:color w:val="auto"/>
                <w:sz w:val="21"/>
                <w:szCs w:val="21"/>
                <w:highlight w:val="none"/>
              </w:rPr>
              <w:drawing>
                <wp:anchor distT="0" distB="0" distL="0" distR="0" simplePos="0" relativeHeight="251687936" behindDoc="0" locked="0" layoutInCell="1" allowOverlap="1">
                  <wp:simplePos x="0" y="0"/>
                  <wp:positionH relativeFrom="column">
                    <wp:posOffset>2961640</wp:posOffset>
                  </wp:positionH>
                  <wp:positionV relativeFrom="paragraph">
                    <wp:posOffset>182245</wp:posOffset>
                  </wp:positionV>
                  <wp:extent cx="1960880" cy="1410335"/>
                  <wp:effectExtent l="19050" t="0" r="1270" b="0"/>
                  <wp:wrapNone/>
                  <wp:docPr id="11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图片 13"/>
                          <pic:cNvPicPr>
                            <a:picLocks noChangeAspect="1" noChangeArrowheads="1"/>
                          </pic:cNvPicPr>
                        </pic:nvPicPr>
                        <pic:blipFill>
                          <a:blip r:embed="rId87"/>
                          <a:srcRect/>
                          <a:stretch>
                            <a:fillRect/>
                          </a:stretch>
                        </pic:blipFill>
                        <pic:spPr>
                          <a:xfrm>
                            <a:off x="0" y="0"/>
                            <a:ext cx="1960880" cy="141033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1"/>
                <w:szCs w:val="21"/>
                <w:highlight w:val="none"/>
              </w:rPr>
              <w:t>避免外部人员随意进入工地。</w:t>
            </w:r>
          </w:p>
          <w:p w14:paraId="3041AC77">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2)标段围合、模板材料堆场围合、道路围合等围合区域清晰，围合横平竖直，使用的材料应保证围挡稳固、整齐、美观，无明显破损等影响外观的缺陷。</w:t>
            </w:r>
          </w:p>
          <w:p w14:paraId="6228A8D9">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p>
          <w:p w14:paraId="07E14465">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p>
        </w:tc>
        <w:tc>
          <w:tcPr>
            <w:tcW w:w="3544" w:type="dxa"/>
          </w:tcPr>
          <w:p w14:paraId="682B11F8">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tc>
      </w:tr>
      <w:tr w14:paraId="2D98B4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22" w:type="dxa"/>
          </w:tcPr>
          <w:p w14:paraId="68D002A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施工道路与施工场地</w:t>
            </w:r>
          </w:p>
        </w:tc>
        <w:tc>
          <w:tcPr>
            <w:tcW w:w="4394" w:type="dxa"/>
          </w:tcPr>
          <w:p w14:paraId="6CC7AA73">
            <w:pPr>
              <w:pStyle w:val="74"/>
              <w:keepNext w:val="0"/>
              <w:keepLines w:val="0"/>
              <w:numPr>
                <w:ilvl w:val="0"/>
                <w:numId w:val="25"/>
              </w:numPr>
              <w:suppressLineNumbers w:val="0"/>
              <w:adjustRightInd w:val="0"/>
              <w:snapToGrid w:val="0"/>
              <w:spacing w:before="0" w:beforeAutospacing="0" w:after="0" w:afterAutospacing="0" w:line="360" w:lineRule="auto"/>
              <w:ind w:left="0" w:right="0" w:firstLine="13"/>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主要施工道路加设活动铁围栏或活动铁板分隔施工范围与施工道路，铁围栏钢管必须全部涂有防锈油漆。</w:t>
            </w:r>
          </w:p>
          <w:p w14:paraId="124744D2">
            <w:pPr>
              <w:pStyle w:val="74"/>
              <w:keepNext w:val="0"/>
              <w:keepLines w:val="0"/>
              <w:numPr>
                <w:ilvl w:val="0"/>
                <w:numId w:val="25"/>
              </w:numPr>
              <w:suppressLineNumbers w:val="0"/>
              <w:adjustRightInd w:val="0"/>
              <w:snapToGrid w:val="0"/>
              <w:spacing w:before="0" w:beforeAutospacing="0" w:after="0" w:afterAutospacing="0" w:line="360" w:lineRule="auto"/>
              <w:ind w:left="0" w:right="0" w:firstLine="13"/>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未能设置活动围栏，可设宽约20mm 黄线明确车辆与行人分流。</w:t>
            </w:r>
          </w:p>
        </w:tc>
        <w:tc>
          <w:tcPr>
            <w:tcW w:w="3544" w:type="dxa"/>
          </w:tcPr>
          <w:p w14:paraId="40443066">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88960" behindDoc="0" locked="0" layoutInCell="1" allowOverlap="1">
                  <wp:simplePos x="0" y="0"/>
                  <wp:positionH relativeFrom="column">
                    <wp:posOffset>50165</wp:posOffset>
                  </wp:positionH>
                  <wp:positionV relativeFrom="paragraph">
                    <wp:posOffset>8890</wp:posOffset>
                  </wp:positionV>
                  <wp:extent cx="1640205" cy="1270000"/>
                  <wp:effectExtent l="0" t="0" r="17145" b="6350"/>
                  <wp:wrapNone/>
                  <wp:docPr id="112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图片 62"/>
                          <pic:cNvPicPr>
                            <a:picLocks noChangeAspect="1" noChangeArrowheads="1"/>
                          </pic:cNvPicPr>
                        </pic:nvPicPr>
                        <pic:blipFill>
                          <a:blip r:embed="rId88" cstate="print"/>
                          <a:srcRect/>
                          <a:stretch>
                            <a:fillRect/>
                          </a:stretch>
                        </pic:blipFill>
                        <pic:spPr>
                          <a:xfrm>
                            <a:off x="0" y="0"/>
                            <a:ext cx="1640205" cy="1270000"/>
                          </a:xfrm>
                          <a:prstGeom prst="rect">
                            <a:avLst/>
                          </a:prstGeom>
                          <a:noFill/>
                          <a:ln w="9525">
                            <a:noFill/>
                            <a:miter lim="800000"/>
                            <a:headEnd/>
                            <a:tailEnd/>
                          </a:ln>
                        </pic:spPr>
                      </pic:pic>
                    </a:graphicData>
                  </a:graphic>
                </wp:anchor>
              </w:drawing>
            </w:r>
          </w:p>
        </w:tc>
      </w:tr>
      <w:tr w14:paraId="5A39B8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22" w:type="dxa"/>
          </w:tcPr>
          <w:p w14:paraId="3CEB6721">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车行施工出入口的安全设施（推荐）</w:t>
            </w:r>
          </w:p>
        </w:tc>
        <w:tc>
          <w:tcPr>
            <w:tcW w:w="4394" w:type="dxa"/>
          </w:tcPr>
          <w:p w14:paraId="1126C92F">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1）醒目位置设置限速牌（5km/h）。</w:t>
            </w:r>
          </w:p>
          <w:p w14:paraId="36523997">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2）减速带两条</w:t>
            </w:r>
          </w:p>
          <w:p w14:paraId="14F4224E">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3）路口设置反光镜</w:t>
            </w:r>
          </w:p>
          <w:p w14:paraId="45DC152C">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4）有条件的路口道路范围设置禁止临时停车标示。</w:t>
            </w:r>
          </w:p>
        </w:tc>
        <w:tc>
          <w:tcPr>
            <w:tcW w:w="3544" w:type="dxa"/>
          </w:tcPr>
          <w:p w14:paraId="6246EBF9">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89984" behindDoc="0" locked="0" layoutInCell="1" allowOverlap="1">
                  <wp:simplePos x="0" y="0"/>
                  <wp:positionH relativeFrom="column">
                    <wp:posOffset>151130</wp:posOffset>
                  </wp:positionH>
                  <wp:positionV relativeFrom="paragraph">
                    <wp:posOffset>13335</wp:posOffset>
                  </wp:positionV>
                  <wp:extent cx="1357630" cy="1257300"/>
                  <wp:effectExtent l="0" t="0" r="13970" b="0"/>
                  <wp:wrapNone/>
                  <wp:docPr id="1130"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图片 101"/>
                          <pic:cNvPicPr>
                            <a:picLocks noChangeAspect="1" noChangeArrowheads="1"/>
                          </pic:cNvPicPr>
                        </pic:nvPicPr>
                        <pic:blipFill>
                          <a:blip r:embed="rId89"/>
                          <a:srcRect/>
                          <a:stretch>
                            <a:fillRect/>
                          </a:stretch>
                        </pic:blipFill>
                        <pic:spPr>
                          <a:xfrm>
                            <a:off x="0" y="0"/>
                            <a:ext cx="1357630" cy="1257300"/>
                          </a:xfrm>
                          <a:prstGeom prst="rect">
                            <a:avLst/>
                          </a:prstGeom>
                          <a:noFill/>
                          <a:ln w="9525">
                            <a:noFill/>
                            <a:miter lim="800000"/>
                            <a:headEnd/>
                            <a:tailEnd/>
                          </a:ln>
                        </pic:spPr>
                      </pic:pic>
                    </a:graphicData>
                  </a:graphic>
                </wp:anchor>
              </w:drawing>
            </w:r>
          </w:p>
        </w:tc>
      </w:tr>
      <w:tr w14:paraId="30A894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22" w:type="dxa"/>
          </w:tcPr>
          <w:p w14:paraId="1781D3E9">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安全通道</w:t>
            </w:r>
          </w:p>
        </w:tc>
        <w:tc>
          <w:tcPr>
            <w:tcW w:w="4394" w:type="dxa"/>
          </w:tcPr>
          <w:p w14:paraId="614F65EF">
            <w:pPr>
              <w:pStyle w:val="74"/>
              <w:keepNext w:val="0"/>
              <w:keepLines w:val="0"/>
              <w:suppressLineNumbers w:val="0"/>
              <w:adjustRightInd w:val="0"/>
              <w:snapToGrid w:val="0"/>
              <w:spacing w:before="0" w:beforeAutospacing="0" w:after="0" w:afterAutospacing="0" w:line="360" w:lineRule="auto"/>
              <w:ind w:left="0" w:leftChars="0" w:right="0" w:firstLine="0" w:firstLineChars="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1）楼栋出入口须设置双层硬质安全通道；宽度根据门洞实际确定，但不应小于3.5 m</w:t>
            </w:r>
          </w:p>
          <w:p w14:paraId="26CC4E06">
            <w:pPr>
              <w:pStyle w:val="74"/>
              <w:keepNext w:val="0"/>
              <w:keepLines w:val="0"/>
              <w:suppressLineNumbers w:val="0"/>
              <w:adjustRightInd w:val="0"/>
              <w:snapToGrid w:val="0"/>
              <w:spacing w:before="0" w:beforeAutospacing="0" w:after="0" w:afterAutospacing="0" w:line="360" w:lineRule="auto"/>
              <w:ind w:left="0" w:leftChars="0" w:right="0" w:firstLine="0" w:firstLineChars="0"/>
              <w:jc w:val="left"/>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2）通道大门张贴、悬挂安全标语、警示牌、楼栋管理铭牌、导视牌等；</w:t>
            </w:r>
          </w:p>
          <w:p w14:paraId="55820164">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3）安全通道可采用型钢搭设或采用可拆卸钢管护栏。安全通道较宽时，顶部应加斜杆支撑；</w:t>
            </w:r>
          </w:p>
          <w:p w14:paraId="4841BB20">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1"/>
                <w:szCs w:val="21"/>
                <w:highlight w:val="none"/>
              </w:rPr>
            </w:pPr>
          </w:p>
          <w:p w14:paraId="72EB571D">
            <w:pPr>
              <w:pStyle w:val="22"/>
              <w:keepNext w:val="0"/>
              <w:keepLines w:val="0"/>
              <w:suppressLineNumbers w:val="0"/>
              <w:spacing w:before="0" w:beforeAutospacing="0" w:after="0" w:afterAutospacing="0"/>
              <w:ind w:left="0" w:right="0"/>
              <w:outlineLvl w:val="9"/>
              <w:rPr>
                <w:rFonts w:cs="仿宋_GB2312" w:asciiTheme="minorEastAsia" w:hAnsiTheme="minorEastAsia" w:eastAsiaTheme="minorEastAsia"/>
                <w:color w:val="auto"/>
                <w:sz w:val="21"/>
                <w:szCs w:val="21"/>
                <w:highlight w:val="none"/>
              </w:rPr>
            </w:pPr>
          </w:p>
          <w:p w14:paraId="2A4DEB18">
            <w:pPr>
              <w:pStyle w:val="22"/>
              <w:keepNext w:val="0"/>
              <w:keepLines w:val="0"/>
              <w:suppressLineNumbers w:val="0"/>
              <w:spacing w:before="0" w:beforeAutospacing="0" w:after="0" w:afterAutospacing="0"/>
              <w:ind w:left="0" w:right="0"/>
              <w:outlineLvl w:val="9"/>
              <w:rPr>
                <w:rFonts w:cs="仿宋_GB2312" w:asciiTheme="minorEastAsia" w:hAnsiTheme="minorEastAsia" w:eastAsiaTheme="minorEastAsia"/>
                <w:color w:val="auto"/>
                <w:sz w:val="21"/>
                <w:szCs w:val="21"/>
                <w:highlight w:val="none"/>
              </w:rPr>
            </w:pPr>
          </w:p>
          <w:p w14:paraId="55C0DAAD">
            <w:pPr>
              <w:pStyle w:val="22"/>
              <w:keepNext w:val="0"/>
              <w:keepLines w:val="0"/>
              <w:suppressLineNumbers w:val="0"/>
              <w:spacing w:before="0" w:beforeAutospacing="0" w:after="0" w:afterAutospacing="0"/>
              <w:ind w:left="0" w:right="0"/>
              <w:outlineLvl w:val="9"/>
              <w:rPr>
                <w:rFonts w:cs="仿宋_GB2312" w:asciiTheme="minorEastAsia" w:hAnsiTheme="minorEastAsia" w:eastAsiaTheme="minorEastAsia"/>
                <w:color w:val="auto"/>
                <w:sz w:val="21"/>
                <w:szCs w:val="21"/>
                <w:highlight w:val="none"/>
              </w:rPr>
            </w:pPr>
          </w:p>
          <w:p w14:paraId="234EE363">
            <w:pPr>
              <w:pStyle w:val="22"/>
              <w:keepNext w:val="0"/>
              <w:keepLines w:val="0"/>
              <w:suppressLineNumbers w:val="0"/>
              <w:spacing w:before="0" w:beforeAutospacing="0" w:after="0" w:afterAutospacing="0"/>
              <w:ind w:left="0" w:right="0"/>
              <w:outlineLvl w:val="9"/>
              <w:rPr>
                <w:rFonts w:cs="仿宋_GB2312" w:asciiTheme="minorEastAsia" w:hAnsiTheme="minorEastAsia" w:eastAsiaTheme="minorEastAsia"/>
                <w:color w:val="auto"/>
                <w:sz w:val="21"/>
                <w:szCs w:val="21"/>
                <w:highlight w:val="none"/>
              </w:rPr>
            </w:pPr>
          </w:p>
        </w:tc>
        <w:tc>
          <w:tcPr>
            <w:tcW w:w="3544" w:type="dxa"/>
          </w:tcPr>
          <w:p w14:paraId="4AD8AF69">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91008" behindDoc="0" locked="0" layoutInCell="1" allowOverlap="1">
                  <wp:simplePos x="0" y="0"/>
                  <wp:positionH relativeFrom="column">
                    <wp:posOffset>41275</wp:posOffset>
                  </wp:positionH>
                  <wp:positionV relativeFrom="paragraph">
                    <wp:posOffset>23495</wp:posOffset>
                  </wp:positionV>
                  <wp:extent cx="1473835" cy="1092200"/>
                  <wp:effectExtent l="0" t="0" r="12065" b="12700"/>
                  <wp:wrapNone/>
                  <wp:docPr id="113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图片 27"/>
                          <pic:cNvPicPr>
                            <a:picLocks noChangeAspect="1" noChangeArrowheads="1"/>
                          </pic:cNvPicPr>
                        </pic:nvPicPr>
                        <pic:blipFill>
                          <a:blip r:embed="rId90"/>
                          <a:srcRect/>
                          <a:stretch>
                            <a:fillRect/>
                          </a:stretch>
                        </pic:blipFill>
                        <pic:spPr>
                          <a:xfrm>
                            <a:off x="0" y="0"/>
                            <a:ext cx="1473835" cy="1092200"/>
                          </a:xfrm>
                          <a:prstGeom prst="rect">
                            <a:avLst/>
                          </a:prstGeom>
                          <a:noFill/>
                          <a:ln w="9525">
                            <a:noFill/>
                            <a:miter lim="800000"/>
                            <a:headEnd/>
                            <a:tailEnd/>
                          </a:ln>
                        </pic:spPr>
                      </pic:pic>
                    </a:graphicData>
                  </a:graphic>
                </wp:anchor>
              </w:drawing>
            </w:r>
          </w:p>
          <w:p w14:paraId="21F94714">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92032" behindDoc="0" locked="0" layoutInCell="1" allowOverlap="1">
                  <wp:simplePos x="0" y="0"/>
                  <wp:positionH relativeFrom="column">
                    <wp:posOffset>32385</wp:posOffset>
                  </wp:positionH>
                  <wp:positionV relativeFrom="paragraph">
                    <wp:posOffset>896620</wp:posOffset>
                  </wp:positionV>
                  <wp:extent cx="1646555" cy="1278890"/>
                  <wp:effectExtent l="0" t="0" r="10795" b="16510"/>
                  <wp:wrapNone/>
                  <wp:docPr id="1132"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图片 95"/>
                          <pic:cNvPicPr>
                            <a:picLocks noChangeAspect="1" noChangeArrowheads="1"/>
                          </pic:cNvPicPr>
                        </pic:nvPicPr>
                        <pic:blipFill>
                          <a:blip r:embed="rId91" cstate="print"/>
                          <a:srcRect/>
                          <a:stretch>
                            <a:fillRect/>
                          </a:stretch>
                        </pic:blipFill>
                        <pic:spPr>
                          <a:xfrm>
                            <a:off x="0" y="0"/>
                            <a:ext cx="1646555" cy="1278890"/>
                          </a:xfrm>
                          <a:prstGeom prst="rect">
                            <a:avLst/>
                          </a:prstGeom>
                          <a:noFill/>
                          <a:ln w="9525">
                            <a:noFill/>
                            <a:miter lim="800000"/>
                            <a:headEnd/>
                            <a:tailEnd/>
                          </a:ln>
                        </pic:spPr>
                      </pic:pic>
                    </a:graphicData>
                  </a:graphic>
                </wp:anchor>
              </w:drawing>
            </w:r>
          </w:p>
        </w:tc>
      </w:tr>
    </w:tbl>
    <w:p w14:paraId="09EB00B7">
      <w:pPr>
        <w:pStyle w:val="74"/>
        <w:adjustRightInd w:val="0"/>
        <w:snapToGrid w:val="0"/>
        <w:spacing w:line="360" w:lineRule="auto"/>
        <w:ind w:left="0" w:leftChars="0" w:firstLine="0" w:firstLineChars="0"/>
        <w:outlineLvl w:val="9"/>
        <w:rPr>
          <w:rFonts w:hint="eastAsia" w:cs="楷体_GB2312" w:asciiTheme="minorEastAsia" w:hAnsiTheme="minorEastAsia" w:eastAsiaTheme="minorEastAsia"/>
          <w:color w:val="auto"/>
          <w:sz w:val="24"/>
          <w:highlight w:val="none"/>
        </w:rPr>
        <w:sectPr>
          <w:pgSz w:w="12240" w:h="15840"/>
          <w:pgMar w:top="1440" w:right="1440" w:bottom="1440" w:left="1440" w:header="720" w:footer="720" w:gutter="0"/>
          <w:pgBorders>
            <w:top w:val="none" w:sz="0" w:space="0"/>
            <w:left w:val="none" w:sz="0" w:space="0"/>
            <w:bottom w:val="none" w:sz="0" w:space="0"/>
            <w:right w:val="none" w:sz="0" w:space="0"/>
          </w:pgBorders>
          <w:cols w:space="0" w:num="1"/>
          <w:titlePg/>
        </w:sectPr>
      </w:pPr>
    </w:p>
    <w:p w14:paraId="4541B652">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（四）材料堆放</w:t>
      </w:r>
    </w:p>
    <w:tbl>
      <w:tblPr>
        <w:tblStyle w:val="56"/>
        <w:tblW w:w="918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48"/>
        <w:gridCol w:w="4253"/>
        <w:gridCol w:w="3685"/>
      </w:tblGrid>
      <w:tr w14:paraId="39C0B6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48" w:type="dxa"/>
            <w:vAlign w:val="center"/>
          </w:tcPr>
          <w:p w14:paraId="2206B13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53" w:type="dxa"/>
            <w:vAlign w:val="center"/>
          </w:tcPr>
          <w:p w14:paraId="40A0CB7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685" w:type="dxa"/>
            <w:vAlign w:val="center"/>
          </w:tcPr>
          <w:p w14:paraId="715B3E3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19D281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248" w:type="dxa"/>
          </w:tcPr>
          <w:p w14:paraId="3221C6FF">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总体原则</w:t>
            </w:r>
          </w:p>
        </w:tc>
        <w:tc>
          <w:tcPr>
            <w:tcW w:w="4253" w:type="dxa"/>
          </w:tcPr>
          <w:p w14:paraId="2F16F6C2">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1"/>
                <w:szCs w:val="21"/>
                <w:highlight w:val="none"/>
              </w:rPr>
            </w:pPr>
            <w:r>
              <w:rPr>
                <w:rFonts w:hint="eastAsia" w:cs="仿宋_GB2312" w:asciiTheme="minorEastAsia" w:hAnsiTheme="minorEastAsia" w:eastAsiaTheme="minorEastAsia"/>
                <w:color w:val="auto"/>
                <w:kern w:val="2"/>
                <w:sz w:val="21"/>
                <w:szCs w:val="21"/>
                <w:highlight w:val="none"/>
              </w:rPr>
              <w:t>建筑材料、构件、料具等应按总平面布局进行堆放，材料堆码要整齐，摆放有序，设置标识、标牌，并设置防雨措施。</w:t>
            </w:r>
          </w:p>
          <w:p w14:paraId="36E2EF79">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1"/>
                <w:szCs w:val="21"/>
                <w:highlight w:val="none"/>
              </w:rPr>
            </w:pPr>
          </w:p>
        </w:tc>
        <w:tc>
          <w:tcPr>
            <w:tcW w:w="3685" w:type="dxa"/>
          </w:tcPr>
          <w:p w14:paraId="1AEE5929">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93056" behindDoc="0" locked="0" layoutInCell="1" allowOverlap="1">
                  <wp:simplePos x="0" y="0"/>
                  <wp:positionH relativeFrom="column">
                    <wp:posOffset>265430</wp:posOffset>
                  </wp:positionH>
                  <wp:positionV relativeFrom="paragraph">
                    <wp:posOffset>3175</wp:posOffset>
                  </wp:positionV>
                  <wp:extent cx="1214120" cy="1021080"/>
                  <wp:effectExtent l="0" t="0" r="5080" b="7620"/>
                  <wp:wrapNone/>
                  <wp:docPr id="1133" name="图片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图片 1108"/>
                          <pic:cNvPicPr>
                            <a:picLocks noChangeAspect="1" noChangeArrowheads="1"/>
                          </pic:cNvPicPr>
                        </pic:nvPicPr>
                        <pic:blipFill>
                          <a:blip r:embed="rId92"/>
                          <a:srcRect/>
                          <a:stretch>
                            <a:fillRect/>
                          </a:stretch>
                        </pic:blipFill>
                        <pic:spPr>
                          <a:xfrm>
                            <a:off x="0" y="0"/>
                            <a:ext cx="1214120" cy="1021080"/>
                          </a:xfrm>
                          <a:prstGeom prst="rect">
                            <a:avLst/>
                          </a:prstGeom>
                          <a:noFill/>
                          <a:ln w="9525">
                            <a:noFill/>
                            <a:miter lim="800000"/>
                            <a:headEnd/>
                            <a:tailEnd/>
                          </a:ln>
                        </pic:spPr>
                      </pic:pic>
                    </a:graphicData>
                  </a:graphic>
                </wp:anchor>
              </w:drawing>
            </w:r>
          </w:p>
        </w:tc>
      </w:tr>
      <w:tr w14:paraId="0C68A7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48" w:type="dxa"/>
          </w:tcPr>
          <w:p w14:paraId="23B2684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钢材堆放</w:t>
            </w:r>
          </w:p>
        </w:tc>
        <w:tc>
          <w:tcPr>
            <w:tcW w:w="4253" w:type="dxa"/>
          </w:tcPr>
          <w:p w14:paraId="08138B4D">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钢材堆放分款分批平稳堆于在有承托的地面上，减少与地面接触和受潮；应配置帆布等有防雨措施。</w:t>
            </w:r>
          </w:p>
          <w:p w14:paraId="602E7599">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20A22CA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c>
          <w:tcPr>
            <w:tcW w:w="3685" w:type="dxa"/>
          </w:tcPr>
          <w:p w14:paraId="76696D0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94080" behindDoc="0" locked="0" layoutInCell="1" allowOverlap="1">
                  <wp:simplePos x="0" y="0"/>
                  <wp:positionH relativeFrom="column">
                    <wp:posOffset>214630</wp:posOffset>
                  </wp:positionH>
                  <wp:positionV relativeFrom="paragraph">
                    <wp:posOffset>67945</wp:posOffset>
                  </wp:positionV>
                  <wp:extent cx="1647825" cy="1244600"/>
                  <wp:effectExtent l="19050" t="0" r="9525" b="0"/>
                  <wp:wrapNone/>
                  <wp:docPr id="1134" name="图片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图片 1106"/>
                          <pic:cNvPicPr>
                            <a:picLocks noChangeAspect="1" noChangeArrowheads="1"/>
                          </pic:cNvPicPr>
                        </pic:nvPicPr>
                        <pic:blipFill>
                          <a:blip r:embed="rId93"/>
                          <a:srcRect/>
                          <a:stretch>
                            <a:fillRect/>
                          </a:stretch>
                        </pic:blipFill>
                        <pic:spPr>
                          <a:xfrm>
                            <a:off x="0" y="0"/>
                            <a:ext cx="1647825" cy="1244600"/>
                          </a:xfrm>
                          <a:prstGeom prst="rect">
                            <a:avLst/>
                          </a:prstGeom>
                          <a:noFill/>
                          <a:ln w="9525">
                            <a:noFill/>
                            <a:miter lim="800000"/>
                            <a:headEnd/>
                            <a:tailEnd/>
                          </a:ln>
                        </pic:spPr>
                      </pic:pic>
                    </a:graphicData>
                  </a:graphic>
                </wp:anchor>
              </w:drawing>
            </w:r>
          </w:p>
        </w:tc>
      </w:tr>
      <w:tr w14:paraId="7E85DB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0" w:hRule="atLeast"/>
          <w:jc w:val="center"/>
        </w:trPr>
        <w:tc>
          <w:tcPr>
            <w:tcW w:w="1248" w:type="dxa"/>
          </w:tcPr>
          <w:p w14:paraId="3C8D00E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木材堆放</w:t>
            </w:r>
          </w:p>
        </w:tc>
        <w:tc>
          <w:tcPr>
            <w:tcW w:w="4253" w:type="dxa"/>
          </w:tcPr>
          <w:p w14:paraId="41E96E04">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木材堆放必须用木枋承托，避免受潮或倾斜，有防火、防雨措施。</w:t>
            </w:r>
          </w:p>
          <w:p w14:paraId="3D237291">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3CEC892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7BE8CA74">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c>
          <w:tcPr>
            <w:tcW w:w="3685" w:type="dxa"/>
          </w:tcPr>
          <w:p w14:paraId="75D55DD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695104" behindDoc="0" locked="0" layoutInCell="1" allowOverlap="1">
                  <wp:simplePos x="0" y="0"/>
                  <wp:positionH relativeFrom="column">
                    <wp:posOffset>135255</wp:posOffset>
                  </wp:positionH>
                  <wp:positionV relativeFrom="paragraph">
                    <wp:posOffset>40640</wp:posOffset>
                  </wp:positionV>
                  <wp:extent cx="1725930" cy="1413510"/>
                  <wp:effectExtent l="19050" t="0" r="7620" b="0"/>
                  <wp:wrapNone/>
                  <wp:docPr id="11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图片 11"/>
                          <pic:cNvPicPr>
                            <a:picLocks noChangeAspect="1" noChangeArrowheads="1"/>
                          </pic:cNvPicPr>
                        </pic:nvPicPr>
                        <pic:blipFill>
                          <a:blip r:embed="rId94" cstate="print"/>
                          <a:srcRect/>
                          <a:stretch>
                            <a:fillRect/>
                          </a:stretch>
                        </pic:blipFill>
                        <pic:spPr>
                          <a:xfrm>
                            <a:off x="0" y="0"/>
                            <a:ext cx="1725930" cy="1413510"/>
                          </a:xfrm>
                          <a:prstGeom prst="rect">
                            <a:avLst/>
                          </a:prstGeom>
                          <a:noFill/>
                          <a:ln w="9525">
                            <a:noFill/>
                            <a:miter lim="800000"/>
                            <a:headEnd/>
                            <a:tailEnd/>
                          </a:ln>
                        </pic:spPr>
                      </pic:pic>
                    </a:graphicData>
                  </a:graphic>
                </wp:anchor>
              </w:drawing>
            </w:r>
          </w:p>
        </w:tc>
      </w:tr>
      <w:tr w14:paraId="02AC0F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47" w:hRule="atLeast"/>
          <w:jc w:val="center"/>
        </w:trPr>
        <w:tc>
          <w:tcPr>
            <w:tcW w:w="1248" w:type="dxa"/>
            <w:vAlign w:val="center"/>
          </w:tcPr>
          <w:p w14:paraId="114C4CA7">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粉状材料</w:t>
            </w:r>
          </w:p>
        </w:tc>
        <w:tc>
          <w:tcPr>
            <w:tcW w:w="4253" w:type="dxa"/>
          </w:tcPr>
          <w:p w14:paraId="52375705">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水泥、白灰等粉状材料要分期分批存放在干爽的室内仓库。仓库要有足够木枋承托，再用夹板铺面，堆放高度&lt;2m。结构胶及油漆等一般外面包有保护胶纸，存放时应保留保护胶纸原板。</w:t>
            </w:r>
          </w:p>
        </w:tc>
        <w:tc>
          <w:tcPr>
            <w:tcW w:w="3685" w:type="dxa"/>
          </w:tcPr>
          <w:p w14:paraId="1E0BD62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696128" behindDoc="0" locked="0" layoutInCell="1" allowOverlap="1">
                  <wp:simplePos x="0" y="0"/>
                  <wp:positionH relativeFrom="column">
                    <wp:posOffset>135255</wp:posOffset>
                  </wp:positionH>
                  <wp:positionV relativeFrom="paragraph">
                    <wp:posOffset>20320</wp:posOffset>
                  </wp:positionV>
                  <wp:extent cx="1753235" cy="1426210"/>
                  <wp:effectExtent l="19050" t="0" r="0" b="0"/>
                  <wp:wrapNone/>
                  <wp:docPr id="11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图片 15"/>
                          <pic:cNvPicPr>
                            <a:picLocks noChangeAspect="1" noChangeArrowheads="1"/>
                          </pic:cNvPicPr>
                        </pic:nvPicPr>
                        <pic:blipFill>
                          <a:blip r:embed="rId95"/>
                          <a:srcRect/>
                          <a:stretch>
                            <a:fillRect/>
                          </a:stretch>
                        </pic:blipFill>
                        <pic:spPr>
                          <a:xfrm>
                            <a:off x="0" y="0"/>
                            <a:ext cx="1753235" cy="1426210"/>
                          </a:xfrm>
                          <a:prstGeom prst="rect">
                            <a:avLst/>
                          </a:prstGeom>
                          <a:noFill/>
                          <a:ln w="9525">
                            <a:noFill/>
                            <a:miter lim="800000"/>
                            <a:headEnd/>
                            <a:tailEnd/>
                          </a:ln>
                        </pic:spPr>
                      </pic:pic>
                    </a:graphicData>
                  </a:graphic>
                </wp:anchor>
              </w:drawing>
            </w:r>
          </w:p>
        </w:tc>
      </w:tr>
      <w:tr w14:paraId="1FAAC8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88" w:hRule="atLeast"/>
          <w:jc w:val="center"/>
        </w:trPr>
        <w:tc>
          <w:tcPr>
            <w:tcW w:w="1248" w:type="dxa"/>
            <w:vAlign w:val="center"/>
          </w:tcPr>
          <w:p w14:paraId="02B2277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管材</w:t>
            </w:r>
          </w:p>
        </w:tc>
        <w:tc>
          <w:tcPr>
            <w:tcW w:w="4253" w:type="dxa"/>
          </w:tcPr>
          <w:p w14:paraId="44C6FC6E">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管材存放应分类存放，堆放高度&lt;2m，两边沿着管材底部头、中、尾处应放置混凝土楔，防止管材倾泻。</w:t>
            </w:r>
          </w:p>
          <w:p w14:paraId="6018AA3E">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p>
          <w:p w14:paraId="37B61379">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c>
          <w:tcPr>
            <w:tcW w:w="3685" w:type="dxa"/>
          </w:tcPr>
          <w:p w14:paraId="080CE48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97152" behindDoc="0" locked="0" layoutInCell="1" allowOverlap="1">
                  <wp:simplePos x="0" y="0"/>
                  <wp:positionH relativeFrom="column">
                    <wp:posOffset>134620</wp:posOffset>
                  </wp:positionH>
                  <wp:positionV relativeFrom="paragraph">
                    <wp:posOffset>114300</wp:posOffset>
                  </wp:positionV>
                  <wp:extent cx="1570990" cy="1231265"/>
                  <wp:effectExtent l="0" t="0" r="10160" b="6985"/>
                  <wp:wrapNone/>
                  <wp:docPr id="1137" name="图片占位符 5" descr="图片包含 建筑物, 户外, 火车&#10;&#10;已生成高可信度的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图片占位符 5" descr="图片包含 建筑物, 户外, 火车&#10;&#10;已生成高可信度的说明"/>
                          <pic:cNvPicPr>
                            <a:picLocks noChangeAspect="1" noChangeArrowheads="1"/>
                          </pic:cNvPicPr>
                        </pic:nvPicPr>
                        <pic:blipFill>
                          <a:blip r:embed="rId96"/>
                          <a:srcRect l="14381" r="14381"/>
                          <a:stretch>
                            <a:fillRect/>
                          </a:stretch>
                        </pic:blipFill>
                        <pic:spPr>
                          <a:xfrm>
                            <a:off x="0" y="0"/>
                            <a:ext cx="1570990" cy="1231265"/>
                          </a:xfrm>
                          <a:prstGeom prst="rect">
                            <a:avLst/>
                          </a:prstGeom>
                          <a:noFill/>
                          <a:ln w="9525">
                            <a:noFill/>
                            <a:miter lim="800000"/>
                            <a:headEnd/>
                            <a:tailEnd/>
                          </a:ln>
                        </pic:spPr>
                      </pic:pic>
                    </a:graphicData>
                  </a:graphic>
                </wp:anchor>
              </w:drawing>
            </w:r>
          </w:p>
        </w:tc>
      </w:tr>
      <w:tr w14:paraId="18E932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48" w:type="dxa"/>
          </w:tcPr>
          <w:p w14:paraId="4301C8A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脚手架及支承架</w:t>
            </w:r>
          </w:p>
        </w:tc>
        <w:tc>
          <w:tcPr>
            <w:tcW w:w="4253" w:type="dxa"/>
          </w:tcPr>
          <w:p w14:paraId="2F3C89E0">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脚手架及其它支承架存放要分类平堆，并用方木垫好，高度&lt;2m。扣件、对拉杆采用砖砌池（内外粉刷) 或装箱堆放。有防火、防锈蚀、防雨措施。</w:t>
            </w:r>
          </w:p>
          <w:p w14:paraId="69E004FE">
            <w:pPr>
              <w:pStyle w:val="112"/>
              <w:keepNext w:val="0"/>
              <w:keepLines w:val="0"/>
              <w:suppressLineNumbers w:val="0"/>
              <w:snapToGrid w:val="0"/>
              <w:spacing w:before="0" w:beforeAutospacing="0" w:after="0" w:afterAutospacing="0" w:line="360" w:lineRule="auto"/>
              <w:ind w:left="0" w:right="0"/>
              <w:jc w:val="both"/>
              <w:outlineLvl w:val="9"/>
              <w:rPr>
                <w:rFonts w:cs="仿宋_GB2312" w:asciiTheme="minorEastAsia" w:hAnsiTheme="minorEastAsia" w:eastAsiaTheme="minorEastAsia"/>
                <w:color w:val="auto"/>
                <w:kern w:val="2"/>
                <w:sz w:val="24"/>
                <w:szCs w:val="24"/>
                <w:highlight w:val="none"/>
              </w:rPr>
            </w:pPr>
          </w:p>
        </w:tc>
        <w:tc>
          <w:tcPr>
            <w:tcW w:w="3685" w:type="dxa"/>
          </w:tcPr>
          <w:p w14:paraId="5C77D92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98176" behindDoc="0" locked="0" layoutInCell="1" allowOverlap="1">
                  <wp:simplePos x="0" y="0"/>
                  <wp:positionH relativeFrom="column">
                    <wp:posOffset>163195</wp:posOffset>
                  </wp:positionH>
                  <wp:positionV relativeFrom="paragraph">
                    <wp:posOffset>25400</wp:posOffset>
                  </wp:positionV>
                  <wp:extent cx="1595755" cy="1382395"/>
                  <wp:effectExtent l="19050" t="0" r="4445" b="0"/>
                  <wp:wrapNone/>
                  <wp:docPr id="11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图片 10"/>
                          <pic:cNvPicPr>
                            <a:picLocks noChangeAspect="1" noChangeArrowheads="1"/>
                          </pic:cNvPicPr>
                        </pic:nvPicPr>
                        <pic:blipFill>
                          <a:blip r:embed="rId97" cstate="print"/>
                          <a:srcRect/>
                          <a:stretch>
                            <a:fillRect/>
                          </a:stretch>
                        </pic:blipFill>
                        <pic:spPr>
                          <a:xfrm>
                            <a:off x="0" y="0"/>
                            <a:ext cx="1595755" cy="1382395"/>
                          </a:xfrm>
                          <a:prstGeom prst="rect">
                            <a:avLst/>
                          </a:prstGeom>
                          <a:noFill/>
                          <a:ln w="9525">
                            <a:noFill/>
                            <a:miter lim="800000"/>
                            <a:headEnd/>
                            <a:tailEnd/>
                          </a:ln>
                        </pic:spPr>
                      </pic:pic>
                    </a:graphicData>
                  </a:graphic>
                </wp:anchor>
              </w:drawing>
            </w:r>
          </w:p>
        </w:tc>
      </w:tr>
      <w:tr w14:paraId="6239A3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48" w:type="dxa"/>
          </w:tcPr>
          <w:p w14:paraId="2E26BAA7">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瓷砖</w:t>
            </w:r>
          </w:p>
        </w:tc>
        <w:tc>
          <w:tcPr>
            <w:tcW w:w="4253" w:type="dxa"/>
          </w:tcPr>
          <w:p w14:paraId="73DDCE5B">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瓷砖必须分类分批分型号并保留原有的保护胶纸存放在室内仓库，堆放高度按产品说明书要求，仓库要有充足照明并保持干爽。</w:t>
            </w:r>
          </w:p>
          <w:p w14:paraId="04B1BA4B">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15F76FF0">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c>
          <w:tcPr>
            <w:tcW w:w="3685" w:type="dxa"/>
          </w:tcPr>
          <w:p w14:paraId="474EBA1A">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699200" behindDoc="0" locked="0" layoutInCell="1" allowOverlap="1">
                  <wp:simplePos x="0" y="0"/>
                  <wp:positionH relativeFrom="column">
                    <wp:posOffset>147955</wp:posOffset>
                  </wp:positionH>
                  <wp:positionV relativeFrom="paragraph">
                    <wp:posOffset>86360</wp:posOffset>
                  </wp:positionV>
                  <wp:extent cx="1635125" cy="1604010"/>
                  <wp:effectExtent l="19050" t="0" r="3175" b="0"/>
                  <wp:wrapNone/>
                  <wp:docPr id="1139"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图片 870"/>
                          <pic:cNvPicPr>
                            <a:picLocks noChangeAspect="1" noChangeArrowheads="1"/>
                          </pic:cNvPicPr>
                        </pic:nvPicPr>
                        <pic:blipFill>
                          <a:blip r:embed="rId98"/>
                          <a:srcRect/>
                          <a:stretch>
                            <a:fillRect/>
                          </a:stretch>
                        </pic:blipFill>
                        <pic:spPr>
                          <a:xfrm>
                            <a:off x="0" y="0"/>
                            <a:ext cx="1635125" cy="1604010"/>
                          </a:xfrm>
                          <a:prstGeom prst="rect">
                            <a:avLst/>
                          </a:prstGeom>
                          <a:noFill/>
                          <a:ln w="9525">
                            <a:noFill/>
                            <a:miter lim="800000"/>
                            <a:headEnd/>
                            <a:tailEnd/>
                          </a:ln>
                        </pic:spPr>
                      </pic:pic>
                    </a:graphicData>
                  </a:graphic>
                </wp:anchor>
              </w:drawing>
            </w:r>
          </w:p>
        </w:tc>
      </w:tr>
      <w:tr w14:paraId="0BB7AA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86" w:hRule="atLeast"/>
          <w:jc w:val="center"/>
        </w:trPr>
        <w:tc>
          <w:tcPr>
            <w:tcW w:w="1248" w:type="dxa"/>
          </w:tcPr>
          <w:p w14:paraId="49B7C37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易燃易爆物品</w:t>
            </w:r>
          </w:p>
        </w:tc>
        <w:tc>
          <w:tcPr>
            <w:tcW w:w="4253" w:type="dxa"/>
          </w:tcPr>
          <w:p w14:paraId="0970CFE9">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易燃易爆物品分类设专库存放，设专人负责管理。库房位置应远离火源，不得置于高压线下，库内照明应选用防爆灯具，库外摆放灭火筒，并张贴危险品使用许可证。</w:t>
            </w:r>
          </w:p>
        </w:tc>
        <w:tc>
          <w:tcPr>
            <w:tcW w:w="3685" w:type="dxa"/>
          </w:tcPr>
          <w:p w14:paraId="242DD054">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00224" behindDoc="0" locked="0" layoutInCell="1" allowOverlap="1">
                  <wp:simplePos x="0" y="0"/>
                  <wp:positionH relativeFrom="column">
                    <wp:posOffset>99060</wp:posOffset>
                  </wp:positionH>
                  <wp:positionV relativeFrom="paragraph">
                    <wp:posOffset>58420</wp:posOffset>
                  </wp:positionV>
                  <wp:extent cx="1771650" cy="1549400"/>
                  <wp:effectExtent l="19050" t="0" r="0" b="0"/>
                  <wp:wrapNone/>
                  <wp:docPr id="114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图片 64"/>
                          <pic:cNvPicPr>
                            <a:picLocks noChangeAspect="1" noChangeArrowheads="1"/>
                          </pic:cNvPicPr>
                        </pic:nvPicPr>
                        <pic:blipFill>
                          <a:blip r:embed="rId99"/>
                          <a:srcRect/>
                          <a:stretch>
                            <a:fillRect/>
                          </a:stretch>
                        </pic:blipFill>
                        <pic:spPr>
                          <a:xfrm>
                            <a:off x="0" y="0"/>
                            <a:ext cx="1771650" cy="1549400"/>
                          </a:xfrm>
                          <a:prstGeom prst="rect">
                            <a:avLst/>
                          </a:prstGeom>
                          <a:noFill/>
                          <a:ln w="9525">
                            <a:noFill/>
                            <a:miter lim="800000"/>
                            <a:headEnd/>
                            <a:tailEnd/>
                          </a:ln>
                        </pic:spPr>
                      </pic:pic>
                    </a:graphicData>
                  </a:graphic>
                </wp:anchor>
              </w:drawing>
            </w:r>
          </w:p>
        </w:tc>
      </w:tr>
    </w:tbl>
    <w:p w14:paraId="0EFDACB4">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（五）集中加工区</w:t>
      </w:r>
    </w:p>
    <w:tbl>
      <w:tblPr>
        <w:tblStyle w:val="56"/>
        <w:tblW w:w="918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50"/>
        <w:gridCol w:w="4253"/>
        <w:gridCol w:w="3685"/>
      </w:tblGrid>
      <w:tr w14:paraId="188F90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50" w:type="dxa"/>
          </w:tcPr>
          <w:p w14:paraId="6A2F9AB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53" w:type="dxa"/>
            <w:vAlign w:val="center"/>
          </w:tcPr>
          <w:p w14:paraId="6D38A1D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685" w:type="dxa"/>
            <w:vAlign w:val="center"/>
          </w:tcPr>
          <w:p w14:paraId="07982DE8">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178EEA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9" w:hRule="atLeast"/>
          <w:jc w:val="center"/>
        </w:trPr>
        <w:tc>
          <w:tcPr>
            <w:tcW w:w="1250" w:type="dxa"/>
          </w:tcPr>
          <w:p w14:paraId="02BCC6D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钢筋加工区</w:t>
            </w:r>
          </w:p>
        </w:tc>
        <w:tc>
          <w:tcPr>
            <w:tcW w:w="4253" w:type="dxa"/>
          </w:tcPr>
          <w:p w14:paraId="158C5E80">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双层防护、防护区域充分有效（加工机械不得外露棚外）、设备安全防护齐全、封闭围合、标识清晰、摆放有序。</w:t>
            </w:r>
          </w:p>
        </w:tc>
        <w:tc>
          <w:tcPr>
            <w:tcW w:w="3685" w:type="dxa"/>
          </w:tcPr>
          <w:p w14:paraId="15786A2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01248" behindDoc="0" locked="0" layoutInCell="1" allowOverlap="1">
                  <wp:simplePos x="0" y="0"/>
                  <wp:positionH relativeFrom="column">
                    <wp:posOffset>-6350</wp:posOffset>
                  </wp:positionH>
                  <wp:positionV relativeFrom="paragraph">
                    <wp:posOffset>53975</wp:posOffset>
                  </wp:positionV>
                  <wp:extent cx="1925320" cy="1510665"/>
                  <wp:effectExtent l="19050" t="0" r="0" b="0"/>
                  <wp:wrapNone/>
                  <wp:docPr id="11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图片 25"/>
                          <pic:cNvPicPr>
                            <a:picLocks noChangeAspect="1" noChangeArrowheads="1"/>
                          </pic:cNvPicPr>
                        </pic:nvPicPr>
                        <pic:blipFill>
                          <a:blip r:embed="rId100"/>
                          <a:srcRect/>
                          <a:stretch>
                            <a:fillRect/>
                          </a:stretch>
                        </pic:blipFill>
                        <pic:spPr>
                          <a:xfrm>
                            <a:off x="0" y="0"/>
                            <a:ext cx="1925320" cy="1510665"/>
                          </a:xfrm>
                          <a:prstGeom prst="rect">
                            <a:avLst/>
                          </a:prstGeom>
                          <a:noFill/>
                          <a:ln w="9525">
                            <a:noFill/>
                            <a:miter lim="800000"/>
                            <a:headEnd/>
                            <a:tailEnd/>
                          </a:ln>
                        </pic:spPr>
                      </pic:pic>
                    </a:graphicData>
                  </a:graphic>
                </wp:anchor>
              </w:drawing>
            </w:r>
          </w:p>
        </w:tc>
      </w:tr>
      <w:tr w14:paraId="317335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4" w:hRule="atLeast"/>
          <w:jc w:val="center"/>
        </w:trPr>
        <w:tc>
          <w:tcPr>
            <w:tcW w:w="1250" w:type="dxa"/>
          </w:tcPr>
          <w:p w14:paraId="269418E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木工加工区</w:t>
            </w:r>
          </w:p>
        </w:tc>
        <w:tc>
          <w:tcPr>
            <w:tcW w:w="4253" w:type="dxa"/>
          </w:tcPr>
          <w:p w14:paraId="4362070B">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双层防护、防护区域充分有效（加工机械不得外露棚外）、设备安全防护齐全、封闭围合、标识清晰、摆放有序。</w:t>
            </w:r>
          </w:p>
        </w:tc>
        <w:tc>
          <w:tcPr>
            <w:tcW w:w="3685" w:type="dxa"/>
          </w:tcPr>
          <w:p w14:paraId="2BBD88E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02272" behindDoc="0" locked="0" layoutInCell="1" allowOverlap="1">
                  <wp:simplePos x="0" y="0"/>
                  <wp:positionH relativeFrom="column">
                    <wp:posOffset>-12065</wp:posOffset>
                  </wp:positionH>
                  <wp:positionV relativeFrom="paragraph">
                    <wp:posOffset>59055</wp:posOffset>
                  </wp:positionV>
                  <wp:extent cx="1931035" cy="1583055"/>
                  <wp:effectExtent l="19050" t="0" r="0" b="0"/>
                  <wp:wrapNone/>
                  <wp:docPr id="1142"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图片 876"/>
                          <pic:cNvPicPr>
                            <a:picLocks noChangeAspect="1" noChangeArrowheads="1"/>
                          </pic:cNvPicPr>
                        </pic:nvPicPr>
                        <pic:blipFill>
                          <a:blip r:embed="rId101"/>
                          <a:srcRect/>
                          <a:stretch>
                            <a:fillRect/>
                          </a:stretch>
                        </pic:blipFill>
                        <pic:spPr>
                          <a:xfrm>
                            <a:off x="0" y="0"/>
                            <a:ext cx="1931035" cy="1583055"/>
                          </a:xfrm>
                          <a:prstGeom prst="rect">
                            <a:avLst/>
                          </a:prstGeom>
                          <a:noFill/>
                          <a:ln w="9525">
                            <a:noFill/>
                            <a:miter lim="800000"/>
                            <a:headEnd/>
                            <a:tailEnd/>
                          </a:ln>
                        </pic:spPr>
                      </pic:pic>
                    </a:graphicData>
                  </a:graphic>
                </wp:anchor>
              </w:drawing>
            </w:r>
          </w:p>
        </w:tc>
      </w:tr>
      <w:tr w14:paraId="264557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01" w:hRule="atLeast"/>
          <w:jc w:val="center"/>
        </w:trPr>
        <w:tc>
          <w:tcPr>
            <w:tcW w:w="1250" w:type="dxa"/>
          </w:tcPr>
          <w:p w14:paraId="32C0F58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预拌砂浆区</w:t>
            </w:r>
          </w:p>
        </w:tc>
        <w:tc>
          <w:tcPr>
            <w:tcW w:w="4253" w:type="dxa"/>
          </w:tcPr>
          <w:p w14:paraId="5B7B32F0">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封闭管理、计量有效、场地整洁、水管无跑冒滴漏。</w:t>
            </w:r>
          </w:p>
        </w:tc>
        <w:tc>
          <w:tcPr>
            <w:tcW w:w="3685" w:type="dxa"/>
          </w:tcPr>
          <w:p w14:paraId="1D40235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05344" behindDoc="0" locked="0" layoutInCell="1" allowOverlap="1">
                  <wp:simplePos x="0" y="0"/>
                  <wp:positionH relativeFrom="column">
                    <wp:posOffset>-22225</wp:posOffset>
                  </wp:positionH>
                  <wp:positionV relativeFrom="paragraph">
                    <wp:posOffset>142240</wp:posOffset>
                  </wp:positionV>
                  <wp:extent cx="1941195" cy="1620520"/>
                  <wp:effectExtent l="19050" t="0" r="1905" b="0"/>
                  <wp:wrapNone/>
                  <wp:docPr id="114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图片 34"/>
                          <pic:cNvPicPr>
                            <a:picLocks noChangeAspect="1" noChangeArrowheads="1"/>
                          </pic:cNvPicPr>
                        </pic:nvPicPr>
                        <pic:blipFill>
                          <a:blip r:embed="rId102"/>
                          <a:srcRect/>
                          <a:stretch>
                            <a:fillRect/>
                          </a:stretch>
                        </pic:blipFill>
                        <pic:spPr>
                          <a:xfrm>
                            <a:off x="0" y="0"/>
                            <a:ext cx="1941195" cy="1620520"/>
                          </a:xfrm>
                          <a:prstGeom prst="rect">
                            <a:avLst/>
                          </a:prstGeom>
                          <a:noFill/>
                          <a:ln w="9525">
                            <a:noFill/>
                            <a:miter lim="800000"/>
                            <a:headEnd/>
                            <a:tailEnd/>
                          </a:ln>
                        </pic:spPr>
                      </pic:pic>
                    </a:graphicData>
                  </a:graphic>
                </wp:anchor>
              </w:drawing>
            </w:r>
          </w:p>
        </w:tc>
      </w:tr>
    </w:tbl>
    <w:p w14:paraId="1C0B542B">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（六）工完场清</w:t>
      </w:r>
    </w:p>
    <w:tbl>
      <w:tblPr>
        <w:tblStyle w:val="56"/>
        <w:tblW w:w="918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76"/>
        <w:gridCol w:w="4254"/>
        <w:gridCol w:w="3655"/>
      </w:tblGrid>
      <w:tr w14:paraId="677963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76" w:type="dxa"/>
            <w:vAlign w:val="center"/>
          </w:tcPr>
          <w:p w14:paraId="037C0DE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54" w:type="dxa"/>
            <w:vAlign w:val="center"/>
          </w:tcPr>
          <w:p w14:paraId="55E3012F">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655" w:type="dxa"/>
            <w:vAlign w:val="center"/>
          </w:tcPr>
          <w:p w14:paraId="3E378F4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0FF2FD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76" w:type="dxa"/>
          </w:tcPr>
          <w:p w14:paraId="3F4AB7FC">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工完场清</w:t>
            </w:r>
          </w:p>
          <w:p w14:paraId="194150E3">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tc>
        <w:tc>
          <w:tcPr>
            <w:tcW w:w="4254" w:type="dxa"/>
          </w:tcPr>
          <w:p w14:paraId="094A2EEA">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1)材料集中堆放，建筑垃圾日清日毕；</w:t>
            </w:r>
          </w:p>
          <w:p w14:paraId="4A98D429">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2)地面无长流施工用水，无积水；</w:t>
            </w:r>
          </w:p>
          <w:p w14:paraId="11705F8F">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3)脚手架无材料、垃圾残渣；</w:t>
            </w:r>
          </w:p>
          <w:p w14:paraId="21453404">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4)地面无落地灰；</w:t>
            </w:r>
          </w:p>
          <w:p w14:paraId="45EE02DD">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5)现场无大小便痕迹；</w:t>
            </w:r>
          </w:p>
          <w:p w14:paraId="10C18E89">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04320" behindDoc="0" locked="0" layoutInCell="1" allowOverlap="1">
                  <wp:simplePos x="0" y="0"/>
                  <wp:positionH relativeFrom="column">
                    <wp:posOffset>2811780</wp:posOffset>
                  </wp:positionH>
                  <wp:positionV relativeFrom="paragraph">
                    <wp:posOffset>65405</wp:posOffset>
                  </wp:positionV>
                  <wp:extent cx="1622425" cy="1492250"/>
                  <wp:effectExtent l="19050" t="0" r="0" b="0"/>
                  <wp:wrapNone/>
                  <wp:docPr id="114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图片 69"/>
                          <pic:cNvPicPr>
                            <a:picLocks noChangeAspect="1" noChangeArrowheads="1"/>
                          </pic:cNvPicPr>
                        </pic:nvPicPr>
                        <pic:blipFill>
                          <a:blip r:embed="rId103"/>
                          <a:srcRect/>
                          <a:stretch>
                            <a:fillRect/>
                          </a:stretch>
                        </pic:blipFill>
                        <pic:spPr>
                          <a:xfrm>
                            <a:off x="0" y="0"/>
                            <a:ext cx="1622425" cy="1492250"/>
                          </a:xfrm>
                          <a:prstGeom prst="rect">
                            <a:avLst/>
                          </a:prstGeom>
                          <a:noFill/>
                          <a:ln w="9525">
                            <a:noFill/>
                            <a:miter lim="800000"/>
                            <a:headEnd/>
                            <a:tailEnd/>
                          </a:ln>
                        </pic:spPr>
                      </pic:pic>
                    </a:graphicData>
                  </a:graphic>
                </wp:anchor>
              </w:drawing>
            </w:r>
          </w:p>
          <w:p w14:paraId="702B07DF">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4E858361">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16AD82BA">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388DF110">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4BCEB04A">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tc>
        <w:tc>
          <w:tcPr>
            <w:tcW w:w="3655" w:type="dxa"/>
          </w:tcPr>
          <w:p w14:paraId="2EA5827F">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03296" behindDoc="0" locked="0" layoutInCell="1" allowOverlap="1">
                  <wp:simplePos x="0" y="0"/>
                  <wp:positionH relativeFrom="column">
                    <wp:posOffset>80645</wp:posOffset>
                  </wp:positionH>
                  <wp:positionV relativeFrom="paragraph">
                    <wp:posOffset>13970</wp:posOffset>
                  </wp:positionV>
                  <wp:extent cx="1622425" cy="1383030"/>
                  <wp:effectExtent l="19050" t="0" r="0" b="0"/>
                  <wp:wrapNone/>
                  <wp:docPr id="1143" name="图片 68" descr="DSCF7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图片 68" descr="DSCF7047"/>
                          <pic:cNvPicPr>
                            <a:picLocks noChangeAspect="1" noChangeArrowheads="1"/>
                          </pic:cNvPicPr>
                        </pic:nvPicPr>
                        <pic:blipFill>
                          <a:blip r:embed="rId104"/>
                          <a:srcRect/>
                          <a:stretch>
                            <a:fillRect/>
                          </a:stretch>
                        </pic:blipFill>
                        <pic:spPr>
                          <a:xfrm>
                            <a:off x="0" y="0"/>
                            <a:ext cx="1622425" cy="1383030"/>
                          </a:xfrm>
                          <a:prstGeom prst="rect">
                            <a:avLst/>
                          </a:prstGeom>
                          <a:noFill/>
                          <a:ln w="9525">
                            <a:noFill/>
                            <a:miter lim="800000"/>
                            <a:headEnd/>
                            <a:tailEnd/>
                          </a:ln>
                        </pic:spPr>
                      </pic:pic>
                    </a:graphicData>
                  </a:graphic>
                </wp:anchor>
              </w:drawing>
            </w:r>
          </w:p>
          <w:p w14:paraId="2C92165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tc>
      </w:tr>
    </w:tbl>
    <w:p w14:paraId="55B25EA2">
      <w:pPr>
        <w:pStyle w:val="74"/>
        <w:adjustRightInd w:val="0"/>
        <w:snapToGrid w:val="0"/>
        <w:spacing w:line="360" w:lineRule="auto"/>
        <w:ind w:left="0" w:leftChars="0" w:firstLine="0" w:firstLineChars="0"/>
        <w:outlineLvl w:val="9"/>
        <w:rPr>
          <w:rFonts w:hint="eastAsia" w:cs="楷体_GB2312" w:asciiTheme="minorEastAsia" w:hAnsiTheme="minorEastAsia" w:eastAsiaTheme="minorEastAsia"/>
          <w:color w:val="auto"/>
          <w:sz w:val="24"/>
          <w:highlight w:val="none"/>
        </w:rPr>
        <w:sectPr>
          <w:pgSz w:w="12240" w:h="15840"/>
          <w:pgMar w:top="1440" w:right="1440" w:bottom="1440" w:left="1440" w:header="720" w:footer="720" w:gutter="0"/>
          <w:pgBorders>
            <w:top w:val="none" w:sz="0" w:space="0"/>
            <w:left w:val="none" w:sz="0" w:space="0"/>
            <w:bottom w:val="none" w:sz="0" w:space="0"/>
            <w:right w:val="none" w:sz="0" w:space="0"/>
          </w:pgBorders>
          <w:cols w:space="0" w:num="1"/>
          <w:titlePg/>
        </w:sectPr>
      </w:pPr>
    </w:p>
    <w:p w14:paraId="13A1CDCA">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（七）临时用水</w:t>
      </w:r>
    </w:p>
    <w:tbl>
      <w:tblPr>
        <w:tblStyle w:val="56"/>
        <w:tblW w:w="923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99"/>
        <w:gridCol w:w="4253"/>
        <w:gridCol w:w="3678"/>
      </w:tblGrid>
      <w:tr w14:paraId="2A9720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99" w:type="dxa"/>
            <w:vAlign w:val="center"/>
          </w:tcPr>
          <w:p w14:paraId="34770BC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53" w:type="dxa"/>
            <w:vAlign w:val="center"/>
          </w:tcPr>
          <w:p w14:paraId="2B23A207">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678" w:type="dxa"/>
            <w:vAlign w:val="center"/>
          </w:tcPr>
          <w:p w14:paraId="6C1A6979">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353C00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00" w:hRule="atLeast"/>
          <w:jc w:val="center"/>
        </w:trPr>
        <w:tc>
          <w:tcPr>
            <w:tcW w:w="1299" w:type="dxa"/>
          </w:tcPr>
          <w:p w14:paraId="28DE101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临时用水</w:t>
            </w:r>
          </w:p>
        </w:tc>
        <w:tc>
          <w:tcPr>
            <w:tcW w:w="4253" w:type="dxa"/>
          </w:tcPr>
          <w:p w14:paraId="513BC7B2">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1)楼栋设置临时给水主干管，主干标识明晰，与消防用水分开设置，分区给水，不跑冒滴漏。</w:t>
            </w:r>
          </w:p>
          <w:p w14:paraId="1F7B4974">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2)地面排水，施工场地设置有组织排水。</w:t>
            </w:r>
          </w:p>
          <w:p w14:paraId="05604285">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7A376D2A">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51A25629">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4CDE036A">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78965C4A">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0EFB2722">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68A5F9C0">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c>
          <w:tcPr>
            <w:tcW w:w="3678" w:type="dxa"/>
          </w:tcPr>
          <w:p w14:paraId="212B1637">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06368" behindDoc="0" locked="0" layoutInCell="1" allowOverlap="1">
                  <wp:simplePos x="0" y="0"/>
                  <wp:positionH relativeFrom="column">
                    <wp:posOffset>-6350</wp:posOffset>
                  </wp:positionH>
                  <wp:positionV relativeFrom="paragraph">
                    <wp:posOffset>103505</wp:posOffset>
                  </wp:positionV>
                  <wp:extent cx="1740535" cy="1578610"/>
                  <wp:effectExtent l="19050" t="0" r="0" b="0"/>
                  <wp:wrapNone/>
                  <wp:docPr id="1146"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图片 1148"/>
                          <pic:cNvPicPr>
                            <a:picLocks noChangeAspect="1" noChangeArrowheads="1"/>
                          </pic:cNvPicPr>
                        </pic:nvPicPr>
                        <pic:blipFill>
                          <a:blip r:embed="rId105"/>
                          <a:srcRect/>
                          <a:stretch>
                            <a:fillRect/>
                          </a:stretch>
                        </pic:blipFill>
                        <pic:spPr>
                          <a:xfrm>
                            <a:off x="0" y="0"/>
                            <a:ext cx="1740535" cy="1578610"/>
                          </a:xfrm>
                          <a:prstGeom prst="rect">
                            <a:avLst/>
                          </a:prstGeom>
                          <a:noFill/>
                          <a:ln w="9525">
                            <a:noFill/>
                            <a:miter lim="800000"/>
                            <a:headEnd/>
                            <a:tailEnd/>
                          </a:ln>
                        </pic:spPr>
                      </pic:pic>
                    </a:graphicData>
                  </a:graphic>
                </wp:anchor>
              </w:drawing>
            </w:r>
          </w:p>
          <w:p w14:paraId="2320B1B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07392" behindDoc="0" locked="0" layoutInCell="1" allowOverlap="1">
                  <wp:simplePos x="0" y="0"/>
                  <wp:positionH relativeFrom="column">
                    <wp:posOffset>-6985</wp:posOffset>
                  </wp:positionH>
                  <wp:positionV relativeFrom="paragraph">
                    <wp:posOffset>1467485</wp:posOffset>
                  </wp:positionV>
                  <wp:extent cx="1739900" cy="1572260"/>
                  <wp:effectExtent l="19050" t="0" r="0" b="0"/>
                  <wp:wrapNone/>
                  <wp:docPr id="1147" name="图片 878" descr="C:\Users\PK\Desktop\123\QQ图片2015090111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图片 878" descr="C:\Users\PK\Desktop\123\QQ图片20150901111804.jpg"/>
                          <pic:cNvPicPr>
                            <a:picLocks noChangeAspect="1" noChangeArrowheads="1"/>
                          </pic:cNvPicPr>
                        </pic:nvPicPr>
                        <pic:blipFill>
                          <a:blip r:embed="rId106"/>
                          <a:srcRect/>
                          <a:stretch>
                            <a:fillRect/>
                          </a:stretch>
                        </pic:blipFill>
                        <pic:spPr>
                          <a:xfrm>
                            <a:off x="0" y="0"/>
                            <a:ext cx="1739900" cy="1572260"/>
                          </a:xfrm>
                          <a:prstGeom prst="rect">
                            <a:avLst/>
                          </a:prstGeom>
                          <a:noFill/>
                          <a:ln w="9525">
                            <a:noFill/>
                            <a:miter lim="800000"/>
                            <a:headEnd/>
                            <a:tailEnd/>
                          </a:ln>
                        </pic:spPr>
                      </pic:pic>
                    </a:graphicData>
                  </a:graphic>
                </wp:anchor>
              </w:drawing>
            </w:r>
          </w:p>
        </w:tc>
      </w:tr>
    </w:tbl>
    <w:p w14:paraId="00D050A2">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（八）治污减霾</w:t>
      </w:r>
    </w:p>
    <w:tbl>
      <w:tblPr>
        <w:tblStyle w:val="56"/>
        <w:tblW w:w="920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87"/>
        <w:gridCol w:w="4253"/>
        <w:gridCol w:w="3666"/>
      </w:tblGrid>
      <w:tr w14:paraId="0BADD5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1287" w:type="dxa"/>
            <w:vAlign w:val="center"/>
          </w:tcPr>
          <w:p w14:paraId="1E12EAE8">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53" w:type="dxa"/>
            <w:vAlign w:val="center"/>
          </w:tcPr>
          <w:p w14:paraId="630972D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666" w:type="dxa"/>
            <w:vAlign w:val="center"/>
          </w:tcPr>
          <w:p w14:paraId="05A8C61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192695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86" w:hRule="atLeast"/>
          <w:jc w:val="center"/>
        </w:trPr>
        <w:tc>
          <w:tcPr>
            <w:tcW w:w="1287" w:type="dxa"/>
          </w:tcPr>
          <w:p w14:paraId="1C743A7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设备安装与运行</w:t>
            </w:r>
          </w:p>
        </w:tc>
        <w:tc>
          <w:tcPr>
            <w:tcW w:w="4253" w:type="dxa"/>
          </w:tcPr>
          <w:p w14:paraId="19B94724">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1)冲洗设备符合要求，运行正常；车辆出入必须清洗到位；</w:t>
            </w:r>
          </w:p>
          <w:p w14:paraId="6B0E370F">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2)安装雾炮机、PN2.5检测仪、治污减霾监控设施；</w:t>
            </w:r>
          </w:p>
          <w:p w14:paraId="2C627E5E">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3)塔吊安装完成后安装喷淋装置及监控摄像头。</w:t>
            </w:r>
          </w:p>
          <w:p w14:paraId="164A7183">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4)基坑边及施工道路两侧安装喷淋装置。</w:t>
            </w:r>
          </w:p>
          <w:p w14:paraId="743FC6A2">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33B8C792">
            <w:pPr>
              <w:pStyle w:val="22"/>
              <w:keepNext w:val="0"/>
              <w:keepLines w:val="0"/>
              <w:suppressLineNumbers w:val="0"/>
              <w:spacing w:before="0" w:beforeAutospacing="0" w:after="0" w:afterAutospacing="0"/>
              <w:ind w:left="0" w:right="0"/>
              <w:outlineLvl w:val="9"/>
              <w:rPr>
                <w:rFonts w:cs="仿宋_GB2312" w:asciiTheme="minorEastAsia" w:hAnsiTheme="minorEastAsia" w:eastAsiaTheme="minorEastAsia"/>
                <w:color w:val="auto"/>
                <w:sz w:val="24"/>
                <w:highlight w:val="none"/>
              </w:rPr>
            </w:pPr>
          </w:p>
          <w:p w14:paraId="261CBA29">
            <w:pPr>
              <w:pStyle w:val="22"/>
              <w:keepNext w:val="0"/>
              <w:keepLines w:val="0"/>
              <w:suppressLineNumbers w:val="0"/>
              <w:spacing w:before="0" w:beforeAutospacing="0" w:after="0" w:afterAutospacing="0"/>
              <w:ind w:left="0" w:right="0"/>
              <w:outlineLvl w:val="9"/>
              <w:rPr>
                <w:rFonts w:cs="仿宋_GB2312" w:asciiTheme="minorEastAsia" w:hAnsiTheme="minorEastAsia" w:eastAsiaTheme="minorEastAsia"/>
                <w:color w:val="auto"/>
                <w:sz w:val="24"/>
                <w:highlight w:val="none"/>
              </w:rPr>
            </w:pPr>
          </w:p>
          <w:p w14:paraId="0BF3DE9A">
            <w:pPr>
              <w:pStyle w:val="22"/>
              <w:keepNext w:val="0"/>
              <w:keepLines w:val="0"/>
              <w:suppressLineNumbers w:val="0"/>
              <w:spacing w:before="0" w:beforeAutospacing="0" w:after="0" w:afterAutospacing="0"/>
              <w:ind w:left="0" w:right="0"/>
              <w:outlineLvl w:val="9"/>
              <w:rPr>
                <w:rFonts w:cs="仿宋_GB2312" w:asciiTheme="minorEastAsia" w:hAnsiTheme="minorEastAsia" w:eastAsiaTheme="minorEastAsia"/>
                <w:color w:val="auto"/>
                <w:sz w:val="24"/>
                <w:highlight w:val="none"/>
              </w:rPr>
            </w:pPr>
          </w:p>
          <w:p w14:paraId="2FD7ABF0">
            <w:pPr>
              <w:pStyle w:val="22"/>
              <w:keepNext w:val="0"/>
              <w:keepLines w:val="0"/>
              <w:suppressLineNumbers w:val="0"/>
              <w:spacing w:before="0" w:beforeAutospacing="0" w:after="0" w:afterAutospacing="0"/>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10464" behindDoc="0" locked="0" layoutInCell="1" allowOverlap="1">
                  <wp:simplePos x="0" y="0"/>
                  <wp:positionH relativeFrom="column">
                    <wp:posOffset>2858135</wp:posOffset>
                  </wp:positionH>
                  <wp:positionV relativeFrom="paragraph">
                    <wp:posOffset>65405</wp:posOffset>
                  </wp:positionV>
                  <wp:extent cx="1739265" cy="1095375"/>
                  <wp:effectExtent l="0" t="0" r="13335" b="9525"/>
                  <wp:wrapNone/>
                  <wp:docPr id="1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图片 1"/>
                          <pic:cNvPicPr>
                            <a:picLocks noChangeAspect="1" noChangeArrowheads="1"/>
                          </pic:cNvPicPr>
                        </pic:nvPicPr>
                        <pic:blipFill>
                          <a:blip r:embed="rId107"/>
                          <a:srcRect/>
                          <a:stretch>
                            <a:fillRect/>
                          </a:stretch>
                        </pic:blipFill>
                        <pic:spPr>
                          <a:xfrm>
                            <a:off x="0" y="0"/>
                            <a:ext cx="1739265" cy="1095375"/>
                          </a:xfrm>
                          <a:prstGeom prst="rect">
                            <a:avLst/>
                          </a:prstGeom>
                          <a:noFill/>
                          <a:ln w="9525">
                            <a:noFill/>
                            <a:miter lim="800000"/>
                            <a:headEnd/>
                            <a:tailEnd/>
                          </a:ln>
                        </pic:spPr>
                      </pic:pic>
                    </a:graphicData>
                  </a:graphic>
                </wp:anchor>
              </w:drawing>
            </w:r>
          </w:p>
          <w:p w14:paraId="7DA68C14">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2A564345">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1A449E2A">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5A20D0E8">
            <w:pPr>
              <w:keepNext w:val="0"/>
              <w:keepLines w:val="0"/>
              <w:suppressLineNumbers w:val="0"/>
              <w:adjustRightInd w:val="0"/>
              <w:snapToGrid w:val="0"/>
              <w:spacing w:before="0" w:beforeAutospacing="0" w:after="0" w:afterAutospacing="0" w:line="360" w:lineRule="auto"/>
              <w:ind w:left="0" w:right="0"/>
              <w:jc w:val="left"/>
              <w:outlineLvl w:val="9"/>
              <w:rPr>
                <w:rFonts w:asciiTheme="minorEastAsia" w:hAnsiTheme="minorEastAsia" w:eastAsiaTheme="minorEastAsia"/>
                <w:color w:val="auto"/>
                <w:highlight w:val="none"/>
                <w:lang w:val="en-US"/>
              </w:rPr>
            </w:pPr>
            <w:r>
              <w:rPr>
                <w:rFonts w:hint="eastAsia" w:cs="仿宋_GB2312" w:asciiTheme="minorEastAsia" w:hAnsiTheme="minorEastAsia" w:eastAsiaTheme="minorEastAsia"/>
                <w:color w:val="auto"/>
                <w:sz w:val="24"/>
                <w:highlight w:val="none"/>
              </w:rPr>
              <w:drawing>
                <wp:anchor distT="0" distB="0" distL="0" distR="0" simplePos="0" relativeHeight="251711488" behindDoc="0" locked="0" layoutInCell="1" allowOverlap="1">
                  <wp:simplePos x="0" y="0"/>
                  <wp:positionH relativeFrom="column">
                    <wp:posOffset>2833370</wp:posOffset>
                  </wp:positionH>
                  <wp:positionV relativeFrom="paragraph">
                    <wp:posOffset>121285</wp:posOffset>
                  </wp:positionV>
                  <wp:extent cx="1895475" cy="1046480"/>
                  <wp:effectExtent l="0" t="0" r="9525" b="1270"/>
                  <wp:wrapNone/>
                  <wp:docPr id="1151" name="图片 7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图片 76" descr="图片3"/>
                          <pic:cNvPicPr>
                            <a:picLocks noChangeAspect="1" noChangeArrowheads="1"/>
                          </pic:cNvPicPr>
                        </pic:nvPicPr>
                        <pic:blipFill>
                          <a:blip r:embed="rId108"/>
                          <a:srcRect/>
                          <a:stretch>
                            <a:fillRect/>
                          </a:stretch>
                        </pic:blipFill>
                        <pic:spPr>
                          <a:xfrm>
                            <a:off x="0" y="0"/>
                            <a:ext cx="1895475" cy="1046480"/>
                          </a:xfrm>
                          <a:prstGeom prst="rect">
                            <a:avLst/>
                          </a:prstGeom>
                          <a:noFill/>
                          <a:ln w="9525">
                            <a:noFill/>
                            <a:miter lim="800000"/>
                            <a:headEnd/>
                            <a:tailEnd/>
                          </a:ln>
                        </pic:spPr>
                      </pic:pic>
                    </a:graphicData>
                  </a:graphic>
                </wp:anchor>
              </w:drawing>
            </w:r>
          </w:p>
        </w:tc>
        <w:tc>
          <w:tcPr>
            <w:tcW w:w="3666" w:type="dxa"/>
          </w:tcPr>
          <w:p w14:paraId="2B1E64C3">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08416" behindDoc="0" locked="0" layoutInCell="1" allowOverlap="1">
                  <wp:simplePos x="0" y="0"/>
                  <wp:positionH relativeFrom="column">
                    <wp:posOffset>635</wp:posOffset>
                  </wp:positionH>
                  <wp:positionV relativeFrom="paragraph">
                    <wp:posOffset>34290</wp:posOffset>
                  </wp:positionV>
                  <wp:extent cx="1765935" cy="1351280"/>
                  <wp:effectExtent l="0" t="0" r="5715" b="1270"/>
                  <wp:wrapNone/>
                  <wp:docPr id="1148" name="图片 283" descr="C:\Users\sunac\Desktop\照片（中建二局）\IMG_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图片 283" descr="C:\Users\sunac\Desktop\照片（中建二局）\IMG_2510.JPG"/>
                          <pic:cNvPicPr>
                            <a:picLocks noChangeAspect="1" noChangeArrowheads="1"/>
                          </pic:cNvPicPr>
                        </pic:nvPicPr>
                        <pic:blipFill>
                          <a:blip r:embed="rId109"/>
                          <a:srcRect/>
                          <a:stretch>
                            <a:fillRect/>
                          </a:stretch>
                        </pic:blipFill>
                        <pic:spPr>
                          <a:xfrm>
                            <a:off x="0" y="0"/>
                            <a:ext cx="1765935" cy="1351280"/>
                          </a:xfrm>
                          <a:prstGeom prst="rect">
                            <a:avLst/>
                          </a:prstGeom>
                          <a:noFill/>
                          <a:ln w="9525">
                            <a:noFill/>
                            <a:miter lim="800000"/>
                            <a:headEnd/>
                            <a:tailEnd/>
                          </a:ln>
                        </pic:spPr>
                      </pic:pic>
                    </a:graphicData>
                  </a:graphic>
                </wp:anchor>
              </w:drawing>
            </w:r>
          </w:p>
          <w:p w14:paraId="44717F1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p w14:paraId="4A0DA91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p w14:paraId="1AFC000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09440" behindDoc="0" locked="0" layoutInCell="1" allowOverlap="1">
                  <wp:simplePos x="0" y="0"/>
                  <wp:positionH relativeFrom="column">
                    <wp:posOffset>10795</wp:posOffset>
                  </wp:positionH>
                  <wp:positionV relativeFrom="paragraph">
                    <wp:posOffset>514985</wp:posOffset>
                  </wp:positionV>
                  <wp:extent cx="1734185" cy="1155065"/>
                  <wp:effectExtent l="0" t="0" r="18415" b="6985"/>
                  <wp:wrapNone/>
                  <wp:docPr id="114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图片 74"/>
                          <pic:cNvPicPr>
                            <a:picLocks noChangeAspect="1" noChangeArrowheads="1"/>
                          </pic:cNvPicPr>
                        </pic:nvPicPr>
                        <pic:blipFill>
                          <a:blip r:embed="rId110"/>
                          <a:srcRect/>
                          <a:stretch>
                            <a:fillRect/>
                          </a:stretch>
                        </pic:blipFill>
                        <pic:spPr>
                          <a:xfrm>
                            <a:off x="0" y="0"/>
                            <a:ext cx="1734185" cy="1155065"/>
                          </a:xfrm>
                          <a:prstGeom prst="rect">
                            <a:avLst/>
                          </a:prstGeom>
                          <a:noFill/>
                          <a:ln w="9525">
                            <a:noFill/>
                            <a:miter lim="800000"/>
                            <a:headEnd/>
                            <a:tailEnd/>
                          </a:ln>
                        </pic:spPr>
                      </pic:pic>
                    </a:graphicData>
                  </a:graphic>
                </wp:anchor>
              </w:drawing>
            </w:r>
          </w:p>
        </w:tc>
      </w:tr>
      <w:tr w14:paraId="4F9816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287" w:hRule="atLeast"/>
          <w:jc w:val="center"/>
        </w:trPr>
        <w:tc>
          <w:tcPr>
            <w:tcW w:w="1287" w:type="dxa"/>
          </w:tcPr>
          <w:p w14:paraId="4D6B041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降尘、铺盖</w:t>
            </w:r>
          </w:p>
        </w:tc>
        <w:tc>
          <w:tcPr>
            <w:tcW w:w="4253" w:type="dxa"/>
          </w:tcPr>
          <w:p w14:paraId="226EDDCC">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施工道路须配备专人保洁，施工无扬尘；施工场地内的余土必须采用密目网覆盖；对不能及时外运的渣土、垃圾必须集中堆放并覆盖密目网。</w:t>
            </w:r>
          </w:p>
          <w:p w14:paraId="0C6DD6FA">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5353729E">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tc>
        <w:tc>
          <w:tcPr>
            <w:tcW w:w="3666" w:type="dxa"/>
          </w:tcPr>
          <w:p w14:paraId="25DDD6E7">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12512" behindDoc="0" locked="0" layoutInCell="1" allowOverlap="1">
                  <wp:simplePos x="0" y="0"/>
                  <wp:positionH relativeFrom="column">
                    <wp:posOffset>21590</wp:posOffset>
                  </wp:positionH>
                  <wp:positionV relativeFrom="paragraph">
                    <wp:posOffset>60960</wp:posOffset>
                  </wp:positionV>
                  <wp:extent cx="1877060" cy="1374775"/>
                  <wp:effectExtent l="19050" t="0" r="8890" b="0"/>
                  <wp:wrapNone/>
                  <wp:docPr id="1152" name="内容占位符 15363" descr="C:\Users\duzhichen\Desktop\u=1707340018,1313932408&amp;fm=72.jpgu=1707340018,1313932408&amp;fm=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内容占位符 15363" descr="C:\Users\duzhichen\Desktop\u=1707340018,1313932408&amp;fm=72.jpgu=1707340018,1313932408&amp;fm=72"/>
                          <pic:cNvPicPr>
                            <a:picLocks noChangeAspect="1" noChangeArrowheads="1"/>
                          </pic:cNvPicPr>
                        </pic:nvPicPr>
                        <pic:blipFill>
                          <a:blip r:embed="rId111"/>
                          <a:srcRect/>
                          <a:stretch>
                            <a:fillRect/>
                          </a:stretch>
                        </pic:blipFill>
                        <pic:spPr>
                          <a:xfrm>
                            <a:off x="0" y="0"/>
                            <a:ext cx="1877060" cy="1374775"/>
                          </a:xfrm>
                          <a:prstGeom prst="rect">
                            <a:avLst/>
                          </a:prstGeom>
                          <a:noFill/>
                          <a:ln w="9525">
                            <a:noFill/>
                            <a:miter lim="800000"/>
                            <a:headEnd/>
                            <a:tailEnd/>
                          </a:ln>
                        </pic:spPr>
                      </pic:pic>
                    </a:graphicData>
                  </a:graphic>
                </wp:anchor>
              </w:drawing>
            </w:r>
          </w:p>
          <w:p w14:paraId="75985B1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tc>
      </w:tr>
    </w:tbl>
    <w:p w14:paraId="78D753A7">
      <w:pPr>
        <w:pStyle w:val="74"/>
        <w:adjustRightInd w:val="0"/>
        <w:snapToGrid w:val="0"/>
        <w:spacing w:line="360" w:lineRule="auto"/>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（九）现场临时设施</w:t>
      </w:r>
    </w:p>
    <w:tbl>
      <w:tblPr>
        <w:tblStyle w:val="56"/>
        <w:tblW w:w="915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60"/>
        <w:gridCol w:w="4253"/>
        <w:gridCol w:w="3638"/>
      </w:tblGrid>
      <w:tr w14:paraId="6DC710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60" w:type="dxa"/>
            <w:vAlign w:val="center"/>
          </w:tcPr>
          <w:p w14:paraId="161F31E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53" w:type="dxa"/>
            <w:vAlign w:val="center"/>
          </w:tcPr>
          <w:p w14:paraId="52B56586">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638" w:type="dxa"/>
            <w:vAlign w:val="center"/>
          </w:tcPr>
          <w:p w14:paraId="1C184F9F">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7E2C04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60" w:type="dxa"/>
          </w:tcPr>
          <w:p w14:paraId="5FA242EF">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办公区</w:t>
            </w:r>
          </w:p>
        </w:tc>
        <w:tc>
          <w:tcPr>
            <w:tcW w:w="4253" w:type="dxa"/>
          </w:tcPr>
          <w:p w14:paraId="12CE81FA">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1)办公区与施工区分区设置、分隔清晰。分隔方式可采用砌砖、栏杆、装配式围墙等，高度不低于1.5m；</w:t>
            </w:r>
          </w:p>
          <w:p w14:paraId="7B42CE57">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2)临时用房不宜位于建筑物的坠落半径和塔吊等机械作业半径之内，因场地限制无法避免时设置双层防护棚；</w:t>
            </w:r>
          </w:p>
          <w:p w14:paraId="20123A04">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3F320A86">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5F81FD36">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287934FE">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4AD425BB">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3884A4E8">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659D78F2">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06AED6BC">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5F5C522F">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1C53F973">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76A4F15F">
            <w:pPr>
              <w:pStyle w:val="74"/>
              <w:keepNext w:val="0"/>
              <w:keepLines w:val="0"/>
              <w:suppressLineNumbers w:val="0"/>
              <w:spacing w:before="0" w:beforeAutospacing="0" w:after="0" w:afterAutospacing="0"/>
              <w:ind w:left="0" w:leftChars="0" w:right="0" w:firstLine="0" w:firstLineChars="0"/>
              <w:outlineLvl w:val="9"/>
              <w:rPr>
                <w:rFonts w:asciiTheme="minorEastAsia" w:hAnsiTheme="minorEastAsia" w:eastAsiaTheme="minorEastAsia"/>
                <w:color w:val="auto"/>
                <w:highlight w:val="none"/>
                <w:lang w:val="en-US"/>
              </w:rPr>
            </w:pPr>
          </w:p>
        </w:tc>
        <w:tc>
          <w:tcPr>
            <w:tcW w:w="3638" w:type="dxa"/>
          </w:tcPr>
          <w:p w14:paraId="49819D6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13536" behindDoc="0" locked="0" layoutInCell="1" allowOverlap="1">
                  <wp:simplePos x="0" y="0"/>
                  <wp:positionH relativeFrom="column">
                    <wp:posOffset>82550</wp:posOffset>
                  </wp:positionH>
                  <wp:positionV relativeFrom="paragraph">
                    <wp:posOffset>45720</wp:posOffset>
                  </wp:positionV>
                  <wp:extent cx="1715135" cy="1092835"/>
                  <wp:effectExtent l="19050" t="0" r="0" b="0"/>
                  <wp:wrapNone/>
                  <wp:docPr id="11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图片 2"/>
                          <pic:cNvPicPr>
                            <a:picLocks noChangeAspect="1" noChangeArrowheads="1"/>
                          </pic:cNvPicPr>
                        </pic:nvPicPr>
                        <pic:blipFill>
                          <a:blip r:embed="rId112"/>
                          <a:srcRect/>
                          <a:stretch>
                            <a:fillRect/>
                          </a:stretch>
                        </pic:blipFill>
                        <pic:spPr>
                          <a:xfrm>
                            <a:off x="0" y="0"/>
                            <a:ext cx="1715135" cy="1092835"/>
                          </a:xfrm>
                          <a:prstGeom prst="rect">
                            <a:avLst/>
                          </a:prstGeom>
                          <a:noFill/>
                          <a:ln w="9525">
                            <a:noFill/>
                            <a:miter lim="800000"/>
                            <a:headEnd/>
                            <a:tailEnd/>
                          </a:ln>
                        </pic:spPr>
                      </pic:pic>
                    </a:graphicData>
                  </a:graphic>
                </wp:anchor>
              </w:drawing>
            </w:r>
          </w:p>
          <w:p w14:paraId="4B14EB25">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715584" behindDoc="0" locked="0" layoutInCell="1" allowOverlap="1">
                  <wp:simplePos x="0" y="0"/>
                  <wp:positionH relativeFrom="column">
                    <wp:posOffset>82550</wp:posOffset>
                  </wp:positionH>
                  <wp:positionV relativeFrom="paragraph">
                    <wp:posOffset>2066290</wp:posOffset>
                  </wp:positionV>
                  <wp:extent cx="1715135" cy="1254125"/>
                  <wp:effectExtent l="19050" t="0" r="0" b="0"/>
                  <wp:wrapNone/>
                  <wp:docPr id="1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图片 1"/>
                          <pic:cNvPicPr>
                            <a:picLocks noChangeAspect="1" noChangeArrowheads="1"/>
                          </pic:cNvPicPr>
                        </pic:nvPicPr>
                        <pic:blipFill>
                          <a:blip r:embed="rId113" cstate="print"/>
                          <a:srcRect/>
                          <a:stretch>
                            <a:fillRect/>
                          </a:stretch>
                        </pic:blipFill>
                        <pic:spPr>
                          <a:xfrm>
                            <a:off x="0" y="0"/>
                            <a:ext cx="1715135" cy="125412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drawing>
                <wp:anchor distT="0" distB="0" distL="0" distR="0" simplePos="0" relativeHeight="251714560" behindDoc="0" locked="0" layoutInCell="1" allowOverlap="1">
                  <wp:simplePos x="0" y="0"/>
                  <wp:positionH relativeFrom="column">
                    <wp:posOffset>82550</wp:posOffset>
                  </wp:positionH>
                  <wp:positionV relativeFrom="paragraph">
                    <wp:posOffset>872490</wp:posOffset>
                  </wp:positionV>
                  <wp:extent cx="1689735" cy="1163955"/>
                  <wp:effectExtent l="0" t="0" r="5715" b="17145"/>
                  <wp:wrapNone/>
                  <wp:docPr id="1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图片 1"/>
                          <pic:cNvPicPr>
                            <a:picLocks noChangeAspect="1" noChangeArrowheads="1"/>
                          </pic:cNvPicPr>
                        </pic:nvPicPr>
                        <pic:blipFill>
                          <a:blip r:embed="rId114"/>
                          <a:srcRect/>
                          <a:stretch>
                            <a:fillRect/>
                          </a:stretch>
                        </pic:blipFill>
                        <pic:spPr>
                          <a:xfrm>
                            <a:off x="0" y="0"/>
                            <a:ext cx="1689735" cy="1163955"/>
                          </a:xfrm>
                          <a:prstGeom prst="rect">
                            <a:avLst/>
                          </a:prstGeom>
                          <a:noFill/>
                          <a:ln w="9525">
                            <a:noFill/>
                            <a:miter lim="800000"/>
                            <a:headEnd/>
                            <a:tailEnd/>
                          </a:ln>
                        </pic:spPr>
                      </pic:pic>
                    </a:graphicData>
                  </a:graphic>
                </wp:anchor>
              </w:drawing>
            </w:r>
          </w:p>
        </w:tc>
      </w:tr>
      <w:tr w14:paraId="7C001C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60" w:type="dxa"/>
          </w:tcPr>
          <w:p w14:paraId="226AB88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生活区</w:t>
            </w:r>
          </w:p>
        </w:tc>
        <w:tc>
          <w:tcPr>
            <w:tcW w:w="4253" w:type="dxa"/>
          </w:tcPr>
          <w:p w14:paraId="7FB8459F">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1)生活区与施工区分区设置、分隔清晰。分隔方式可采用砌砖、栏杆、装配式围墙等，高度不低于1.5m；</w:t>
            </w:r>
          </w:p>
          <w:p w14:paraId="1A60B012">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2)临时用房不宜位于建筑物的坠落半径和塔吊等机械作业半径之内，因场地限制无法避免时设置双层防护棚；</w:t>
            </w:r>
          </w:p>
          <w:p w14:paraId="3F397E6B">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3)在建工程室内不得住人。</w:t>
            </w:r>
          </w:p>
          <w:p w14:paraId="7BD1C077">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4)按作业人员的数量设置足够的淋浴设施，在寒冷季节应供应热水。（推荐）</w:t>
            </w:r>
          </w:p>
        </w:tc>
        <w:tc>
          <w:tcPr>
            <w:tcW w:w="3638" w:type="dxa"/>
          </w:tcPr>
          <w:p w14:paraId="396E9E4D">
            <w:pPr>
              <w:keepNext w:val="0"/>
              <w:keepLines w:val="0"/>
              <w:suppressLineNumbers w:val="0"/>
              <w:adjustRightInd w:val="0"/>
              <w:snapToGrid w:val="0"/>
              <w:spacing w:before="0" w:beforeAutospacing="0" w:after="0" w:afterAutospacing="0" w:line="360" w:lineRule="auto"/>
              <w:ind w:left="0" w:right="0"/>
              <w:jc w:val="both"/>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16608" behindDoc="0" locked="0" layoutInCell="1" allowOverlap="1">
                  <wp:simplePos x="0" y="0"/>
                  <wp:positionH relativeFrom="column">
                    <wp:posOffset>79375</wp:posOffset>
                  </wp:positionH>
                  <wp:positionV relativeFrom="paragraph">
                    <wp:posOffset>187960</wp:posOffset>
                  </wp:positionV>
                  <wp:extent cx="1800225" cy="1049655"/>
                  <wp:effectExtent l="0" t="0" r="9525" b="17145"/>
                  <wp:wrapNone/>
                  <wp:docPr id="115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图片 96"/>
                          <pic:cNvPicPr>
                            <a:picLocks noChangeAspect="1" noChangeArrowheads="1"/>
                          </pic:cNvPicPr>
                        </pic:nvPicPr>
                        <pic:blipFill>
                          <a:blip r:embed="rId115" cstate="print"/>
                          <a:srcRect/>
                          <a:stretch>
                            <a:fillRect/>
                          </a:stretch>
                        </pic:blipFill>
                        <pic:spPr>
                          <a:xfrm>
                            <a:off x="0" y="0"/>
                            <a:ext cx="1800225" cy="1049655"/>
                          </a:xfrm>
                          <a:prstGeom prst="rect">
                            <a:avLst/>
                          </a:prstGeom>
                          <a:noFill/>
                          <a:ln w="9525">
                            <a:noFill/>
                            <a:miter lim="800000"/>
                            <a:headEnd/>
                            <a:tailEnd/>
                          </a:ln>
                        </pic:spPr>
                      </pic:pic>
                    </a:graphicData>
                  </a:graphic>
                </wp:anchor>
              </w:drawing>
            </w:r>
          </w:p>
          <w:p w14:paraId="20BFC55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p w14:paraId="1B32DA37">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717632" behindDoc="0" locked="0" layoutInCell="1" allowOverlap="1">
                  <wp:simplePos x="0" y="0"/>
                  <wp:positionH relativeFrom="column">
                    <wp:posOffset>56515</wp:posOffset>
                  </wp:positionH>
                  <wp:positionV relativeFrom="paragraph">
                    <wp:posOffset>715010</wp:posOffset>
                  </wp:positionV>
                  <wp:extent cx="1815465" cy="1040765"/>
                  <wp:effectExtent l="0" t="0" r="13335" b="6985"/>
                  <wp:wrapNone/>
                  <wp:docPr id="1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图片 1"/>
                          <pic:cNvPicPr>
                            <a:picLocks noChangeAspect="1" noChangeArrowheads="1"/>
                          </pic:cNvPicPr>
                        </pic:nvPicPr>
                        <pic:blipFill>
                          <a:blip r:embed="rId116"/>
                          <a:srcRect/>
                          <a:stretch>
                            <a:fillRect/>
                          </a:stretch>
                        </pic:blipFill>
                        <pic:spPr>
                          <a:xfrm>
                            <a:off x="0" y="0"/>
                            <a:ext cx="1815465" cy="1040765"/>
                          </a:xfrm>
                          <a:prstGeom prst="rect">
                            <a:avLst/>
                          </a:prstGeom>
                          <a:noFill/>
                          <a:ln w="9525">
                            <a:noFill/>
                            <a:miter lim="800000"/>
                            <a:headEnd/>
                            <a:tailEnd/>
                          </a:ln>
                        </pic:spPr>
                      </pic:pic>
                    </a:graphicData>
                  </a:graphic>
                </wp:anchor>
              </w:drawing>
            </w:r>
          </w:p>
        </w:tc>
      </w:tr>
      <w:tr w14:paraId="40A11D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60" w:type="dxa"/>
          </w:tcPr>
          <w:p w14:paraId="67ED946A">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食堂</w:t>
            </w:r>
          </w:p>
        </w:tc>
        <w:tc>
          <w:tcPr>
            <w:tcW w:w="4253" w:type="dxa"/>
          </w:tcPr>
          <w:p w14:paraId="1B106136">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必须办理卫生许可证，炊事人员和茶水工等需持有效的健康证明上岗，证件应粘贴于明显位置；炊事人员应定期体检，上岗应穿戴洁净的工作服、工作帽和口罩，并应保持个人卫生，非炊事人员不得随意进入制作间；</w:t>
            </w:r>
          </w:p>
          <w:p w14:paraId="17A33E88">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食堂应配备必要的排风设施和冷藏设施；</w:t>
            </w:r>
          </w:p>
          <w:p w14:paraId="0C6ACA69">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食堂的燃气罐应单独设置存放间，存放间应通风良好并严禁存放其他物品。</w:t>
            </w:r>
          </w:p>
          <w:p w14:paraId="37AA399D">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c>
          <w:tcPr>
            <w:tcW w:w="3638" w:type="dxa"/>
          </w:tcPr>
          <w:p w14:paraId="2BFA17D6">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szCs w:val="24"/>
                <w:highlight w:val="none"/>
              </w:rPr>
              <w:drawing>
                <wp:anchor distT="0" distB="0" distL="0" distR="0" simplePos="0" relativeHeight="251720704" behindDoc="0" locked="0" layoutInCell="1" allowOverlap="1">
                  <wp:simplePos x="0" y="0"/>
                  <wp:positionH relativeFrom="column">
                    <wp:posOffset>1905</wp:posOffset>
                  </wp:positionH>
                  <wp:positionV relativeFrom="paragraph">
                    <wp:posOffset>2171065</wp:posOffset>
                  </wp:positionV>
                  <wp:extent cx="1603375" cy="1052195"/>
                  <wp:effectExtent l="0" t="0" r="15875" b="14605"/>
                  <wp:wrapNone/>
                  <wp:docPr id="1160" name="图片框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图片框 1039"/>
                          <pic:cNvPicPr>
                            <a:picLocks noChangeAspect="1" noChangeArrowheads="1"/>
                          </pic:cNvPicPr>
                        </pic:nvPicPr>
                        <pic:blipFill>
                          <a:blip r:embed="rId117"/>
                          <a:srcRect/>
                          <a:stretch>
                            <a:fillRect/>
                          </a:stretch>
                        </pic:blipFill>
                        <pic:spPr>
                          <a:xfrm>
                            <a:off x="0" y="0"/>
                            <a:ext cx="1603375" cy="105219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drawing>
                <wp:anchor distT="0" distB="0" distL="0" distR="0" simplePos="0" relativeHeight="251719680" behindDoc="0" locked="0" layoutInCell="1" allowOverlap="1">
                  <wp:simplePos x="0" y="0"/>
                  <wp:positionH relativeFrom="column">
                    <wp:posOffset>-13970</wp:posOffset>
                  </wp:positionH>
                  <wp:positionV relativeFrom="paragraph">
                    <wp:posOffset>1045845</wp:posOffset>
                  </wp:positionV>
                  <wp:extent cx="1632585" cy="1072515"/>
                  <wp:effectExtent l="0" t="0" r="5715" b="13335"/>
                  <wp:wrapNone/>
                  <wp:docPr id="1159" name="Picture 4" descr="食堂内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Picture 4" descr="食堂内1"/>
                          <pic:cNvPicPr>
                            <a:picLocks noChangeAspect="1" noChangeArrowheads="1"/>
                          </pic:cNvPicPr>
                        </pic:nvPicPr>
                        <pic:blipFill>
                          <a:blip r:embed="rId118"/>
                          <a:srcRect/>
                          <a:stretch>
                            <a:fillRect/>
                          </a:stretch>
                        </pic:blipFill>
                        <pic:spPr>
                          <a:xfrm>
                            <a:off x="0" y="0"/>
                            <a:ext cx="1632585" cy="107251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drawing>
                <wp:anchor distT="0" distB="0" distL="0" distR="0" simplePos="0" relativeHeight="251718656" behindDoc="0" locked="0" layoutInCell="1" allowOverlap="1">
                  <wp:simplePos x="0" y="0"/>
                  <wp:positionH relativeFrom="column">
                    <wp:posOffset>-11430</wp:posOffset>
                  </wp:positionH>
                  <wp:positionV relativeFrom="paragraph">
                    <wp:posOffset>29210</wp:posOffset>
                  </wp:positionV>
                  <wp:extent cx="1651635" cy="969645"/>
                  <wp:effectExtent l="0" t="0" r="5715" b="1905"/>
                  <wp:wrapNone/>
                  <wp:docPr id="1158"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图片 99"/>
                          <pic:cNvPicPr>
                            <a:picLocks noChangeAspect="1" noChangeArrowheads="1"/>
                          </pic:cNvPicPr>
                        </pic:nvPicPr>
                        <pic:blipFill>
                          <a:blip r:embed="rId119"/>
                          <a:srcRect/>
                          <a:stretch>
                            <a:fillRect/>
                          </a:stretch>
                        </pic:blipFill>
                        <pic:spPr>
                          <a:xfrm>
                            <a:off x="0" y="0"/>
                            <a:ext cx="1651635" cy="969645"/>
                          </a:xfrm>
                          <a:prstGeom prst="rect">
                            <a:avLst/>
                          </a:prstGeom>
                          <a:noFill/>
                          <a:ln w="9525">
                            <a:noFill/>
                            <a:miter lim="800000"/>
                            <a:headEnd/>
                            <a:tailEnd/>
                          </a:ln>
                        </pic:spPr>
                      </pic:pic>
                    </a:graphicData>
                  </a:graphic>
                </wp:anchor>
              </w:drawing>
            </w:r>
          </w:p>
        </w:tc>
      </w:tr>
      <w:tr w14:paraId="3A3470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60" w:type="dxa"/>
          </w:tcPr>
          <w:p w14:paraId="0B698CF7">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卫生间</w:t>
            </w:r>
          </w:p>
        </w:tc>
        <w:tc>
          <w:tcPr>
            <w:tcW w:w="4253" w:type="dxa"/>
          </w:tcPr>
          <w:p w14:paraId="618CDCFE">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每2万平米设置一处临时厕所，厕所标</w:t>
            </w:r>
            <w:r>
              <w:rPr>
                <w:rFonts w:hint="eastAsia" w:cs="仿宋_GB2312" w:asciiTheme="minorEastAsia" w:hAnsiTheme="minorEastAsia" w:eastAsiaTheme="minorEastAsia"/>
                <w:color w:val="auto"/>
                <w:sz w:val="24"/>
                <w:highlight w:val="none"/>
              </w:rPr>
              <w:drawing>
                <wp:anchor distT="0" distB="0" distL="0" distR="0" simplePos="0" relativeHeight="251721728" behindDoc="0" locked="0" layoutInCell="1" allowOverlap="1">
                  <wp:simplePos x="0" y="0"/>
                  <wp:positionH relativeFrom="column">
                    <wp:posOffset>2893060</wp:posOffset>
                  </wp:positionH>
                  <wp:positionV relativeFrom="paragraph">
                    <wp:posOffset>133350</wp:posOffset>
                  </wp:positionV>
                  <wp:extent cx="1727200" cy="1056640"/>
                  <wp:effectExtent l="0" t="0" r="0" b="10160"/>
                  <wp:wrapNone/>
                  <wp:docPr id="11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图片 1"/>
                          <pic:cNvPicPr>
                            <a:picLocks noChangeAspect="1" noChangeArrowheads="1"/>
                          </pic:cNvPicPr>
                        </pic:nvPicPr>
                        <pic:blipFill>
                          <a:blip r:embed="rId120" cstate="print"/>
                          <a:srcRect b="4378"/>
                          <a:stretch>
                            <a:fillRect/>
                          </a:stretch>
                        </pic:blipFill>
                        <pic:spPr>
                          <a:xfrm>
                            <a:off x="0" y="0"/>
                            <a:ext cx="1727200" cy="105664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识清晰，并有专人每日清扫保洁，有灭蝇措施。施工升降机箱笼内采用KT板张贴楼层临时厕所、吸烟点指引标识。</w:t>
            </w:r>
          </w:p>
          <w:p w14:paraId="12D350C3">
            <w:pPr>
              <w:pStyle w:val="74"/>
              <w:keepNext w:val="0"/>
              <w:keepLines w:val="0"/>
              <w:suppressLineNumbers w:val="0"/>
              <w:spacing w:before="0" w:beforeAutospacing="0" w:after="0" w:afterAutospacing="0"/>
              <w:ind w:left="0" w:leftChars="0" w:right="0" w:firstLine="0" w:firstLineChars="0"/>
              <w:outlineLvl w:val="9"/>
              <w:rPr>
                <w:rFonts w:asciiTheme="minorEastAsia" w:hAnsiTheme="minorEastAsia" w:eastAsiaTheme="minorEastAsia"/>
                <w:color w:val="auto"/>
                <w:highlight w:val="none"/>
                <w:lang w:val="en-US"/>
              </w:rPr>
            </w:pPr>
          </w:p>
        </w:tc>
        <w:tc>
          <w:tcPr>
            <w:tcW w:w="3638" w:type="dxa"/>
          </w:tcPr>
          <w:p w14:paraId="146E3A6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tc>
      </w:tr>
      <w:tr w14:paraId="73DCB7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41" w:hRule="atLeast"/>
          <w:jc w:val="center"/>
        </w:trPr>
        <w:tc>
          <w:tcPr>
            <w:tcW w:w="1260" w:type="dxa"/>
          </w:tcPr>
          <w:p w14:paraId="0B17981A">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停车场（推荐）</w:t>
            </w:r>
          </w:p>
        </w:tc>
        <w:tc>
          <w:tcPr>
            <w:tcW w:w="4253" w:type="dxa"/>
          </w:tcPr>
          <w:p w14:paraId="02C94F20">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施工现场有条件的，可设置停车场、电动及自行车车棚，应满足安全防护要求、美观。</w:t>
            </w:r>
          </w:p>
          <w:p w14:paraId="7BDC044D">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4EE3D4C1">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13561AC8">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tc>
        <w:tc>
          <w:tcPr>
            <w:tcW w:w="3638" w:type="dxa"/>
          </w:tcPr>
          <w:p w14:paraId="788E3E1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22752" behindDoc="0" locked="0" layoutInCell="1" allowOverlap="1">
                  <wp:simplePos x="0" y="0"/>
                  <wp:positionH relativeFrom="column">
                    <wp:posOffset>45085</wp:posOffset>
                  </wp:positionH>
                  <wp:positionV relativeFrom="paragraph">
                    <wp:posOffset>89535</wp:posOffset>
                  </wp:positionV>
                  <wp:extent cx="1945640" cy="1225550"/>
                  <wp:effectExtent l="19050" t="0" r="0" b="0"/>
                  <wp:wrapNone/>
                  <wp:docPr id="116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图片 106"/>
                          <pic:cNvPicPr>
                            <a:picLocks noChangeAspect="1" noChangeArrowheads="1"/>
                          </pic:cNvPicPr>
                        </pic:nvPicPr>
                        <pic:blipFill>
                          <a:blip r:embed="rId121"/>
                          <a:srcRect/>
                          <a:stretch>
                            <a:fillRect/>
                          </a:stretch>
                        </pic:blipFill>
                        <pic:spPr>
                          <a:xfrm>
                            <a:off x="0" y="0"/>
                            <a:ext cx="1945640" cy="1225550"/>
                          </a:xfrm>
                          <a:prstGeom prst="rect">
                            <a:avLst/>
                          </a:prstGeom>
                          <a:noFill/>
                          <a:ln w="9525">
                            <a:noFill/>
                            <a:miter lim="800000"/>
                            <a:headEnd/>
                            <a:tailEnd/>
                          </a:ln>
                        </pic:spPr>
                      </pic:pic>
                    </a:graphicData>
                  </a:graphic>
                </wp:anchor>
              </w:drawing>
            </w:r>
          </w:p>
          <w:p w14:paraId="4D537BF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23776" behindDoc="0" locked="0" layoutInCell="1" allowOverlap="1">
                  <wp:simplePos x="0" y="0"/>
                  <wp:positionH relativeFrom="column">
                    <wp:posOffset>45085</wp:posOffset>
                  </wp:positionH>
                  <wp:positionV relativeFrom="paragraph">
                    <wp:posOffset>1145540</wp:posOffset>
                  </wp:positionV>
                  <wp:extent cx="1892935" cy="1210945"/>
                  <wp:effectExtent l="19050" t="0" r="0" b="0"/>
                  <wp:wrapNone/>
                  <wp:docPr id="1163"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图片 105"/>
                          <pic:cNvPicPr>
                            <a:picLocks noChangeAspect="1" noChangeArrowheads="1"/>
                          </pic:cNvPicPr>
                        </pic:nvPicPr>
                        <pic:blipFill>
                          <a:blip r:embed="rId122"/>
                          <a:srcRect/>
                          <a:stretch>
                            <a:fillRect/>
                          </a:stretch>
                        </pic:blipFill>
                        <pic:spPr>
                          <a:xfrm>
                            <a:off x="0" y="0"/>
                            <a:ext cx="1892935" cy="1210945"/>
                          </a:xfrm>
                          <a:prstGeom prst="rect">
                            <a:avLst/>
                          </a:prstGeom>
                          <a:noFill/>
                          <a:ln w="9525">
                            <a:noFill/>
                            <a:miter lim="800000"/>
                            <a:headEnd/>
                            <a:tailEnd/>
                          </a:ln>
                        </pic:spPr>
                      </pic:pic>
                    </a:graphicData>
                  </a:graphic>
                </wp:anchor>
              </w:drawing>
            </w:r>
          </w:p>
        </w:tc>
      </w:tr>
      <w:tr w14:paraId="35EB0D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58" w:hRule="atLeast"/>
          <w:jc w:val="center"/>
        </w:trPr>
        <w:tc>
          <w:tcPr>
            <w:tcW w:w="1260" w:type="dxa"/>
          </w:tcPr>
          <w:p w14:paraId="5A0F52C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生活垃圾分类收集</w:t>
            </w:r>
          </w:p>
        </w:tc>
        <w:tc>
          <w:tcPr>
            <w:tcW w:w="4253" w:type="dxa"/>
          </w:tcPr>
          <w:p w14:paraId="7FD6E000">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在施工现场主要通道设置生活垃圾收集箱，垃圾收集箱需分类设置，专人负责，及时清理、喷洒药物消毒。</w:t>
            </w:r>
          </w:p>
        </w:tc>
        <w:tc>
          <w:tcPr>
            <w:tcW w:w="3638" w:type="dxa"/>
          </w:tcPr>
          <w:p w14:paraId="54A4D70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24800" behindDoc="0" locked="0" layoutInCell="1" allowOverlap="1">
                  <wp:simplePos x="0" y="0"/>
                  <wp:positionH relativeFrom="column">
                    <wp:posOffset>140970</wp:posOffset>
                  </wp:positionH>
                  <wp:positionV relativeFrom="paragraph">
                    <wp:posOffset>34925</wp:posOffset>
                  </wp:positionV>
                  <wp:extent cx="1656715" cy="1040130"/>
                  <wp:effectExtent l="19050" t="0" r="635" b="0"/>
                  <wp:wrapNone/>
                  <wp:docPr id="1164"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图片 102"/>
                          <pic:cNvPicPr>
                            <a:picLocks noChangeAspect="1" noChangeArrowheads="1"/>
                          </pic:cNvPicPr>
                        </pic:nvPicPr>
                        <pic:blipFill>
                          <a:blip r:embed="rId123"/>
                          <a:srcRect/>
                          <a:stretch>
                            <a:fillRect/>
                          </a:stretch>
                        </pic:blipFill>
                        <pic:spPr>
                          <a:xfrm>
                            <a:off x="0" y="0"/>
                            <a:ext cx="1656715" cy="1040130"/>
                          </a:xfrm>
                          <a:prstGeom prst="rect">
                            <a:avLst/>
                          </a:prstGeom>
                          <a:noFill/>
                          <a:ln w="9525">
                            <a:noFill/>
                            <a:miter lim="800000"/>
                            <a:headEnd/>
                            <a:tailEnd/>
                          </a:ln>
                        </pic:spPr>
                      </pic:pic>
                    </a:graphicData>
                  </a:graphic>
                </wp:anchor>
              </w:drawing>
            </w:r>
          </w:p>
        </w:tc>
      </w:tr>
      <w:tr w14:paraId="59BBA7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260" w:type="dxa"/>
          </w:tcPr>
          <w:p w14:paraId="14752354">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现场茶水亭、吸烟处</w:t>
            </w:r>
          </w:p>
          <w:p w14:paraId="1682044F">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tc>
        <w:tc>
          <w:tcPr>
            <w:tcW w:w="4253" w:type="dxa"/>
          </w:tcPr>
          <w:p w14:paraId="099FF3DC">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1）统一设置吸烟区、饮水区，严禁在施工区域内吸烟。</w:t>
            </w:r>
          </w:p>
          <w:p w14:paraId="4AD6E0DF">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2）按照场地面积每2万平方米配置1个，吸烟亭中间放置烟灰槽，周边设置木凳。</w:t>
            </w:r>
          </w:p>
          <w:p w14:paraId="090EA23C">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3）设置饮水机，方便工人取用。 饮水器具应有专人清理，定期清洗，保持饮水卫生。</w:t>
            </w:r>
          </w:p>
          <w:p w14:paraId="21538C72">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3F5A6407">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0D59FB7A">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060FB9BE">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6D73B845">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tc>
        <w:tc>
          <w:tcPr>
            <w:tcW w:w="3638" w:type="dxa"/>
          </w:tcPr>
          <w:p w14:paraId="4AAF9BC6">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725824" behindDoc="0" locked="0" layoutInCell="1" allowOverlap="1">
                  <wp:simplePos x="0" y="0"/>
                  <wp:positionH relativeFrom="column">
                    <wp:posOffset>140970</wp:posOffset>
                  </wp:positionH>
                  <wp:positionV relativeFrom="paragraph">
                    <wp:posOffset>76200</wp:posOffset>
                  </wp:positionV>
                  <wp:extent cx="1951355" cy="1483995"/>
                  <wp:effectExtent l="19050" t="0" r="0" b="0"/>
                  <wp:wrapNone/>
                  <wp:docPr id="11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 name="图片 24"/>
                          <pic:cNvPicPr>
                            <a:picLocks noChangeAspect="1" noChangeArrowheads="1"/>
                          </pic:cNvPicPr>
                        </pic:nvPicPr>
                        <pic:blipFill>
                          <a:blip r:embed="rId124"/>
                          <a:srcRect/>
                          <a:stretch>
                            <a:fillRect/>
                          </a:stretch>
                        </pic:blipFill>
                        <pic:spPr>
                          <a:xfrm>
                            <a:off x="0" y="0"/>
                            <a:ext cx="1951355" cy="1483995"/>
                          </a:xfrm>
                          <a:prstGeom prst="rect">
                            <a:avLst/>
                          </a:prstGeom>
                          <a:noFill/>
                          <a:ln w="9525">
                            <a:noFill/>
                            <a:miter lim="800000"/>
                            <a:headEnd/>
                            <a:tailEnd/>
                          </a:ln>
                        </pic:spPr>
                      </pic:pic>
                    </a:graphicData>
                  </a:graphic>
                </wp:anchor>
              </w:drawing>
            </w:r>
          </w:p>
          <w:p w14:paraId="081BBBA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26848" behindDoc="0" locked="0" layoutInCell="1" allowOverlap="1">
                  <wp:simplePos x="0" y="0"/>
                  <wp:positionH relativeFrom="column">
                    <wp:posOffset>150495</wp:posOffset>
                  </wp:positionH>
                  <wp:positionV relativeFrom="paragraph">
                    <wp:posOffset>1412875</wp:posOffset>
                  </wp:positionV>
                  <wp:extent cx="1941830" cy="1377315"/>
                  <wp:effectExtent l="19050" t="0" r="1270" b="0"/>
                  <wp:wrapNone/>
                  <wp:docPr id="116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图片 23"/>
                          <pic:cNvPicPr>
                            <a:picLocks noChangeAspect="1" noChangeArrowheads="1"/>
                          </pic:cNvPicPr>
                        </pic:nvPicPr>
                        <pic:blipFill>
                          <a:blip r:embed="rId125" cstate="print"/>
                          <a:srcRect/>
                          <a:stretch>
                            <a:fillRect/>
                          </a:stretch>
                        </pic:blipFill>
                        <pic:spPr>
                          <a:xfrm>
                            <a:off x="0" y="0"/>
                            <a:ext cx="1941830" cy="1377315"/>
                          </a:xfrm>
                          <a:prstGeom prst="rect">
                            <a:avLst/>
                          </a:prstGeom>
                          <a:noFill/>
                          <a:ln w="9525">
                            <a:noFill/>
                            <a:miter lim="800000"/>
                            <a:headEnd/>
                            <a:tailEnd/>
                          </a:ln>
                        </pic:spPr>
                      </pic:pic>
                    </a:graphicData>
                  </a:graphic>
                </wp:anchor>
              </w:drawing>
            </w:r>
          </w:p>
        </w:tc>
      </w:tr>
      <w:tr w14:paraId="32B350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60" w:type="dxa"/>
          </w:tcPr>
          <w:p w14:paraId="631E174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集中样板区</w:t>
            </w:r>
          </w:p>
        </w:tc>
        <w:tc>
          <w:tcPr>
            <w:tcW w:w="4253" w:type="dxa"/>
          </w:tcPr>
          <w:p w14:paraId="4E5582EE">
            <w:pPr>
              <w:pStyle w:val="74"/>
              <w:keepNext w:val="0"/>
              <w:keepLines w:val="0"/>
              <w:numPr>
                <w:ilvl w:val="0"/>
                <w:numId w:val="26"/>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施工现场设置独立于建筑物外的工序样板集中展示区；</w:t>
            </w:r>
          </w:p>
          <w:p w14:paraId="0B3254AA">
            <w:pPr>
              <w:pStyle w:val="74"/>
              <w:keepNext w:val="0"/>
              <w:keepLines w:val="0"/>
              <w:numPr>
                <w:ilvl w:val="0"/>
                <w:numId w:val="26"/>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展示的工艺样板应分步骤形象地展</w:t>
            </w:r>
            <w:r>
              <w:rPr>
                <w:rFonts w:hint="eastAsia" w:cs="仿宋_GB2312" w:asciiTheme="minorEastAsia" w:hAnsiTheme="minorEastAsia" w:eastAsiaTheme="minorEastAsia"/>
                <w:color w:val="auto"/>
                <w:sz w:val="24"/>
                <w:highlight w:val="none"/>
              </w:rPr>
              <w:drawing>
                <wp:anchor distT="0" distB="0" distL="0" distR="0" simplePos="0" relativeHeight="251729920" behindDoc="0" locked="0" layoutInCell="1" allowOverlap="1">
                  <wp:simplePos x="0" y="0"/>
                  <wp:positionH relativeFrom="column">
                    <wp:posOffset>2900045</wp:posOffset>
                  </wp:positionH>
                  <wp:positionV relativeFrom="paragraph">
                    <wp:posOffset>70485</wp:posOffset>
                  </wp:positionV>
                  <wp:extent cx="1715135" cy="1412875"/>
                  <wp:effectExtent l="19050" t="0" r="0" b="0"/>
                  <wp:wrapNone/>
                  <wp:docPr id="116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 name="图片 78"/>
                          <pic:cNvPicPr>
                            <a:picLocks noChangeAspect="1" noChangeArrowheads="1"/>
                          </pic:cNvPicPr>
                        </pic:nvPicPr>
                        <pic:blipFill>
                          <a:blip r:embed="rId126" cstate="print"/>
                          <a:srcRect/>
                          <a:stretch>
                            <a:fillRect/>
                          </a:stretch>
                        </pic:blipFill>
                        <pic:spPr>
                          <a:xfrm>
                            <a:off x="0" y="0"/>
                            <a:ext cx="1715135" cy="141287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示施工顺序和工艺标准。</w:t>
            </w:r>
          </w:p>
          <w:p w14:paraId="2F986518">
            <w:pPr>
              <w:pStyle w:val="74"/>
              <w:keepNext w:val="0"/>
              <w:keepLines w:val="0"/>
              <w:numPr>
                <w:ilvl w:val="0"/>
                <w:numId w:val="26"/>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结构施工前，完成样板施工和验收；项目部组织验收并有确认单和交底记录；</w:t>
            </w:r>
          </w:p>
          <w:p w14:paraId="590A6701">
            <w:pPr>
              <w:pStyle w:val="74"/>
              <w:keepNext w:val="0"/>
              <w:keepLines w:val="0"/>
              <w:numPr>
                <w:ilvl w:val="0"/>
                <w:numId w:val="26"/>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28896" behindDoc="0" locked="0" layoutInCell="1" allowOverlap="1">
                  <wp:simplePos x="0" y="0"/>
                  <wp:positionH relativeFrom="column">
                    <wp:posOffset>2894330</wp:posOffset>
                  </wp:positionH>
                  <wp:positionV relativeFrom="paragraph">
                    <wp:posOffset>323850</wp:posOffset>
                  </wp:positionV>
                  <wp:extent cx="1730375" cy="1340485"/>
                  <wp:effectExtent l="0" t="0" r="3175" b="12065"/>
                  <wp:wrapNone/>
                  <wp:docPr id="116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图片 79"/>
                          <pic:cNvPicPr>
                            <a:picLocks noChangeAspect="1" noChangeArrowheads="1"/>
                          </pic:cNvPicPr>
                        </pic:nvPicPr>
                        <pic:blipFill>
                          <a:blip r:embed="rId127"/>
                          <a:srcRect/>
                          <a:stretch>
                            <a:fillRect/>
                          </a:stretch>
                        </pic:blipFill>
                        <pic:spPr>
                          <a:xfrm>
                            <a:off x="0" y="0"/>
                            <a:ext cx="1730375" cy="134048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集中样板包括不限于钢筋、模板、地下室防渗工序、屋面防渗漏工序等4类工序样板；</w:t>
            </w:r>
          </w:p>
          <w:p w14:paraId="29172430">
            <w:pPr>
              <w:pStyle w:val="74"/>
              <w:keepNext w:val="0"/>
              <w:keepLines w:val="0"/>
              <w:numPr>
                <w:ilvl w:val="0"/>
                <w:numId w:val="26"/>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样板必须按1:1进行设置。</w:t>
            </w:r>
          </w:p>
          <w:p w14:paraId="29A66DAF">
            <w:pPr>
              <w:pStyle w:val="74"/>
              <w:keepNext w:val="0"/>
              <w:keepLines w:val="0"/>
              <w:suppressLineNumbers w:val="0"/>
              <w:adjustRightInd w:val="0"/>
              <w:snapToGrid w:val="0"/>
              <w:spacing w:before="0" w:beforeAutospacing="0" w:after="0" w:afterAutospacing="0" w:line="360" w:lineRule="auto"/>
              <w:ind w:right="0"/>
              <w:jc w:val="left"/>
              <w:outlineLvl w:val="9"/>
              <w:rPr>
                <w:rFonts w:cs="仿宋_GB2312" w:asciiTheme="minorEastAsia" w:hAnsiTheme="minorEastAsia" w:eastAsiaTheme="minorEastAsia"/>
                <w:color w:val="auto"/>
                <w:sz w:val="24"/>
                <w:highlight w:val="none"/>
              </w:rPr>
            </w:pPr>
          </w:p>
          <w:p w14:paraId="103EDDA4">
            <w:pPr>
              <w:pStyle w:val="74"/>
              <w:keepNext w:val="0"/>
              <w:keepLines w:val="0"/>
              <w:suppressLineNumbers w:val="0"/>
              <w:adjustRightInd w:val="0"/>
              <w:snapToGrid w:val="0"/>
              <w:spacing w:before="0" w:beforeAutospacing="0" w:after="0" w:afterAutospacing="0" w:line="360" w:lineRule="auto"/>
              <w:ind w:right="0"/>
              <w:jc w:val="left"/>
              <w:outlineLvl w:val="9"/>
              <w:rPr>
                <w:rFonts w:cs="仿宋_GB2312" w:asciiTheme="minorEastAsia" w:hAnsiTheme="minorEastAsia" w:eastAsiaTheme="minorEastAsia"/>
                <w:color w:val="auto"/>
                <w:sz w:val="24"/>
                <w:highlight w:val="none"/>
              </w:rPr>
            </w:pPr>
          </w:p>
        </w:tc>
        <w:tc>
          <w:tcPr>
            <w:tcW w:w="3638" w:type="dxa"/>
          </w:tcPr>
          <w:p w14:paraId="795CD82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p w14:paraId="6EBDB4C4">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p w14:paraId="75D62B6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27872" behindDoc="0" locked="0" layoutInCell="1" allowOverlap="1">
                  <wp:simplePos x="0" y="0"/>
                  <wp:positionH relativeFrom="column">
                    <wp:posOffset>77470</wp:posOffset>
                  </wp:positionH>
                  <wp:positionV relativeFrom="paragraph">
                    <wp:posOffset>2381885</wp:posOffset>
                  </wp:positionV>
                  <wp:extent cx="1784985" cy="1435100"/>
                  <wp:effectExtent l="19050" t="0" r="5715" b="0"/>
                  <wp:wrapNone/>
                  <wp:docPr id="116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图片 81"/>
                          <pic:cNvPicPr>
                            <a:picLocks noChangeAspect="1" noChangeArrowheads="1"/>
                          </pic:cNvPicPr>
                        </pic:nvPicPr>
                        <pic:blipFill>
                          <a:blip r:embed="rId128"/>
                          <a:srcRect/>
                          <a:stretch>
                            <a:fillRect/>
                          </a:stretch>
                        </pic:blipFill>
                        <pic:spPr>
                          <a:xfrm>
                            <a:off x="0" y="0"/>
                            <a:ext cx="1784985" cy="1435100"/>
                          </a:xfrm>
                          <a:prstGeom prst="rect">
                            <a:avLst/>
                          </a:prstGeom>
                          <a:noFill/>
                          <a:ln w="9525">
                            <a:noFill/>
                            <a:miter lim="800000"/>
                            <a:headEnd/>
                            <a:tailEnd/>
                          </a:ln>
                        </pic:spPr>
                      </pic:pic>
                    </a:graphicData>
                  </a:graphic>
                </wp:anchor>
              </w:drawing>
            </w:r>
          </w:p>
        </w:tc>
      </w:tr>
    </w:tbl>
    <w:p w14:paraId="76FF63AD">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（十）环境保护</w:t>
      </w:r>
    </w:p>
    <w:tbl>
      <w:tblPr>
        <w:tblStyle w:val="56"/>
        <w:tblW w:w="920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89"/>
        <w:gridCol w:w="4253"/>
        <w:gridCol w:w="3667"/>
      </w:tblGrid>
      <w:tr w14:paraId="4C3766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89" w:type="dxa"/>
            <w:vAlign w:val="center"/>
          </w:tcPr>
          <w:p w14:paraId="21EB485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53" w:type="dxa"/>
            <w:vAlign w:val="center"/>
          </w:tcPr>
          <w:p w14:paraId="6463A0B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667" w:type="dxa"/>
            <w:vAlign w:val="center"/>
          </w:tcPr>
          <w:p w14:paraId="6757709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1AED5A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03" w:hRule="atLeast"/>
          <w:jc w:val="center"/>
        </w:trPr>
        <w:tc>
          <w:tcPr>
            <w:tcW w:w="1289" w:type="dxa"/>
          </w:tcPr>
          <w:p w14:paraId="21F81459">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建筑垃圾堆放</w:t>
            </w:r>
          </w:p>
        </w:tc>
        <w:tc>
          <w:tcPr>
            <w:tcW w:w="4253" w:type="dxa"/>
          </w:tcPr>
          <w:p w14:paraId="2F626FD9">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1）土方、工程渣土和垃圾应当集中堆放，应当设置高度不低于0.5米的堆放池，堆放高度不得超出围挡高度，并采取苫盖、固化措施。</w:t>
            </w:r>
          </w:p>
          <w:p w14:paraId="06DA0CF8">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2）废料堆放按种类进行分类存放，标示牌齐全，定期清理。</w:t>
            </w:r>
          </w:p>
        </w:tc>
        <w:tc>
          <w:tcPr>
            <w:tcW w:w="3667" w:type="dxa"/>
          </w:tcPr>
          <w:p w14:paraId="68A3702A">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30944" behindDoc="0" locked="0" layoutInCell="1" allowOverlap="1">
                  <wp:simplePos x="0" y="0"/>
                  <wp:positionH relativeFrom="column">
                    <wp:posOffset>-27305</wp:posOffset>
                  </wp:positionH>
                  <wp:positionV relativeFrom="paragraph">
                    <wp:posOffset>38735</wp:posOffset>
                  </wp:positionV>
                  <wp:extent cx="1883410" cy="1096010"/>
                  <wp:effectExtent l="19050" t="0" r="2540" b="0"/>
                  <wp:wrapNone/>
                  <wp:docPr id="1170" name="图片 94" descr="SDC1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图片 94" descr="SDC10031"/>
                          <pic:cNvPicPr>
                            <a:picLocks noChangeAspect="1" noChangeArrowheads="1"/>
                          </pic:cNvPicPr>
                        </pic:nvPicPr>
                        <pic:blipFill>
                          <a:blip r:embed="rId129"/>
                          <a:srcRect/>
                          <a:stretch>
                            <a:fillRect/>
                          </a:stretch>
                        </pic:blipFill>
                        <pic:spPr>
                          <a:xfrm>
                            <a:off x="0" y="0"/>
                            <a:ext cx="1883410" cy="1096010"/>
                          </a:xfrm>
                          <a:prstGeom prst="rect">
                            <a:avLst/>
                          </a:prstGeom>
                          <a:noFill/>
                          <a:ln w="9525">
                            <a:noFill/>
                            <a:miter lim="800000"/>
                            <a:headEnd/>
                            <a:tailEnd/>
                          </a:ln>
                        </pic:spPr>
                      </pic:pic>
                    </a:graphicData>
                  </a:graphic>
                </wp:anchor>
              </w:drawing>
            </w:r>
          </w:p>
          <w:p w14:paraId="35B0067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31968" behindDoc="0" locked="0" layoutInCell="1" allowOverlap="1">
                  <wp:simplePos x="0" y="0"/>
                  <wp:positionH relativeFrom="column">
                    <wp:posOffset>-8255</wp:posOffset>
                  </wp:positionH>
                  <wp:positionV relativeFrom="paragraph">
                    <wp:posOffset>966470</wp:posOffset>
                  </wp:positionV>
                  <wp:extent cx="1967865" cy="1266190"/>
                  <wp:effectExtent l="19050" t="0" r="0" b="0"/>
                  <wp:wrapNone/>
                  <wp:docPr id="117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图片 77"/>
                          <pic:cNvPicPr>
                            <a:picLocks noChangeAspect="1" noChangeArrowheads="1"/>
                          </pic:cNvPicPr>
                        </pic:nvPicPr>
                        <pic:blipFill>
                          <a:blip r:embed="rId130"/>
                          <a:srcRect/>
                          <a:stretch>
                            <a:fillRect/>
                          </a:stretch>
                        </pic:blipFill>
                        <pic:spPr>
                          <a:xfrm>
                            <a:off x="0" y="0"/>
                            <a:ext cx="1967865" cy="1266190"/>
                          </a:xfrm>
                          <a:prstGeom prst="rect">
                            <a:avLst/>
                          </a:prstGeom>
                          <a:noFill/>
                          <a:ln w="9525">
                            <a:noFill/>
                            <a:miter lim="800000"/>
                            <a:headEnd/>
                            <a:tailEnd/>
                          </a:ln>
                        </pic:spPr>
                      </pic:pic>
                    </a:graphicData>
                  </a:graphic>
                </wp:anchor>
              </w:drawing>
            </w:r>
          </w:p>
        </w:tc>
      </w:tr>
      <w:tr w14:paraId="5A7A56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89" w:type="dxa"/>
          </w:tcPr>
          <w:p w14:paraId="2639E8D5">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雨污水排放</w:t>
            </w:r>
          </w:p>
        </w:tc>
        <w:tc>
          <w:tcPr>
            <w:tcW w:w="4253" w:type="dxa"/>
          </w:tcPr>
          <w:p w14:paraId="68BD3CC0">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所有的生活和施工污水、雨水必须经沉淀达到排放标准后方能排入市政排水管网或河流。</w:t>
            </w:r>
          </w:p>
          <w:p w14:paraId="5DA66014">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tc>
        <w:tc>
          <w:tcPr>
            <w:tcW w:w="3667" w:type="dxa"/>
          </w:tcPr>
          <w:p w14:paraId="475A07C6">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32992" behindDoc="0" locked="0" layoutInCell="1" allowOverlap="1">
                  <wp:simplePos x="0" y="0"/>
                  <wp:positionH relativeFrom="column">
                    <wp:posOffset>6985</wp:posOffset>
                  </wp:positionH>
                  <wp:positionV relativeFrom="paragraph">
                    <wp:posOffset>56515</wp:posOffset>
                  </wp:positionV>
                  <wp:extent cx="1649095" cy="1057275"/>
                  <wp:effectExtent l="19050" t="0" r="8255" b="0"/>
                  <wp:wrapNone/>
                  <wp:docPr id="1172"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图片 93"/>
                          <pic:cNvPicPr>
                            <a:picLocks noChangeAspect="1" noChangeArrowheads="1"/>
                          </pic:cNvPicPr>
                        </pic:nvPicPr>
                        <pic:blipFill>
                          <a:blip r:embed="rId131"/>
                          <a:srcRect/>
                          <a:stretch>
                            <a:fillRect/>
                          </a:stretch>
                        </pic:blipFill>
                        <pic:spPr>
                          <a:xfrm>
                            <a:off x="0" y="0"/>
                            <a:ext cx="1649095" cy="1057275"/>
                          </a:xfrm>
                          <a:prstGeom prst="rect">
                            <a:avLst/>
                          </a:prstGeom>
                          <a:noFill/>
                          <a:ln w="9525">
                            <a:noFill/>
                            <a:miter lim="800000"/>
                            <a:headEnd/>
                            <a:tailEnd/>
                          </a:ln>
                        </pic:spPr>
                      </pic:pic>
                    </a:graphicData>
                  </a:graphic>
                </wp:anchor>
              </w:drawing>
            </w:r>
          </w:p>
        </w:tc>
      </w:tr>
      <w:tr w14:paraId="6AA227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5" w:hRule="atLeast"/>
          <w:jc w:val="center"/>
        </w:trPr>
        <w:tc>
          <w:tcPr>
            <w:tcW w:w="1289" w:type="dxa"/>
          </w:tcPr>
          <w:p w14:paraId="7EF1F764">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绿化（推荐）</w:t>
            </w:r>
          </w:p>
        </w:tc>
        <w:tc>
          <w:tcPr>
            <w:tcW w:w="4253" w:type="dxa"/>
          </w:tcPr>
          <w:p w14:paraId="59E68738">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项目施工现场、生活区、办公区等区域，有条件的可采取绿化措施进行美化。</w:t>
            </w:r>
          </w:p>
          <w:p w14:paraId="039FB1D4">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59FD5652">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289807AB">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4DF795B4">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2115C385">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13A27E00">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tc>
        <w:tc>
          <w:tcPr>
            <w:tcW w:w="3667" w:type="dxa"/>
          </w:tcPr>
          <w:p w14:paraId="1C7C73A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34016" behindDoc="0" locked="0" layoutInCell="1" allowOverlap="1">
                  <wp:simplePos x="0" y="0"/>
                  <wp:positionH relativeFrom="column">
                    <wp:posOffset>-12700</wp:posOffset>
                  </wp:positionH>
                  <wp:positionV relativeFrom="paragraph">
                    <wp:posOffset>50800</wp:posOffset>
                  </wp:positionV>
                  <wp:extent cx="1850390" cy="1389380"/>
                  <wp:effectExtent l="19050" t="0" r="0" b="0"/>
                  <wp:wrapNone/>
                  <wp:docPr id="1173" name="图片占位符 5" descr="图片包含 草, 户外, 建筑物, 天空&#10;&#10;已生成极高可信度的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图片占位符 5" descr="图片包含 草, 户外, 建筑物, 天空&#10;&#10;已生成极高可信度的说明"/>
                          <pic:cNvPicPr>
                            <a:picLocks noChangeAspect="1" noChangeArrowheads="1"/>
                          </pic:cNvPicPr>
                        </pic:nvPicPr>
                        <pic:blipFill>
                          <a:blip r:embed="rId132"/>
                          <a:srcRect l="14381" r="14381"/>
                          <a:stretch>
                            <a:fillRect/>
                          </a:stretch>
                        </pic:blipFill>
                        <pic:spPr>
                          <a:xfrm>
                            <a:off x="0" y="0"/>
                            <a:ext cx="1850390" cy="1389380"/>
                          </a:xfrm>
                          <a:prstGeom prst="rect">
                            <a:avLst/>
                          </a:prstGeom>
                          <a:noFill/>
                          <a:ln w="9525">
                            <a:noFill/>
                            <a:miter lim="800000"/>
                            <a:headEnd/>
                            <a:tailEnd/>
                          </a:ln>
                        </pic:spPr>
                      </pic:pic>
                    </a:graphicData>
                  </a:graphic>
                </wp:anchor>
              </w:drawing>
            </w:r>
          </w:p>
          <w:p w14:paraId="41DBCC7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35040" behindDoc="0" locked="0" layoutInCell="1" allowOverlap="1">
                  <wp:simplePos x="0" y="0"/>
                  <wp:positionH relativeFrom="column">
                    <wp:posOffset>-8255</wp:posOffset>
                  </wp:positionH>
                  <wp:positionV relativeFrom="paragraph">
                    <wp:posOffset>1204595</wp:posOffset>
                  </wp:positionV>
                  <wp:extent cx="1845945" cy="1361440"/>
                  <wp:effectExtent l="19050" t="0" r="1905" b="0"/>
                  <wp:wrapNone/>
                  <wp:docPr id="11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图片 2"/>
                          <pic:cNvPicPr>
                            <a:picLocks noChangeAspect="1" noChangeArrowheads="1"/>
                          </pic:cNvPicPr>
                        </pic:nvPicPr>
                        <pic:blipFill>
                          <a:blip r:embed="rId133"/>
                          <a:srcRect/>
                          <a:stretch>
                            <a:fillRect/>
                          </a:stretch>
                        </pic:blipFill>
                        <pic:spPr>
                          <a:xfrm>
                            <a:off x="0" y="0"/>
                            <a:ext cx="1845945" cy="1361440"/>
                          </a:xfrm>
                          <a:prstGeom prst="rect">
                            <a:avLst/>
                          </a:prstGeom>
                          <a:noFill/>
                          <a:ln w="9525">
                            <a:noFill/>
                            <a:miter lim="800000"/>
                            <a:headEnd/>
                            <a:tailEnd/>
                          </a:ln>
                        </pic:spPr>
                      </pic:pic>
                    </a:graphicData>
                  </a:graphic>
                </wp:anchor>
              </w:drawing>
            </w:r>
          </w:p>
        </w:tc>
      </w:tr>
    </w:tbl>
    <w:p w14:paraId="0BFA8F73">
      <w:pPr>
        <w:pStyle w:val="74"/>
        <w:adjustRightInd w:val="0"/>
        <w:snapToGrid w:val="0"/>
        <w:spacing w:line="360" w:lineRule="auto"/>
        <w:ind w:left="0" w:leftChars="0" w:firstLine="0" w:firstLineChars="0"/>
        <w:outlineLvl w:val="9"/>
        <w:rPr>
          <w:rFonts w:cs="黑体" w:asciiTheme="minorEastAsia" w:hAnsiTheme="minorEastAsia" w:eastAsiaTheme="minorEastAsia"/>
          <w:b/>
          <w:bCs/>
          <w:color w:val="auto"/>
          <w:sz w:val="21"/>
          <w:szCs w:val="21"/>
          <w:highlight w:val="none"/>
        </w:rPr>
      </w:pPr>
      <w:r>
        <w:rPr>
          <w:rFonts w:hint="eastAsia" w:cs="黑体" w:asciiTheme="minorEastAsia" w:hAnsiTheme="minorEastAsia" w:eastAsiaTheme="minorEastAsia"/>
          <w:b/>
          <w:bCs/>
          <w:color w:val="auto"/>
          <w:sz w:val="21"/>
          <w:szCs w:val="21"/>
          <w:highlight w:val="none"/>
        </w:rPr>
        <w:t>六、安全施工实施细则</w:t>
      </w:r>
    </w:p>
    <w:p w14:paraId="2ECA25B9">
      <w:pPr>
        <w:adjustRightInd w:val="0"/>
        <w:snapToGrid w:val="0"/>
        <w:spacing w:line="360" w:lineRule="auto"/>
        <w:ind w:firstLine="420" w:firstLineChars="200"/>
        <w:outlineLvl w:val="9"/>
        <w:rPr>
          <w:rFonts w:cs="仿宋_GB2312" w:asciiTheme="minorEastAsia" w:hAnsiTheme="minorEastAsia" w:eastAsiaTheme="minorEastAsia"/>
          <w:bCs/>
          <w:color w:val="auto"/>
          <w:sz w:val="21"/>
          <w:szCs w:val="21"/>
          <w:highlight w:val="none"/>
        </w:rPr>
      </w:pPr>
      <w:r>
        <w:rPr>
          <w:rFonts w:hint="eastAsia" w:cs="仿宋_GB2312" w:asciiTheme="minorEastAsia" w:hAnsiTheme="minorEastAsia" w:eastAsiaTheme="minorEastAsia"/>
          <w:bCs/>
          <w:color w:val="auto"/>
          <w:sz w:val="21"/>
          <w:szCs w:val="21"/>
          <w:highlight w:val="none"/>
        </w:rPr>
        <w:t>安全施工的内容主要包括：三宝、四口、五临边；脚手架及卸料平台；施工吊篮；消防安全；临电管理；基坑与管沟支护安全；塔吊；施工电梯；有限空间；其他施工机械等10项。</w:t>
      </w:r>
    </w:p>
    <w:p w14:paraId="2FA00C10">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（一）三宝、四口、五临边</w:t>
      </w:r>
    </w:p>
    <w:tbl>
      <w:tblPr>
        <w:tblStyle w:val="56"/>
        <w:tblW w:w="931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42"/>
        <w:gridCol w:w="4253"/>
        <w:gridCol w:w="3720"/>
      </w:tblGrid>
      <w:tr w14:paraId="6C64C0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1342" w:type="dxa"/>
            <w:vAlign w:val="center"/>
          </w:tcPr>
          <w:p w14:paraId="09C4379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53" w:type="dxa"/>
            <w:vAlign w:val="center"/>
          </w:tcPr>
          <w:p w14:paraId="523BF728">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720" w:type="dxa"/>
            <w:vAlign w:val="center"/>
          </w:tcPr>
          <w:p w14:paraId="25BD594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5D1E9F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581" w:hRule="atLeast"/>
          <w:jc w:val="center"/>
        </w:trPr>
        <w:tc>
          <w:tcPr>
            <w:tcW w:w="1342" w:type="dxa"/>
          </w:tcPr>
          <w:p w14:paraId="2FE6AD1C">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安全帽</w:t>
            </w:r>
          </w:p>
        </w:tc>
        <w:tc>
          <w:tcPr>
            <w:tcW w:w="4253" w:type="dxa"/>
          </w:tcPr>
          <w:p w14:paraId="347D9B86">
            <w:pPr>
              <w:pStyle w:val="74"/>
              <w:keepNext w:val="0"/>
              <w:keepLines w:val="0"/>
              <w:numPr>
                <w:ilvl w:val="0"/>
                <w:numId w:val="27"/>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安全帽必须符合国家标准，安全帽材质符合安全监督部门质量要求；</w:t>
            </w:r>
          </w:p>
          <w:p w14:paraId="03438238">
            <w:pPr>
              <w:pStyle w:val="74"/>
              <w:keepNext w:val="0"/>
              <w:keepLines w:val="0"/>
              <w:numPr>
                <w:ilvl w:val="0"/>
                <w:numId w:val="27"/>
              </w:numPr>
              <w:suppressLineNumbers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任何人进入施工区必须戴好安全帽并且符合佩戴要求，不得使用缺衬，缺带及破损的安全帽，严禁佩戴摩托车帽或不合格的安全帽。</w:t>
            </w:r>
          </w:p>
        </w:tc>
        <w:tc>
          <w:tcPr>
            <w:tcW w:w="3720" w:type="dxa"/>
          </w:tcPr>
          <w:p w14:paraId="6E80770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36064" behindDoc="0" locked="0" layoutInCell="1" allowOverlap="1">
                  <wp:simplePos x="0" y="0"/>
                  <wp:positionH relativeFrom="column">
                    <wp:posOffset>-6985</wp:posOffset>
                  </wp:positionH>
                  <wp:positionV relativeFrom="paragraph">
                    <wp:posOffset>43180</wp:posOffset>
                  </wp:positionV>
                  <wp:extent cx="1439545" cy="1010920"/>
                  <wp:effectExtent l="19050" t="0" r="8255" b="0"/>
                  <wp:wrapNone/>
                  <wp:docPr id="117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图片 70"/>
                          <pic:cNvPicPr>
                            <a:picLocks noChangeAspect="1" noChangeArrowheads="1"/>
                          </pic:cNvPicPr>
                        </pic:nvPicPr>
                        <pic:blipFill>
                          <a:blip r:embed="rId134" cstate="print"/>
                          <a:srcRect/>
                          <a:stretch>
                            <a:fillRect/>
                          </a:stretch>
                        </pic:blipFill>
                        <pic:spPr>
                          <a:xfrm>
                            <a:off x="0" y="0"/>
                            <a:ext cx="1439545" cy="1010920"/>
                          </a:xfrm>
                          <a:prstGeom prst="rect">
                            <a:avLst/>
                          </a:prstGeom>
                          <a:noFill/>
                          <a:ln w="9525">
                            <a:noFill/>
                            <a:miter lim="800000"/>
                            <a:headEnd/>
                            <a:tailEnd/>
                          </a:ln>
                        </pic:spPr>
                      </pic:pic>
                    </a:graphicData>
                  </a:graphic>
                </wp:anchor>
              </w:drawing>
            </w:r>
          </w:p>
          <w:p w14:paraId="020EE5C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37088" behindDoc="0" locked="0" layoutInCell="1" allowOverlap="1">
                  <wp:simplePos x="0" y="0"/>
                  <wp:positionH relativeFrom="column">
                    <wp:posOffset>-19050</wp:posOffset>
                  </wp:positionH>
                  <wp:positionV relativeFrom="paragraph">
                    <wp:posOffset>854075</wp:posOffset>
                  </wp:positionV>
                  <wp:extent cx="1471930" cy="576580"/>
                  <wp:effectExtent l="0" t="0" r="13970" b="13970"/>
                  <wp:wrapNone/>
                  <wp:docPr id="117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图片 71"/>
                          <pic:cNvPicPr>
                            <a:picLocks noChangeAspect="1" noChangeArrowheads="1"/>
                          </pic:cNvPicPr>
                        </pic:nvPicPr>
                        <pic:blipFill>
                          <a:blip r:embed="rId135"/>
                          <a:srcRect/>
                          <a:stretch>
                            <a:fillRect/>
                          </a:stretch>
                        </pic:blipFill>
                        <pic:spPr>
                          <a:xfrm>
                            <a:off x="0" y="0"/>
                            <a:ext cx="1471930" cy="576580"/>
                          </a:xfrm>
                          <a:prstGeom prst="rect">
                            <a:avLst/>
                          </a:prstGeom>
                          <a:noFill/>
                          <a:ln w="9525">
                            <a:noFill/>
                            <a:miter lim="800000"/>
                            <a:headEnd/>
                            <a:tailEnd/>
                          </a:ln>
                        </pic:spPr>
                      </pic:pic>
                    </a:graphicData>
                  </a:graphic>
                </wp:anchor>
              </w:drawing>
            </w:r>
          </w:p>
        </w:tc>
      </w:tr>
      <w:tr w14:paraId="519C3B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42" w:type="dxa"/>
          </w:tcPr>
          <w:p w14:paraId="7CBB26C9">
            <w:pPr>
              <w:keepNext w:val="0"/>
              <w:keepLines w:val="0"/>
              <w:suppressLineNumbers w:val="0"/>
              <w:adjustRightInd w:val="0"/>
              <w:snapToGrid w:val="0"/>
              <w:spacing w:before="0" w:beforeAutospacing="0" w:after="0" w:afterAutospacing="0" w:line="360" w:lineRule="auto"/>
              <w:ind w:left="0" w:right="0"/>
              <w:jc w:val="both"/>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安全带</w:t>
            </w:r>
          </w:p>
        </w:tc>
        <w:tc>
          <w:tcPr>
            <w:tcW w:w="4253" w:type="dxa"/>
          </w:tcPr>
          <w:p w14:paraId="7EE44C8A">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高处作业必须佩戴安全带，并且使用规</w:t>
            </w:r>
            <w:r>
              <w:rPr>
                <w:rFonts w:hint="eastAsia" w:cs="仿宋_GB2312" w:asciiTheme="minorEastAsia" w:hAnsiTheme="minorEastAsia" w:eastAsiaTheme="minorEastAsia"/>
                <w:color w:val="auto"/>
                <w:sz w:val="24"/>
                <w:highlight w:val="none"/>
              </w:rPr>
              <w:drawing>
                <wp:anchor distT="0" distB="0" distL="0" distR="0" simplePos="0" relativeHeight="251738112" behindDoc="0" locked="0" layoutInCell="1" allowOverlap="1">
                  <wp:simplePos x="0" y="0"/>
                  <wp:positionH relativeFrom="column">
                    <wp:posOffset>2777490</wp:posOffset>
                  </wp:positionH>
                  <wp:positionV relativeFrom="paragraph">
                    <wp:posOffset>43180</wp:posOffset>
                  </wp:positionV>
                  <wp:extent cx="2022475" cy="1687195"/>
                  <wp:effectExtent l="19050" t="0" r="0" b="0"/>
                  <wp:wrapNone/>
                  <wp:docPr id="117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图片 43"/>
                          <pic:cNvPicPr>
                            <a:picLocks noChangeAspect="1" noChangeArrowheads="1"/>
                          </pic:cNvPicPr>
                        </pic:nvPicPr>
                        <pic:blipFill>
                          <a:blip r:embed="rId136"/>
                          <a:srcRect/>
                          <a:stretch>
                            <a:fillRect/>
                          </a:stretch>
                        </pic:blipFill>
                        <pic:spPr>
                          <a:xfrm>
                            <a:off x="0" y="0"/>
                            <a:ext cx="2022475" cy="168719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范，高挂低用，严禁打结使用，防止摆动和碰撞，安全带上的各部件不得任意拆卸。</w:t>
            </w:r>
          </w:p>
          <w:p w14:paraId="6475051F">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4ACFCB3A">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tc>
        <w:tc>
          <w:tcPr>
            <w:tcW w:w="3720" w:type="dxa"/>
          </w:tcPr>
          <w:p w14:paraId="7AABA217">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p w14:paraId="6065047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tc>
      </w:tr>
      <w:tr w14:paraId="0B445D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53" w:hRule="atLeast"/>
          <w:jc w:val="center"/>
        </w:trPr>
        <w:tc>
          <w:tcPr>
            <w:tcW w:w="1342" w:type="dxa"/>
          </w:tcPr>
          <w:p w14:paraId="2C28069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安全网</w:t>
            </w:r>
          </w:p>
        </w:tc>
        <w:tc>
          <w:tcPr>
            <w:tcW w:w="4253" w:type="dxa"/>
          </w:tcPr>
          <w:p w14:paraId="5EA1B3AB">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1)建设工程中高度在4m以上的外架均需按要求张挂钢制安全网，安全网的质量必须符合国家验收标准。</w:t>
            </w:r>
          </w:p>
          <w:p w14:paraId="7001419D">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2)安全网挂在外架的杆件上，应绷紧、绑扎牢固，网间连接必须严密，没有破损，无污染。</w:t>
            </w:r>
          </w:p>
        </w:tc>
        <w:tc>
          <w:tcPr>
            <w:tcW w:w="3720" w:type="dxa"/>
          </w:tcPr>
          <w:p w14:paraId="494C802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inline distT="0" distB="0" distL="0" distR="0">
                  <wp:extent cx="2141855" cy="1536700"/>
                  <wp:effectExtent l="0" t="0" r="10795" b="6350"/>
                  <wp:docPr id="117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图片 108"/>
                          <pic:cNvPicPr>
                            <a:picLocks noChangeAspect="1" noChangeArrowheads="1"/>
                          </pic:cNvPicPr>
                        </pic:nvPicPr>
                        <pic:blipFill>
                          <a:blip r:embed="rId137" cstate="print"/>
                          <a:srcRect/>
                          <a:stretch>
                            <a:fillRect/>
                          </a:stretch>
                        </pic:blipFill>
                        <pic:spPr>
                          <a:xfrm>
                            <a:off x="0" y="0"/>
                            <a:ext cx="2141855" cy="1536700"/>
                          </a:xfrm>
                          <a:prstGeom prst="rect">
                            <a:avLst/>
                          </a:prstGeom>
                          <a:noFill/>
                          <a:ln w="9525">
                            <a:noFill/>
                            <a:miter lim="800000"/>
                            <a:headEnd/>
                            <a:tailEnd/>
                          </a:ln>
                        </pic:spPr>
                      </pic:pic>
                    </a:graphicData>
                  </a:graphic>
                </wp:inline>
              </w:drawing>
            </w:r>
          </w:p>
          <w:p w14:paraId="5D6BB215">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tc>
      </w:tr>
      <w:tr w14:paraId="3CAF94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42" w:type="dxa"/>
          </w:tcPr>
          <w:p w14:paraId="0F9320A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楼梯口</w:t>
            </w:r>
          </w:p>
        </w:tc>
        <w:tc>
          <w:tcPr>
            <w:tcW w:w="4253" w:type="dxa"/>
          </w:tcPr>
          <w:p w14:paraId="0F719326">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楼梯口根据施工进度安装临边防护栏两道，横杆应设上下两道，上杆距地不小于1200mm，下杆距地600mm（立杆间距不大于2000mm) ，底部设置180mm高的踢脚板。</w:t>
            </w:r>
          </w:p>
        </w:tc>
        <w:tc>
          <w:tcPr>
            <w:tcW w:w="3720" w:type="dxa"/>
          </w:tcPr>
          <w:p w14:paraId="1EEEB817">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739136" behindDoc="0" locked="0" layoutInCell="1" allowOverlap="1">
                  <wp:simplePos x="0" y="0"/>
                  <wp:positionH relativeFrom="column">
                    <wp:posOffset>156210</wp:posOffset>
                  </wp:positionH>
                  <wp:positionV relativeFrom="paragraph">
                    <wp:posOffset>43180</wp:posOffset>
                  </wp:positionV>
                  <wp:extent cx="1863090" cy="1376680"/>
                  <wp:effectExtent l="19050" t="0" r="3810" b="0"/>
                  <wp:wrapNone/>
                  <wp:docPr id="1179" name="图片 1" descr="C:\Users\duzhichen\Desktop\u=1373684054,762316378&amp;fm=72.jpgu=1373684054,762316378&amp;fm=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图片 1" descr="C:\Users\duzhichen\Desktop\u=1373684054,762316378&amp;fm=72.jpgu=1373684054,762316378&amp;fm=72"/>
                          <pic:cNvPicPr>
                            <a:picLocks noChangeAspect="1" noChangeArrowheads="1"/>
                          </pic:cNvPicPr>
                        </pic:nvPicPr>
                        <pic:blipFill>
                          <a:blip r:embed="rId138"/>
                          <a:srcRect r="7269"/>
                          <a:stretch>
                            <a:fillRect/>
                          </a:stretch>
                        </pic:blipFill>
                        <pic:spPr>
                          <a:xfrm>
                            <a:off x="0" y="0"/>
                            <a:ext cx="1863090" cy="1376680"/>
                          </a:xfrm>
                          <a:prstGeom prst="rect">
                            <a:avLst/>
                          </a:prstGeom>
                          <a:noFill/>
                          <a:ln w="9525">
                            <a:noFill/>
                            <a:miter lim="800000"/>
                            <a:headEnd/>
                            <a:tailEnd/>
                          </a:ln>
                        </pic:spPr>
                      </pic:pic>
                    </a:graphicData>
                  </a:graphic>
                </wp:anchor>
              </w:drawing>
            </w:r>
          </w:p>
        </w:tc>
      </w:tr>
      <w:tr w14:paraId="288AD9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42" w:type="dxa"/>
          </w:tcPr>
          <w:p w14:paraId="4C4E359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电梯井口</w:t>
            </w:r>
          </w:p>
        </w:tc>
        <w:tc>
          <w:tcPr>
            <w:tcW w:w="4253" w:type="dxa"/>
          </w:tcPr>
          <w:p w14:paraId="058A94F8">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1）原则上均要求采用定型化防护门：防护高度不小于1.8m，门栅格尺寸不大于150mm，根部设180mm踢脚板，定型化门上需喷绘明显警示标志，建议采用上翻式安装；</w:t>
            </w:r>
          </w:p>
          <w:p w14:paraId="0882E5BE">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 xml:space="preserve">2）因特殊情况不能使用定型化护栏时，可采用可拆卸钢管护栏； </w:t>
            </w:r>
          </w:p>
          <w:p w14:paraId="0DE05F6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3）若采可拆卸钢管护栏，上横杆高度不小于1.8m，中横杆高度1.2m；下</w:t>
            </w: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741184" behindDoc="0" locked="0" layoutInCell="1" allowOverlap="1">
                  <wp:simplePos x="0" y="0"/>
                  <wp:positionH relativeFrom="column">
                    <wp:posOffset>2882265</wp:posOffset>
                  </wp:positionH>
                  <wp:positionV relativeFrom="paragraph">
                    <wp:posOffset>199390</wp:posOffset>
                  </wp:positionV>
                  <wp:extent cx="1689735" cy="1478915"/>
                  <wp:effectExtent l="19050" t="0" r="5715" b="0"/>
                  <wp:wrapNone/>
                  <wp:docPr id="118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图片 50"/>
                          <pic:cNvPicPr>
                            <a:picLocks noChangeAspect="1" noChangeArrowheads="1"/>
                          </pic:cNvPicPr>
                        </pic:nvPicPr>
                        <pic:blipFill>
                          <a:blip r:embed="rId139"/>
                          <a:srcRect/>
                          <a:stretch>
                            <a:fillRect/>
                          </a:stretch>
                        </pic:blipFill>
                        <pic:spPr>
                          <a:xfrm>
                            <a:off x="0" y="0"/>
                            <a:ext cx="1689735" cy="147891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横杆高度0.6m，根部设180mm踢脚板，悬挂安全网封闭以及明显警示标志；</w:t>
            </w:r>
          </w:p>
          <w:p w14:paraId="0204C4D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4）在电梯井道内应每隔两层并不大于10m搭设一道水平防护平台，水平防护平台采用钢管、木枋及模板搭设；水平防护平台之间每层应增设一道安全网，安全网边与井壁不大于150mm。</w:t>
            </w:r>
          </w:p>
        </w:tc>
        <w:tc>
          <w:tcPr>
            <w:tcW w:w="3720" w:type="dxa"/>
          </w:tcPr>
          <w:p w14:paraId="3DF10271">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404AA660">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740160" behindDoc="0" locked="0" layoutInCell="1" allowOverlap="1">
                  <wp:simplePos x="0" y="0"/>
                  <wp:positionH relativeFrom="column">
                    <wp:posOffset>40005</wp:posOffset>
                  </wp:positionH>
                  <wp:positionV relativeFrom="paragraph">
                    <wp:posOffset>160020</wp:posOffset>
                  </wp:positionV>
                  <wp:extent cx="2084070" cy="1574800"/>
                  <wp:effectExtent l="19050" t="0" r="0" b="0"/>
                  <wp:wrapNone/>
                  <wp:docPr id="11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图片 12"/>
                          <pic:cNvPicPr>
                            <a:picLocks noChangeAspect="1" noChangeArrowheads="1"/>
                          </pic:cNvPicPr>
                        </pic:nvPicPr>
                        <pic:blipFill>
                          <a:blip r:embed="rId140" cstate="print"/>
                          <a:srcRect/>
                          <a:stretch>
                            <a:fillRect/>
                          </a:stretch>
                        </pic:blipFill>
                        <pic:spPr>
                          <a:xfrm>
                            <a:off x="0" y="0"/>
                            <a:ext cx="2084070" cy="1574800"/>
                          </a:xfrm>
                          <a:prstGeom prst="rect">
                            <a:avLst/>
                          </a:prstGeom>
                          <a:noFill/>
                          <a:ln w="9525">
                            <a:noFill/>
                            <a:miter lim="800000"/>
                            <a:headEnd/>
                            <a:tailEnd/>
                          </a:ln>
                        </pic:spPr>
                      </pic:pic>
                    </a:graphicData>
                  </a:graphic>
                </wp:anchor>
              </w:drawing>
            </w:r>
          </w:p>
        </w:tc>
      </w:tr>
      <w:tr w14:paraId="377173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42" w:type="dxa"/>
          </w:tcPr>
          <w:p w14:paraId="5EBECFEF">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预留洞口</w:t>
            </w:r>
          </w:p>
        </w:tc>
        <w:tc>
          <w:tcPr>
            <w:tcW w:w="4253" w:type="dxa"/>
          </w:tcPr>
          <w:p w14:paraId="36C37B84">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洞口围挡，遮盖，防护设施定型化，严密化。</w:t>
            </w:r>
          </w:p>
          <w:p w14:paraId="6088F441">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楼板短边尺寸为2.5cm—25cm的洞口，必须设坚实的盖板盖严，并能防止挪动移动，且刷黄黑油漆。</w:t>
            </w:r>
          </w:p>
          <w:p w14:paraId="31CBE89C">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3) 楼板面处等边长为25—50cm的洞口，必须设置固定盖板，保持四周搁置均衡，并有固定其位置的措施，且刷黄黑油漆。</w:t>
            </w:r>
          </w:p>
          <w:p w14:paraId="220C8409">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4) 大型施工洞，边长为50cm—150cm的洞口，可利用钢筋混凝土板内钢筋贯通构成防护网，网格小于20cm，短边超过1.5m长的洞口，除封闭四周外还应设有防护栏杆，栏杆表面刷黄黑油漆。</w:t>
            </w:r>
          </w:p>
        </w:tc>
        <w:tc>
          <w:tcPr>
            <w:tcW w:w="3720" w:type="dxa"/>
          </w:tcPr>
          <w:p w14:paraId="775F0FCB">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742208" behindDoc="0" locked="0" layoutInCell="1" allowOverlap="1">
                  <wp:simplePos x="0" y="0"/>
                  <wp:positionH relativeFrom="column">
                    <wp:posOffset>62230</wp:posOffset>
                  </wp:positionH>
                  <wp:positionV relativeFrom="paragraph">
                    <wp:posOffset>109855</wp:posOffset>
                  </wp:positionV>
                  <wp:extent cx="1671955" cy="1536065"/>
                  <wp:effectExtent l="19050" t="0" r="4445" b="0"/>
                  <wp:wrapNone/>
                  <wp:docPr id="118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图片 10"/>
                          <pic:cNvPicPr>
                            <a:picLocks noChangeAspect="1" noChangeArrowheads="1"/>
                          </pic:cNvPicPr>
                        </pic:nvPicPr>
                        <pic:blipFill>
                          <a:blip r:embed="rId141" cstate="print"/>
                          <a:srcRect/>
                          <a:stretch>
                            <a:fillRect/>
                          </a:stretch>
                        </pic:blipFill>
                        <pic:spPr>
                          <a:xfrm>
                            <a:off x="0" y="0"/>
                            <a:ext cx="1671955" cy="1536065"/>
                          </a:xfrm>
                          <a:prstGeom prst="rect">
                            <a:avLst/>
                          </a:prstGeom>
                          <a:noFill/>
                          <a:ln w="9525">
                            <a:noFill/>
                            <a:miter lim="800000"/>
                            <a:headEnd/>
                            <a:tailEnd/>
                          </a:ln>
                        </pic:spPr>
                      </pic:pic>
                    </a:graphicData>
                  </a:graphic>
                </wp:anchor>
              </w:drawing>
            </w:r>
          </w:p>
          <w:p w14:paraId="56FA5B0C">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3A4011D7">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43232" behindDoc="0" locked="0" layoutInCell="1" allowOverlap="1">
                  <wp:simplePos x="0" y="0"/>
                  <wp:positionH relativeFrom="column">
                    <wp:posOffset>62230</wp:posOffset>
                  </wp:positionH>
                  <wp:positionV relativeFrom="paragraph">
                    <wp:posOffset>1157605</wp:posOffset>
                  </wp:positionV>
                  <wp:extent cx="1671955" cy="1555115"/>
                  <wp:effectExtent l="19050" t="0" r="4445" b="0"/>
                  <wp:wrapNone/>
                  <wp:docPr id="118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图片 19"/>
                          <pic:cNvPicPr>
                            <a:picLocks noChangeAspect="1" noChangeArrowheads="1"/>
                          </pic:cNvPicPr>
                        </pic:nvPicPr>
                        <pic:blipFill>
                          <a:blip r:embed="rId142"/>
                          <a:srcRect/>
                          <a:stretch>
                            <a:fillRect/>
                          </a:stretch>
                        </pic:blipFill>
                        <pic:spPr>
                          <a:xfrm>
                            <a:off x="0" y="0"/>
                            <a:ext cx="1671955" cy="1555115"/>
                          </a:xfrm>
                          <a:prstGeom prst="rect">
                            <a:avLst/>
                          </a:prstGeom>
                          <a:noFill/>
                          <a:ln w="9525">
                            <a:noFill/>
                            <a:miter lim="800000"/>
                            <a:headEnd/>
                            <a:tailEnd/>
                          </a:ln>
                        </pic:spPr>
                      </pic:pic>
                    </a:graphicData>
                  </a:graphic>
                </wp:anchor>
              </w:drawing>
            </w:r>
          </w:p>
        </w:tc>
      </w:tr>
      <w:tr w14:paraId="430255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42" w:type="dxa"/>
          </w:tcPr>
          <w:p w14:paraId="512BBA1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通道口防护（包括通道口、钢筋防护棚、木工防护棚）</w:t>
            </w:r>
          </w:p>
        </w:tc>
        <w:tc>
          <w:tcPr>
            <w:tcW w:w="4253" w:type="dxa"/>
          </w:tcPr>
          <w:p w14:paraId="1E81D584">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 搭设防护棚并且防护棚材质符合要求，棚顶采用双层硬性防护。</w:t>
            </w:r>
          </w:p>
          <w:p w14:paraId="0BC77B1C">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 结构首层的出入口必须搭设双层防护棚，并设置警示牌。两侧用密目安全网封闭。从一层开始应每隔6层沿通道和出入口一侧设置一道防护棚架。多层</w:t>
            </w:r>
            <w:r>
              <w:rPr>
                <w:rFonts w:hint="eastAsia" w:cs="仿宋_GB2312" w:asciiTheme="minorEastAsia" w:hAnsiTheme="minorEastAsia" w:eastAsiaTheme="minorEastAsia"/>
                <w:color w:val="auto"/>
                <w:sz w:val="24"/>
                <w:szCs w:val="24"/>
                <w:highlight w:val="none"/>
              </w:rPr>
              <w:drawing>
                <wp:anchor distT="0" distB="0" distL="0" distR="0" simplePos="0" relativeHeight="251745280" behindDoc="0" locked="0" layoutInCell="1" allowOverlap="1">
                  <wp:simplePos x="0" y="0"/>
                  <wp:positionH relativeFrom="column">
                    <wp:posOffset>2719705</wp:posOffset>
                  </wp:positionH>
                  <wp:positionV relativeFrom="paragraph">
                    <wp:posOffset>169545</wp:posOffset>
                  </wp:positionV>
                  <wp:extent cx="2194560" cy="899160"/>
                  <wp:effectExtent l="0" t="0" r="15240" b="15240"/>
                  <wp:wrapNone/>
                  <wp:docPr id="1185" name="图片 30" descr="D:\工作\旭辉地产\苏州旭辉\小组管理\输出成果\照片\四月份\04005恒基旭辉城一标（南通二建）照片\IMG_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图片 30" descr="D:\工作\旭辉地产\苏州旭辉\小组管理\输出成果\照片\四月份\04005恒基旭辉城一标（南通二建）照片\IMG_1804.JPG"/>
                          <pic:cNvPicPr>
                            <a:picLocks noChangeAspect="1" noChangeArrowheads="1"/>
                          </pic:cNvPicPr>
                        </pic:nvPicPr>
                        <pic:blipFill>
                          <a:blip r:embed="rId143"/>
                          <a:srcRect/>
                          <a:stretch>
                            <a:fillRect/>
                          </a:stretch>
                        </pic:blipFill>
                        <pic:spPr>
                          <a:xfrm>
                            <a:off x="0" y="0"/>
                            <a:ext cx="2194560" cy="89916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结构防护棚的长度不小于3米，高层不小于6米。</w:t>
            </w:r>
          </w:p>
          <w:p w14:paraId="10434868">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3)塔吊覆盖范围内，小型钢筋加工机械，必须设置小型防护棚。</w:t>
            </w:r>
          </w:p>
        </w:tc>
        <w:tc>
          <w:tcPr>
            <w:tcW w:w="3720" w:type="dxa"/>
          </w:tcPr>
          <w:p w14:paraId="326F4885">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44256" behindDoc="0" locked="0" layoutInCell="1" allowOverlap="1">
                  <wp:simplePos x="0" y="0"/>
                  <wp:positionH relativeFrom="column">
                    <wp:posOffset>19050</wp:posOffset>
                  </wp:positionH>
                  <wp:positionV relativeFrom="paragraph">
                    <wp:posOffset>79375</wp:posOffset>
                  </wp:positionV>
                  <wp:extent cx="2187575" cy="1494790"/>
                  <wp:effectExtent l="0" t="0" r="3175" b="10160"/>
                  <wp:wrapNone/>
                  <wp:docPr id="118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图片 45"/>
                          <pic:cNvPicPr>
                            <a:picLocks noChangeAspect="1" noChangeArrowheads="1"/>
                          </pic:cNvPicPr>
                        </pic:nvPicPr>
                        <pic:blipFill>
                          <a:blip r:embed="rId144"/>
                          <a:srcRect/>
                          <a:stretch>
                            <a:fillRect/>
                          </a:stretch>
                        </pic:blipFill>
                        <pic:spPr>
                          <a:xfrm>
                            <a:off x="0" y="0"/>
                            <a:ext cx="2187575" cy="1494790"/>
                          </a:xfrm>
                          <a:prstGeom prst="rect">
                            <a:avLst/>
                          </a:prstGeom>
                          <a:noFill/>
                          <a:ln w="9525">
                            <a:noFill/>
                            <a:miter lim="800000"/>
                            <a:headEnd/>
                            <a:tailEnd/>
                          </a:ln>
                        </pic:spPr>
                      </pic:pic>
                    </a:graphicData>
                  </a:graphic>
                </wp:anchor>
              </w:drawing>
            </w:r>
          </w:p>
          <w:p w14:paraId="0F0CC54B">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1BFF5673">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2"/>
                <w:highlight w:val="none"/>
              </w:rPr>
              <w:drawing>
                <wp:anchor distT="0" distB="0" distL="0" distR="0" simplePos="0" relativeHeight="251748352" behindDoc="0" locked="0" layoutInCell="1" allowOverlap="1">
                  <wp:simplePos x="0" y="0"/>
                  <wp:positionH relativeFrom="column">
                    <wp:posOffset>30480</wp:posOffset>
                  </wp:positionH>
                  <wp:positionV relativeFrom="paragraph">
                    <wp:posOffset>1288415</wp:posOffset>
                  </wp:positionV>
                  <wp:extent cx="1998345" cy="1833880"/>
                  <wp:effectExtent l="19050" t="0" r="1905" b="0"/>
                  <wp:wrapNone/>
                  <wp:docPr id="118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图片 41"/>
                          <pic:cNvPicPr>
                            <a:picLocks noChangeAspect="1" noChangeArrowheads="1"/>
                          </pic:cNvPicPr>
                        </pic:nvPicPr>
                        <pic:blipFill>
                          <a:blip r:embed="rId145"/>
                          <a:srcRect/>
                          <a:stretch>
                            <a:fillRect/>
                          </a:stretch>
                        </pic:blipFill>
                        <pic:spPr>
                          <a:xfrm>
                            <a:off x="0" y="0"/>
                            <a:ext cx="1998345" cy="1833880"/>
                          </a:xfrm>
                          <a:prstGeom prst="rect">
                            <a:avLst/>
                          </a:prstGeom>
                          <a:noFill/>
                          <a:ln w="9525">
                            <a:noFill/>
                            <a:miter lim="800000"/>
                            <a:headEnd/>
                            <a:tailEnd/>
                          </a:ln>
                        </pic:spPr>
                      </pic:pic>
                    </a:graphicData>
                  </a:graphic>
                </wp:anchor>
              </w:drawing>
            </w:r>
          </w:p>
        </w:tc>
      </w:tr>
      <w:tr w14:paraId="6F81F1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42" w:type="dxa"/>
          </w:tcPr>
          <w:p w14:paraId="62C0C79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楼层边、楼梯边、阳台边、屋面临边、基坑边等临边</w:t>
            </w:r>
          </w:p>
        </w:tc>
        <w:tc>
          <w:tcPr>
            <w:tcW w:w="4253" w:type="dxa"/>
          </w:tcPr>
          <w:p w14:paraId="132A41A3">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 无围护设施或围护设施高度低于0.8m的楼层周边、楼梯侧边、平台或阳台、屋面周边和沟、坑、槽、等边沿，需要设置临边防护。</w:t>
            </w:r>
          </w:p>
          <w:p w14:paraId="58D3C373">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46304" behindDoc="0" locked="0" layoutInCell="1" allowOverlap="1">
                  <wp:simplePos x="0" y="0"/>
                  <wp:positionH relativeFrom="column">
                    <wp:posOffset>2700020</wp:posOffset>
                  </wp:positionH>
                  <wp:positionV relativeFrom="paragraph">
                    <wp:posOffset>-262255</wp:posOffset>
                  </wp:positionV>
                  <wp:extent cx="2200910" cy="1765935"/>
                  <wp:effectExtent l="19050" t="0" r="8890" b="0"/>
                  <wp:wrapNone/>
                  <wp:docPr id="1186"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图片 672"/>
                          <pic:cNvPicPr>
                            <a:picLocks noChangeAspect="1" noChangeArrowheads="1"/>
                          </pic:cNvPicPr>
                        </pic:nvPicPr>
                        <pic:blipFill>
                          <a:blip r:embed="rId146"/>
                          <a:srcRect/>
                          <a:stretch>
                            <a:fillRect/>
                          </a:stretch>
                        </pic:blipFill>
                        <pic:spPr>
                          <a:xfrm>
                            <a:off x="0" y="0"/>
                            <a:ext cx="2200910" cy="176593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2) 土建施工阶段无外架楼栋周边应设置安全隔离区或设置水平防护。</w:t>
            </w:r>
          </w:p>
          <w:p w14:paraId="1DE975E9">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47328" behindDoc="0" locked="0" layoutInCell="1" allowOverlap="1">
                  <wp:simplePos x="0" y="0"/>
                  <wp:positionH relativeFrom="column">
                    <wp:posOffset>2933065</wp:posOffset>
                  </wp:positionH>
                  <wp:positionV relativeFrom="paragraph">
                    <wp:posOffset>1165860</wp:posOffset>
                  </wp:positionV>
                  <wp:extent cx="1868170" cy="1537970"/>
                  <wp:effectExtent l="19050" t="0" r="0" b="0"/>
                  <wp:wrapNone/>
                  <wp:docPr id="1187" name="图片 32" descr="npo0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图片 32" descr="npo000010"/>
                          <pic:cNvPicPr>
                            <a:picLocks noChangeAspect="1" noChangeArrowheads="1"/>
                          </pic:cNvPicPr>
                        </pic:nvPicPr>
                        <pic:blipFill>
                          <a:blip r:embed="rId147"/>
                          <a:srcRect/>
                          <a:stretch>
                            <a:fillRect/>
                          </a:stretch>
                        </pic:blipFill>
                        <pic:spPr>
                          <a:xfrm>
                            <a:off x="0" y="0"/>
                            <a:ext cx="1868170" cy="153797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3) 防护栏杆由上、上两道横杆及栏杆柱组成，上杆离地高度为1.2~1.5m，下杆距离地高度为0.5~0.6m。横杆长度大于2m时，必须加设栏杆柱。</w:t>
            </w:r>
          </w:p>
          <w:p w14:paraId="11D39176">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4) 防护栏杆必须自上而下用密目网封闭，或在栏杆下边设置严密固定的高度不低于18cm的挡脚板。当临街道或人口密集的地方，除设置防护栏杆外，敞开立面必须采取满挂密目网作全封闭处理。</w:t>
            </w:r>
          </w:p>
        </w:tc>
        <w:tc>
          <w:tcPr>
            <w:tcW w:w="3720" w:type="dxa"/>
          </w:tcPr>
          <w:p w14:paraId="0EC0289B">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748E2C90">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043F1401">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tc>
      </w:tr>
    </w:tbl>
    <w:p w14:paraId="3ED98183">
      <w:pPr>
        <w:pStyle w:val="74"/>
        <w:adjustRightInd w:val="0"/>
        <w:snapToGrid w:val="0"/>
        <w:spacing w:line="360" w:lineRule="auto"/>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（二）脚手架及卸料平台</w:t>
      </w:r>
    </w:p>
    <w:tbl>
      <w:tblPr>
        <w:tblStyle w:val="56"/>
        <w:tblW w:w="93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8"/>
        <w:gridCol w:w="4253"/>
        <w:gridCol w:w="3736"/>
      </w:tblGrid>
      <w:tr w14:paraId="2B52F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8" w:type="dxa"/>
            <w:vAlign w:val="center"/>
          </w:tcPr>
          <w:p w14:paraId="5BC5C30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53" w:type="dxa"/>
            <w:vAlign w:val="center"/>
          </w:tcPr>
          <w:p w14:paraId="77A86D0A">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736" w:type="dxa"/>
            <w:vAlign w:val="center"/>
          </w:tcPr>
          <w:p w14:paraId="553A1E5F">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2833B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8" w:type="dxa"/>
          </w:tcPr>
          <w:p w14:paraId="495FF806">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脚手架基础要求</w:t>
            </w:r>
          </w:p>
        </w:tc>
        <w:tc>
          <w:tcPr>
            <w:tcW w:w="4253" w:type="dxa"/>
          </w:tcPr>
          <w:p w14:paraId="182964F8">
            <w:pPr>
              <w:pStyle w:val="112"/>
              <w:keepNext w:val="0"/>
              <w:keepLines w:val="0"/>
              <w:numPr>
                <w:ilvl w:val="0"/>
                <w:numId w:val="28"/>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脚手架地基应平整、夯实、硬化处理。</w:t>
            </w:r>
          </w:p>
          <w:p w14:paraId="6FDD531E">
            <w:pPr>
              <w:pStyle w:val="112"/>
              <w:keepNext w:val="0"/>
              <w:keepLines w:val="0"/>
              <w:numPr>
                <w:ilvl w:val="0"/>
                <w:numId w:val="28"/>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立杆不能直接立于土地面上，应加设底座和垫板（或垫木），垫板（木）厚度不小于50mm；</w:t>
            </w:r>
          </w:p>
          <w:p w14:paraId="3B5FA520">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基础周边设置排水措施。</w:t>
            </w:r>
          </w:p>
        </w:tc>
        <w:tc>
          <w:tcPr>
            <w:tcW w:w="3736" w:type="dxa"/>
          </w:tcPr>
          <w:p w14:paraId="23370984">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49376" behindDoc="0" locked="0" layoutInCell="1" allowOverlap="1">
                  <wp:simplePos x="0" y="0"/>
                  <wp:positionH relativeFrom="column">
                    <wp:posOffset>-20320</wp:posOffset>
                  </wp:positionH>
                  <wp:positionV relativeFrom="paragraph">
                    <wp:posOffset>107315</wp:posOffset>
                  </wp:positionV>
                  <wp:extent cx="1864360" cy="1621155"/>
                  <wp:effectExtent l="19050" t="0" r="2540" b="0"/>
                  <wp:wrapNone/>
                  <wp:docPr id="1189"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 name="图片 640"/>
                          <pic:cNvPicPr>
                            <a:picLocks noChangeAspect="1" noChangeArrowheads="1"/>
                          </pic:cNvPicPr>
                        </pic:nvPicPr>
                        <pic:blipFill>
                          <a:blip r:embed="rId148"/>
                          <a:srcRect/>
                          <a:stretch>
                            <a:fillRect/>
                          </a:stretch>
                        </pic:blipFill>
                        <pic:spPr>
                          <a:xfrm>
                            <a:off x="0" y="0"/>
                            <a:ext cx="1864360" cy="1621155"/>
                          </a:xfrm>
                          <a:prstGeom prst="rect">
                            <a:avLst/>
                          </a:prstGeom>
                          <a:noFill/>
                          <a:ln w="9525">
                            <a:noFill/>
                            <a:miter lim="800000"/>
                            <a:headEnd/>
                            <a:tailEnd/>
                          </a:ln>
                        </pic:spPr>
                      </pic:pic>
                    </a:graphicData>
                  </a:graphic>
                </wp:anchor>
              </w:drawing>
            </w:r>
          </w:p>
        </w:tc>
      </w:tr>
      <w:tr w14:paraId="6221A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8" w:type="dxa"/>
          </w:tcPr>
          <w:p w14:paraId="4F666CF7">
            <w:pPr>
              <w:pStyle w:val="112"/>
              <w:keepNext w:val="0"/>
              <w:keepLines w:val="0"/>
              <w:suppressLineNumbers w:val="0"/>
              <w:snapToGrid w:val="0"/>
              <w:spacing w:before="0" w:beforeAutospacing="0" w:after="0" w:afterAutospacing="0" w:line="360" w:lineRule="auto"/>
              <w:ind w:left="0" w:leftChars="0" w:right="0" w:firstLine="0" w:firstLineChars="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脚手架防护</w:t>
            </w:r>
          </w:p>
        </w:tc>
        <w:tc>
          <w:tcPr>
            <w:tcW w:w="4253" w:type="dxa"/>
          </w:tcPr>
          <w:p w14:paraId="5E4C321D">
            <w:pPr>
              <w:pStyle w:val="112"/>
              <w:keepNext w:val="0"/>
              <w:keepLines w:val="0"/>
              <w:suppressLineNumbers w:val="0"/>
              <w:snapToGrid w:val="0"/>
              <w:spacing w:before="0" w:beforeAutospacing="0" w:after="0" w:afterAutospacing="0" w:line="360" w:lineRule="auto"/>
              <w:ind w:left="0" w:right="0" w:firstLine="48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脚手架外侧应满挂钢制安全网，脚手架内每隔一层应设置层间隔离；作业层满铺脚手板，外侧应设置挡脚板；挑架每一挑架底层硬质防护封闭严实。</w:t>
            </w:r>
          </w:p>
          <w:p w14:paraId="39FCFC58">
            <w:pPr>
              <w:pStyle w:val="112"/>
              <w:keepNext w:val="0"/>
              <w:keepLines w:val="0"/>
              <w:suppressLineNumbers w:val="0"/>
              <w:snapToGrid w:val="0"/>
              <w:spacing w:before="0" w:beforeAutospacing="0" w:after="0" w:afterAutospacing="0" w:line="360" w:lineRule="auto"/>
              <w:ind w:left="0" w:right="0" w:firstLine="48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2）爬架底部或挑架底部应设置水</w:t>
            </w:r>
            <w:r>
              <w:rPr>
                <w:rFonts w:hint="eastAsia" w:cs="仿宋_GB2312" w:asciiTheme="minorEastAsia" w:hAnsiTheme="minorEastAsia" w:eastAsiaTheme="minorEastAsia"/>
                <w:color w:val="auto"/>
                <w:kern w:val="2"/>
                <w:sz w:val="24"/>
                <w:szCs w:val="24"/>
                <w:highlight w:val="none"/>
              </w:rPr>
              <w:drawing>
                <wp:anchor distT="0" distB="0" distL="0" distR="0" simplePos="0" relativeHeight="251751424" behindDoc="0" locked="0" layoutInCell="1" allowOverlap="1">
                  <wp:simplePos x="0" y="0"/>
                  <wp:positionH relativeFrom="column">
                    <wp:posOffset>2943225</wp:posOffset>
                  </wp:positionH>
                  <wp:positionV relativeFrom="paragraph">
                    <wp:posOffset>182245</wp:posOffset>
                  </wp:positionV>
                  <wp:extent cx="1774190" cy="1434465"/>
                  <wp:effectExtent l="19050" t="0" r="0" b="0"/>
                  <wp:wrapNone/>
                  <wp:docPr id="1191"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图片 193"/>
                          <pic:cNvPicPr>
                            <a:picLocks noChangeAspect="1" noChangeArrowheads="1"/>
                          </pic:cNvPicPr>
                        </pic:nvPicPr>
                        <pic:blipFill>
                          <a:blip r:embed="rId149"/>
                          <a:srcRect/>
                          <a:stretch>
                            <a:fillRect/>
                          </a:stretch>
                        </pic:blipFill>
                        <pic:spPr>
                          <a:xfrm>
                            <a:off x="0" y="0"/>
                            <a:ext cx="1774190" cy="143446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平挑网，沿主楼四周一圈应封闭。</w:t>
            </w:r>
          </w:p>
          <w:p w14:paraId="2944D1BA">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 临边防护栏杆应设两道，上杆距地高度1200mm，下杆距地高度500—600mm，立杆间距不大于1800mm，并应设置挡脚板或立网。防护栏杆宜使用钢管，牢固可靠，并刷黄黑油漆。</w:t>
            </w:r>
          </w:p>
        </w:tc>
        <w:tc>
          <w:tcPr>
            <w:tcW w:w="3736" w:type="dxa"/>
          </w:tcPr>
          <w:p w14:paraId="2AE1A698">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50400" behindDoc="0" locked="0" layoutInCell="1" allowOverlap="1">
                  <wp:simplePos x="0" y="0"/>
                  <wp:positionH relativeFrom="column">
                    <wp:posOffset>-635</wp:posOffset>
                  </wp:positionH>
                  <wp:positionV relativeFrom="paragraph">
                    <wp:posOffset>51435</wp:posOffset>
                  </wp:positionV>
                  <wp:extent cx="1844675" cy="1468120"/>
                  <wp:effectExtent l="19050" t="0" r="3175" b="0"/>
                  <wp:wrapNone/>
                  <wp:docPr id="1190"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图片 127"/>
                          <pic:cNvPicPr>
                            <a:picLocks noChangeAspect="1" noChangeArrowheads="1"/>
                          </pic:cNvPicPr>
                        </pic:nvPicPr>
                        <pic:blipFill>
                          <a:blip r:embed="rId150"/>
                          <a:srcRect/>
                          <a:stretch>
                            <a:fillRect/>
                          </a:stretch>
                        </pic:blipFill>
                        <pic:spPr>
                          <a:xfrm>
                            <a:off x="0" y="0"/>
                            <a:ext cx="1844675" cy="1468120"/>
                          </a:xfrm>
                          <a:prstGeom prst="rect">
                            <a:avLst/>
                          </a:prstGeom>
                          <a:noFill/>
                          <a:ln w="9525">
                            <a:noFill/>
                            <a:miter lim="800000"/>
                            <a:headEnd/>
                            <a:tailEnd/>
                          </a:ln>
                        </pic:spPr>
                      </pic:pic>
                    </a:graphicData>
                  </a:graphic>
                </wp:anchor>
              </w:drawing>
            </w:r>
          </w:p>
          <w:p w14:paraId="4ACA9D4D">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396BAB09">
            <w:pPr>
              <w:pStyle w:val="112"/>
              <w:keepNext w:val="0"/>
              <w:keepLines w:val="0"/>
              <w:suppressLineNumbers w:val="0"/>
              <w:snapToGrid w:val="0"/>
              <w:spacing w:before="0" w:beforeAutospacing="0" w:after="0" w:afterAutospacing="0" w:line="360" w:lineRule="auto"/>
              <w:ind w:left="0" w:right="0" w:firstLine="480"/>
              <w:outlineLvl w:val="9"/>
              <w:rPr>
                <w:rFonts w:cs="仿宋_GB2312" w:asciiTheme="minorEastAsia" w:hAnsiTheme="minorEastAsia" w:eastAsiaTheme="minorEastAsia"/>
                <w:color w:val="auto"/>
                <w:kern w:val="2"/>
                <w:sz w:val="24"/>
                <w:szCs w:val="24"/>
                <w:highlight w:val="none"/>
              </w:rPr>
            </w:pPr>
          </w:p>
        </w:tc>
      </w:tr>
      <w:tr w14:paraId="52A2C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8" w:type="dxa"/>
          </w:tcPr>
          <w:p w14:paraId="725919B0">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脚手架连墙件</w:t>
            </w:r>
          </w:p>
        </w:tc>
        <w:tc>
          <w:tcPr>
            <w:tcW w:w="4253" w:type="dxa"/>
          </w:tcPr>
          <w:p w14:paraId="1FA16023">
            <w:pPr>
              <w:pStyle w:val="112"/>
              <w:keepNext w:val="0"/>
              <w:keepLines w:val="0"/>
              <w:suppressLineNumbers w:val="0"/>
              <w:snapToGrid w:val="0"/>
              <w:spacing w:before="0" w:beforeAutospacing="0" w:after="0" w:afterAutospacing="0" w:line="360" w:lineRule="auto"/>
              <w:ind w:left="0" w:right="0" w:firstLine="48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脚手架高度在7m以上，架体与建筑结构拉结。采用直径≥Φ20的圆钢预埋件，并跟脚手架满焊连接，预埋件严禁使用螺纹钢，连墙件采用刚性连接，按两步三跨设置。要满足连墙杆覆盖面积≤27㎡。在结构砼侧面预埋Φ20钢筋，钢筋预埋长度及焊接宽度必须满足专项方案荷载要求，连墙杆靠近主节点设置，偏离主节点的距离≤300mm。</w:t>
            </w:r>
          </w:p>
          <w:p w14:paraId="657B78BE">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2）脚手架体严禁出现堆放荷载，避免存在高坠风险。</w:t>
            </w:r>
          </w:p>
        </w:tc>
        <w:tc>
          <w:tcPr>
            <w:tcW w:w="3736" w:type="dxa"/>
          </w:tcPr>
          <w:p w14:paraId="3EDC8209">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53472" behindDoc="0" locked="0" layoutInCell="1" allowOverlap="1">
                  <wp:simplePos x="0" y="0"/>
                  <wp:positionH relativeFrom="column">
                    <wp:posOffset>14605</wp:posOffset>
                  </wp:positionH>
                  <wp:positionV relativeFrom="paragraph">
                    <wp:posOffset>53975</wp:posOffset>
                  </wp:positionV>
                  <wp:extent cx="1600200" cy="1168400"/>
                  <wp:effectExtent l="19050" t="0" r="0" b="0"/>
                  <wp:wrapNone/>
                  <wp:docPr id="11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 name="图片 22"/>
                          <pic:cNvPicPr>
                            <a:picLocks noChangeAspect="1" noChangeArrowheads="1"/>
                          </pic:cNvPicPr>
                        </pic:nvPicPr>
                        <pic:blipFill>
                          <a:blip r:embed="rId151"/>
                          <a:srcRect/>
                          <a:stretch>
                            <a:fillRect/>
                          </a:stretch>
                        </pic:blipFill>
                        <pic:spPr>
                          <a:xfrm>
                            <a:off x="0" y="0"/>
                            <a:ext cx="1600200" cy="1168400"/>
                          </a:xfrm>
                          <a:prstGeom prst="rect">
                            <a:avLst/>
                          </a:prstGeom>
                          <a:noFill/>
                          <a:ln w="9525">
                            <a:noFill/>
                            <a:miter lim="800000"/>
                            <a:headEnd/>
                            <a:tailEnd/>
                          </a:ln>
                        </pic:spPr>
                      </pic:pic>
                    </a:graphicData>
                  </a:graphic>
                </wp:anchor>
              </w:drawing>
            </w:r>
          </w:p>
          <w:p w14:paraId="6D74F831">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0261EA61">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7E70DE1D">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2D7BFD47">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3A8D1521">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52448" behindDoc="0" locked="0" layoutInCell="1" allowOverlap="1">
                  <wp:simplePos x="0" y="0"/>
                  <wp:positionH relativeFrom="column">
                    <wp:posOffset>94615</wp:posOffset>
                  </wp:positionH>
                  <wp:positionV relativeFrom="paragraph">
                    <wp:posOffset>66675</wp:posOffset>
                  </wp:positionV>
                  <wp:extent cx="1719580" cy="1387475"/>
                  <wp:effectExtent l="19050" t="0" r="0" b="0"/>
                  <wp:wrapNone/>
                  <wp:docPr id="1192" name="图片 2"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图片 2" descr="图片2"/>
                          <pic:cNvPicPr>
                            <a:picLocks noChangeAspect="1" noChangeArrowheads="1"/>
                          </pic:cNvPicPr>
                        </pic:nvPicPr>
                        <pic:blipFill>
                          <a:blip r:embed="rId152"/>
                          <a:srcRect/>
                          <a:stretch>
                            <a:fillRect/>
                          </a:stretch>
                        </pic:blipFill>
                        <pic:spPr>
                          <a:xfrm>
                            <a:off x="0" y="0"/>
                            <a:ext cx="1719580" cy="1387475"/>
                          </a:xfrm>
                          <a:prstGeom prst="rect">
                            <a:avLst/>
                          </a:prstGeom>
                          <a:noFill/>
                          <a:ln w="9525">
                            <a:noFill/>
                            <a:miter lim="800000"/>
                            <a:headEnd/>
                            <a:tailEnd/>
                          </a:ln>
                        </pic:spPr>
                      </pic:pic>
                    </a:graphicData>
                  </a:graphic>
                </wp:anchor>
              </w:drawing>
            </w:r>
            <w:r>
              <w:rPr>
                <w:rFonts w:cs="仿宋_GB2312" w:asciiTheme="minorEastAsia" w:hAnsiTheme="minorEastAsia" w:eastAsiaTheme="minorEastAsia"/>
                <w:color w:val="auto"/>
                <w:kern w:val="2"/>
                <w:sz w:val="24"/>
                <w:szCs w:val="24"/>
                <w:highlight w:val="none"/>
              </w:rPr>
              <w:t xml:space="preserve"> </w:t>
            </w:r>
          </w:p>
        </w:tc>
      </w:tr>
      <w:tr w14:paraId="2346D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8" w:type="dxa"/>
          </w:tcPr>
          <w:p w14:paraId="59792C43">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杆件间距与剪刀撑</w:t>
            </w:r>
          </w:p>
        </w:tc>
        <w:tc>
          <w:tcPr>
            <w:tcW w:w="4253" w:type="dxa"/>
          </w:tcPr>
          <w:p w14:paraId="3F8AC7EF">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架体立杆、纵向水平杆、横向水平杆间距符合设计和规范要求。立杆间距≤1.5m，水平杆间距≤1.8m。</w:t>
            </w:r>
          </w:p>
          <w:p w14:paraId="6EA245FD">
            <w:pPr>
              <w:pStyle w:val="112"/>
              <w:keepNext w:val="0"/>
              <w:keepLines w:val="0"/>
              <w:suppressLineNumbers w:val="0"/>
              <w:snapToGrid w:val="0"/>
              <w:spacing w:before="0" w:beforeAutospacing="0" w:after="0" w:afterAutospacing="0" w:line="360" w:lineRule="auto"/>
              <w:ind w:left="0" w:right="0" w:firstLine="48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高度≥24米的双排落地式外架、挑架和爬架均必须沿长度方向和高度方向连续设置剪刀撑，高度＜24米的双排落地式外架两端分别自下至上设置剪刀撑一道。</w:t>
            </w:r>
          </w:p>
          <w:p w14:paraId="30958620">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 剪刀撑设置符合设计和规范要求，每道剪刀撑宽度不少于4跨6m，斜杆与地面的倾角在45度~60度之间，搭接长度≥1m，设置三个旋转扣均布固定，端部旋转扣距离钢管端部不少于10CM。</w:t>
            </w:r>
          </w:p>
        </w:tc>
        <w:tc>
          <w:tcPr>
            <w:tcW w:w="3736" w:type="dxa"/>
          </w:tcPr>
          <w:p w14:paraId="292FDE45">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54496" behindDoc="0" locked="0" layoutInCell="1" allowOverlap="1">
                  <wp:simplePos x="0" y="0"/>
                  <wp:positionH relativeFrom="column">
                    <wp:posOffset>151765</wp:posOffset>
                  </wp:positionH>
                  <wp:positionV relativeFrom="paragraph">
                    <wp:posOffset>69850</wp:posOffset>
                  </wp:positionV>
                  <wp:extent cx="1577975" cy="1592580"/>
                  <wp:effectExtent l="0" t="0" r="3175" b="7620"/>
                  <wp:wrapNone/>
                  <wp:docPr id="119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图片 88"/>
                          <pic:cNvPicPr>
                            <a:picLocks noChangeAspect="1" noChangeArrowheads="1"/>
                          </pic:cNvPicPr>
                        </pic:nvPicPr>
                        <pic:blipFill>
                          <a:blip r:embed="rId153"/>
                          <a:srcRect/>
                          <a:stretch>
                            <a:fillRect/>
                          </a:stretch>
                        </pic:blipFill>
                        <pic:spPr>
                          <a:xfrm>
                            <a:off x="0" y="0"/>
                            <a:ext cx="1577975" cy="1592580"/>
                          </a:xfrm>
                          <a:prstGeom prst="rect">
                            <a:avLst/>
                          </a:prstGeom>
                          <a:noFill/>
                          <a:ln w="9525">
                            <a:noFill/>
                            <a:miter lim="800000"/>
                            <a:headEnd/>
                            <a:tailEnd/>
                          </a:ln>
                        </pic:spPr>
                      </pic:pic>
                    </a:graphicData>
                  </a:graphic>
                </wp:anchor>
              </w:drawing>
            </w:r>
          </w:p>
          <w:p w14:paraId="471D1460">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55520" behindDoc="0" locked="0" layoutInCell="1" allowOverlap="1">
                  <wp:simplePos x="0" y="0"/>
                  <wp:positionH relativeFrom="column">
                    <wp:posOffset>218440</wp:posOffset>
                  </wp:positionH>
                  <wp:positionV relativeFrom="paragraph">
                    <wp:posOffset>1363980</wp:posOffset>
                  </wp:positionV>
                  <wp:extent cx="1296670" cy="1299845"/>
                  <wp:effectExtent l="0" t="0" r="17780" b="14605"/>
                  <wp:wrapNone/>
                  <wp:docPr id="1195"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图片 126"/>
                          <pic:cNvPicPr>
                            <a:picLocks noChangeAspect="1" noChangeArrowheads="1"/>
                          </pic:cNvPicPr>
                        </pic:nvPicPr>
                        <pic:blipFill>
                          <a:blip r:embed="rId154"/>
                          <a:srcRect/>
                          <a:stretch>
                            <a:fillRect/>
                          </a:stretch>
                        </pic:blipFill>
                        <pic:spPr>
                          <a:xfrm>
                            <a:off x="0" y="0"/>
                            <a:ext cx="1296670" cy="1299845"/>
                          </a:xfrm>
                          <a:prstGeom prst="rect">
                            <a:avLst/>
                          </a:prstGeom>
                          <a:noFill/>
                          <a:ln w="9525">
                            <a:noFill/>
                            <a:miter lim="800000"/>
                            <a:headEnd/>
                            <a:tailEnd/>
                          </a:ln>
                        </pic:spPr>
                      </pic:pic>
                    </a:graphicData>
                  </a:graphic>
                </wp:anchor>
              </w:drawing>
            </w:r>
          </w:p>
        </w:tc>
      </w:tr>
      <w:tr w14:paraId="0ED58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8" w:type="dxa"/>
          </w:tcPr>
          <w:p w14:paraId="75BFA1C4">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脚手板与防护栏杆、挡脚板</w:t>
            </w:r>
          </w:p>
        </w:tc>
        <w:tc>
          <w:tcPr>
            <w:tcW w:w="4253" w:type="dxa"/>
          </w:tcPr>
          <w:p w14:paraId="19B5F187">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脚手板满铺，脚手板须搭接在小横杆上，搭接长度≥200mm，严禁探头板出现，拐弯处脚手板必须交叉搭铺。接缝的搭接长度≥200mm。</w:t>
            </w:r>
          </w:p>
          <w:p w14:paraId="660AF0EB">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施工作业层设置≥1.2m高防护栏杆和180mm挡脚板，挡脚板外侧用黄黑相间斜纹油漆涂刷。脚手上部每3排操作层设置挡脚板。</w:t>
            </w:r>
          </w:p>
        </w:tc>
        <w:tc>
          <w:tcPr>
            <w:tcW w:w="3736" w:type="dxa"/>
          </w:tcPr>
          <w:p w14:paraId="26AFB8D9">
            <w:pPr>
              <w:pStyle w:val="112"/>
              <w:keepNext w:val="0"/>
              <w:keepLines w:val="0"/>
              <w:suppressLineNumbers w:val="0"/>
              <w:snapToGrid w:val="0"/>
              <w:spacing w:before="0" w:beforeAutospacing="0" w:after="0" w:afterAutospacing="0" w:line="360" w:lineRule="auto"/>
              <w:ind w:left="0" w:right="0" w:firstLine="48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56544" behindDoc="0" locked="0" layoutInCell="1" allowOverlap="1">
                  <wp:simplePos x="0" y="0"/>
                  <wp:positionH relativeFrom="column">
                    <wp:posOffset>-12700</wp:posOffset>
                  </wp:positionH>
                  <wp:positionV relativeFrom="paragraph">
                    <wp:posOffset>69850</wp:posOffset>
                  </wp:positionV>
                  <wp:extent cx="2035810" cy="1845310"/>
                  <wp:effectExtent l="19050" t="0" r="2540" b="0"/>
                  <wp:wrapNone/>
                  <wp:docPr id="1196" name="图片 9" descr="C:\Users\duzhichen\Desktop\timg.jpg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图片 9" descr="C:\Users\duzhichen\Desktop\timg.jpgtimg"/>
                          <pic:cNvPicPr>
                            <a:picLocks noChangeAspect="1" noChangeArrowheads="1"/>
                          </pic:cNvPicPr>
                        </pic:nvPicPr>
                        <pic:blipFill>
                          <a:blip r:embed="rId155"/>
                          <a:srcRect/>
                          <a:stretch>
                            <a:fillRect/>
                          </a:stretch>
                        </pic:blipFill>
                        <pic:spPr>
                          <a:xfrm>
                            <a:off x="0" y="0"/>
                            <a:ext cx="2035810" cy="1845310"/>
                          </a:xfrm>
                          <a:prstGeom prst="rect">
                            <a:avLst/>
                          </a:prstGeom>
                          <a:noFill/>
                          <a:ln w="9525">
                            <a:noFill/>
                            <a:miter lim="800000"/>
                            <a:headEnd/>
                            <a:tailEnd/>
                          </a:ln>
                        </pic:spPr>
                      </pic:pic>
                    </a:graphicData>
                  </a:graphic>
                </wp:anchor>
              </w:drawing>
            </w:r>
          </w:p>
        </w:tc>
      </w:tr>
      <w:tr w14:paraId="1AAD1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8" w:type="dxa"/>
          </w:tcPr>
          <w:p w14:paraId="5841CB87">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脚手架钢管要求</w:t>
            </w:r>
          </w:p>
        </w:tc>
        <w:tc>
          <w:tcPr>
            <w:tcW w:w="4253" w:type="dxa"/>
          </w:tcPr>
          <w:p w14:paraId="2F263416">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脚手架钢管和扣件的选择应符合《建筑施工扣件式钢管脚手架安全技术规范》JGJ130-2011的要求。</w:t>
            </w:r>
          </w:p>
          <w:p w14:paraId="75679991">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施工现场禁止使用弯曲、锈蚀严重的钢管。</w:t>
            </w:r>
          </w:p>
        </w:tc>
        <w:tc>
          <w:tcPr>
            <w:tcW w:w="3736" w:type="dxa"/>
          </w:tcPr>
          <w:p w14:paraId="5973961C">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57568" behindDoc="0" locked="0" layoutInCell="1" allowOverlap="1">
                  <wp:simplePos x="0" y="0"/>
                  <wp:positionH relativeFrom="column">
                    <wp:posOffset>99695</wp:posOffset>
                  </wp:positionH>
                  <wp:positionV relativeFrom="paragraph">
                    <wp:posOffset>39370</wp:posOffset>
                  </wp:positionV>
                  <wp:extent cx="1515110" cy="1298575"/>
                  <wp:effectExtent l="19050" t="0" r="8890" b="0"/>
                  <wp:wrapNone/>
                  <wp:docPr id="1197" name="图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图片 1059"/>
                          <pic:cNvPicPr>
                            <a:picLocks noChangeAspect="1" noChangeArrowheads="1"/>
                          </pic:cNvPicPr>
                        </pic:nvPicPr>
                        <pic:blipFill>
                          <a:blip r:embed="rId156"/>
                          <a:srcRect/>
                          <a:stretch>
                            <a:fillRect/>
                          </a:stretch>
                        </pic:blipFill>
                        <pic:spPr>
                          <a:xfrm>
                            <a:off x="0" y="0"/>
                            <a:ext cx="1515110" cy="1298575"/>
                          </a:xfrm>
                          <a:prstGeom prst="rect">
                            <a:avLst/>
                          </a:prstGeom>
                          <a:noFill/>
                          <a:ln w="9525">
                            <a:noFill/>
                            <a:miter lim="800000"/>
                            <a:headEnd/>
                            <a:tailEnd/>
                          </a:ln>
                        </pic:spPr>
                      </pic:pic>
                    </a:graphicData>
                  </a:graphic>
                </wp:anchor>
              </w:drawing>
            </w:r>
          </w:p>
        </w:tc>
      </w:tr>
      <w:tr w14:paraId="7B733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5" w:hRule="atLeast"/>
          <w:jc w:val="center"/>
        </w:trPr>
        <w:tc>
          <w:tcPr>
            <w:tcW w:w="1358" w:type="dxa"/>
          </w:tcPr>
          <w:p w14:paraId="7A5E3306">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悬挑梁及架体稳定</w:t>
            </w:r>
          </w:p>
        </w:tc>
        <w:tc>
          <w:tcPr>
            <w:tcW w:w="4253" w:type="dxa"/>
          </w:tcPr>
          <w:p w14:paraId="73848BA0">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悬挑式脚手架的悬挑梁采用≥16号工字钢，工字钢不得出现扭曲状况，工序上要求先焊接定位钢筋再外伸锚固。禁止将定位钢筋焊接在槽钢上。落于结构上的固定段应大于悬挑段的1.25倍，且必须采用两道锚固塞紧,螺丝自由端不小于3丝。</w:t>
            </w:r>
          </w:p>
          <w:p w14:paraId="3B88724F">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每道悬挑梁均应加设斜拉钢丝绳，钢丝绳绳卡不得小于3个，型号与钢丝绳匹配，活鞍朝主受力绳一侧，U形环部分处于受力绳一侧，方向一致。</w:t>
            </w:r>
          </w:p>
          <w:p w14:paraId="23180725">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759616" behindDoc="0" locked="0" layoutInCell="1" allowOverlap="1">
                  <wp:simplePos x="0" y="0"/>
                  <wp:positionH relativeFrom="column">
                    <wp:posOffset>2894330</wp:posOffset>
                  </wp:positionH>
                  <wp:positionV relativeFrom="paragraph">
                    <wp:posOffset>305435</wp:posOffset>
                  </wp:positionV>
                  <wp:extent cx="1674495" cy="1279525"/>
                  <wp:effectExtent l="19050" t="0" r="1905" b="0"/>
                  <wp:wrapNone/>
                  <wp:docPr id="119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图片 17"/>
                          <pic:cNvPicPr>
                            <a:picLocks noChangeAspect="1" noChangeArrowheads="1"/>
                          </pic:cNvPicPr>
                        </pic:nvPicPr>
                        <pic:blipFill>
                          <a:blip r:embed="rId157" cstate="print"/>
                          <a:srcRect/>
                          <a:stretch>
                            <a:fillRect/>
                          </a:stretch>
                        </pic:blipFill>
                        <pic:spPr>
                          <a:xfrm>
                            <a:off x="0" y="0"/>
                            <a:ext cx="1674495" cy="127952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3) 悬挑架最底层应满铺脚手板并进行全封闭防护，立杆内侧设置180mm高踢脚板，封闭板刷黄黑油漆。</w:t>
            </w:r>
          </w:p>
          <w:p w14:paraId="48E7F371">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 悬挑架高度（无钢丝绳卸载）不能超过24m，架体外侧用采用钢制网片做全封闭，架式底部与建筑物间的空隙要用硬质防护封闭严密。</w:t>
            </w:r>
          </w:p>
        </w:tc>
        <w:tc>
          <w:tcPr>
            <w:tcW w:w="3736" w:type="dxa"/>
          </w:tcPr>
          <w:p w14:paraId="3445F532">
            <w:pPr>
              <w:pStyle w:val="112"/>
              <w:keepNext w:val="0"/>
              <w:keepLines w:val="0"/>
              <w:suppressLineNumbers w:val="0"/>
              <w:snapToGrid w:val="0"/>
              <w:spacing w:before="0" w:beforeAutospacing="0" w:after="0" w:afterAutospacing="0" w:line="360" w:lineRule="auto"/>
              <w:ind w:left="0" w:right="0" w:firstLine="48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761664" behindDoc="0" locked="0" layoutInCell="1" allowOverlap="1">
                  <wp:simplePos x="0" y="0"/>
                  <wp:positionH relativeFrom="column">
                    <wp:posOffset>20955</wp:posOffset>
                  </wp:positionH>
                  <wp:positionV relativeFrom="paragraph">
                    <wp:posOffset>59055</wp:posOffset>
                  </wp:positionV>
                  <wp:extent cx="1630045" cy="1603375"/>
                  <wp:effectExtent l="19050" t="0" r="8255" b="0"/>
                  <wp:wrapNone/>
                  <wp:docPr id="12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图片 6"/>
                          <pic:cNvPicPr>
                            <a:picLocks noChangeAspect="1" noChangeArrowheads="1"/>
                          </pic:cNvPicPr>
                        </pic:nvPicPr>
                        <pic:blipFill>
                          <a:blip r:embed="rId158" cstate="print"/>
                          <a:srcRect/>
                          <a:stretch>
                            <a:fillRect/>
                          </a:stretch>
                        </pic:blipFill>
                        <pic:spPr>
                          <a:xfrm>
                            <a:off x="0" y="0"/>
                            <a:ext cx="1630045" cy="1603375"/>
                          </a:xfrm>
                          <a:prstGeom prst="rect">
                            <a:avLst/>
                          </a:prstGeom>
                          <a:noFill/>
                          <a:ln w="9525">
                            <a:noFill/>
                            <a:miter lim="800000"/>
                            <a:headEnd/>
                            <a:tailEnd/>
                          </a:ln>
                        </pic:spPr>
                      </pic:pic>
                    </a:graphicData>
                  </a:graphic>
                </wp:anchor>
              </w:drawing>
            </w:r>
          </w:p>
          <w:p w14:paraId="48FD90FF">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69B98398">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7D725068">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064BBC2A">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60640" behindDoc="0" locked="0" layoutInCell="1" allowOverlap="1">
                  <wp:simplePos x="0" y="0"/>
                  <wp:positionH relativeFrom="column">
                    <wp:posOffset>20320</wp:posOffset>
                  </wp:positionH>
                  <wp:positionV relativeFrom="paragraph">
                    <wp:posOffset>495935</wp:posOffset>
                  </wp:positionV>
                  <wp:extent cx="1577975" cy="1189355"/>
                  <wp:effectExtent l="19050" t="0" r="3175" b="0"/>
                  <wp:wrapNone/>
                  <wp:docPr id="1200" name="图片 68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图片 681" descr="6"/>
                          <pic:cNvPicPr>
                            <a:picLocks noChangeAspect="1" noChangeArrowheads="1"/>
                          </pic:cNvPicPr>
                        </pic:nvPicPr>
                        <pic:blipFill>
                          <a:blip r:embed="rId159"/>
                          <a:srcRect/>
                          <a:stretch>
                            <a:fillRect/>
                          </a:stretch>
                        </pic:blipFill>
                        <pic:spPr>
                          <a:xfrm>
                            <a:off x="0" y="0"/>
                            <a:ext cx="1577975" cy="1189355"/>
                          </a:xfrm>
                          <a:prstGeom prst="rect">
                            <a:avLst/>
                          </a:prstGeom>
                          <a:noFill/>
                          <a:ln w="9525">
                            <a:noFill/>
                            <a:miter lim="800000"/>
                            <a:headEnd/>
                            <a:tailEnd/>
                          </a:ln>
                        </pic:spPr>
                      </pic:pic>
                    </a:graphicData>
                  </a:graphic>
                </wp:anchor>
              </w:drawing>
            </w:r>
          </w:p>
        </w:tc>
      </w:tr>
      <w:tr w14:paraId="56BDD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5" w:hRule="atLeast"/>
          <w:jc w:val="center"/>
        </w:trPr>
        <w:tc>
          <w:tcPr>
            <w:tcW w:w="1358" w:type="dxa"/>
          </w:tcPr>
          <w:p w14:paraId="71639F36">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作业层脚手架搭设</w:t>
            </w:r>
          </w:p>
        </w:tc>
        <w:tc>
          <w:tcPr>
            <w:tcW w:w="4253" w:type="dxa"/>
          </w:tcPr>
          <w:p w14:paraId="04B716E2">
            <w:pPr>
              <w:pStyle w:val="112"/>
              <w:keepNext w:val="0"/>
              <w:keepLines w:val="0"/>
              <w:suppressLineNumbers w:val="0"/>
              <w:snapToGrid w:val="0"/>
              <w:spacing w:before="0" w:beforeAutospacing="0" w:after="0" w:afterAutospacing="0" w:line="360" w:lineRule="auto"/>
              <w:ind w:left="0" w:right="0" w:firstLine="48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 xml:space="preserve"> 脚手架高出作业面高度≥1800mm。</w:t>
            </w:r>
          </w:p>
        </w:tc>
        <w:tc>
          <w:tcPr>
            <w:tcW w:w="3736" w:type="dxa"/>
          </w:tcPr>
          <w:p w14:paraId="11A55662">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58592" behindDoc="0" locked="0" layoutInCell="1" allowOverlap="1">
                  <wp:simplePos x="0" y="0"/>
                  <wp:positionH relativeFrom="column">
                    <wp:posOffset>-13970</wp:posOffset>
                  </wp:positionH>
                  <wp:positionV relativeFrom="paragraph">
                    <wp:posOffset>156845</wp:posOffset>
                  </wp:positionV>
                  <wp:extent cx="2013585" cy="1546225"/>
                  <wp:effectExtent l="19050" t="0" r="5715" b="0"/>
                  <wp:wrapNone/>
                  <wp:docPr id="119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图片 37"/>
                          <pic:cNvPicPr>
                            <a:picLocks noChangeAspect="1" noChangeArrowheads="1"/>
                          </pic:cNvPicPr>
                        </pic:nvPicPr>
                        <pic:blipFill>
                          <a:blip r:embed="rId160"/>
                          <a:srcRect/>
                          <a:stretch>
                            <a:fillRect/>
                          </a:stretch>
                        </pic:blipFill>
                        <pic:spPr>
                          <a:xfrm>
                            <a:off x="0" y="0"/>
                            <a:ext cx="2013585" cy="1546225"/>
                          </a:xfrm>
                          <a:prstGeom prst="rect">
                            <a:avLst/>
                          </a:prstGeom>
                          <a:noFill/>
                          <a:ln w="9525">
                            <a:noFill/>
                            <a:miter lim="800000"/>
                            <a:headEnd/>
                            <a:tailEnd/>
                          </a:ln>
                        </pic:spPr>
                      </pic:pic>
                    </a:graphicData>
                  </a:graphic>
                </wp:anchor>
              </w:drawing>
            </w:r>
          </w:p>
        </w:tc>
      </w:tr>
      <w:tr w14:paraId="30D86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5" w:hRule="atLeast"/>
          <w:jc w:val="center"/>
        </w:trPr>
        <w:tc>
          <w:tcPr>
            <w:tcW w:w="1358" w:type="dxa"/>
          </w:tcPr>
          <w:p w14:paraId="52ADC2EB">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安全防护网</w:t>
            </w:r>
          </w:p>
        </w:tc>
        <w:tc>
          <w:tcPr>
            <w:tcW w:w="4253" w:type="dxa"/>
          </w:tcPr>
          <w:p w14:paraId="10251D1C">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安全防护网要求采用钢制网片，应清洁完整，无破损、漏挂、污染等现象。</w:t>
            </w:r>
          </w:p>
        </w:tc>
        <w:tc>
          <w:tcPr>
            <w:tcW w:w="3736" w:type="dxa"/>
          </w:tcPr>
          <w:p w14:paraId="5B0871F4">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62688" behindDoc="0" locked="0" layoutInCell="1" allowOverlap="1">
                  <wp:simplePos x="0" y="0"/>
                  <wp:positionH relativeFrom="column">
                    <wp:posOffset>72390</wp:posOffset>
                  </wp:positionH>
                  <wp:positionV relativeFrom="paragraph">
                    <wp:posOffset>77470</wp:posOffset>
                  </wp:positionV>
                  <wp:extent cx="1986280" cy="1546860"/>
                  <wp:effectExtent l="19050" t="0" r="0" b="0"/>
                  <wp:wrapNone/>
                  <wp:docPr id="1202"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图片 120"/>
                          <pic:cNvPicPr>
                            <a:picLocks noChangeAspect="1" noChangeArrowheads="1"/>
                          </pic:cNvPicPr>
                        </pic:nvPicPr>
                        <pic:blipFill>
                          <a:blip r:embed="rId161"/>
                          <a:srcRect/>
                          <a:stretch>
                            <a:fillRect/>
                          </a:stretch>
                        </pic:blipFill>
                        <pic:spPr>
                          <a:xfrm>
                            <a:off x="0" y="0"/>
                            <a:ext cx="1986280" cy="1546860"/>
                          </a:xfrm>
                          <a:prstGeom prst="rect">
                            <a:avLst/>
                          </a:prstGeom>
                          <a:noFill/>
                          <a:ln w="9525">
                            <a:noFill/>
                            <a:miter lim="800000"/>
                            <a:headEnd/>
                            <a:tailEnd/>
                          </a:ln>
                        </pic:spPr>
                      </pic:pic>
                    </a:graphicData>
                  </a:graphic>
                </wp:anchor>
              </w:drawing>
            </w:r>
          </w:p>
        </w:tc>
      </w:tr>
      <w:tr w14:paraId="34E1C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2" w:hRule="atLeast"/>
          <w:jc w:val="center"/>
        </w:trPr>
        <w:tc>
          <w:tcPr>
            <w:tcW w:w="1358" w:type="dxa"/>
          </w:tcPr>
          <w:p w14:paraId="0DF0C6FB">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爬架</w:t>
            </w:r>
          </w:p>
        </w:tc>
        <w:tc>
          <w:tcPr>
            <w:tcW w:w="4253" w:type="dxa"/>
          </w:tcPr>
          <w:p w14:paraId="498DEC6F">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1.安全装置必须设有防倾覆、防坠落和同步升降控制安全装置，防坠落装置应设置在竖向主框架处并附着在建筑框架上；</w:t>
            </w:r>
          </w:p>
          <w:p w14:paraId="16806157">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2.每一升降点不得少于1个防坠装置，并在使用和升降情况下都必须起作</w:t>
            </w: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765760" behindDoc="0" locked="0" layoutInCell="1" allowOverlap="1">
                  <wp:simplePos x="0" y="0"/>
                  <wp:positionH relativeFrom="column">
                    <wp:posOffset>2822575</wp:posOffset>
                  </wp:positionH>
                  <wp:positionV relativeFrom="paragraph">
                    <wp:posOffset>324485</wp:posOffset>
                  </wp:positionV>
                  <wp:extent cx="1908810" cy="1485900"/>
                  <wp:effectExtent l="19050" t="0" r="0" b="0"/>
                  <wp:wrapNone/>
                  <wp:docPr id="12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图片 2"/>
                          <pic:cNvPicPr>
                            <a:picLocks noChangeAspect="1" noChangeArrowheads="1"/>
                          </pic:cNvPicPr>
                        </pic:nvPicPr>
                        <pic:blipFill>
                          <a:blip r:embed="rId162"/>
                          <a:srcRect/>
                          <a:stretch>
                            <a:fillRect/>
                          </a:stretch>
                        </pic:blipFill>
                        <pic:spPr>
                          <a:xfrm>
                            <a:off x="0" y="0"/>
                            <a:ext cx="1908810" cy="148590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用，防坠装置采用机械式的全自动装置，严禁采用每次升降都需重组的手动装置；</w:t>
            </w:r>
          </w:p>
          <w:p w14:paraId="64CD24E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架体搭设：架体高度不应大于5倍楼层高，架体宽度不应大于1.2m，相邻竖向主框架的高差不大于20mm；架体的水平悬挑长度不得大于1/2水平支承跨度且不得大于2m，架体的悬臂高度不得大于2/5架体高度且不得大于6m；作业层外侧应设置1.2m高的防护栏和180mm高的挡脚板，作业层应设置固定牢靠的脚手板，其与结构之间间距无缝隙；</w:t>
            </w:r>
          </w:p>
          <w:p w14:paraId="5489E1BD">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4.连墙件组装：竖向主框架所覆盖的每一个楼层处应设置一道连墙件，升</w:t>
            </w: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764736" behindDoc="0" locked="0" layoutInCell="1" allowOverlap="1">
                  <wp:simplePos x="0" y="0"/>
                  <wp:positionH relativeFrom="column">
                    <wp:posOffset>2892425</wp:posOffset>
                  </wp:positionH>
                  <wp:positionV relativeFrom="paragraph">
                    <wp:posOffset>72390</wp:posOffset>
                  </wp:positionV>
                  <wp:extent cx="1813560" cy="1548130"/>
                  <wp:effectExtent l="19050" t="0" r="0" b="0"/>
                  <wp:wrapNone/>
                  <wp:docPr id="12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图片 3"/>
                          <pic:cNvPicPr>
                            <a:picLocks noChangeAspect="1" noChangeArrowheads="1"/>
                          </pic:cNvPicPr>
                        </pic:nvPicPr>
                        <pic:blipFill>
                          <a:blip r:embed="rId163"/>
                          <a:srcRect/>
                          <a:stretch>
                            <a:fillRect/>
                          </a:stretch>
                        </pic:blipFill>
                        <pic:spPr>
                          <a:xfrm>
                            <a:off x="0" y="0"/>
                            <a:ext cx="1813560" cy="154813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降状态时应保证至少3道附墙件；附墙件应采用锚固螺栓与建筑物连接，受拉螺栓的螺母不得少于2个，螺杆露出螺母端部的长度不应少于3扣，且不少于10mm；</w:t>
            </w:r>
          </w:p>
          <w:p w14:paraId="298FB16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5. 安全防护网要求采用钢制网片</w:t>
            </w:r>
          </w:p>
        </w:tc>
        <w:tc>
          <w:tcPr>
            <w:tcW w:w="3736" w:type="dxa"/>
          </w:tcPr>
          <w:p w14:paraId="3AE7A690">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66784" behindDoc="0" locked="0" layoutInCell="1" allowOverlap="1">
                  <wp:simplePos x="0" y="0"/>
                  <wp:positionH relativeFrom="column">
                    <wp:posOffset>24765</wp:posOffset>
                  </wp:positionH>
                  <wp:positionV relativeFrom="paragraph">
                    <wp:posOffset>71120</wp:posOffset>
                  </wp:positionV>
                  <wp:extent cx="1909445" cy="1523365"/>
                  <wp:effectExtent l="19050" t="0" r="0" b="0"/>
                  <wp:wrapNone/>
                  <wp:docPr id="120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图片 80"/>
                          <pic:cNvPicPr>
                            <a:picLocks noChangeAspect="1" noChangeArrowheads="1"/>
                          </pic:cNvPicPr>
                        </pic:nvPicPr>
                        <pic:blipFill>
                          <a:blip r:embed="rId164" cstate="print"/>
                          <a:srcRect/>
                          <a:stretch>
                            <a:fillRect/>
                          </a:stretch>
                        </pic:blipFill>
                        <pic:spPr>
                          <a:xfrm>
                            <a:off x="0" y="0"/>
                            <a:ext cx="1909445" cy="1523365"/>
                          </a:xfrm>
                          <a:prstGeom prst="rect">
                            <a:avLst/>
                          </a:prstGeom>
                          <a:noFill/>
                          <a:ln w="9525">
                            <a:noFill/>
                            <a:miter lim="800000"/>
                            <a:headEnd/>
                            <a:tailEnd/>
                          </a:ln>
                        </pic:spPr>
                      </pic:pic>
                    </a:graphicData>
                  </a:graphic>
                </wp:anchor>
              </w:drawing>
            </w:r>
          </w:p>
          <w:p w14:paraId="6BB1BBE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59062600">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04F49F28">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763712" behindDoc="0" locked="0" layoutInCell="1" allowOverlap="1">
                  <wp:simplePos x="0" y="0"/>
                  <wp:positionH relativeFrom="column">
                    <wp:posOffset>83185</wp:posOffset>
                  </wp:positionH>
                  <wp:positionV relativeFrom="paragraph">
                    <wp:posOffset>2428240</wp:posOffset>
                  </wp:positionV>
                  <wp:extent cx="1755140" cy="1623695"/>
                  <wp:effectExtent l="19050" t="0" r="0" b="0"/>
                  <wp:wrapNone/>
                  <wp:docPr id="12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图片 3"/>
                          <pic:cNvPicPr>
                            <a:picLocks noChangeAspect="1" noChangeArrowheads="1"/>
                          </pic:cNvPicPr>
                        </pic:nvPicPr>
                        <pic:blipFill>
                          <a:blip r:embed="rId165"/>
                          <a:srcRect/>
                          <a:stretch>
                            <a:fillRect/>
                          </a:stretch>
                        </pic:blipFill>
                        <pic:spPr>
                          <a:xfrm>
                            <a:off x="0" y="0"/>
                            <a:ext cx="1755140" cy="1623695"/>
                          </a:xfrm>
                          <a:prstGeom prst="rect">
                            <a:avLst/>
                          </a:prstGeom>
                          <a:noFill/>
                          <a:ln w="9525">
                            <a:noFill/>
                            <a:miter lim="800000"/>
                            <a:headEnd/>
                            <a:tailEnd/>
                          </a:ln>
                        </pic:spPr>
                      </pic:pic>
                    </a:graphicData>
                  </a:graphic>
                </wp:anchor>
              </w:drawing>
            </w:r>
          </w:p>
        </w:tc>
      </w:tr>
      <w:tr w14:paraId="32B11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7" w:hRule="atLeast"/>
          <w:jc w:val="center"/>
        </w:trPr>
        <w:tc>
          <w:tcPr>
            <w:tcW w:w="1358" w:type="dxa"/>
          </w:tcPr>
          <w:p w14:paraId="60992B4E">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卸料平台</w:t>
            </w:r>
          </w:p>
        </w:tc>
        <w:tc>
          <w:tcPr>
            <w:tcW w:w="4253" w:type="dxa"/>
          </w:tcPr>
          <w:p w14:paraId="0E02EF2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卸料平台必须经设计计算，符合设计要求，并做好相关限载标识。</w:t>
            </w:r>
          </w:p>
          <w:p w14:paraId="7900BE56">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卸料平台采用整体装配式，临边防护采用钢板与骨架焊接，防护高度不小于1200mm。</w:t>
            </w:r>
          </w:p>
        </w:tc>
        <w:tc>
          <w:tcPr>
            <w:tcW w:w="3736" w:type="dxa"/>
          </w:tcPr>
          <w:p w14:paraId="1558D4B0">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68832" behindDoc="0" locked="0" layoutInCell="1" allowOverlap="1">
                  <wp:simplePos x="0" y="0"/>
                  <wp:positionH relativeFrom="column">
                    <wp:posOffset>-5715</wp:posOffset>
                  </wp:positionH>
                  <wp:positionV relativeFrom="paragraph">
                    <wp:posOffset>21590</wp:posOffset>
                  </wp:positionV>
                  <wp:extent cx="2031365" cy="1350645"/>
                  <wp:effectExtent l="19050" t="0" r="6985" b="0"/>
                  <wp:wrapNone/>
                  <wp:docPr id="120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图片 28"/>
                          <pic:cNvPicPr>
                            <a:picLocks noChangeAspect="1" noChangeArrowheads="1"/>
                          </pic:cNvPicPr>
                        </pic:nvPicPr>
                        <pic:blipFill>
                          <a:blip r:embed="rId166"/>
                          <a:srcRect/>
                          <a:stretch>
                            <a:fillRect/>
                          </a:stretch>
                        </pic:blipFill>
                        <pic:spPr>
                          <a:xfrm>
                            <a:off x="0" y="0"/>
                            <a:ext cx="2031365" cy="1350645"/>
                          </a:xfrm>
                          <a:prstGeom prst="rect">
                            <a:avLst/>
                          </a:prstGeom>
                          <a:noFill/>
                          <a:ln w="9525">
                            <a:noFill/>
                            <a:miter lim="800000"/>
                            <a:headEnd/>
                            <a:tailEnd/>
                          </a:ln>
                        </pic:spPr>
                      </pic:pic>
                    </a:graphicData>
                  </a:graphic>
                </wp:anchor>
              </w:drawing>
            </w:r>
          </w:p>
          <w:p w14:paraId="10DE7791">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67808" behindDoc="0" locked="0" layoutInCell="1" allowOverlap="1">
                  <wp:simplePos x="0" y="0"/>
                  <wp:positionH relativeFrom="column">
                    <wp:posOffset>-7620</wp:posOffset>
                  </wp:positionH>
                  <wp:positionV relativeFrom="paragraph">
                    <wp:posOffset>1296035</wp:posOffset>
                  </wp:positionV>
                  <wp:extent cx="1960880" cy="1215390"/>
                  <wp:effectExtent l="19050" t="0" r="1270" b="0"/>
                  <wp:wrapNone/>
                  <wp:docPr id="120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图片 39"/>
                          <pic:cNvPicPr>
                            <a:picLocks noChangeAspect="1" noChangeArrowheads="1"/>
                          </pic:cNvPicPr>
                        </pic:nvPicPr>
                        <pic:blipFill>
                          <a:blip r:embed="rId167"/>
                          <a:srcRect/>
                          <a:stretch>
                            <a:fillRect/>
                          </a:stretch>
                        </pic:blipFill>
                        <pic:spPr>
                          <a:xfrm>
                            <a:off x="0" y="0"/>
                            <a:ext cx="1960880" cy="1215390"/>
                          </a:xfrm>
                          <a:prstGeom prst="rect">
                            <a:avLst/>
                          </a:prstGeom>
                          <a:noFill/>
                          <a:ln w="9525">
                            <a:noFill/>
                            <a:miter lim="800000"/>
                            <a:headEnd/>
                            <a:tailEnd/>
                          </a:ln>
                        </pic:spPr>
                      </pic:pic>
                    </a:graphicData>
                  </a:graphic>
                </wp:anchor>
              </w:drawing>
            </w:r>
          </w:p>
        </w:tc>
      </w:tr>
    </w:tbl>
    <w:p w14:paraId="46435E37">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（三）施工吊篮</w:t>
      </w:r>
    </w:p>
    <w:tbl>
      <w:tblPr>
        <w:tblStyle w:val="56"/>
        <w:tblW w:w="934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58"/>
        <w:gridCol w:w="4253"/>
        <w:gridCol w:w="3736"/>
      </w:tblGrid>
      <w:tr w14:paraId="274B88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58" w:type="dxa"/>
            <w:vAlign w:val="center"/>
          </w:tcPr>
          <w:p w14:paraId="030224F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53" w:type="dxa"/>
            <w:vAlign w:val="center"/>
          </w:tcPr>
          <w:p w14:paraId="16CD939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736" w:type="dxa"/>
            <w:vAlign w:val="center"/>
          </w:tcPr>
          <w:p w14:paraId="16B35D4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357916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0" w:hRule="atLeast"/>
          <w:jc w:val="center"/>
        </w:trPr>
        <w:tc>
          <w:tcPr>
            <w:tcW w:w="1358" w:type="dxa"/>
          </w:tcPr>
          <w:p w14:paraId="7F2C675A">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制作组装</w:t>
            </w:r>
          </w:p>
        </w:tc>
        <w:tc>
          <w:tcPr>
            <w:tcW w:w="4253" w:type="dxa"/>
          </w:tcPr>
          <w:p w14:paraId="72F07D18">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挑梁锚固或配重等抗倾覆装置验收合格。</w:t>
            </w:r>
          </w:p>
          <w:p w14:paraId="054C6731">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吊篮组装符合设计要求。</w:t>
            </w:r>
          </w:p>
          <w:p w14:paraId="0AD6586D">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 电动(手扳)葫芦严禁用非合格产品。</w:t>
            </w:r>
          </w:p>
          <w:p w14:paraId="1166340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 吊篮使用前通过荷载试验检验。</w:t>
            </w:r>
          </w:p>
          <w:p w14:paraId="6F18937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5) 悬挂机构前支架不得支撑在建筑物女儿墙或者挑檐边缘。</w:t>
            </w:r>
          </w:p>
        </w:tc>
        <w:tc>
          <w:tcPr>
            <w:tcW w:w="3736" w:type="dxa"/>
          </w:tcPr>
          <w:p w14:paraId="55121CEE">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69856" behindDoc="0" locked="0" layoutInCell="1" allowOverlap="1">
                  <wp:simplePos x="0" y="0"/>
                  <wp:positionH relativeFrom="column">
                    <wp:posOffset>75565</wp:posOffset>
                  </wp:positionH>
                  <wp:positionV relativeFrom="paragraph">
                    <wp:posOffset>332105</wp:posOffset>
                  </wp:positionV>
                  <wp:extent cx="2024380" cy="1546860"/>
                  <wp:effectExtent l="0" t="0" r="13970" b="15240"/>
                  <wp:wrapNone/>
                  <wp:docPr id="1209"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图片 690"/>
                          <pic:cNvPicPr>
                            <a:picLocks noChangeAspect="1" noChangeArrowheads="1"/>
                          </pic:cNvPicPr>
                        </pic:nvPicPr>
                        <pic:blipFill>
                          <a:blip r:embed="rId168"/>
                          <a:srcRect/>
                          <a:stretch>
                            <a:fillRect/>
                          </a:stretch>
                        </pic:blipFill>
                        <pic:spPr>
                          <a:xfrm>
                            <a:off x="0" y="0"/>
                            <a:ext cx="2024380" cy="1546860"/>
                          </a:xfrm>
                          <a:prstGeom prst="rect">
                            <a:avLst/>
                          </a:prstGeom>
                          <a:noFill/>
                          <a:ln w="9525">
                            <a:noFill/>
                            <a:miter lim="800000"/>
                            <a:headEnd/>
                            <a:tailEnd/>
                          </a:ln>
                        </pic:spPr>
                      </pic:pic>
                    </a:graphicData>
                  </a:graphic>
                </wp:anchor>
              </w:drawing>
            </w:r>
          </w:p>
        </w:tc>
      </w:tr>
      <w:tr w14:paraId="15C761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13" w:hRule="atLeast"/>
          <w:jc w:val="center"/>
        </w:trPr>
        <w:tc>
          <w:tcPr>
            <w:tcW w:w="1358" w:type="dxa"/>
          </w:tcPr>
          <w:p w14:paraId="72E2DA09">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安全装置</w:t>
            </w:r>
          </w:p>
        </w:tc>
        <w:tc>
          <w:tcPr>
            <w:tcW w:w="4253" w:type="dxa"/>
          </w:tcPr>
          <w:p w14:paraId="3D42E696">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使用前确认升降葫芦保险卡存在并且有效。</w:t>
            </w:r>
          </w:p>
          <w:p w14:paraId="1094D72F">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设置安全带专用安全绳，设置磨损保护措施并固定在建筑物可靠处，设置安全锁。</w:t>
            </w:r>
          </w:p>
          <w:p w14:paraId="1DFDE35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70880" behindDoc="0" locked="0" layoutInCell="1" allowOverlap="1">
                  <wp:simplePos x="0" y="0"/>
                  <wp:positionH relativeFrom="column">
                    <wp:posOffset>2880360</wp:posOffset>
                  </wp:positionH>
                  <wp:positionV relativeFrom="paragraph">
                    <wp:posOffset>208280</wp:posOffset>
                  </wp:positionV>
                  <wp:extent cx="1826895" cy="1534795"/>
                  <wp:effectExtent l="19050" t="0" r="1905" b="0"/>
                  <wp:wrapNone/>
                  <wp:docPr id="1210" name="图片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图片 1140"/>
                          <pic:cNvPicPr>
                            <a:picLocks noChangeAspect="1" noChangeArrowheads="1"/>
                          </pic:cNvPicPr>
                        </pic:nvPicPr>
                        <pic:blipFill>
                          <a:blip r:embed="rId169"/>
                          <a:srcRect/>
                          <a:stretch>
                            <a:fillRect/>
                          </a:stretch>
                        </pic:blipFill>
                        <pic:spPr>
                          <a:xfrm>
                            <a:off x="0" y="0"/>
                            <a:ext cx="1826895" cy="153479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3) 升降吊篮保险、吊钩保险绳、防坠锁、上限为装置有效。</w:t>
            </w:r>
          </w:p>
          <w:p w14:paraId="4B9C4B31">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 不得使用破损的配重块或采用其他替代物，配重块应固定牢靠。</w:t>
            </w:r>
          </w:p>
          <w:p w14:paraId="2AEF52FF">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5) 作业人员系安全带，安全带应系在安全母绳上，严禁将安全带挂在吊篮升降用的钢丝绳上。</w:t>
            </w:r>
          </w:p>
        </w:tc>
        <w:tc>
          <w:tcPr>
            <w:tcW w:w="3736" w:type="dxa"/>
          </w:tcPr>
          <w:p w14:paraId="59369DF2">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71904" behindDoc="0" locked="0" layoutInCell="1" allowOverlap="1">
                  <wp:simplePos x="0" y="0"/>
                  <wp:positionH relativeFrom="column">
                    <wp:posOffset>198755</wp:posOffset>
                  </wp:positionH>
                  <wp:positionV relativeFrom="paragraph">
                    <wp:posOffset>38100</wp:posOffset>
                  </wp:positionV>
                  <wp:extent cx="1609090" cy="1377315"/>
                  <wp:effectExtent l="0" t="0" r="10160" b="13335"/>
                  <wp:wrapNone/>
                  <wp:docPr id="1211" name="图片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图片 1129"/>
                          <pic:cNvPicPr>
                            <a:picLocks noChangeAspect="1" noChangeArrowheads="1"/>
                          </pic:cNvPicPr>
                        </pic:nvPicPr>
                        <pic:blipFill>
                          <a:blip r:embed="rId170"/>
                          <a:srcRect/>
                          <a:stretch>
                            <a:fillRect/>
                          </a:stretch>
                        </pic:blipFill>
                        <pic:spPr>
                          <a:xfrm>
                            <a:off x="0" y="0"/>
                            <a:ext cx="1609090" cy="1377315"/>
                          </a:xfrm>
                          <a:prstGeom prst="rect">
                            <a:avLst/>
                          </a:prstGeom>
                          <a:noFill/>
                          <a:ln w="9525">
                            <a:noFill/>
                            <a:miter lim="800000"/>
                            <a:headEnd/>
                            <a:tailEnd/>
                          </a:ln>
                        </pic:spPr>
                      </pic:pic>
                    </a:graphicData>
                  </a:graphic>
                </wp:anchor>
              </w:drawing>
            </w:r>
          </w:p>
          <w:p w14:paraId="705FB38B">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tc>
      </w:tr>
      <w:tr w14:paraId="4A49DB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78" w:hRule="atLeast"/>
          <w:jc w:val="center"/>
        </w:trPr>
        <w:tc>
          <w:tcPr>
            <w:tcW w:w="1358" w:type="dxa"/>
          </w:tcPr>
          <w:p w14:paraId="6B759A6C">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升降操作</w:t>
            </w:r>
          </w:p>
        </w:tc>
        <w:tc>
          <w:tcPr>
            <w:tcW w:w="4253" w:type="dxa"/>
          </w:tcPr>
          <w:p w14:paraId="4C161E0B">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操作升降的人员需要固定并且经过培训。</w:t>
            </w:r>
          </w:p>
          <w:p w14:paraId="4690EF5C">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作业人员需从地面进出吊篮，严禁作业人员在未作业时悬停空中。升降作业时严禁其他人员在吊篮内停留。</w:t>
            </w:r>
          </w:p>
          <w:p w14:paraId="55C02F9F">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 两片吊篮连在一起同时升降必须设置同步装置，并且同步升降。</w:t>
            </w:r>
          </w:p>
        </w:tc>
        <w:tc>
          <w:tcPr>
            <w:tcW w:w="3736" w:type="dxa"/>
            <w:vMerge w:val="restart"/>
          </w:tcPr>
          <w:p w14:paraId="11D5F41D">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73952" behindDoc="0" locked="0" layoutInCell="1" allowOverlap="1">
                  <wp:simplePos x="0" y="0"/>
                  <wp:positionH relativeFrom="column">
                    <wp:posOffset>55245</wp:posOffset>
                  </wp:positionH>
                  <wp:positionV relativeFrom="paragraph">
                    <wp:posOffset>196215</wp:posOffset>
                  </wp:positionV>
                  <wp:extent cx="2146300" cy="1607185"/>
                  <wp:effectExtent l="19050" t="0" r="6350" b="0"/>
                  <wp:wrapNone/>
                  <wp:docPr id="1213"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图片 692"/>
                          <pic:cNvPicPr>
                            <a:picLocks noChangeAspect="1" noChangeArrowheads="1"/>
                          </pic:cNvPicPr>
                        </pic:nvPicPr>
                        <pic:blipFill>
                          <a:blip r:embed="rId171"/>
                          <a:srcRect/>
                          <a:stretch>
                            <a:fillRect/>
                          </a:stretch>
                        </pic:blipFill>
                        <pic:spPr>
                          <a:xfrm>
                            <a:off x="0" y="0"/>
                            <a:ext cx="2146300" cy="1607185"/>
                          </a:xfrm>
                          <a:prstGeom prst="rect">
                            <a:avLst/>
                          </a:prstGeom>
                          <a:noFill/>
                          <a:ln w="9525">
                            <a:noFill/>
                            <a:miter lim="800000"/>
                            <a:headEnd/>
                            <a:tailEnd/>
                          </a:ln>
                        </pic:spPr>
                      </pic:pic>
                    </a:graphicData>
                  </a:graphic>
                </wp:anchor>
              </w:drawing>
            </w:r>
          </w:p>
          <w:p w14:paraId="146F9930">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2"/>
                <w:highlight w:val="none"/>
              </w:rPr>
              <w:drawing>
                <wp:anchor distT="0" distB="0" distL="0" distR="0" simplePos="0" relativeHeight="251780096" behindDoc="0" locked="0" layoutInCell="1" allowOverlap="1">
                  <wp:simplePos x="0" y="0"/>
                  <wp:positionH relativeFrom="column">
                    <wp:posOffset>361950</wp:posOffset>
                  </wp:positionH>
                  <wp:positionV relativeFrom="paragraph">
                    <wp:posOffset>4033520</wp:posOffset>
                  </wp:positionV>
                  <wp:extent cx="1487170" cy="1138555"/>
                  <wp:effectExtent l="19050" t="0" r="0" b="0"/>
                  <wp:wrapNone/>
                  <wp:docPr id="121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图片 98"/>
                          <pic:cNvPicPr>
                            <a:picLocks noChangeAspect="1" noChangeArrowheads="1"/>
                          </pic:cNvPicPr>
                        </pic:nvPicPr>
                        <pic:blipFill>
                          <a:blip r:embed="rId172"/>
                          <a:srcRect/>
                          <a:stretch>
                            <a:fillRect/>
                          </a:stretch>
                        </pic:blipFill>
                        <pic:spPr>
                          <a:xfrm>
                            <a:off x="0" y="0"/>
                            <a:ext cx="1487170" cy="1138555"/>
                          </a:xfrm>
                          <a:prstGeom prst="rect">
                            <a:avLst/>
                          </a:prstGeom>
                          <a:noFill/>
                          <a:ln w="9525">
                            <a:noFill/>
                            <a:miter lim="800000"/>
                            <a:headEnd/>
                            <a:tailEnd/>
                          </a:ln>
                        </pic:spPr>
                      </pic:pic>
                    </a:graphicData>
                  </a:graphic>
                </wp:anchor>
              </w:drawing>
            </w:r>
          </w:p>
        </w:tc>
      </w:tr>
      <w:tr w14:paraId="7778AB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68" w:hRule="atLeast"/>
          <w:jc w:val="center"/>
        </w:trPr>
        <w:tc>
          <w:tcPr>
            <w:tcW w:w="1358" w:type="dxa"/>
          </w:tcPr>
          <w:p w14:paraId="7BFE20AC">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交底与验收</w:t>
            </w:r>
          </w:p>
        </w:tc>
        <w:tc>
          <w:tcPr>
            <w:tcW w:w="4253" w:type="dxa"/>
          </w:tcPr>
          <w:p w14:paraId="05756B21">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72928" behindDoc="0" locked="0" layoutInCell="1" allowOverlap="1">
                  <wp:simplePos x="0" y="0"/>
                  <wp:positionH relativeFrom="column">
                    <wp:posOffset>3051175</wp:posOffset>
                  </wp:positionH>
                  <wp:positionV relativeFrom="paragraph">
                    <wp:posOffset>482600</wp:posOffset>
                  </wp:positionV>
                  <wp:extent cx="1566545" cy="1313180"/>
                  <wp:effectExtent l="19050" t="0" r="0" b="0"/>
                  <wp:wrapNone/>
                  <wp:docPr id="1212" name="图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图片 691"/>
                          <pic:cNvPicPr>
                            <a:picLocks noChangeAspect="1" noChangeArrowheads="1"/>
                          </pic:cNvPicPr>
                        </pic:nvPicPr>
                        <pic:blipFill>
                          <a:blip r:embed="rId173"/>
                          <a:srcRect/>
                          <a:stretch>
                            <a:fillRect/>
                          </a:stretch>
                        </pic:blipFill>
                        <pic:spPr>
                          <a:xfrm>
                            <a:off x="0" y="0"/>
                            <a:ext cx="1566545" cy="131318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1) 吊篮内作业人员不得超过2人，并将安全带用安全锁挂置在独立设置的专用安全绳上。每次提升后必须经过验收方可上人作业。</w:t>
            </w:r>
          </w:p>
          <w:p w14:paraId="558C6D4D">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提升以及上人作业必须经过交底并且留存书面记录。</w:t>
            </w:r>
          </w:p>
        </w:tc>
        <w:tc>
          <w:tcPr>
            <w:tcW w:w="3736" w:type="dxa"/>
            <w:vMerge w:val="continue"/>
          </w:tcPr>
          <w:p w14:paraId="30EC2CB8">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r>
      <w:tr w14:paraId="736AAB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25" w:hRule="atLeast"/>
          <w:jc w:val="center"/>
        </w:trPr>
        <w:tc>
          <w:tcPr>
            <w:tcW w:w="1358" w:type="dxa"/>
          </w:tcPr>
          <w:p w14:paraId="62B3ED09">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安全防护</w:t>
            </w:r>
          </w:p>
        </w:tc>
        <w:tc>
          <w:tcPr>
            <w:tcW w:w="4253" w:type="dxa"/>
          </w:tcPr>
          <w:p w14:paraId="198D3635">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严禁将吊篮作为垂直运输工具。</w:t>
            </w:r>
          </w:p>
          <w:p w14:paraId="70F9FD75">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单片吊篮升降两端头设置防护。</w:t>
            </w:r>
          </w:p>
          <w:p w14:paraId="36357FF9">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 多层作业需要设置防护顶板。</w:t>
            </w:r>
          </w:p>
          <w:p w14:paraId="04F249F4">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 吊篮钢丝绳不得出现斜拉现象。</w:t>
            </w:r>
          </w:p>
        </w:tc>
        <w:tc>
          <w:tcPr>
            <w:tcW w:w="3736" w:type="dxa"/>
            <w:vMerge w:val="continue"/>
          </w:tcPr>
          <w:p w14:paraId="7A7D4415">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r>
    </w:tbl>
    <w:p w14:paraId="4BDCBCF6">
      <w:pPr>
        <w:pStyle w:val="74"/>
        <w:adjustRightInd w:val="0"/>
        <w:snapToGrid w:val="0"/>
        <w:spacing w:line="360" w:lineRule="auto"/>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（四）消防安全</w:t>
      </w:r>
    </w:p>
    <w:tbl>
      <w:tblPr>
        <w:tblStyle w:val="56"/>
        <w:tblW w:w="927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19"/>
        <w:gridCol w:w="4253"/>
        <w:gridCol w:w="3698"/>
      </w:tblGrid>
      <w:tr w14:paraId="387521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19" w:type="dxa"/>
          </w:tcPr>
          <w:p w14:paraId="335E572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53" w:type="dxa"/>
          </w:tcPr>
          <w:p w14:paraId="0C3D9BD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698" w:type="dxa"/>
          </w:tcPr>
          <w:p w14:paraId="018C7D84">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58D991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96" w:hRule="atLeast"/>
          <w:jc w:val="center"/>
        </w:trPr>
        <w:tc>
          <w:tcPr>
            <w:tcW w:w="1319" w:type="dxa"/>
          </w:tcPr>
          <w:p w14:paraId="4071C02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现场防火</w:t>
            </w:r>
          </w:p>
        </w:tc>
        <w:tc>
          <w:tcPr>
            <w:tcW w:w="4253" w:type="dxa"/>
          </w:tcPr>
          <w:p w14:paraId="121A9152">
            <w:pPr>
              <w:keepNext w:val="0"/>
              <w:keepLines w:val="0"/>
              <w:suppressLineNumbers w:val="0"/>
              <w:autoSpaceDE w:val="0"/>
              <w:autoSpaceDN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1)出入大门处必须设置消防组合台，消防制度并设置灭火器材。</w:t>
            </w:r>
          </w:p>
          <w:p w14:paraId="4E368D8B">
            <w:pPr>
              <w:keepNext w:val="0"/>
              <w:keepLines w:val="0"/>
              <w:suppressLineNumbers w:val="0"/>
              <w:autoSpaceDE w:val="0"/>
              <w:autoSpaceDN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 严禁施工人员非吸烟区吸烟。</w:t>
            </w:r>
          </w:p>
          <w:p w14:paraId="538ED0F5">
            <w:pPr>
              <w:keepNext w:val="0"/>
              <w:keepLines w:val="0"/>
              <w:suppressLineNumbers w:val="0"/>
              <w:autoSpaceDE w:val="0"/>
              <w:autoSpaceDN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3) 施工现场应设有消防车通道，宽度不得小于3.5m，保证临警时消防车能通行和停靠施救。</w:t>
            </w:r>
          </w:p>
          <w:p w14:paraId="368131A1">
            <w:pPr>
              <w:keepNext w:val="0"/>
              <w:keepLines w:val="0"/>
              <w:suppressLineNumbers w:val="0"/>
              <w:autoSpaceDE w:val="0"/>
              <w:autoSpaceDN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4) 材料防火：可燃材料存放及加工时须采取防火措施；易燃易爆物品分类存放，并采取防火措施，应根据灭火对象的特性、分组布置酸碱、泡沫、二氧化碳等灭火器，每组灭火器不应少于2-4个，每组灭火器之间的距离不应大于30</w:t>
            </w:r>
            <w:r>
              <w:rPr>
                <w:rFonts w:hint="eastAsia" w:cs="仿宋_GB2312" w:asciiTheme="minorEastAsia" w:hAnsiTheme="minorEastAsia" w:eastAsiaTheme="minorEastAsia"/>
                <w:color w:val="auto"/>
                <w:sz w:val="24"/>
                <w:highlight w:val="none"/>
              </w:rPr>
              <w:drawing>
                <wp:anchor distT="0" distB="0" distL="0" distR="0" simplePos="0" relativeHeight="251779072" behindDoc="0" locked="0" layoutInCell="1" allowOverlap="1">
                  <wp:simplePos x="0" y="0"/>
                  <wp:positionH relativeFrom="column">
                    <wp:posOffset>3058160</wp:posOffset>
                  </wp:positionH>
                  <wp:positionV relativeFrom="paragraph">
                    <wp:posOffset>67310</wp:posOffset>
                  </wp:positionV>
                  <wp:extent cx="1435100" cy="1120140"/>
                  <wp:effectExtent l="19050" t="0" r="0" b="0"/>
                  <wp:wrapNone/>
                  <wp:docPr id="1218"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图片 1130"/>
                          <pic:cNvPicPr>
                            <a:picLocks noChangeAspect="1" noChangeArrowheads="1"/>
                          </pic:cNvPicPr>
                        </pic:nvPicPr>
                        <pic:blipFill>
                          <a:blip r:embed="rId174"/>
                          <a:srcRect/>
                          <a:stretch>
                            <a:fillRect/>
                          </a:stretch>
                        </pic:blipFill>
                        <pic:spPr>
                          <a:xfrm>
                            <a:off x="0" y="0"/>
                            <a:ext cx="1435100" cy="112014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米。</w:t>
            </w:r>
          </w:p>
          <w:p w14:paraId="35408258">
            <w:pPr>
              <w:keepNext w:val="0"/>
              <w:keepLines w:val="0"/>
              <w:suppressLineNumbers w:val="0"/>
              <w:autoSpaceDE w:val="0"/>
              <w:autoSpaceDN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76000" behindDoc="0" locked="0" layoutInCell="1" allowOverlap="1">
                  <wp:simplePos x="0" y="0"/>
                  <wp:positionH relativeFrom="column">
                    <wp:posOffset>2880360</wp:posOffset>
                  </wp:positionH>
                  <wp:positionV relativeFrom="paragraph">
                    <wp:posOffset>1032510</wp:posOffset>
                  </wp:positionV>
                  <wp:extent cx="1849755" cy="1395095"/>
                  <wp:effectExtent l="19050" t="0" r="0" b="0"/>
                  <wp:wrapNone/>
                  <wp:docPr id="1215" name="图片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 name="图片 1137"/>
                          <pic:cNvPicPr>
                            <a:picLocks noChangeAspect="1" noChangeArrowheads="1"/>
                          </pic:cNvPicPr>
                        </pic:nvPicPr>
                        <pic:blipFill>
                          <a:blip r:embed="rId175"/>
                          <a:srcRect/>
                          <a:stretch>
                            <a:fillRect/>
                          </a:stretch>
                        </pic:blipFill>
                        <pic:spPr>
                          <a:xfrm>
                            <a:off x="0" y="0"/>
                            <a:ext cx="1849755" cy="139509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5) 现场防火：动火作业必须有三级动火证，并且动火监护人必须到岗；灭火器材配置合理并且有效；高层建筑必须配置临时消防给水系统并且保证给水系统处于供水状态，主管管径不少于DN110，每三层设置一个接驳口，并配置消防水带、水枪。</w:t>
            </w:r>
          </w:p>
          <w:p w14:paraId="105B0CCC">
            <w:pPr>
              <w:keepNext w:val="0"/>
              <w:keepLines w:val="0"/>
              <w:suppressLineNumbers w:val="0"/>
              <w:autoSpaceDE w:val="0"/>
              <w:autoSpaceDN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77024" behindDoc="0" locked="0" layoutInCell="1" allowOverlap="1">
                  <wp:simplePos x="0" y="0"/>
                  <wp:positionH relativeFrom="column">
                    <wp:posOffset>2967990</wp:posOffset>
                  </wp:positionH>
                  <wp:positionV relativeFrom="paragraph">
                    <wp:posOffset>476885</wp:posOffset>
                  </wp:positionV>
                  <wp:extent cx="1543685" cy="1237615"/>
                  <wp:effectExtent l="19050" t="0" r="0" b="0"/>
                  <wp:wrapNone/>
                  <wp:docPr id="12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Picture 3"/>
                          <pic:cNvPicPr>
                            <a:picLocks noChangeAspect="1" noChangeArrowheads="1"/>
                          </pic:cNvPicPr>
                        </pic:nvPicPr>
                        <pic:blipFill>
                          <a:blip r:embed="rId176"/>
                          <a:srcRect/>
                          <a:stretch>
                            <a:fillRect/>
                          </a:stretch>
                        </pic:blipFill>
                        <pic:spPr>
                          <a:xfrm>
                            <a:off x="0" y="0"/>
                            <a:ext cx="1543685" cy="123761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6) 作业防火：氧乙炔瓶吊运方式合理并设置存放仓库；电焊、切割作业时设置安全围挡措施。</w:t>
            </w:r>
          </w:p>
          <w:p w14:paraId="6487941B">
            <w:pPr>
              <w:keepNext w:val="0"/>
              <w:keepLines w:val="0"/>
              <w:suppressLineNumbers w:val="0"/>
              <w:autoSpaceDE w:val="0"/>
              <w:autoSpaceDN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7) 宿舍、办公区防火：严禁总包宿舍、办公用房卫生脏乱差，或者违规用电；在建工程、伙房、库房严禁兼做宿舍。</w:t>
            </w:r>
          </w:p>
        </w:tc>
        <w:tc>
          <w:tcPr>
            <w:tcW w:w="3698" w:type="dxa"/>
          </w:tcPr>
          <w:p w14:paraId="5DF3F63E">
            <w:pPr>
              <w:keepNext w:val="0"/>
              <w:keepLines w:val="0"/>
              <w:suppressLineNumbers w:val="0"/>
              <w:autoSpaceDE w:val="0"/>
              <w:autoSpaceDN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p w14:paraId="25DFF12A">
            <w:pPr>
              <w:keepNext w:val="0"/>
              <w:keepLines w:val="0"/>
              <w:suppressLineNumbers w:val="0"/>
              <w:autoSpaceDE w:val="0"/>
              <w:autoSpaceDN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81120" behindDoc="0" locked="0" layoutInCell="1" allowOverlap="1">
                  <wp:simplePos x="0" y="0"/>
                  <wp:positionH relativeFrom="column">
                    <wp:posOffset>184785</wp:posOffset>
                  </wp:positionH>
                  <wp:positionV relativeFrom="paragraph">
                    <wp:posOffset>21590</wp:posOffset>
                  </wp:positionV>
                  <wp:extent cx="1656715" cy="1346835"/>
                  <wp:effectExtent l="19050" t="0" r="635" b="0"/>
                  <wp:wrapNone/>
                  <wp:docPr id="12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图片 17"/>
                          <pic:cNvPicPr>
                            <a:picLocks noChangeAspect="1" noChangeArrowheads="1"/>
                          </pic:cNvPicPr>
                        </pic:nvPicPr>
                        <pic:blipFill>
                          <a:blip r:embed="rId177"/>
                          <a:srcRect r="1112" b="14316"/>
                          <a:stretch>
                            <a:fillRect/>
                          </a:stretch>
                        </pic:blipFill>
                        <pic:spPr>
                          <a:xfrm>
                            <a:off x="0" y="0"/>
                            <a:ext cx="1656715" cy="1346835"/>
                          </a:xfrm>
                          <a:prstGeom prst="rect">
                            <a:avLst/>
                          </a:prstGeom>
                          <a:noFill/>
                          <a:ln w="9525">
                            <a:noFill/>
                            <a:miter lim="800000"/>
                            <a:headEnd/>
                            <a:tailEnd/>
                          </a:ln>
                        </pic:spPr>
                      </pic:pic>
                    </a:graphicData>
                  </a:graphic>
                </wp:anchor>
              </w:drawing>
            </w:r>
          </w:p>
          <w:p w14:paraId="26ADF697">
            <w:pPr>
              <w:keepNext w:val="0"/>
              <w:keepLines w:val="0"/>
              <w:suppressLineNumbers w:val="0"/>
              <w:autoSpaceDE w:val="0"/>
              <w:autoSpaceDN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p w14:paraId="3B345AFD">
            <w:pPr>
              <w:keepNext w:val="0"/>
              <w:keepLines w:val="0"/>
              <w:suppressLineNumbers w:val="0"/>
              <w:autoSpaceDE w:val="0"/>
              <w:autoSpaceDN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p w14:paraId="50272F07">
            <w:pPr>
              <w:keepNext w:val="0"/>
              <w:keepLines w:val="0"/>
              <w:suppressLineNumbers w:val="0"/>
              <w:autoSpaceDE w:val="0"/>
              <w:autoSpaceDN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p w14:paraId="58996BE3">
            <w:pPr>
              <w:keepNext w:val="0"/>
              <w:keepLines w:val="0"/>
              <w:suppressLineNumbers w:val="0"/>
              <w:autoSpaceDE w:val="0"/>
              <w:autoSpaceDN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p w14:paraId="6A556824">
            <w:pPr>
              <w:keepNext w:val="0"/>
              <w:keepLines w:val="0"/>
              <w:suppressLineNumbers w:val="0"/>
              <w:autoSpaceDE w:val="0"/>
              <w:autoSpaceDN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778048" behindDoc="0" locked="0" layoutInCell="1" allowOverlap="1">
                  <wp:simplePos x="0" y="0"/>
                  <wp:positionH relativeFrom="column">
                    <wp:posOffset>16510</wp:posOffset>
                  </wp:positionH>
                  <wp:positionV relativeFrom="paragraph">
                    <wp:posOffset>1478280</wp:posOffset>
                  </wp:positionV>
                  <wp:extent cx="1974215" cy="1551305"/>
                  <wp:effectExtent l="0" t="0" r="6985" b="10795"/>
                  <wp:wrapNone/>
                  <wp:docPr id="1217" name="图片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图片 1151"/>
                          <pic:cNvPicPr>
                            <a:picLocks noChangeAspect="1" noChangeArrowheads="1"/>
                          </pic:cNvPicPr>
                        </pic:nvPicPr>
                        <pic:blipFill>
                          <a:blip r:embed="rId178"/>
                          <a:srcRect/>
                          <a:stretch>
                            <a:fillRect/>
                          </a:stretch>
                        </pic:blipFill>
                        <pic:spPr>
                          <a:xfrm>
                            <a:off x="0" y="0"/>
                            <a:ext cx="1974215" cy="1551305"/>
                          </a:xfrm>
                          <a:prstGeom prst="rect">
                            <a:avLst/>
                          </a:prstGeom>
                          <a:noFill/>
                          <a:ln w="9525">
                            <a:noFill/>
                            <a:miter lim="800000"/>
                            <a:headEnd/>
                            <a:tailEnd/>
                          </a:ln>
                        </pic:spPr>
                      </pic:pic>
                    </a:graphicData>
                  </a:graphic>
                </wp:anchor>
              </w:drawing>
            </w:r>
          </w:p>
        </w:tc>
      </w:tr>
    </w:tbl>
    <w:p w14:paraId="48C87F7F">
      <w:pPr>
        <w:pStyle w:val="74"/>
        <w:adjustRightInd w:val="0"/>
        <w:snapToGrid w:val="0"/>
        <w:spacing w:line="360" w:lineRule="auto"/>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（五）临电管理</w:t>
      </w:r>
    </w:p>
    <w:tbl>
      <w:tblPr>
        <w:tblStyle w:val="56"/>
        <w:tblW w:w="93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4205"/>
        <w:gridCol w:w="3749"/>
      </w:tblGrid>
      <w:tr w14:paraId="64D33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418" w:type="dxa"/>
            <w:vAlign w:val="center"/>
          </w:tcPr>
          <w:p w14:paraId="4923F099">
            <w:pPr>
              <w:keepNext w:val="0"/>
              <w:keepLines w:val="0"/>
              <w:suppressLineNumbers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05" w:type="dxa"/>
            <w:vAlign w:val="center"/>
          </w:tcPr>
          <w:p w14:paraId="21F27C27">
            <w:pPr>
              <w:keepNext w:val="0"/>
              <w:keepLines w:val="0"/>
              <w:suppressLineNumbers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749" w:type="dxa"/>
            <w:vAlign w:val="center"/>
          </w:tcPr>
          <w:p w14:paraId="5862BDC4">
            <w:pPr>
              <w:keepNext w:val="0"/>
              <w:keepLines w:val="0"/>
              <w:suppressLineNumbers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75F81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6" w:hRule="atLeast"/>
          <w:jc w:val="center"/>
        </w:trPr>
        <w:tc>
          <w:tcPr>
            <w:tcW w:w="1418" w:type="dxa"/>
          </w:tcPr>
          <w:p w14:paraId="6B971A7C">
            <w:pPr>
              <w:keepNext w:val="0"/>
              <w:keepLines w:val="0"/>
              <w:suppressLineNumbers w:val="0"/>
              <w:autoSpaceDE w:val="0"/>
              <w:autoSpaceDN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配电房（高压隔离）</w:t>
            </w:r>
          </w:p>
        </w:tc>
        <w:tc>
          <w:tcPr>
            <w:tcW w:w="4205" w:type="dxa"/>
          </w:tcPr>
          <w:p w14:paraId="09BC8D5F">
            <w:pPr>
              <w:pStyle w:val="74"/>
              <w:keepNext w:val="0"/>
              <w:keepLines w:val="0"/>
              <w:numPr>
                <w:ilvl w:val="0"/>
                <w:numId w:val="29"/>
              </w:numPr>
              <w:suppressLineNumbers w:val="0"/>
              <w:autoSpaceDE w:val="0"/>
              <w:autoSpaceDN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一级配电室，独立设置，防雨、防盗并上锁，防护设施符合规范要求，封闭严密，并且有明显警示标志。</w:t>
            </w:r>
          </w:p>
          <w:p w14:paraId="77E7160B">
            <w:pPr>
              <w:pStyle w:val="74"/>
              <w:keepNext w:val="0"/>
              <w:keepLines w:val="0"/>
              <w:numPr>
                <w:ilvl w:val="0"/>
                <w:numId w:val="29"/>
              </w:numPr>
              <w:suppressLineNumbers w:val="0"/>
              <w:autoSpaceDE w:val="0"/>
              <w:autoSpaceDN w:val="0"/>
              <w:adjustRightInd w:val="0"/>
              <w:snapToGrid w:val="0"/>
              <w:spacing w:before="0" w:beforeAutospacing="0" w:after="0" w:afterAutospacing="0" w:line="360" w:lineRule="auto"/>
              <w:ind w:left="0" w:right="0" w:firstLine="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配电房外侧统一设置负责人、联系电话；内侧设置系统图、巡检记录表；每天用电高峰期，根据项目用电实际要求，做好早、中、晚三次总箱各相电流检查记录，及时调整三相平衡及过流负荷调整。</w:t>
            </w:r>
          </w:p>
        </w:tc>
        <w:tc>
          <w:tcPr>
            <w:tcW w:w="3749" w:type="dxa"/>
          </w:tcPr>
          <w:p w14:paraId="23F9D481">
            <w:pPr>
              <w:keepNext w:val="0"/>
              <w:keepLines w:val="0"/>
              <w:suppressLineNumbers w:val="0"/>
              <w:autoSpaceDE w:val="0"/>
              <w:autoSpaceDN w:val="0"/>
              <w:adjustRightInd w:val="0"/>
              <w:snapToGrid w:val="0"/>
              <w:spacing w:before="100" w:beforeAutospacing="1" w:after="100" w:afterAutospacing="1" w:line="360" w:lineRule="auto"/>
              <w:ind w:left="0" w:right="0"/>
              <w:jc w:val="left"/>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0" distR="0" simplePos="0" relativeHeight="251782144" behindDoc="0" locked="0" layoutInCell="1" allowOverlap="1">
                  <wp:simplePos x="0" y="0"/>
                  <wp:positionH relativeFrom="column">
                    <wp:posOffset>99695</wp:posOffset>
                  </wp:positionH>
                  <wp:positionV relativeFrom="paragraph">
                    <wp:posOffset>1713230</wp:posOffset>
                  </wp:positionV>
                  <wp:extent cx="1982470" cy="1597025"/>
                  <wp:effectExtent l="19050" t="0" r="0" b="0"/>
                  <wp:wrapNone/>
                  <wp:docPr id="12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图片 3"/>
                          <pic:cNvPicPr>
                            <a:picLocks noChangeAspect="1" noChangeArrowheads="1"/>
                          </pic:cNvPicPr>
                        </pic:nvPicPr>
                        <pic:blipFill>
                          <a:blip r:embed="rId179"/>
                          <a:srcRect/>
                          <a:stretch>
                            <a:fillRect/>
                          </a:stretch>
                        </pic:blipFill>
                        <pic:spPr>
                          <a:xfrm>
                            <a:off x="0" y="0"/>
                            <a:ext cx="1982470" cy="159702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drawing>
                <wp:anchor distT="0" distB="0" distL="0" distR="0" simplePos="0" relativeHeight="251774976" behindDoc="0" locked="0" layoutInCell="1" allowOverlap="1">
                  <wp:simplePos x="0" y="0"/>
                  <wp:positionH relativeFrom="column">
                    <wp:posOffset>205105</wp:posOffset>
                  </wp:positionH>
                  <wp:positionV relativeFrom="paragraph">
                    <wp:posOffset>104775</wp:posOffset>
                  </wp:positionV>
                  <wp:extent cx="1886585" cy="1409065"/>
                  <wp:effectExtent l="19050" t="0" r="0" b="0"/>
                  <wp:wrapNone/>
                  <wp:docPr id="1214" name="图片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图片 1093"/>
                          <pic:cNvPicPr>
                            <a:picLocks noChangeAspect="1" noChangeArrowheads="1"/>
                          </pic:cNvPicPr>
                        </pic:nvPicPr>
                        <pic:blipFill>
                          <a:blip r:embed="rId180"/>
                          <a:srcRect/>
                          <a:stretch>
                            <a:fillRect/>
                          </a:stretch>
                        </pic:blipFill>
                        <pic:spPr>
                          <a:xfrm>
                            <a:off x="0" y="0"/>
                            <a:ext cx="1886585" cy="1409065"/>
                          </a:xfrm>
                          <a:prstGeom prst="rect">
                            <a:avLst/>
                          </a:prstGeom>
                          <a:noFill/>
                          <a:ln w="9525">
                            <a:noFill/>
                            <a:miter lim="800000"/>
                            <a:headEnd/>
                            <a:tailEnd/>
                          </a:ln>
                        </pic:spPr>
                      </pic:pic>
                    </a:graphicData>
                  </a:graphic>
                </wp:anchor>
              </w:drawing>
            </w:r>
          </w:p>
        </w:tc>
      </w:tr>
      <w:tr w14:paraId="44EEA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5" w:hRule="atLeast"/>
          <w:jc w:val="center"/>
        </w:trPr>
        <w:tc>
          <w:tcPr>
            <w:tcW w:w="1418" w:type="dxa"/>
          </w:tcPr>
          <w:p w14:paraId="138FC130">
            <w:pPr>
              <w:keepNext w:val="0"/>
              <w:keepLines w:val="0"/>
              <w:suppressLineNumbers w:val="0"/>
              <w:autoSpaceDE w:val="0"/>
              <w:autoSpaceDN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配电箱开关箱</w:t>
            </w:r>
          </w:p>
        </w:tc>
        <w:tc>
          <w:tcPr>
            <w:tcW w:w="4205" w:type="dxa"/>
          </w:tcPr>
          <w:p w14:paraId="2552850B">
            <w:pPr>
              <w:keepNext w:val="0"/>
              <w:keepLines w:val="0"/>
              <w:suppressLineNumbers w:val="0"/>
              <w:autoSpaceDE w:val="0"/>
              <w:autoSpaceDN w:val="0"/>
              <w:adjustRightInd w:val="0"/>
              <w:snapToGrid w:val="0"/>
              <w:spacing w:before="100" w:beforeAutospacing="1" w:after="100" w:afterAutospacing="1" w:line="360" w:lineRule="auto"/>
              <w:ind w:left="0" w:right="0"/>
              <w:jc w:val="left"/>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1) 二级配电，采用钢脚手制作维护及双层防雨篷；配电箱防雨、接地、并做好安全提示，确保电箱门、锁、防雨措施齐全。</w:t>
            </w:r>
          </w:p>
          <w:p w14:paraId="6D6F1F66">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2) 配电系统符合“三级配电、两级漏电保护”要求；箱体外设置联系人及联系方式。</w:t>
            </w:r>
          </w:p>
          <w:p w14:paraId="01B88378">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3) 配电系统按照“—机、一闸、一漏、一箱”设置。</w:t>
            </w:r>
          </w:p>
          <w:p w14:paraId="161B985D">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4) 箱体内设置系统接线图和分路标记(线路图与箱体内原件对应相符，明细</w:t>
            </w:r>
            <w:r>
              <w:rPr>
                <w:rFonts w:hint="eastAsia" w:cs="仿宋_GB2312" w:asciiTheme="minorEastAsia" w:hAnsiTheme="minorEastAsia" w:eastAsiaTheme="minorEastAsia"/>
                <w:color w:val="auto"/>
                <w:kern w:val="0"/>
                <w:sz w:val="24"/>
                <w:highlight w:val="none"/>
              </w:rPr>
              <w:drawing>
                <wp:anchor distT="0" distB="0" distL="0" distR="0" simplePos="0" relativeHeight="251783168" behindDoc="0" locked="0" layoutInCell="1" allowOverlap="1">
                  <wp:simplePos x="0" y="0"/>
                  <wp:positionH relativeFrom="column">
                    <wp:posOffset>2849245</wp:posOffset>
                  </wp:positionH>
                  <wp:positionV relativeFrom="paragraph">
                    <wp:posOffset>368935</wp:posOffset>
                  </wp:positionV>
                  <wp:extent cx="1894205" cy="1430020"/>
                  <wp:effectExtent l="19050" t="0" r="0" b="0"/>
                  <wp:wrapNone/>
                  <wp:docPr id="12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图片 6"/>
                          <pic:cNvPicPr>
                            <a:picLocks noChangeAspect="1" noChangeArrowheads="1"/>
                          </pic:cNvPicPr>
                        </pic:nvPicPr>
                        <pic:blipFill>
                          <a:blip r:embed="rId181"/>
                          <a:srcRect/>
                          <a:stretch>
                            <a:fillRect/>
                          </a:stretch>
                        </pic:blipFill>
                        <pic:spPr>
                          <a:xfrm>
                            <a:off x="0" y="0"/>
                            <a:ext cx="1894205" cy="143002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0"/>
                <w:sz w:val="24"/>
                <w:highlight w:val="none"/>
              </w:rPr>
              <w:t>到功率)。</w:t>
            </w:r>
          </w:p>
          <w:p w14:paraId="1F45CB63">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5) 箱体内张贴巡视维修记录，填写真实，每日上班前完成检查。</w:t>
            </w:r>
          </w:p>
          <w:p w14:paraId="30AAA862">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6) 各用电设备有各自专用开关箱，严禁配电箱、开关箱或者闸具出现损坏现象。</w:t>
            </w:r>
          </w:p>
        </w:tc>
        <w:tc>
          <w:tcPr>
            <w:tcW w:w="3749" w:type="dxa"/>
          </w:tcPr>
          <w:p w14:paraId="7CB02F11">
            <w:pPr>
              <w:keepNext w:val="0"/>
              <w:keepLines w:val="0"/>
              <w:suppressLineNumbers w:val="0"/>
              <w:autoSpaceDE w:val="0"/>
              <w:autoSpaceDN w:val="0"/>
              <w:adjustRightInd w:val="0"/>
              <w:snapToGrid w:val="0"/>
              <w:spacing w:before="100" w:beforeAutospacing="1" w:after="100" w:afterAutospacing="1" w:line="360" w:lineRule="auto"/>
              <w:ind w:left="0" w:right="0"/>
              <w:jc w:val="left"/>
              <w:outlineLvl w:val="9"/>
              <w:rPr>
                <w:rFonts w:cs="仿宋_GB2312" w:asciiTheme="minorEastAsia" w:hAnsiTheme="minorEastAsia" w:eastAsiaTheme="minorEastAsia"/>
                <w:color w:val="auto"/>
                <w:kern w:val="0"/>
                <w:sz w:val="24"/>
                <w:highlight w:val="none"/>
              </w:rPr>
            </w:pPr>
          </w:p>
          <w:p w14:paraId="38848D4F">
            <w:pPr>
              <w:keepNext w:val="0"/>
              <w:keepLines w:val="0"/>
              <w:suppressLineNumbers w:val="0"/>
              <w:autoSpaceDE w:val="0"/>
              <w:autoSpaceDN w:val="0"/>
              <w:adjustRightInd w:val="0"/>
              <w:snapToGrid w:val="0"/>
              <w:spacing w:before="100" w:beforeAutospacing="1" w:after="100" w:afterAutospacing="1" w:line="360" w:lineRule="auto"/>
              <w:ind w:left="0" w:right="0"/>
              <w:jc w:val="left"/>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0" distR="0" simplePos="0" relativeHeight="251785216" behindDoc="0" locked="0" layoutInCell="1" allowOverlap="1">
                  <wp:simplePos x="0" y="0"/>
                  <wp:positionH relativeFrom="column">
                    <wp:posOffset>-10795</wp:posOffset>
                  </wp:positionH>
                  <wp:positionV relativeFrom="paragraph">
                    <wp:posOffset>76200</wp:posOffset>
                  </wp:positionV>
                  <wp:extent cx="2162810" cy="1628775"/>
                  <wp:effectExtent l="19050" t="0" r="8890" b="0"/>
                  <wp:wrapNone/>
                  <wp:docPr id="12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图片 4"/>
                          <pic:cNvPicPr>
                            <a:picLocks noChangeAspect="1" noChangeArrowheads="1"/>
                          </pic:cNvPicPr>
                        </pic:nvPicPr>
                        <pic:blipFill>
                          <a:blip r:embed="rId182"/>
                          <a:srcRect/>
                          <a:stretch>
                            <a:fillRect/>
                          </a:stretch>
                        </pic:blipFill>
                        <pic:spPr>
                          <a:xfrm>
                            <a:off x="0" y="0"/>
                            <a:ext cx="2162810" cy="1628775"/>
                          </a:xfrm>
                          <a:prstGeom prst="rect">
                            <a:avLst/>
                          </a:prstGeom>
                          <a:noFill/>
                          <a:ln w="9525">
                            <a:noFill/>
                            <a:miter lim="800000"/>
                            <a:headEnd/>
                            <a:tailEnd/>
                          </a:ln>
                        </pic:spPr>
                      </pic:pic>
                    </a:graphicData>
                  </a:graphic>
                </wp:anchor>
              </w:drawing>
            </w:r>
          </w:p>
          <w:p w14:paraId="06ED1058">
            <w:pPr>
              <w:keepNext w:val="0"/>
              <w:keepLines w:val="0"/>
              <w:suppressLineNumbers w:val="0"/>
              <w:autoSpaceDE w:val="0"/>
              <w:autoSpaceDN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kern w:val="0"/>
                <w:sz w:val="24"/>
                <w:highlight w:val="none"/>
              </w:rPr>
            </w:pPr>
          </w:p>
          <w:p w14:paraId="1A6DE225">
            <w:pPr>
              <w:keepNext w:val="0"/>
              <w:keepLines w:val="0"/>
              <w:suppressLineNumbers w:val="0"/>
              <w:autoSpaceDE w:val="0"/>
              <w:autoSpaceDN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kern w:val="0"/>
                <w:sz w:val="24"/>
                <w:highlight w:val="none"/>
              </w:rPr>
            </w:pPr>
          </w:p>
          <w:p w14:paraId="444DD731">
            <w:pPr>
              <w:keepNext w:val="0"/>
              <w:keepLines w:val="0"/>
              <w:suppressLineNumbers w:val="0"/>
              <w:autoSpaceDE w:val="0"/>
              <w:autoSpaceDN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0" distR="0" simplePos="0" relativeHeight="251784192" behindDoc="0" locked="0" layoutInCell="1" allowOverlap="1">
                  <wp:simplePos x="0" y="0"/>
                  <wp:positionH relativeFrom="column">
                    <wp:posOffset>208280</wp:posOffset>
                  </wp:positionH>
                  <wp:positionV relativeFrom="paragraph">
                    <wp:posOffset>406400</wp:posOffset>
                  </wp:positionV>
                  <wp:extent cx="1841500" cy="1378585"/>
                  <wp:effectExtent l="19050" t="0" r="6350" b="0"/>
                  <wp:wrapNone/>
                  <wp:docPr id="12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图片 5"/>
                          <pic:cNvPicPr>
                            <a:picLocks noChangeAspect="1" noChangeArrowheads="1"/>
                          </pic:cNvPicPr>
                        </pic:nvPicPr>
                        <pic:blipFill>
                          <a:blip r:embed="rId183"/>
                          <a:srcRect/>
                          <a:stretch>
                            <a:fillRect/>
                          </a:stretch>
                        </pic:blipFill>
                        <pic:spPr>
                          <a:xfrm>
                            <a:off x="0" y="0"/>
                            <a:ext cx="1841500" cy="1378585"/>
                          </a:xfrm>
                          <a:prstGeom prst="rect">
                            <a:avLst/>
                          </a:prstGeom>
                          <a:noFill/>
                          <a:ln w="9525">
                            <a:noFill/>
                            <a:miter lim="800000"/>
                            <a:headEnd/>
                            <a:tailEnd/>
                          </a:ln>
                        </pic:spPr>
                      </pic:pic>
                    </a:graphicData>
                  </a:graphic>
                </wp:anchor>
              </w:drawing>
            </w:r>
          </w:p>
        </w:tc>
      </w:tr>
      <w:tr w14:paraId="1C1FE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1418" w:type="dxa"/>
          </w:tcPr>
          <w:p w14:paraId="6FD6ECDD">
            <w:pPr>
              <w:keepNext w:val="0"/>
              <w:keepLines w:val="0"/>
              <w:suppressLineNumbers w:val="0"/>
              <w:autoSpaceDE w:val="0"/>
              <w:autoSpaceDN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现场照明</w:t>
            </w:r>
          </w:p>
        </w:tc>
        <w:tc>
          <w:tcPr>
            <w:tcW w:w="4205" w:type="dxa"/>
          </w:tcPr>
          <w:p w14:paraId="4D2B140E">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1) 照明线路和安全电压线路架设符合规范要求。</w:t>
            </w:r>
          </w:p>
          <w:p w14:paraId="5932D08A">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2) 设置照明专用回路漏电保护，灯具金属外壳须作接零保护或接地保护。</w:t>
            </w:r>
          </w:p>
          <w:p w14:paraId="6726F5D8">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3) 地下室、楼梯、潮湿作业和手持照明灯使用36v以下安全电压，且线路搭设合理，符合要求。</w:t>
            </w:r>
          </w:p>
          <w:p w14:paraId="13A19415">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4) 基础施工及塔吊照明死角位置设置拆卸式照明架。</w:t>
            </w:r>
          </w:p>
          <w:p w14:paraId="635A4953">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5) 夜间施工，现场必须设有保证施工安全要求的照明设施。</w:t>
            </w:r>
          </w:p>
        </w:tc>
        <w:tc>
          <w:tcPr>
            <w:tcW w:w="3749" w:type="dxa"/>
          </w:tcPr>
          <w:p w14:paraId="07647486">
            <w:pPr>
              <w:keepNext w:val="0"/>
              <w:keepLines w:val="0"/>
              <w:suppressLineNumbers w:val="0"/>
              <w:autoSpaceDE w:val="0"/>
              <w:autoSpaceDN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0" distR="0" simplePos="0" relativeHeight="251787264" behindDoc="0" locked="0" layoutInCell="1" allowOverlap="1">
                  <wp:simplePos x="0" y="0"/>
                  <wp:positionH relativeFrom="column">
                    <wp:posOffset>74295</wp:posOffset>
                  </wp:positionH>
                  <wp:positionV relativeFrom="paragraph">
                    <wp:posOffset>248285</wp:posOffset>
                  </wp:positionV>
                  <wp:extent cx="2065020" cy="1550670"/>
                  <wp:effectExtent l="19050" t="0" r="0" b="0"/>
                  <wp:wrapNone/>
                  <wp:docPr id="12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图片 10"/>
                          <pic:cNvPicPr>
                            <a:picLocks noChangeAspect="1" noChangeArrowheads="1"/>
                          </pic:cNvPicPr>
                        </pic:nvPicPr>
                        <pic:blipFill>
                          <a:blip r:embed="rId184"/>
                          <a:srcRect/>
                          <a:stretch>
                            <a:fillRect/>
                          </a:stretch>
                        </pic:blipFill>
                        <pic:spPr>
                          <a:xfrm>
                            <a:off x="0" y="0"/>
                            <a:ext cx="2065020" cy="1550670"/>
                          </a:xfrm>
                          <a:prstGeom prst="rect">
                            <a:avLst/>
                          </a:prstGeom>
                          <a:noFill/>
                          <a:ln w="9525">
                            <a:noFill/>
                            <a:miter lim="800000"/>
                            <a:headEnd/>
                            <a:tailEnd/>
                          </a:ln>
                        </pic:spPr>
                      </pic:pic>
                    </a:graphicData>
                  </a:graphic>
                </wp:anchor>
              </w:drawing>
            </w:r>
          </w:p>
          <w:p w14:paraId="01F3BBD6">
            <w:pPr>
              <w:keepNext w:val="0"/>
              <w:keepLines w:val="0"/>
              <w:suppressLineNumbers w:val="0"/>
              <w:autoSpaceDE w:val="0"/>
              <w:autoSpaceDN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0" distR="0" simplePos="0" relativeHeight="251786240" behindDoc="0" locked="0" layoutInCell="1" allowOverlap="1">
                  <wp:simplePos x="0" y="0"/>
                  <wp:positionH relativeFrom="column">
                    <wp:posOffset>74295</wp:posOffset>
                  </wp:positionH>
                  <wp:positionV relativeFrom="paragraph">
                    <wp:posOffset>1679575</wp:posOffset>
                  </wp:positionV>
                  <wp:extent cx="1998345" cy="1544955"/>
                  <wp:effectExtent l="19050" t="0" r="1905" b="0"/>
                  <wp:wrapNone/>
                  <wp:docPr id="12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图片 12"/>
                          <pic:cNvPicPr>
                            <a:picLocks noChangeAspect="1" noChangeArrowheads="1"/>
                          </pic:cNvPicPr>
                        </pic:nvPicPr>
                        <pic:blipFill>
                          <a:blip r:embed="rId185"/>
                          <a:srcRect/>
                          <a:stretch>
                            <a:fillRect/>
                          </a:stretch>
                        </pic:blipFill>
                        <pic:spPr>
                          <a:xfrm>
                            <a:off x="0" y="0"/>
                            <a:ext cx="1998345" cy="1544955"/>
                          </a:xfrm>
                          <a:prstGeom prst="rect">
                            <a:avLst/>
                          </a:prstGeom>
                          <a:noFill/>
                          <a:ln w="9525">
                            <a:noFill/>
                            <a:miter lim="800000"/>
                            <a:headEnd/>
                            <a:tailEnd/>
                          </a:ln>
                        </pic:spPr>
                      </pic:pic>
                    </a:graphicData>
                  </a:graphic>
                </wp:anchor>
              </w:drawing>
            </w:r>
          </w:p>
        </w:tc>
      </w:tr>
      <w:tr w14:paraId="46C0C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06" w:hRule="atLeast"/>
          <w:jc w:val="center"/>
        </w:trPr>
        <w:tc>
          <w:tcPr>
            <w:tcW w:w="1418" w:type="dxa"/>
          </w:tcPr>
          <w:p w14:paraId="19AB22DE">
            <w:pPr>
              <w:keepNext w:val="0"/>
              <w:keepLines w:val="0"/>
              <w:suppressLineNumbers w:val="0"/>
              <w:autoSpaceDE w:val="0"/>
              <w:autoSpaceDN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配电线路</w:t>
            </w:r>
          </w:p>
        </w:tc>
        <w:tc>
          <w:tcPr>
            <w:tcW w:w="4205" w:type="dxa"/>
          </w:tcPr>
          <w:p w14:paraId="56649D38">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1) 配电线路不可出现电线老化、破皮未包扎现象，总包单位需及时维护，发现问题及时进行更换处理。</w:t>
            </w:r>
          </w:p>
          <w:p w14:paraId="66E60967">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2) 线路设置过道保护。</w:t>
            </w:r>
          </w:p>
          <w:p w14:paraId="078E9943">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3) 电缆架设或埋设符合要求，架空时，绝缘部位采用绝缘软管或瓷瓶过渡。</w:t>
            </w:r>
          </w:p>
          <w:p w14:paraId="7CC6AF43">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t>4) 电箱严禁用其他金属丝代替熔丝。</w:t>
            </w:r>
          </w:p>
        </w:tc>
        <w:tc>
          <w:tcPr>
            <w:tcW w:w="3749" w:type="dxa"/>
          </w:tcPr>
          <w:p w14:paraId="06685921">
            <w:pPr>
              <w:keepNext w:val="0"/>
              <w:keepLines w:val="0"/>
              <w:suppressLineNumbers w:val="0"/>
              <w:autoSpaceDE w:val="0"/>
              <w:autoSpaceDN w:val="0"/>
              <w:adjustRightInd w:val="0"/>
              <w:snapToGrid w:val="0"/>
              <w:spacing w:before="100" w:beforeAutospacing="1" w:after="100" w:afterAutospacing="1" w:line="360" w:lineRule="auto"/>
              <w:ind w:left="0" w:right="0"/>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0" distR="0" simplePos="0" relativeHeight="251790336" behindDoc="0" locked="0" layoutInCell="1" allowOverlap="1">
                  <wp:simplePos x="0" y="0"/>
                  <wp:positionH relativeFrom="column">
                    <wp:posOffset>59690</wp:posOffset>
                  </wp:positionH>
                  <wp:positionV relativeFrom="paragraph">
                    <wp:posOffset>313690</wp:posOffset>
                  </wp:positionV>
                  <wp:extent cx="2078355" cy="1632585"/>
                  <wp:effectExtent l="19050" t="0" r="0" b="0"/>
                  <wp:wrapNone/>
                  <wp:docPr id="12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图片 14"/>
                          <pic:cNvPicPr>
                            <a:picLocks noChangeAspect="1" noChangeArrowheads="1"/>
                          </pic:cNvPicPr>
                        </pic:nvPicPr>
                        <pic:blipFill>
                          <a:blip r:embed="rId186"/>
                          <a:srcRect/>
                          <a:stretch>
                            <a:fillRect/>
                          </a:stretch>
                        </pic:blipFill>
                        <pic:spPr>
                          <a:xfrm>
                            <a:off x="0" y="0"/>
                            <a:ext cx="2078355" cy="1632585"/>
                          </a:xfrm>
                          <a:prstGeom prst="rect">
                            <a:avLst/>
                          </a:prstGeom>
                          <a:noFill/>
                          <a:ln w="9525">
                            <a:noFill/>
                            <a:miter lim="800000"/>
                            <a:headEnd/>
                            <a:tailEnd/>
                          </a:ln>
                        </pic:spPr>
                      </pic:pic>
                    </a:graphicData>
                  </a:graphic>
                </wp:anchor>
              </w:drawing>
            </w:r>
          </w:p>
          <w:p w14:paraId="3A4CA8DC">
            <w:pPr>
              <w:keepNext w:val="0"/>
              <w:keepLines w:val="0"/>
              <w:suppressLineNumbers w:val="0"/>
              <w:autoSpaceDE w:val="0"/>
              <w:autoSpaceDN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kern w:val="0"/>
                <w:sz w:val="24"/>
                <w:highlight w:val="none"/>
              </w:rPr>
            </w:pPr>
          </w:p>
          <w:p w14:paraId="69451841">
            <w:pPr>
              <w:keepNext w:val="0"/>
              <w:keepLines w:val="0"/>
              <w:suppressLineNumbers w:val="0"/>
              <w:autoSpaceDE w:val="0"/>
              <w:autoSpaceDN w:val="0"/>
              <w:adjustRightInd w:val="0"/>
              <w:snapToGrid w:val="0"/>
              <w:spacing w:before="100" w:beforeAutospacing="1" w:after="100" w:afterAutospacing="1" w:line="360" w:lineRule="auto"/>
              <w:ind w:left="0" w:right="0"/>
              <w:jc w:val="center"/>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0" distR="0" simplePos="0" relativeHeight="251789312" behindDoc="0" locked="0" layoutInCell="1" allowOverlap="1">
                  <wp:simplePos x="0" y="0"/>
                  <wp:positionH relativeFrom="column">
                    <wp:posOffset>60325</wp:posOffset>
                  </wp:positionH>
                  <wp:positionV relativeFrom="paragraph">
                    <wp:posOffset>1202690</wp:posOffset>
                  </wp:positionV>
                  <wp:extent cx="2096770" cy="1763395"/>
                  <wp:effectExtent l="19050" t="0" r="0" b="0"/>
                  <wp:wrapNone/>
                  <wp:docPr id="12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图片 15"/>
                          <pic:cNvPicPr>
                            <a:picLocks noChangeAspect="1" noChangeArrowheads="1"/>
                          </pic:cNvPicPr>
                        </pic:nvPicPr>
                        <pic:blipFill>
                          <a:blip r:embed="rId187"/>
                          <a:srcRect/>
                          <a:stretch>
                            <a:fillRect/>
                          </a:stretch>
                        </pic:blipFill>
                        <pic:spPr>
                          <a:xfrm>
                            <a:off x="0" y="0"/>
                            <a:ext cx="2096770" cy="176339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0"/>
                <w:sz w:val="24"/>
                <w:highlight w:val="none"/>
              </w:rPr>
              <w:drawing>
                <wp:anchor distT="0" distB="0" distL="0" distR="0" simplePos="0" relativeHeight="251788288" behindDoc="0" locked="0" layoutInCell="1" allowOverlap="1">
                  <wp:simplePos x="0" y="0"/>
                  <wp:positionH relativeFrom="column">
                    <wp:posOffset>10795</wp:posOffset>
                  </wp:positionH>
                  <wp:positionV relativeFrom="paragraph">
                    <wp:posOffset>3181350</wp:posOffset>
                  </wp:positionV>
                  <wp:extent cx="2178685" cy="1674495"/>
                  <wp:effectExtent l="19050" t="0" r="0" b="0"/>
                  <wp:wrapNone/>
                  <wp:docPr id="12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图片 17"/>
                          <pic:cNvPicPr>
                            <a:picLocks noChangeAspect="1" noChangeArrowheads="1"/>
                          </pic:cNvPicPr>
                        </pic:nvPicPr>
                        <pic:blipFill>
                          <a:blip r:embed="rId188"/>
                          <a:srcRect/>
                          <a:stretch>
                            <a:fillRect/>
                          </a:stretch>
                        </pic:blipFill>
                        <pic:spPr>
                          <a:xfrm>
                            <a:off x="0" y="0"/>
                            <a:ext cx="2178685" cy="1674495"/>
                          </a:xfrm>
                          <a:prstGeom prst="rect">
                            <a:avLst/>
                          </a:prstGeom>
                          <a:noFill/>
                          <a:ln w="9525">
                            <a:noFill/>
                            <a:miter lim="800000"/>
                            <a:headEnd/>
                            <a:tailEnd/>
                          </a:ln>
                        </pic:spPr>
                      </pic:pic>
                    </a:graphicData>
                  </a:graphic>
                </wp:anchor>
              </w:drawing>
            </w:r>
          </w:p>
        </w:tc>
      </w:tr>
    </w:tbl>
    <w:p w14:paraId="5C9B661B">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（六）基坑与管沟支护安全</w:t>
      </w:r>
    </w:p>
    <w:tbl>
      <w:tblPr>
        <w:tblStyle w:val="56"/>
        <w:tblpPr w:leftFromText="180" w:rightFromText="180" w:vertAnchor="text" w:horzAnchor="page" w:tblpX="1320" w:tblpY="308"/>
        <w:tblOverlap w:val="never"/>
        <w:tblW w:w="946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26"/>
        <w:gridCol w:w="4111"/>
        <w:gridCol w:w="3827"/>
      </w:tblGrid>
      <w:tr w14:paraId="57CE0F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526" w:type="dxa"/>
            <w:vAlign w:val="center"/>
          </w:tcPr>
          <w:p w14:paraId="13F0B4B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111" w:type="dxa"/>
            <w:vAlign w:val="center"/>
          </w:tcPr>
          <w:p w14:paraId="0F4983B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827" w:type="dxa"/>
            <w:vAlign w:val="center"/>
          </w:tcPr>
          <w:p w14:paraId="7112994A">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7AB45C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96" w:hRule="atLeast"/>
        </w:trPr>
        <w:tc>
          <w:tcPr>
            <w:tcW w:w="1526" w:type="dxa"/>
          </w:tcPr>
          <w:p w14:paraId="0671B810">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临边防护</w:t>
            </w:r>
          </w:p>
        </w:tc>
        <w:tc>
          <w:tcPr>
            <w:tcW w:w="4111" w:type="dxa"/>
          </w:tcPr>
          <w:p w14:paraId="12B1685D">
            <w:pPr>
              <w:pStyle w:val="112"/>
              <w:keepNext w:val="0"/>
              <w:keepLines w:val="0"/>
              <w:numPr>
                <w:ilvl w:val="0"/>
                <w:numId w:val="30"/>
              </w:numPr>
              <w:suppressLineNumbers w:val="0"/>
              <w:snapToGrid w:val="0"/>
              <w:spacing w:before="0" w:beforeAutospacing="0" w:after="0" w:afterAutospacing="0" w:line="360" w:lineRule="auto"/>
              <w:ind w:left="0" w:right="0" w:firstLine="0" w:firstLineChars="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深度超过2m的基坑施工，周边需设置临边防护措施或防护栏杆；</w:t>
            </w:r>
          </w:p>
          <w:p w14:paraId="71EEE3D0">
            <w:pPr>
              <w:pStyle w:val="112"/>
              <w:keepNext w:val="0"/>
              <w:keepLines w:val="0"/>
              <w:numPr>
                <w:ilvl w:val="0"/>
                <w:numId w:val="30"/>
              </w:numPr>
              <w:suppressLineNumbers w:val="0"/>
              <w:snapToGrid w:val="0"/>
              <w:spacing w:before="0" w:beforeAutospacing="0" w:after="0" w:afterAutospacing="0" w:line="360" w:lineRule="auto"/>
              <w:ind w:left="0" w:right="0" w:firstLine="0" w:firstLineChars="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 xml:space="preserve">基坑四周的防护应采用钢管加固成防护栏杆隔离，高度不小于1200mm；钢管刷黄黑相间油漆； </w:t>
            </w:r>
          </w:p>
          <w:p w14:paraId="6591BE02">
            <w:pPr>
              <w:pStyle w:val="112"/>
              <w:keepNext w:val="0"/>
              <w:keepLines w:val="0"/>
              <w:numPr>
                <w:ilvl w:val="0"/>
                <w:numId w:val="30"/>
              </w:numPr>
              <w:suppressLineNumbers w:val="0"/>
              <w:snapToGrid w:val="0"/>
              <w:spacing w:before="0" w:beforeAutospacing="0" w:after="0" w:afterAutospacing="0" w:line="360" w:lineRule="auto"/>
              <w:ind w:left="0" w:right="0" w:firstLine="0" w:firstLineChars="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91360" behindDoc="0" locked="0" layoutInCell="1" allowOverlap="1">
                  <wp:simplePos x="0" y="0"/>
                  <wp:positionH relativeFrom="column">
                    <wp:posOffset>2712085</wp:posOffset>
                  </wp:positionH>
                  <wp:positionV relativeFrom="paragraph">
                    <wp:posOffset>311785</wp:posOffset>
                  </wp:positionV>
                  <wp:extent cx="2074545" cy="1860550"/>
                  <wp:effectExtent l="19050" t="0" r="1905" b="0"/>
                  <wp:wrapNone/>
                  <wp:docPr id="1230" name="图片 100" descr="151175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图片 100" descr="1511753837"/>
                          <pic:cNvPicPr>
                            <a:picLocks noChangeAspect="1" noChangeArrowheads="1"/>
                          </pic:cNvPicPr>
                        </pic:nvPicPr>
                        <pic:blipFill>
                          <a:blip r:embed="rId189"/>
                          <a:srcRect/>
                          <a:stretch>
                            <a:fillRect/>
                          </a:stretch>
                        </pic:blipFill>
                        <pic:spPr>
                          <a:xfrm>
                            <a:off x="0" y="0"/>
                            <a:ext cx="2074545" cy="186055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临边防护栏杆离基坑边口的距离不得小于50cm，并设置安全警示标识，同时基坑边设置排水沟。</w:t>
            </w:r>
          </w:p>
          <w:p w14:paraId="11BB3313">
            <w:pPr>
              <w:pStyle w:val="112"/>
              <w:keepNext w:val="0"/>
              <w:keepLines w:val="0"/>
              <w:numPr>
                <w:ilvl w:val="0"/>
                <w:numId w:val="30"/>
              </w:numPr>
              <w:suppressLineNumbers w:val="0"/>
              <w:snapToGrid w:val="0"/>
              <w:spacing w:before="0" w:beforeAutospacing="0" w:after="0" w:afterAutospacing="0" w:line="360" w:lineRule="auto"/>
              <w:ind w:left="0" w:right="0" w:firstLine="0" w:firstLineChars="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基坑内设置供施工人员上下的专用通道并且或通道设置符合规范要求，不准攀爬模板、脚手架以确保安全，上下通道设置应符合《建筑施工高处作业安全技术规范》（JGJ80-2016) 要求。</w:t>
            </w:r>
          </w:p>
        </w:tc>
        <w:tc>
          <w:tcPr>
            <w:tcW w:w="3827" w:type="dxa"/>
          </w:tcPr>
          <w:p w14:paraId="3DDC81A9">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92384" behindDoc="0" locked="0" layoutInCell="1" allowOverlap="1">
                  <wp:simplePos x="0" y="0"/>
                  <wp:positionH relativeFrom="column">
                    <wp:posOffset>0</wp:posOffset>
                  </wp:positionH>
                  <wp:positionV relativeFrom="paragraph">
                    <wp:posOffset>90170</wp:posOffset>
                  </wp:positionV>
                  <wp:extent cx="2239010" cy="1047115"/>
                  <wp:effectExtent l="0" t="0" r="8890" b="635"/>
                  <wp:wrapNone/>
                  <wp:docPr id="1231" name="图片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图片 1074"/>
                          <pic:cNvPicPr>
                            <a:picLocks noChangeAspect="1" noChangeArrowheads="1"/>
                          </pic:cNvPicPr>
                        </pic:nvPicPr>
                        <pic:blipFill>
                          <a:blip r:embed="rId190"/>
                          <a:srcRect/>
                          <a:stretch>
                            <a:fillRect/>
                          </a:stretch>
                        </pic:blipFill>
                        <pic:spPr>
                          <a:xfrm>
                            <a:off x="0" y="0"/>
                            <a:ext cx="2239010" cy="1047115"/>
                          </a:xfrm>
                          <a:prstGeom prst="rect">
                            <a:avLst/>
                          </a:prstGeom>
                          <a:noFill/>
                          <a:ln w="9525">
                            <a:noFill/>
                            <a:miter lim="800000"/>
                            <a:headEnd/>
                            <a:tailEnd/>
                          </a:ln>
                        </pic:spPr>
                      </pic:pic>
                    </a:graphicData>
                  </a:graphic>
                </wp:anchor>
              </w:drawing>
            </w:r>
          </w:p>
          <w:p w14:paraId="54648129">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r>
      <w:tr w14:paraId="3118D3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46" w:hRule="atLeast"/>
        </w:trPr>
        <w:tc>
          <w:tcPr>
            <w:tcW w:w="1526" w:type="dxa"/>
          </w:tcPr>
          <w:p w14:paraId="5960C947">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基坑支护</w:t>
            </w:r>
          </w:p>
        </w:tc>
        <w:tc>
          <w:tcPr>
            <w:tcW w:w="4111" w:type="dxa"/>
          </w:tcPr>
          <w:p w14:paraId="2A5A2BE0">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坑槽开挖应设置符合安全要求的安全边坡；。</w:t>
            </w:r>
          </w:p>
          <w:p w14:paraId="3013F0F6">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基坑边缘堆置建筑材料等，距槽边最小距离必须满足设计规定，禁止基坑边堆置弃土，施工机械施工行走路线必须按方案执行；</w:t>
            </w:r>
          </w:p>
          <w:p w14:paraId="5E986452">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 xml:space="preserve">3）基坑工程应进行基坑工程监测，基坑监测项目应符合设计要求和规范要求， </w:t>
            </w:r>
          </w:p>
          <w:p w14:paraId="33B750CC">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4）基坑监测点位移超过警戒报警值、支护设施产生局部变形须及时采取有效措施进行补救。</w:t>
            </w:r>
          </w:p>
        </w:tc>
        <w:tc>
          <w:tcPr>
            <w:tcW w:w="3827" w:type="dxa"/>
          </w:tcPr>
          <w:p w14:paraId="2029C264">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93408" behindDoc="0" locked="0" layoutInCell="1" allowOverlap="1">
                  <wp:simplePos x="0" y="0"/>
                  <wp:positionH relativeFrom="column">
                    <wp:posOffset>142875</wp:posOffset>
                  </wp:positionH>
                  <wp:positionV relativeFrom="paragraph">
                    <wp:posOffset>741680</wp:posOffset>
                  </wp:positionV>
                  <wp:extent cx="2068195" cy="1963420"/>
                  <wp:effectExtent l="19050" t="0" r="8255" b="0"/>
                  <wp:wrapNone/>
                  <wp:docPr id="12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图片 11"/>
                          <pic:cNvPicPr>
                            <a:picLocks noChangeAspect="1" noChangeArrowheads="1"/>
                          </pic:cNvPicPr>
                        </pic:nvPicPr>
                        <pic:blipFill>
                          <a:blip r:embed="rId191"/>
                          <a:srcRect/>
                          <a:stretch>
                            <a:fillRect/>
                          </a:stretch>
                        </pic:blipFill>
                        <pic:spPr>
                          <a:xfrm>
                            <a:off x="0" y="0"/>
                            <a:ext cx="2068195" cy="1963420"/>
                          </a:xfrm>
                          <a:prstGeom prst="rect">
                            <a:avLst/>
                          </a:prstGeom>
                          <a:noFill/>
                          <a:ln w="9525">
                            <a:noFill/>
                            <a:miter lim="800000"/>
                            <a:headEnd/>
                            <a:tailEnd/>
                          </a:ln>
                        </pic:spPr>
                      </pic:pic>
                    </a:graphicData>
                  </a:graphic>
                </wp:anchor>
              </w:drawing>
            </w:r>
          </w:p>
        </w:tc>
      </w:tr>
      <w:tr w14:paraId="3905C8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63" w:hRule="atLeast"/>
        </w:trPr>
        <w:tc>
          <w:tcPr>
            <w:tcW w:w="1526" w:type="dxa"/>
          </w:tcPr>
          <w:p w14:paraId="1828C93A">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排水措施</w:t>
            </w:r>
          </w:p>
        </w:tc>
        <w:tc>
          <w:tcPr>
            <w:tcW w:w="4111" w:type="dxa"/>
          </w:tcPr>
          <w:p w14:paraId="7581C274">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w:t>
            </w:r>
            <w:r>
              <w:rPr>
                <w:rFonts w:hint="eastAsia" w:cs="仿宋_GB2312" w:asciiTheme="minorEastAsia" w:hAnsiTheme="minorEastAsia" w:eastAsiaTheme="minorEastAsia"/>
                <w:color w:val="auto"/>
                <w:kern w:val="2"/>
                <w:sz w:val="24"/>
                <w:szCs w:val="24"/>
                <w:highlight w:val="none"/>
              </w:rPr>
              <w:tab/>
            </w:r>
            <w:r>
              <w:rPr>
                <w:rFonts w:hint="eastAsia" w:cs="仿宋_GB2312" w:asciiTheme="minorEastAsia" w:hAnsiTheme="minorEastAsia" w:eastAsiaTheme="minorEastAsia"/>
                <w:color w:val="auto"/>
                <w:kern w:val="2"/>
                <w:sz w:val="24"/>
                <w:szCs w:val="24"/>
                <w:highlight w:val="none"/>
              </w:rPr>
              <w:t>基坑开挖深度范围内有地下水降排水措施：</w:t>
            </w:r>
          </w:p>
          <w:p w14:paraId="3E975241">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w:t>
            </w:r>
            <w:r>
              <w:rPr>
                <w:rFonts w:hint="eastAsia" w:cs="仿宋_GB2312" w:asciiTheme="minorEastAsia" w:hAnsiTheme="minorEastAsia" w:eastAsiaTheme="minorEastAsia"/>
                <w:color w:val="auto"/>
                <w:kern w:val="2"/>
                <w:sz w:val="24"/>
                <w:szCs w:val="24"/>
                <w:highlight w:val="none"/>
              </w:rPr>
              <w:tab/>
            </w:r>
            <w:r>
              <w:rPr>
                <w:rFonts w:hint="eastAsia" w:cs="仿宋_GB2312" w:asciiTheme="minorEastAsia" w:hAnsiTheme="minorEastAsia" w:eastAsiaTheme="minorEastAsia"/>
                <w:color w:val="auto"/>
                <w:kern w:val="2"/>
                <w:sz w:val="24"/>
                <w:szCs w:val="24"/>
                <w:highlight w:val="none"/>
              </w:rPr>
              <w:t>基坑边沿周围地面应设排水沟；放坡开挖时，应对坡顶，坡面，坡脚采取降排水措施；</w:t>
            </w:r>
          </w:p>
          <w:p w14:paraId="5049E015">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w:t>
            </w:r>
            <w:r>
              <w:rPr>
                <w:rFonts w:hint="eastAsia" w:cs="仿宋_GB2312" w:asciiTheme="minorEastAsia" w:hAnsiTheme="minorEastAsia" w:eastAsiaTheme="minorEastAsia"/>
                <w:color w:val="auto"/>
                <w:kern w:val="2"/>
                <w:sz w:val="24"/>
                <w:szCs w:val="24"/>
                <w:highlight w:val="none"/>
              </w:rPr>
              <w:tab/>
            </w:r>
            <w:r>
              <w:rPr>
                <w:rFonts w:hint="eastAsia" w:cs="仿宋_GB2312" w:asciiTheme="minorEastAsia" w:hAnsiTheme="minorEastAsia" w:eastAsiaTheme="minorEastAsia"/>
                <w:color w:val="auto"/>
                <w:kern w:val="2"/>
                <w:sz w:val="24"/>
                <w:szCs w:val="24"/>
                <w:highlight w:val="none"/>
              </w:rPr>
              <w:t>基坑底四周应按专项施工方案设排水沟和集水井，并应及时排除积水；</w:t>
            </w:r>
          </w:p>
          <w:p w14:paraId="2662063D">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w:t>
            </w:r>
            <w:r>
              <w:rPr>
                <w:rFonts w:hint="eastAsia" w:cs="仿宋_GB2312" w:asciiTheme="minorEastAsia" w:hAnsiTheme="minorEastAsia" w:eastAsiaTheme="minorEastAsia"/>
                <w:color w:val="auto"/>
                <w:kern w:val="2"/>
                <w:sz w:val="24"/>
                <w:szCs w:val="24"/>
                <w:highlight w:val="none"/>
              </w:rPr>
              <w:tab/>
            </w:r>
            <w:r>
              <w:rPr>
                <w:rFonts w:hint="eastAsia" w:cs="仿宋_GB2312" w:asciiTheme="minorEastAsia" w:hAnsiTheme="minorEastAsia" w:eastAsiaTheme="minorEastAsia"/>
                <w:color w:val="auto"/>
                <w:kern w:val="2"/>
                <w:sz w:val="24"/>
                <w:szCs w:val="24"/>
                <w:highlight w:val="none"/>
              </w:rPr>
              <w:t>降水井口应设置防护盖板或围栏，并应设置明显的警示带及标志。</w:t>
            </w:r>
          </w:p>
        </w:tc>
        <w:tc>
          <w:tcPr>
            <w:tcW w:w="3827" w:type="dxa"/>
          </w:tcPr>
          <w:p w14:paraId="204DBCCC">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94432" behindDoc="0" locked="0" layoutInCell="1" allowOverlap="1">
                  <wp:simplePos x="0" y="0"/>
                  <wp:positionH relativeFrom="column">
                    <wp:posOffset>167005</wp:posOffset>
                  </wp:positionH>
                  <wp:positionV relativeFrom="paragraph">
                    <wp:posOffset>96520</wp:posOffset>
                  </wp:positionV>
                  <wp:extent cx="1875790" cy="1240155"/>
                  <wp:effectExtent l="0" t="0" r="10160" b="17145"/>
                  <wp:wrapNone/>
                  <wp:docPr id="123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图片 103"/>
                          <pic:cNvPicPr>
                            <a:picLocks noChangeAspect="1" noChangeArrowheads="1"/>
                          </pic:cNvPicPr>
                        </pic:nvPicPr>
                        <pic:blipFill>
                          <a:blip r:embed="rId192"/>
                          <a:srcRect/>
                          <a:stretch>
                            <a:fillRect/>
                          </a:stretch>
                        </pic:blipFill>
                        <pic:spPr>
                          <a:xfrm>
                            <a:off x="0" y="0"/>
                            <a:ext cx="1875790" cy="1240155"/>
                          </a:xfrm>
                          <a:prstGeom prst="rect">
                            <a:avLst/>
                          </a:prstGeom>
                          <a:noFill/>
                          <a:ln w="9525">
                            <a:noFill/>
                            <a:miter lim="800000"/>
                            <a:headEnd/>
                            <a:tailEnd/>
                          </a:ln>
                        </pic:spPr>
                      </pic:pic>
                    </a:graphicData>
                  </a:graphic>
                </wp:anchor>
              </w:drawing>
            </w:r>
          </w:p>
          <w:p w14:paraId="3DD51960">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r>
    </w:tbl>
    <w:p w14:paraId="3BC19E5E">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（七）塔吊</w:t>
      </w:r>
    </w:p>
    <w:tbl>
      <w:tblPr>
        <w:tblStyle w:val="56"/>
        <w:tblW w:w="95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7"/>
        <w:gridCol w:w="4235"/>
        <w:gridCol w:w="3987"/>
      </w:tblGrid>
      <w:tr w14:paraId="22CAC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07" w:type="dxa"/>
          </w:tcPr>
          <w:p w14:paraId="0AADBEE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35" w:type="dxa"/>
          </w:tcPr>
          <w:p w14:paraId="5DBB33D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987" w:type="dxa"/>
          </w:tcPr>
          <w:p w14:paraId="1C8944C4">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52100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5" w:hRule="atLeast"/>
          <w:jc w:val="center"/>
        </w:trPr>
        <w:tc>
          <w:tcPr>
            <w:tcW w:w="1307" w:type="dxa"/>
            <w:vMerge w:val="restart"/>
          </w:tcPr>
          <w:p w14:paraId="683E30E6">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安全装置</w:t>
            </w:r>
          </w:p>
        </w:tc>
        <w:tc>
          <w:tcPr>
            <w:tcW w:w="4235" w:type="dxa"/>
          </w:tcPr>
          <w:p w14:paraId="4CB6F01A">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设置力矩限制器，工作灵敏。</w:t>
            </w:r>
          </w:p>
          <w:p w14:paraId="72D28CA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设置超高、变幅、行走限位；限位器灵敏。</w:t>
            </w:r>
          </w:p>
          <w:p w14:paraId="663C7D22">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 吊钩、卷扬机滚筒设置保险装置。</w:t>
            </w:r>
          </w:p>
        </w:tc>
        <w:tc>
          <w:tcPr>
            <w:tcW w:w="3987" w:type="dxa"/>
          </w:tcPr>
          <w:p w14:paraId="478A9213">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95456" behindDoc="0" locked="0" layoutInCell="1" allowOverlap="1">
                  <wp:simplePos x="0" y="0"/>
                  <wp:positionH relativeFrom="column">
                    <wp:posOffset>243840</wp:posOffset>
                  </wp:positionH>
                  <wp:positionV relativeFrom="paragraph">
                    <wp:posOffset>111125</wp:posOffset>
                  </wp:positionV>
                  <wp:extent cx="1870075" cy="1136015"/>
                  <wp:effectExtent l="19050" t="0" r="0" b="0"/>
                  <wp:wrapNone/>
                  <wp:docPr id="1234"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图片 1076"/>
                          <pic:cNvPicPr>
                            <a:picLocks noChangeAspect="1" noChangeArrowheads="1"/>
                          </pic:cNvPicPr>
                        </pic:nvPicPr>
                        <pic:blipFill>
                          <a:blip r:embed="rId193"/>
                          <a:srcRect/>
                          <a:stretch>
                            <a:fillRect/>
                          </a:stretch>
                        </pic:blipFill>
                        <pic:spPr>
                          <a:xfrm>
                            <a:off x="0" y="0"/>
                            <a:ext cx="1870075" cy="1136015"/>
                          </a:xfrm>
                          <a:prstGeom prst="rect">
                            <a:avLst/>
                          </a:prstGeom>
                          <a:noFill/>
                          <a:ln w="9525">
                            <a:noFill/>
                            <a:miter lim="800000"/>
                            <a:headEnd/>
                            <a:tailEnd/>
                          </a:ln>
                        </pic:spPr>
                      </pic:pic>
                    </a:graphicData>
                  </a:graphic>
                </wp:anchor>
              </w:drawing>
            </w:r>
          </w:p>
        </w:tc>
      </w:tr>
      <w:tr w14:paraId="04CF3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3" w:hRule="atLeast"/>
          <w:jc w:val="center"/>
        </w:trPr>
        <w:tc>
          <w:tcPr>
            <w:tcW w:w="1307" w:type="dxa"/>
            <w:vMerge w:val="continue"/>
          </w:tcPr>
          <w:p w14:paraId="4FCFF3E6">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tc>
        <w:tc>
          <w:tcPr>
            <w:tcW w:w="4235" w:type="dxa"/>
          </w:tcPr>
          <w:p w14:paraId="4FD0D83F">
            <w:pPr>
              <w:pStyle w:val="112"/>
              <w:keepNext w:val="0"/>
              <w:keepLines w:val="0"/>
              <w:suppressLineNumbers w:val="0"/>
              <w:snapToGrid w:val="0"/>
              <w:spacing w:before="0" w:beforeAutospacing="0" w:after="0" w:afterAutospacing="0" w:line="360" w:lineRule="auto"/>
              <w:ind w:left="0" w:right="0" w:firstLine="48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上人爬梯设置护圈，并符合规范要求。</w:t>
            </w:r>
          </w:p>
        </w:tc>
        <w:tc>
          <w:tcPr>
            <w:tcW w:w="3987" w:type="dxa"/>
          </w:tcPr>
          <w:p w14:paraId="71F0B749">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96480" behindDoc="0" locked="0" layoutInCell="1" allowOverlap="1">
                  <wp:simplePos x="0" y="0"/>
                  <wp:positionH relativeFrom="column">
                    <wp:posOffset>-635</wp:posOffset>
                  </wp:positionH>
                  <wp:positionV relativeFrom="paragraph">
                    <wp:posOffset>247015</wp:posOffset>
                  </wp:positionV>
                  <wp:extent cx="2195830" cy="1838960"/>
                  <wp:effectExtent l="19050" t="0" r="0" b="0"/>
                  <wp:wrapNone/>
                  <wp:docPr id="123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图片 26"/>
                          <pic:cNvPicPr>
                            <a:picLocks noChangeAspect="1" noChangeArrowheads="1"/>
                          </pic:cNvPicPr>
                        </pic:nvPicPr>
                        <pic:blipFill>
                          <a:blip r:embed="rId194"/>
                          <a:srcRect/>
                          <a:stretch>
                            <a:fillRect/>
                          </a:stretch>
                        </pic:blipFill>
                        <pic:spPr>
                          <a:xfrm>
                            <a:off x="0" y="0"/>
                            <a:ext cx="2195830" cy="1838960"/>
                          </a:xfrm>
                          <a:prstGeom prst="rect">
                            <a:avLst/>
                          </a:prstGeom>
                          <a:noFill/>
                          <a:ln w="9525">
                            <a:noFill/>
                            <a:miter lim="800000"/>
                            <a:headEnd/>
                            <a:tailEnd/>
                          </a:ln>
                        </pic:spPr>
                      </pic:pic>
                    </a:graphicData>
                  </a:graphic>
                </wp:anchor>
              </w:drawing>
            </w:r>
          </w:p>
        </w:tc>
      </w:tr>
      <w:tr w14:paraId="6F4EE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4" w:hRule="atLeast"/>
          <w:jc w:val="center"/>
        </w:trPr>
        <w:tc>
          <w:tcPr>
            <w:tcW w:w="1307" w:type="dxa"/>
          </w:tcPr>
          <w:p w14:paraId="0EC42000">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附墙装置与夹轨钳</w:t>
            </w:r>
          </w:p>
        </w:tc>
        <w:tc>
          <w:tcPr>
            <w:tcW w:w="4235" w:type="dxa"/>
          </w:tcPr>
          <w:p w14:paraId="70FE11F7">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塔吊高度超过规定需安装附墙装置。</w:t>
            </w:r>
          </w:p>
          <w:p w14:paraId="6EF55CA0">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设置夹轨钳。</w:t>
            </w:r>
          </w:p>
        </w:tc>
        <w:tc>
          <w:tcPr>
            <w:tcW w:w="3987" w:type="dxa"/>
          </w:tcPr>
          <w:p w14:paraId="7B482296">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97504" behindDoc="0" locked="0" layoutInCell="1" allowOverlap="1">
                  <wp:simplePos x="0" y="0"/>
                  <wp:positionH relativeFrom="column">
                    <wp:posOffset>-13970</wp:posOffset>
                  </wp:positionH>
                  <wp:positionV relativeFrom="paragraph">
                    <wp:posOffset>53975</wp:posOffset>
                  </wp:positionV>
                  <wp:extent cx="2131695" cy="1864995"/>
                  <wp:effectExtent l="19050" t="0" r="1905" b="0"/>
                  <wp:wrapNone/>
                  <wp:docPr id="123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图片 107"/>
                          <pic:cNvPicPr>
                            <a:picLocks noChangeAspect="1" noChangeArrowheads="1"/>
                          </pic:cNvPicPr>
                        </pic:nvPicPr>
                        <pic:blipFill>
                          <a:blip r:embed="rId195"/>
                          <a:srcRect/>
                          <a:stretch>
                            <a:fillRect/>
                          </a:stretch>
                        </pic:blipFill>
                        <pic:spPr>
                          <a:xfrm>
                            <a:off x="0" y="0"/>
                            <a:ext cx="2131695" cy="1864995"/>
                          </a:xfrm>
                          <a:prstGeom prst="rect">
                            <a:avLst/>
                          </a:prstGeom>
                          <a:noFill/>
                          <a:ln w="9525">
                            <a:noFill/>
                            <a:miter lim="800000"/>
                            <a:headEnd/>
                            <a:tailEnd/>
                          </a:ln>
                        </pic:spPr>
                      </pic:pic>
                    </a:graphicData>
                  </a:graphic>
                </wp:anchor>
              </w:drawing>
            </w:r>
          </w:p>
        </w:tc>
      </w:tr>
      <w:tr w14:paraId="6C1DE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0" w:hRule="atLeast"/>
          <w:jc w:val="center"/>
        </w:trPr>
        <w:tc>
          <w:tcPr>
            <w:tcW w:w="1307" w:type="dxa"/>
          </w:tcPr>
          <w:p w14:paraId="00BDFE29">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塔吊安全要求</w:t>
            </w:r>
          </w:p>
        </w:tc>
        <w:tc>
          <w:tcPr>
            <w:tcW w:w="4235" w:type="dxa"/>
          </w:tcPr>
          <w:p w14:paraId="6C19B2C4">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施工现场塔吊下部设置安全隔离栏采用型钢定型加工，设置门锁及安全标识牌，除检修人员和操作人员外，其他人员均不得进入。</w:t>
            </w:r>
          </w:p>
          <w:p w14:paraId="10984B2B">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塔吊上设置“施工用电安装验收合格证”、“塔吊安装验收合格证”、起重吊装“十不准”、“塔式起重机安全操作规程”、“定人定机责任牌”、“塔吊限载牌”。</w:t>
            </w:r>
          </w:p>
          <w:p w14:paraId="088E5CDD">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3)吊装前确保钢丝绳与材料绑扎牢固后，方可起吊。</w:t>
            </w:r>
          </w:p>
        </w:tc>
        <w:tc>
          <w:tcPr>
            <w:tcW w:w="3987" w:type="dxa"/>
          </w:tcPr>
          <w:p w14:paraId="0A024138">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799552" behindDoc="0" locked="0" layoutInCell="1" allowOverlap="1">
                  <wp:simplePos x="0" y="0"/>
                  <wp:positionH relativeFrom="column">
                    <wp:posOffset>-6350</wp:posOffset>
                  </wp:positionH>
                  <wp:positionV relativeFrom="paragraph">
                    <wp:posOffset>93980</wp:posOffset>
                  </wp:positionV>
                  <wp:extent cx="2014220" cy="1690370"/>
                  <wp:effectExtent l="19050" t="0" r="5080" b="0"/>
                  <wp:wrapNone/>
                  <wp:docPr id="1238" name="图片 66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图片 667" descr="22"/>
                          <pic:cNvPicPr>
                            <a:picLocks noChangeAspect="1" noChangeArrowheads="1"/>
                          </pic:cNvPicPr>
                        </pic:nvPicPr>
                        <pic:blipFill>
                          <a:blip r:embed="rId196"/>
                          <a:srcRect/>
                          <a:stretch>
                            <a:fillRect/>
                          </a:stretch>
                        </pic:blipFill>
                        <pic:spPr>
                          <a:xfrm>
                            <a:off x="0" y="0"/>
                            <a:ext cx="2014220" cy="1690370"/>
                          </a:xfrm>
                          <a:prstGeom prst="rect">
                            <a:avLst/>
                          </a:prstGeom>
                          <a:noFill/>
                          <a:ln w="9525">
                            <a:noFill/>
                            <a:miter lim="800000"/>
                            <a:headEnd/>
                            <a:tailEnd/>
                          </a:ln>
                        </pic:spPr>
                      </pic:pic>
                    </a:graphicData>
                  </a:graphic>
                </wp:anchor>
              </w:drawing>
            </w:r>
          </w:p>
          <w:p w14:paraId="2842457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kern w:val="0"/>
                <w:sz w:val="24"/>
                <w:highlight w:val="none"/>
              </w:rPr>
              <w:drawing>
                <wp:anchor distT="0" distB="0" distL="0" distR="0" simplePos="0" relativeHeight="251798528" behindDoc="0" locked="0" layoutInCell="1" allowOverlap="1">
                  <wp:simplePos x="0" y="0"/>
                  <wp:positionH relativeFrom="column">
                    <wp:posOffset>55880</wp:posOffset>
                  </wp:positionH>
                  <wp:positionV relativeFrom="paragraph">
                    <wp:posOffset>1941830</wp:posOffset>
                  </wp:positionV>
                  <wp:extent cx="1951990" cy="1656080"/>
                  <wp:effectExtent l="19050" t="0" r="0" b="0"/>
                  <wp:wrapNone/>
                  <wp:docPr id="1237" name="图片 668" descr="20100301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图片 668" descr="201003011428"/>
                          <pic:cNvPicPr>
                            <a:picLocks noChangeAspect="1" noChangeArrowheads="1"/>
                          </pic:cNvPicPr>
                        </pic:nvPicPr>
                        <pic:blipFill>
                          <a:blip r:embed="rId197"/>
                          <a:srcRect r="-163"/>
                          <a:stretch>
                            <a:fillRect/>
                          </a:stretch>
                        </pic:blipFill>
                        <pic:spPr>
                          <a:xfrm>
                            <a:off x="0" y="0"/>
                            <a:ext cx="1951990" cy="1656080"/>
                          </a:xfrm>
                          <a:prstGeom prst="rect">
                            <a:avLst/>
                          </a:prstGeom>
                          <a:noFill/>
                          <a:ln w="9525">
                            <a:noFill/>
                            <a:miter lim="800000"/>
                            <a:headEnd/>
                            <a:tailEnd/>
                          </a:ln>
                        </pic:spPr>
                      </pic:pic>
                    </a:graphicData>
                  </a:graphic>
                </wp:anchor>
              </w:drawing>
            </w:r>
          </w:p>
        </w:tc>
      </w:tr>
      <w:tr w14:paraId="2A27A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8" w:hRule="atLeast"/>
          <w:jc w:val="center"/>
        </w:trPr>
        <w:tc>
          <w:tcPr>
            <w:tcW w:w="1307" w:type="dxa"/>
          </w:tcPr>
          <w:p w14:paraId="30AF4C5C">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塔吊指挥</w:t>
            </w:r>
          </w:p>
        </w:tc>
        <w:tc>
          <w:tcPr>
            <w:tcW w:w="4235" w:type="dxa"/>
          </w:tcPr>
          <w:p w14:paraId="013CDEF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操作人员持证上岗。</w:t>
            </w:r>
          </w:p>
          <w:p w14:paraId="257C8027">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高塔作业使用旗语或者对讲机。</w:t>
            </w:r>
          </w:p>
          <w:p w14:paraId="369047FC">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 塔吊吊运期间有信号工在场监督。</w:t>
            </w:r>
          </w:p>
        </w:tc>
        <w:tc>
          <w:tcPr>
            <w:tcW w:w="3987" w:type="dxa"/>
          </w:tcPr>
          <w:p w14:paraId="5AA6D47E">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800576" behindDoc="0" locked="0" layoutInCell="1" allowOverlap="1">
                  <wp:simplePos x="0" y="0"/>
                  <wp:positionH relativeFrom="column">
                    <wp:posOffset>55880</wp:posOffset>
                  </wp:positionH>
                  <wp:positionV relativeFrom="paragraph">
                    <wp:posOffset>236220</wp:posOffset>
                  </wp:positionV>
                  <wp:extent cx="2100580" cy="1619250"/>
                  <wp:effectExtent l="19050" t="0" r="0" b="0"/>
                  <wp:wrapNone/>
                  <wp:docPr id="1239" name="图片 24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图片 244751"/>
                          <pic:cNvPicPr>
                            <a:picLocks noChangeAspect="1" noChangeArrowheads="1"/>
                          </pic:cNvPicPr>
                        </pic:nvPicPr>
                        <pic:blipFill>
                          <a:blip r:embed="rId198"/>
                          <a:srcRect/>
                          <a:stretch>
                            <a:fillRect/>
                          </a:stretch>
                        </pic:blipFill>
                        <pic:spPr>
                          <a:xfrm>
                            <a:off x="0" y="0"/>
                            <a:ext cx="2100580" cy="1619250"/>
                          </a:xfrm>
                          <a:prstGeom prst="rect">
                            <a:avLst/>
                          </a:prstGeom>
                          <a:noFill/>
                          <a:ln w="9525">
                            <a:noFill/>
                            <a:miter lim="800000"/>
                            <a:headEnd/>
                            <a:tailEnd/>
                          </a:ln>
                        </pic:spPr>
                      </pic:pic>
                    </a:graphicData>
                  </a:graphic>
                </wp:anchor>
              </w:drawing>
            </w:r>
          </w:p>
        </w:tc>
      </w:tr>
      <w:tr w14:paraId="7BD3A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5" w:hRule="atLeast"/>
          <w:jc w:val="center"/>
        </w:trPr>
        <w:tc>
          <w:tcPr>
            <w:tcW w:w="1307" w:type="dxa"/>
          </w:tcPr>
          <w:p w14:paraId="68F3DC35">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群塔作业</w:t>
            </w:r>
          </w:p>
        </w:tc>
        <w:tc>
          <w:tcPr>
            <w:tcW w:w="4235" w:type="dxa"/>
          </w:tcPr>
          <w:p w14:paraId="32358D85">
            <w:pPr>
              <w:pStyle w:val="112"/>
              <w:keepNext w:val="0"/>
              <w:keepLines w:val="0"/>
              <w:suppressLineNumbers w:val="0"/>
              <w:snapToGrid w:val="0"/>
              <w:spacing w:before="0" w:beforeAutospacing="0" w:after="0" w:afterAutospacing="0" w:line="360" w:lineRule="auto"/>
              <w:ind w:left="0" w:right="0" w:firstLine="48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两台以上塔吊作业需设置防碰撞措施和编制专项方案并经审批。</w:t>
            </w:r>
          </w:p>
        </w:tc>
        <w:tc>
          <w:tcPr>
            <w:tcW w:w="3987" w:type="dxa"/>
          </w:tcPr>
          <w:p w14:paraId="3D7C9B8D">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801600" behindDoc="0" locked="0" layoutInCell="1" allowOverlap="1">
                  <wp:simplePos x="0" y="0"/>
                  <wp:positionH relativeFrom="column">
                    <wp:posOffset>13970</wp:posOffset>
                  </wp:positionH>
                  <wp:positionV relativeFrom="paragraph">
                    <wp:posOffset>66040</wp:posOffset>
                  </wp:positionV>
                  <wp:extent cx="2036445" cy="1421765"/>
                  <wp:effectExtent l="19050" t="0" r="1905" b="0"/>
                  <wp:wrapNone/>
                  <wp:docPr id="1240" name="图片 24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图片 244752"/>
                          <pic:cNvPicPr>
                            <a:picLocks noChangeAspect="1" noChangeArrowheads="1"/>
                          </pic:cNvPicPr>
                        </pic:nvPicPr>
                        <pic:blipFill>
                          <a:blip r:embed="rId199"/>
                          <a:srcRect/>
                          <a:stretch>
                            <a:fillRect/>
                          </a:stretch>
                        </pic:blipFill>
                        <pic:spPr>
                          <a:xfrm>
                            <a:off x="0" y="0"/>
                            <a:ext cx="2036445" cy="1421765"/>
                          </a:xfrm>
                          <a:prstGeom prst="rect">
                            <a:avLst/>
                          </a:prstGeom>
                          <a:noFill/>
                          <a:ln w="9525">
                            <a:noFill/>
                            <a:miter lim="800000"/>
                            <a:headEnd/>
                            <a:tailEnd/>
                          </a:ln>
                        </pic:spPr>
                      </pic:pic>
                    </a:graphicData>
                  </a:graphic>
                </wp:anchor>
              </w:drawing>
            </w:r>
          </w:p>
        </w:tc>
      </w:tr>
      <w:tr w14:paraId="36F6F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07" w:hRule="atLeast"/>
          <w:jc w:val="center"/>
        </w:trPr>
        <w:tc>
          <w:tcPr>
            <w:tcW w:w="1307" w:type="dxa"/>
          </w:tcPr>
          <w:p w14:paraId="6EB1217D">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维保记录</w:t>
            </w:r>
          </w:p>
        </w:tc>
        <w:tc>
          <w:tcPr>
            <w:tcW w:w="4235" w:type="dxa"/>
          </w:tcPr>
          <w:p w14:paraId="6773AC39">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塔吊日常维保记录齐全。</w:t>
            </w:r>
          </w:p>
        </w:tc>
        <w:tc>
          <w:tcPr>
            <w:tcW w:w="3987" w:type="dxa"/>
          </w:tcPr>
          <w:p w14:paraId="5CA85DBA">
            <w:pPr>
              <w:pStyle w:val="112"/>
              <w:keepNext w:val="0"/>
              <w:keepLines w:val="0"/>
              <w:suppressLineNumbers w:val="0"/>
              <w:snapToGrid w:val="0"/>
              <w:spacing w:before="0" w:beforeAutospacing="0" w:after="0" w:afterAutospacing="0" w:line="360" w:lineRule="auto"/>
              <w:ind w:left="0" w:right="0" w:firstLine="480"/>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802624" behindDoc="0" locked="0" layoutInCell="1" allowOverlap="1">
                  <wp:simplePos x="0" y="0"/>
                  <wp:positionH relativeFrom="column">
                    <wp:posOffset>161290</wp:posOffset>
                  </wp:positionH>
                  <wp:positionV relativeFrom="paragraph">
                    <wp:posOffset>170180</wp:posOffset>
                  </wp:positionV>
                  <wp:extent cx="2063750" cy="1540510"/>
                  <wp:effectExtent l="19050" t="0" r="0" b="0"/>
                  <wp:wrapNone/>
                  <wp:docPr id="1241"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图片 1062"/>
                          <pic:cNvPicPr>
                            <a:picLocks noChangeAspect="1" noChangeArrowheads="1"/>
                          </pic:cNvPicPr>
                        </pic:nvPicPr>
                        <pic:blipFill>
                          <a:blip r:embed="rId200"/>
                          <a:srcRect/>
                          <a:stretch>
                            <a:fillRect/>
                          </a:stretch>
                        </pic:blipFill>
                        <pic:spPr>
                          <a:xfrm>
                            <a:off x="0" y="0"/>
                            <a:ext cx="2063750" cy="1540510"/>
                          </a:xfrm>
                          <a:prstGeom prst="rect">
                            <a:avLst/>
                          </a:prstGeom>
                          <a:noFill/>
                          <a:ln w="9525">
                            <a:noFill/>
                            <a:miter lim="800000"/>
                            <a:headEnd/>
                            <a:tailEnd/>
                          </a:ln>
                        </pic:spPr>
                      </pic:pic>
                    </a:graphicData>
                  </a:graphic>
                </wp:anchor>
              </w:drawing>
            </w:r>
          </w:p>
        </w:tc>
      </w:tr>
    </w:tbl>
    <w:p w14:paraId="4719A17D">
      <w:pPr>
        <w:pStyle w:val="74"/>
        <w:adjustRightInd w:val="0"/>
        <w:snapToGrid w:val="0"/>
        <w:spacing w:line="360" w:lineRule="auto"/>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（八）施工电梯</w:t>
      </w:r>
    </w:p>
    <w:tbl>
      <w:tblPr>
        <w:tblStyle w:val="56"/>
        <w:tblW w:w="952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03"/>
        <w:gridCol w:w="4253"/>
        <w:gridCol w:w="3965"/>
      </w:tblGrid>
      <w:tr w14:paraId="1FB209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1303" w:type="dxa"/>
            <w:vAlign w:val="center"/>
          </w:tcPr>
          <w:p w14:paraId="2ADB4D6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53" w:type="dxa"/>
            <w:vAlign w:val="center"/>
          </w:tcPr>
          <w:p w14:paraId="0D1A72A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965" w:type="dxa"/>
            <w:vAlign w:val="center"/>
          </w:tcPr>
          <w:p w14:paraId="2F81989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35D00D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03" w:type="dxa"/>
          </w:tcPr>
          <w:p w14:paraId="0ECD313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安全装置</w:t>
            </w:r>
          </w:p>
        </w:tc>
        <w:tc>
          <w:tcPr>
            <w:tcW w:w="4253" w:type="dxa"/>
          </w:tcPr>
          <w:p w14:paraId="03182A0E">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1）安装渐进式防坠落安全器（检测有效日期）、极限开关、限位开关、吊笼门机电连锁装置；</w:t>
            </w:r>
          </w:p>
          <w:p w14:paraId="1E7A91E0">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2）防护门门锁装置设置完好有效；</w:t>
            </w:r>
          </w:p>
          <w:p w14:paraId="374C5013">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3）每层卸料口必须设置安全防护门；吊笼门与登机平台边缘的水平距离不应大于50mm；</w:t>
            </w:r>
          </w:p>
          <w:p w14:paraId="7F8D0B0D">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4）联络信号完好有效；</w:t>
            </w:r>
          </w:p>
          <w:p w14:paraId="1D441B13">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5）司机必须持证上岗作业；</w:t>
            </w:r>
          </w:p>
          <w:p w14:paraId="36C6339E">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6）机械设备必须检验合格且按规定维保；</w:t>
            </w:r>
          </w:p>
        </w:tc>
        <w:tc>
          <w:tcPr>
            <w:tcW w:w="3965" w:type="dxa"/>
          </w:tcPr>
          <w:p w14:paraId="1AF41E8B">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804672" behindDoc="0" locked="0" layoutInCell="1" allowOverlap="1">
                  <wp:simplePos x="0" y="0"/>
                  <wp:positionH relativeFrom="column">
                    <wp:posOffset>173990</wp:posOffset>
                  </wp:positionH>
                  <wp:positionV relativeFrom="paragraph">
                    <wp:posOffset>29845</wp:posOffset>
                  </wp:positionV>
                  <wp:extent cx="2004060" cy="1337945"/>
                  <wp:effectExtent l="19050" t="0" r="0" b="0"/>
                  <wp:wrapNone/>
                  <wp:docPr id="1243" name="图片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图片 1101"/>
                          <pic:cNvPicPr>
                            <a:picLocks noChangeAspect="1" noChangeArrowheads="1"/>
                          </pic:cNvPicPr>
                        </pic:nvPicPr>
                        <pic:blipFill>
                          <a:blip r:embed="rId201"/>
                          <a:srcRect/>
                          <a:stretch>
                            <a:fillRect/>
                          </a:stretch>
                        </pic:blipFill>
                        <pic:spPr>
                          <a:xfrm>
                            <a:off x="0" y="0"/>
                            <a:ext cx="2004060" cy="1337945"/>
                          </a:xfrm>
                          <a:prstGeom prst="rect">
                            <a:avLst/>
                          </a:prstGeom>
                          <a:noFill/>
                          <a:ln w="9525">
                            <a:noFill/>
                            <a:miter lim="800000"/>
                            <a:headEnd/>
                            <a:tailEnd/>
                          </a:ln>
                        </pic:spPr>
                      </pic:pic>
                    </a:graphicData>
                  </a:graphic>
                </wp:anchor>
              </w:drawing>
            </w:r>
          </w:p>
          <w:p w14:paraId="295E0D02">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2C0BDFEC">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2"/>
                <w:highlight w:val="none"/>
              </w:rPr>
              <w:drawing>
                <wp:anchor distT="0" distB="0" distL="0" distR="0" simplePos="0" relativeHeight="251803648" behindDoc="0" locked="0" layoutInCell="1" allowOverlap="1">
                  <wp:simplePos x="0" y="0"/>
                  <wp:positionH relativeFrom="column">
                    <wp:posOffset>173990</wp:posOffset>
                  </wp:positionH>
                  <wp:positionV relativeFrom="paragraph">
                    <wp:posOffset>865505</wp:posOffset>
                  </wp:positionV>
                  <wp:extent cx="1924050" cy="1646555"/>
                  <wp:effectExtent l="19050" t="0" r="0" b="0"/>
                  <wp:wrapNone/>
                  <wp:docPr id="1242" name="图片 17" descr="D:\111压缩文件\新建文件夹\IMG_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图片 17" descr="D:\111压缩文件\新建文件夹\IMG_2153.JPG"/>
                          <pic:cNvPicPr>
                            <a:picLocks noChangeAspect="1" noChangeArrowheads="1"/>
                          </pic:cNvPicPr>
                        </pic:nvPicPr>
                        <pic:blipFill>
                          <a:blip r:embed="rId202"/>
                          <a:srcRect/>
                          <a:stretch>
                            <a:fillRect/>
                          </a:stretch>
                        </pic:blipFill>
                        <pic:spPr>
                          <a:xfrm>
                            <a:off x="0" y="0"/>
                            <a:ext cx="1924050" cy="1646555"/>
                          </a:xfrm>
                          <a:prstGeom prst="rect">
                            <a:avLst/>
                          </a:prstGeom>
                          <a:noFill/>
                          <a:ln w="9525">
                            <a:noFill/>
                            <a:miter lim="800000"/>
                            <a:headEnd/>
                            <a:tailEnd/>
                          </a:ln>
                        </pic:spPr>
                      </pic:pic>
                    </a:graphicData>
                  </a:graphic>
                </wp:anchor>
              </w:drawing>
            </w:r>
          </w:p>
        </w:tc>
      </w:tr>
      <w:tr w14:paraId="2ED303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03" w:type="dxa"/>
          </w:tcPr>
          <w:p w14:paraId="5D9CA8C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安全防护</w:t>
            </w:r>
          </w:p>
        </w:tc>
        <w:tc>
          <w:tcPr>
            <w:tcW w:w="4253" w:type="dxa"/>
          </w:tcPr>
          <w:p w14:paraId="12C98C9B">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 地面电梯出入口设置防护棚，防护棚材质搭设符合规范要求，各楼层的施工电梯平台必须封闭管理。</w:t>
            </w:r>
          </w:p>
          <w:p w14:paraId="27486F92">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 楼层电梯门须设置防外开限位。</w:t>
            </w:r>
          </w:p>
          <w:p w14:paraId="64A24996">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3) 各楼层平台须安置电铃。</w:t>
            </w:r>
          </w:p>
          <w:p w14:paraId="11339950">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4) 各楼层平台设置灭火器。</w:t>
            </w:r>
          </w:p>
          <w:p w14:paraId="1BA403A9">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5) 采用钢板作为主要框架，3mm厚钢板网作为整体防护，里面封闭，并扣上保险扣，在楼外侧须有门档装置。</w:t>
            </w:r>
          </w:p>
          <w:p w14:paraId="08D1E5A8">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806720" behindDoc="0" locked="0" layoutInCell="1" allowOverlap="1">
                  <wp:simplePos x="0" y="0"/>
                  <wp:positionH relativeFrom="column">
                    <wp:posOffset>2909570</wp:posOffset>
                  </wp:positionH>
                  <wp:positionV relativeFrom="paragraph">
                    <wp:posOffset>160020</wp:posOffset>
                  </wp:positionV>
                  <wp:extent cx="2020570" cy="1219835"/>
                  <wp:effectExtent l="19050" t="0" r="0" b="0"/>
                  <wp:wrapNone/>
                  <wp:docPr id="1245"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图片 683"/>
                          <pic:cNvPicPr>
                            <a:picLocks noChangeAspect="1" noChangeArrowheads="1"/>
                          </pic:cNvPicPr>
                        </pic:nvPicPr>
                        <pic:blipFill>
                          <a:blip r:embed="rId203"/>
                          <a:srcRect/>
                          <a:stretch>
                            <a:fillRect/>
                          </a:stretch>
                        </pic:blipFill>
                        <pic:spPr>
                          <a:xfrm>
                            <a:off x="0" y="0"/>
                            <a:ext cx="2020570" cy="121983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6) 首层施工电梯要求张贴如下牌：“电梯安装合格证”、“施工电梯编号”、“电梯十不运管理制度”“电梯使用规程”“限重牌”。</w:t>
            </w:r>
          </w:p>
          <w:p w14:paraId="53BFBDEC">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5F8C2565">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54256D29">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6942ABB0">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38AA50C9">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tc>
        <w:tc>
          <w:tcPr>
            <w:tcW w:w="3965" w:type="dxa"/>
          </w:tcPr>
          <w:p w14:paraId="51C7382A">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808768" behindDoc="0" locked="0" layoutInCell="1" allowOverlap="1">
                  <wp:simplePos x="0" y="0"/>
                  <wp:positionH relativeFrom="column">
                    <wp:posOffset>170180</wp:posOffset>
                  </wp:positionH>
                  <wp:positionV relativeFrom="paragraph">
                    <wp:posOffset>86360</wp:posOffset>
                  </wp:positionV>
                  <wp:extent cx="1908175" cy="1036320"/>
                  <wp:effectExtent l="0" t="0" r="15875" b="11430"/>
                  <wp:wrapNone/>
                  <wp:docPr id="12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图片 24"/>
                          <pic:cNvPicPr>
                            <a:picLocks noChangeAspect="1" noChangeArrowheads="1"/>
                          </pic:cNvPicPr>
                        </pic:nvPicPr>
                        <pic:blipFill>
                          <a:blip r:embed="rId204"/>
                          <a:srcRect/>
                          <a:stretch>
                            <a:fillRect/>
                          </a:stretch>
                        </pic:blipFill>
                        <pic:spPr>
                          <a:xfrm>
                            <a:off x="0" y="0"/>
                            <a:ext cx="1908175" cy="1036320"/>
                          </a:xfrm>
                          <a:prstGeom prst="rect">
                            <a:avLst/>
                          </a:prstGeom>
                          <a:noFill/>
                          <a:ln w="9525">
                            <a:noFill/>
                            <a:miter lim="800000"/>
                            <a:headEnd/>
                            <a:tailEnd/>
                          </a:ln>
                        </pic:spPr>
                      </pic:pic>
                    </a:graphicData>
                  </a:graphic>
                </wp:anchor>
              </w:drawing>
            </w:r>
          </w:p>
          <w:p w14:paraId="3BD5F78E">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019E8FCD">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5A744ECE">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65B70B30">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807744" behindDoc="0" locked="0" layoutInCell="1" allowOverlap="1">
                  <wp:simplePos x="0" y="0"/>
                  <wp:positionH relativeFrom="column">
                    <wp:posOffset>177800</wp:posOffset>
                  </wp:positionH>
                  <wp:positionV relativeFrom="paragraph">
                    <wp:posOffset>17780</wp:posOffset>
                  </wp:positionV>
                  <wp:extent cx="1886585" cy="1058545"/>
                  <wp:effectExtent l="0" t="0" r="5715" b="8255"/>
                  <wp:wrapNone/>
                  <wp:docPr id="1246"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图片 701"/>
                          <pic:cNvPicPr>
                            <a:picLocks noChangeAspect="1" noChangeArrowheads="1"/>
                          </pic:cNvPicPr>
                        </pic:nvPicPr>
                        <pic:blipFill>
                          <a:blip r:embed="rId205"/>
                          <a:srcRect/>
                          <a:stretch>
                            <a:fillRect/>
                          </a:stretch>
                        </pic:blipFill>
                        <pic:spPr>
                          <a:xfrm>
                            <a:off x="0" y="0"/>
                            <a:ext cx="1886585" cy="1058545"/>
                          </a:xfrm>
                          <a:prstGeom prst="rect">
                            <a:avLst/>
                          </a:prstGeom>
                          <a:noFill/>
                          <a:ln w="9525">
                            <a:noFill/>
                            <a:miter lim="800000"/>
                            <a:headEnd/>
                            <a:tailEnd/>
                          </a:ln>
                        </pic:spPr>
                      </pic:pic>
                    </a:graphicData>
                  </a:graphic>
                </wp:anchor>
              </w:drawing>
            </w:r>
          </w:p>
          <w:p w14:paraId="6E52AD84">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tc>
      </w:tr>
      <w:tr w14:paraId="6674B0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03" w:type="dxa"/>
          </w:tcPr>
          <w:p w14:paraId="1385DFEF">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操作人员</w:t>
            </w:r>
          </w:p>
        </w:tc>
        <w:tc>
          <w:tcPr>
            <w:tcW w:w="4253" w:type="dxa"/>
          </w:tcPr>
          <w:p w14:paraId="05344FDA">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 操作人员持证上岗作业，安全交底到位。</w:t>
            </w:r>
          </w:p>
          <w:p w14:paraId="6049C02F">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 每班作业前按规定试车，按照规定交接班并且有书面交接记录。</w:t>
            </w:r>
          </w:p>
          <w:p w14:paraId="2A7B8C1B">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3) 电梯操作人员人机相符。</w:t>
            </w:r>
          </w:p>
          <w:p w14:paraId="36719763">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4) 电梯张贴操作人员操作证并且操作证在有效期内。</w:t>
            </w:r>
          </w:p>
        </w:tc>
        <w:tc>
          <w:tcPr>
            <w:tcW w:w="3965" w:type="dxa"/>
          </w:tcPr>
          <w:p w14:paraId="6516804B">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2"/>
                <w:highlight w:val="none"/>
              </w:rPr>
              <w:drawing>
                <wp:anchor distT="0" distB="0" distL="0" distR="0" simplePos="0" relativeHeight="251805696" behindDoc="0" locked="0" layoutInCell="1" allowOverlap="1">
                  <wp:simplePos x="0" y="0"/>
                  <wp:positionH relativeFrom="column">
                    <wp:posOffset>74930</wp:posOffset>
                  </wp:positionH>
                  <wp:positionV relativeFrom="paragraph">
                    <wp:posOffset>321310</wp:posOffset>
                  </wp:positionV>
                  <wp:extent cx="2143125" cy="1218565"/>
                  <wp:effectExtent l="19050" t="0" r="9525" b="0"/>
                  <wp:wrapNone/>
                  <wp:docPr id="124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图片 664"/>
                          <pic:cNvPicPr>
                            <a:picLocks noChangeAspect="1" noChangeArrowheads="1"/>
                          </pic:cNvPicPr>
                        </pic:nvPicPr>
                        <pic:blipFill>
                          <a:blip r:embed="rId206"/>
                          <a:srcRect/>
                          <a:stretch>
                            <a:fillRect/>
                          </a:stretch>
                        </pic:blipFill>
                        <pic:spPr>
                          <a:xfrm>
                            <a:off x="0" y="0"/>
                            <a:ext cx="2143125" cy="1218565"/>
                          </a:xfrm>
                          <a:prstGeom prst="rect">
                            <a:avLst/>
                          </a:prstGeom>
                          <a:noFill/>
                          <a:ln w="9525">
                            <a:noFill/>
                            <a:miter lim="800000"/>
                            <a:headEnd/>
                            <a:tailEnd/>
                          </a:ln>
                        </pic:spPr>
                      </pic:pic>
                    </a:graphicData>
                  </a:graphic>
                </wp:anchor>
              </w:drawing>
            </w:r>
          </w:p>
        </w:tc>
      </w:tr>
      <w:tr w14:paraId="2C2B3A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03" w:type="dxa"/>
          </w:tcPr>
          <w:p w14:paraId="358E4F6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架体稳定</w:t>
            </w:r>
          </w:p>
        </w:tc>
        <w:tc>
          <w:tcPr>
            <w:tcW w:w="4253" w:type="dxa"/>
          </w:tcPr>
          <w:p w14:paraId="5F1C9D7B">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 架体垂直度不超过说明书规定。</w:t>
            </w:r>
          </w:p>
          <w:p w14:paraId="0EA7112A">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 架体与建筑结构附着符合规范要求。</w:t>
            </w:r>
          </w:p>
          <w:p w14:paraId="6559ED6F">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3) 严禁架体附着装置与脚手架连接。</w:t>
            </w:r>
          </w:p>
          <w:p w14:paraId="0D3855CB">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1682300A">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2BD47445">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571A91C6">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tc>
        <w:tc>
          <w:tcPr>
            <w:tcW w:w="3965" w:type="dxa"/>
          </w:tcPr>
          <w:p w14:paraId="2E8C69D6">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809792" behindDoc="0" locked="0" layoutInCell="1" allowOverlap="1">
                  <wp:simplePos x="0" y="0"/>
                  <wp:positionH relativeFrom="column">
                    <wp:posOffset>285115</wp:posOffset>
                  </wp:positionH>
                  <wp:positionV relativeFrom="paragraph">
                    <wp:posOffset>193675</wp:posOffset>
                  </wp:positionV>
                  <wp:extent cx="1817370" cy="1539240"/>
                  <wp:effectExtent l="19050" t="0" r="0" b="0"/>
                  <wp:wrapNone/>
                  <wp:docPr id="1248" name="图片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109"/>
                          <pic:cNvPicPr>
                            <a:picLocks noChangeAspect="1" noChangeArrowheads="1"/>
                          </pic:cNvPicPr>
                        </pic:nvPicPr>
                        <pic:blipFill>
                          <a:blip r:embed="rId207"/>
                          <a:srcRect/>
                          <a:stretch>
                            <a:fillRect/>
                          </a:stretch>
                        </pic:blipFill>
                        <pic:spPr>
                          <a:xfrm>
                            <a:off x="0" y="0"/>
                            <a:ext cx="1817370" cy="1539240"/>
                          </a:xfrm>
                          <a:prstGeom prst="rect">
                            <a:avLst/>
                          </a:prstGeom>
                          <a:noFill/>
                          <a:ln w="9525">
                            <a:noFill/>
                            <a:miter lim="800000"/>
                            <a:headEnd/>
                            <a:tailEnd/>
                          </a:ln>
                        </pic:spPr>
                      </pic:pic>
                    </a:graphicData>
                  </a:graphic>
                </wp:anchor>
              </w:drawing>
            </w:r>
          </w:p>
        </w:tc>
      </w:tr>
      <w:tr w14:paraId="310ABF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03" w:type="dxa"/>
          </w:tcPr>
          <w:p w14:paraId="29D3C8E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安装验收</w:t>
            </w:r>
          </w:p>
        </w:tc>
        <w:tc>
          <w:tcPr>
            <w:tcW w:w="4253" w:type="dxa"/>
          </w:tcPr>
          <w:p w14:paraId="04D459A6">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 电梯安装后必须进行验收。</w:t>
            </w:r>
          </w:p>
          <w:p w14:paraId="311BA410">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 电梯验收单上必须有量化的验收内容。</w:t>
            </w:r>
          </w:p>
          <w:p w14:paraId="27E7C4BB">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48425134">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653A6BB7">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tc>
        <w:tc>
          <w:tcPr>
            <w:tcW w:w="3965" w:type="dxa"/>
          </w:tcPr>
          <w:p w14:paraId="310283CB">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810816" behindDoc="0" locked="0" layoutInCell="1" allowOverlap="1">
                  <wp:simplePos x="0" y="0"/>
                  <wp:positionH relativeFrom="column">
                    <wp:posOffset>266065</wp:posOffset>
                  </wp:positionH>
                  <wp:positionV relativeFrom="paragraph">
                    <wp:posOffset>79375</wp:posOffset>
                  </wp:positionV>
                  <wp:extent cx="1751330" cy="1223010"/>
                  <wp:effectExtent l="19050" t="0" r="1270" b="0"/>
                  <wp:wrapNone/>
                  <wp:docPr id="1249" name="图片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图片 1131"/>
                          <pic:cNvPicPr>
                            <a:picLocks noChangeAspect="1" noChangeArrowheads="1"/>
                          </pic:cNvPicPr>
                        </pic:nvPicPr>
                        <pic:blipFill>
                          <a:blip r:embed="rId208"/>
                          <a:srcRect/>
                          <a:stretch>
                            <a:fillRect/>
                          </a:stretch>
                        </pic:blipFill>
                        <pic:spPr>
                          <a:xfrm>
                            <a:off x="0" y="0"/>
                            <a:ext cx="1751330" cy="1223010"/>
                          </a:xfrm>
                          <a:prstGeom prst="rect">
                            <a:avLst/>
                          </a:prstGeom>
                          <a:noFill/>
                          <a:ln w="9525">
                            <a:noFill/>
                            <a:miter lim="800000"/>
                            <a:headEnd/>
                            <a:tailEnd/>
                          </a:ln>
                        </pic:spPr>
                      </pic:pic>
                    </a:graphicData>
                  </a:graphic>
                </wp:anchor>
              </w:drawing>
            </w:r>
          </w:p>
        </w:tc>
      </w:tr>
      <w:tr w14:paraId="46B1E9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303" w:type="dxa"/>
          </w:tcPr>
          <w:p w14:paraId="73534F76">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维保记录</w:t>
            </w:r>
          </w:p>
        </w:tc>
        <w:tc>
          <w:tcPr>
            <w:tcW w:w="4253" w:type="dxa"/>
          </w:tcPr>
          <w:p w14:paraId="5898894B">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电梯日常维保记录齐全。</w:t>
            </w:r>
          </w:p>
          <w:p w14:paraId="0196BC37">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5951F115">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r>
              <w:rPr>
                <w:rFonts w:hint="eastAsia" w:cs="仿宋_GB2312" w:asciiTheme="minorEastAsia" w:hAnsiTheme="minorEastAsia" w:eastAsiaTheme="minorEastAsia"/>
                <w:color w:val="auto"/>
                <w:sz w:val="24"/>
                <w:highlight w:val="none"/>
                <w:lang w:val="en-US" w:bidi="ar-SA"/>
              </w:rPr>
              <w:drawing>
                <wp:anchor distT="0" distB="0" distL="0" distR="0" simplePos="0" relativeHeight="251811840" behindDoc="0" locked="0" layoutInCell="1" allowOverlap="1">
                  <wp:simplePos x="0" y="0"/>
                  <wp:positionH relativeFrom="column">
                    <wp:posOffset>3086100</wp:posOffset>
                  </wp:positionH>
                  <wp:positionV relativeFrom="paragraph">
                    <wp:posOffset>88900</wp:posOffset>
                  </wp:positionV>
                  <wp:extent cx="1519555" cy="845820"/>
                  <wp:effectExtent l="0" t="0" r="4445" b="5080"/>
                  <wp:wrapNone/>
                  <wp:docPr id="1250" name="图片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图片 1134"/>
                          <pic:cNvPicPr>
                            <a:picLocks noChangeAspect="1" noChangeArrowheads="1"/>
                          </pic:cNvPicPr>
                        </pic:nvPicPr>
                        <pic:blipFill>
                          <a:blip r:embed="rId209"/>
                          <a:srcRect/>
                          <a:stretch>
                            <a:fillRect/>
                          </a:stretch>
                        </pic:blipFill>
                        <pic:spPr>
                          <a:xfrm>
                            <a:off x="0" y="0"/>
                            <a:ext cx="1519555" cy="845820"/>
                          </a:xfrm>
                          <a:prstGeom prst="rect">
                            <a:avLst/>
                          </a:prstGeom>
                          <a:noFill/>
                          <a:ln w="9525">
                            <a:noFill/>
                            <a:miter lim="800000"/>
                            <a:headEnd/>
                            <a:tailEnd/>
                          </a:ln>
                        </pic:spPr>
                      </pic:pic>
                    </a:graphicData>
                  </a:graphic>
                </wp:anchor>
              </w:drawing>
            </w:r>
          </w:p>
          <w:p w14:paraId="38595E4D">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340283A4">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17CD4DAE">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02DDD31A">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1D3BA981">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tc>
        <w:tc>
          <w:tcPr>
            <w:tcW w:w="3965" w:type="dxa"/>
          </w:tcPr>
          <w:p w14:paraId="222FB32B">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tc>
      </w:tr>
    </w:tbl>
    <w:p w14:paraId="56C8D4C4">
      <w:pPr>
        <w:pStyle w:val="74"/>
        <w:adjustRightInd w:val="0"/>
        <w:snapToGrid w:val="0"/>
        <w:spacing w:line="360" w:lineRule="auto"/>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（九）其他施工机械</w:t>
      </w:r>
    </w:p>
    <w:tbl>
      <w:tblPr>
        <w:tblStyle w:val="56"/>
        <w:tblW w:w="94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7"/>
        <w:gridCol w:w="4230"/>
        <w:gridCol w:w="3972"/>
      </w:tblGrid>
      <w:tr w14:paraId="33B5C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7" w:type="dxa"/>
            <w:vAlign w:val="center"/>
          </w:tcPr>
          <w:p w14:paraId="16901895">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30" w:type="dxa"/>
            <w:vAlign w:val="center"/>
          </w:tcPr>
          <w:p w14:paraId="36642B1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972" w:type="dxa"/>
            <w:vAlign w:val="center"/>
          </w:tcPr>
          <w:p w14:paraId="69BDB929">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7E1B9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7" w:type="dxa"/>
          </w:tcPr>
          <w:p w14:paraId="535B4C30">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平刨机</w:t>
            </w:r>
          </w:p>
        </w:tc>
        <w:tc>
          <w:tcPr>
            <w:tcW w:w="4230" w:type="dxa"/>
          </w:tcPr>
          <w:p w14:paraId="524AFF22">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平刨安装后须有书面验收合格手续；</w:t>
            </w:r>
          </w:p>
          <w:p w14:paraId="67990F0D">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传动部位设置防护罩；</w:t>
            </w:r>
          </w:p>
          <w:p w14:paraId="204D75BD">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 需设置接零保护、漏电保护器；</w:t>
            </w:r>
          </w:p>
          <w:p w14:paraId="5D9E767C">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 无人操作时切断电源；</w:t>
            </w:r>
          </w:p>
        </w:tc>
        <w:tc>
          <w:tcPr>
            <w:tcW w:w="3972" w:type="dxa"/>
          </w:tcPr>
          <w:p w14:paraId="69B1535D">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812864" behindDoc="0" locked="0" layoutInCell="1" allowOverlap="1">
                  <wp:simplePos x="0" y="0"/>
                  <wp:positionH relativeFrom="column">
                    <wp:posOffset>318770</wp:posOffset>
                  </wp:positionH>
                  <wp:positionV relativeFrom="paragraph">
                    <wp:posOffset>152400</wp:posOffset>
                  </wp:positionV>
                  <wp:extent cx="1712595" cy="1221105"/>
                  <wp:effectExtent l="19050" t="0" r="1905" b="0"/>
                  <wp:wrapNone/>
                  <wp:docPr id="125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图片 16"/>
                          <pic:cNvPicPr>
                            <a:picLocks noChangeAspect="1" noChangeArrowheads="1"/>
                          </pic:cNvPicPr>
                        </pic:nvPicPr>
                        <pic:blipFill>
                          <a:blip r:embed="rId210" cstate="print"/>
                          <a:srcRect/>
                          <a:stretch>
                            <a:fillRect/>
                          </a:stretch>
                        </pic:blipFill>
                        <pic:spPr>
                          <a:xfrm>
                            <a:off x="0" y="0"/>
                            <a:ext cx="1712595" cy="1221105"/>
                          </a:xfrm>
                          <a:prstGeom prst="rect">
                            <a:avLst/>
                          </a:prstGeom>
                          <a:noFill/>
                          <a:ln w="9525">
                            <a:noFill/>
                            <a:miter lim="800000"/>
                            <a:headEnd/>
                            <a:tailEnd/>
                          </a:ln>
                        </pic:spPr>
                      </pic:pic>
                    </a:graphicData>
                  </a:graphic>
                </wp:anchor>
              </w:drawing>
            </w:r>
          </w:p>
        </w:tc>
      </w:tr>
      <w:tr w14:paraId="51048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7" w:type="dxa"/>
          </w:tcPr>
          <w:p w14:paraId="63FA8618">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圆盘锯</w:t>
            </w:r>
          </w:p>
        </w:tc>
        <w:tc>
          <w:tcPr>
            <w:tcW w:w="4230" w:type="dxa"/>
          </w:tcPr>
          <w:p w14:paraId="6429100D">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电锯安装后须有书面验收合格手续；</w:t>
            </w:r>
          </w:p>
          <w:p w14:paraId="53F0288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锯盘护罩、分料器、防护挡板安全装置和传动部位设置防护并定期检查；</w:t>
            </w:r>
          </w:p>
          <w:p w14:paraId="3F1BD64A">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 设置保护接零、漏电保护器；</w:t>
            </w:r>
          </w:p>
          <w:p w14:paraId="39B9B4AA">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 无人操作时切断电源；</w:t>
            </w:r>
          </w:p>
        </w:tc>
        <w:tc>
          <w:tcPr>
            <w:tcW w:w="3972" w:type="dxa"/>
          </w:tcPr>
          <w:p w14:paraId="1C23D70D">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813888" behindDoc="0" locked="0" layoutInCell="1" allowOverlap="1">
                  <wp:simplePos x="0" y="0"/>
                  <wp:positionH relativeFrom="column">
                    <wp:posOffset>544195</wp:posOffset>
                  </wp:positionH>
                  <wp:positionV relativeFrom="paragraph">
                    <wp:posOffset>598805</wp:posOffset>
                  </wp:positionV>
                  <wp:extent cx="1252855" cy="1081405"/>
                  <wp:effectExtent l="19050" t="0" r="4445" b="0"/>
                  <wp:wrapNone/>
                  <wp:docPr id="1252"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图片 676"/>
                          <pic:cNvPicPr>
                            <a:picLocks noChangeAspect="1" noChangeArrowheads="1"/>
                          </pic:cNvPicPr>
                        </pic:nvPicPr>
                        <pic:blipFill>
                          <a:blip r:embed="rId211"/>
                          <a:srcRect/>
                          <a:stretch>
                            <a:fillRect/>
                          </a:stretch>
                        </pic:blipFill>
                        <pic:spPr>
                          <a:xfrm>
                            <a:off x="0" y="0"/>
                            <a:ext cx="1252855" cy="1081405"/>
                          </a:xfrm>
                          <a:prstGeom prst="rect">
                            <a:avLst/>
                          </a:prstGeom>
                          <a:noFill/>
                          <a:ln w="9525">
                            <a:noFill/>
                            <a:miter lim="800000"/>
                            <a:headEnd/>
                            <a:tailEnd/>
                          </a:ln>
                        </pic:spPr>
                      </pic:pic>
                    </a:graphicData>
                  </a:graphic>
                </wp:anchor>
              </w:drawing>
            </w:r>
          </w:p>
        </w:tc>
      </w:tr>
      <w:tr w14:paraId="4AF01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3" w:hRule="atLeast"/>
          <w:jc w:val="center"/>
        </w:trPr>
        <w:tc>
          <w:tcPr>
            <w:tcW w:w="1287" w:type="dxa"/>
          </w:tcPr>
          <w:p w14:paraId="446780A4">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钢筋机械</w:t>
            </w:r>
          </w:p>
        </w:tc>
        <w:tc>
          <w:tcPr>
            <w:tcW w:w="4230" w:type="dxa"/>
          </w:tcPr>
          <w:p w14:paraId="70741A9A">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机械安装后须有书面验收合格手续。</w:t>
            </w:r>
          </w:p>
          <w:p w14:paraId="13D4E18C">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需设置接零保护、漏电保护器。</w:t>
            </w:r>
          </w:p>
          <w:p w14:paraId="2D264DD5">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 钢筋冷拉作业区及对焊作业区设置防护措施。</w:t>
            </w:r>
          </w:p>
          <w:p w14:paraId="6268225F">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 传动部位设置防护措施。</w:t>
            </w:r>
          </w:p>
        </w:tc>
        <w:tc>
          <w:tcPr>
            <w:tcW w:w="3972" w:type="dxa"/>
          </w:tcPr>
          <w:p w14:paraId="04771414">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814912" behindDoc="0" locked="0" layoutInCell="1" allowOverlap="1">
                  <wp:simplePos x="0" y="0"/>
                  <wp:positionH relativeFrom="column">
                    <wp:posOffset>249555</wp:posOffset>
                  </wp:positionH>
                  <wp:positionV relativeFrom="paragraph">
                    <wp:posOffset>53975</wp:posOffset>
                  </wp:positionV>
                  <wp:extent cx="1826895" cy="1645285"/>
                  <wp:effectExtent l="19050" t="0" r="1905" b="0"/>
                  <wp:wrapNone/>
                  <wp:docPr id="1253"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图片 1080"/>
                          <pic:cNvPicPr>
                            <a:picLocks noChangeAspect="1" noChangeArrowheads="1"/>
                          </pic:cNvPicPr>
                        </pic:nvPicPr>
                        <pic:blipFill>
                          <a:blip r:embed="rId212"/>
                          <a:srcRect/>
                          <a:stretch>
                            <a:fillRect/>
                          </a:stretch>
                        </pic:blipFill>
                        <pic:spPr>
                          <a:xfrm>
                            <a:off x="0" y="0"/>
                            <a:ext cx="1826895" cy="1645285"/>
                          </a:xfrm>
                          <a:prstGeom prst="rect">
                            <a:avLst/>
                          </a:prstGeom>
                          <a:noFill/>
                          <a:ln w="9525">
                            <a:noFill/>
                            <a:miter lim="800000"/>
                            <a:headEnd/>
                            <a:tailEnd/>
                          </a:ln>
                        </pic:spPr>
                      </pic:pic>
                    </a:graphicData>
                  </a:graphic>
                </wp:anchor>
              </w:drawing>
            </w:r>
          </w:p>
        </w:tc>
      </w:tr>
      <w:tr w14:paraId="3F3E2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7" w:type="dxa"/>
          </w:tcPr>
          <w:p w14:paraId="295A4204">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手持电动工具</w:t>
            </w:r>
          </w:p>
        </w:tc>
        <w:tc>
          <w:tcPr>
            <w:tcW w:w="4230" w:type="dxa"/>
          </w:tcPr>
          <w:p w14:paraId="755C0135">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Ⅰ类手持电动工具设置接零保护。</w:t>
            </w:r>
          </w:p>
          <w:p w14:paraId="004F4906">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使用Ⅰ类手持电动工具按规定</w:t>
            </w:r>
            <w:r>
              <w:rPr>
                <w:rFonts w:hint="eastAsia" w:cs="仿宋_GB2312" w:asciiTheme="minorEastAsia" w:hAnsiTheme="minorEastAsia" w:eastAsiaTheme="minorEastAsia"/>
                <w:color w:val="auto"/>
                <w:kern w:val="2"/>
                <w:sz w:val="24"/>
                <w:szCs w:val="22"/>
                <w:highlight w:val="none"/>
              </w:rPr>
              <w:drawing>
                <wp:anchor distT="0" distB="0" distL="0" distR="0" simplePos="0" relativeHeight="251815936" behindDoc="0" locked="0" layoutInCell="1" allowOverlap="1">
                  <wp:simplePos x="0" y="0"/>
                  <wp:positionH relativeFrom="column">
                    <wp:posOffset>2910205</wp:posOffset>
                  </wp:positionH>
                  <wp:positionV relativeFrom="paragraph">
                    <wp:posOffset>52705</wp:posOffset>
                  </wp:positionV>
                  <wp:extent cx="1814195" cy="1038225"/>
                  <wp:effectExtent l="0" t="0" r="1905" b="3175"/>
                  <wp:wrapNone/>
                  <wp:docPr id="125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图片 684"/>
                          <pic:cNvPicPr>
                            <a:picLocks noChangeAspect="1" noChangeArrowheads="1"/>
                          </pic:cNvPicPr>
                        </pic:nvPicPr>
                        <pic:blipFill>
                          <a:blip r:embed="rId213"/>
                          <a:srcRect/>
                          <a:stretch>
                            <a:fillRect/>
                          </a:stretch>
                        </pic:blipFill>
                        <pic:spPr>
                          <a:xfrm>
                            <a:off x="0" y="0"/>
                            <a:ext cx="1814195" cy="103822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穿戴绝缘用品。</w:t>
            </w:r>
          </w:p>
          <w:p w14:paraId="77DE910E">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 使用手持电动工具不得接长电源线或更换插头。</w:t>
            </w:r>
          </w:p>
          <w:p w14:paraId="04446FDE">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c>
          <w:tcPr>
            <w:tcW w:w="3972" w:type="dxa"/>
          </w:tcPr>
          <w:p w14:paraId="1083CE3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tc>
      </w:tr>
      <w:tr w14:paraId="016A8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9" w:hRule="atLeast"/>
          <w:jc w:val="center"/>
        </w:trPr>
        <w:tc>
          <w:tcPr>
            <w:tcW w:w="1287" w:type="dxa"/>
          </w:tcPr>
          <w:p w14:paraId="3E60A88D">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电焊机</w:t>
            </w:r>
          </w:p>
        </w:tc>
        <w:tc>
          <w:tcPr>
            <w:tcW w:w="4230" w:type="dxa"/>
          </w:tcPr>
          <w:p w14:paraId="1DC938F4">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安装后须有书面验收合格手续。</w:t>
            </w:r>
          </w:p>
          <w:p w14:paraId="206C2BD6">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需设置接零保护、漏电保护器。</w:t>
            </w:r>
          </w:p>
          <w:p w14:paraId="7EDDA30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 设置二次空载降压保护器和触电保护器。</w:t>
            </w:r>
          </w:p>
          <w:p w14:paraId="4C5856A1">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4）变压器的一次侧电源线长度不大于5m；</w:t>
            </w:r>
          </w:p>
          <w:p w14:paraId="29BEF99E">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5）电焊机械的二次线长度不大于30m；</w:t>
            </w:r>
          </w:p>
          <w:p w14:paraId="2F729986">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6）动火作业前需动火审批，施焊过程中有专人看护，配置接火盆，消防器材。</w:t>
            </w:r>
          </w:p>
        </w:tc>
        <w:tc>
          <w:tcPr>
            <w:tcW w:w="3972" w:type="dxa"/>
          </w:tcPr>
          <w:p w14:paraId="1881BD0A">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0" distR="0" simplePos="0" relativeHeight="251816960" behindDoc="0" locked="0" layoutInCell="1" allowOverlap="1">
                  <wp:simplePos x="0" y="0"/>
                  <wp:positionH relativeFrom="column">
                    <wp:posOffset>59690</wp:posOffset>
                  </wp:positionH>
                  <wp:positionV relativeFrom="paragraph">
                    <wp:posOffset>868045</wp:posOffset>
                  </wp:positionV>
                  <wp:extent cx="2203450" cy="1706880"/>
                  <wp:effectExtent l="19050" t="0" r="6350" b="0"/>
                  <wp:wrapNone/>
                  <wp:docPr id="1255"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图片 91"/>
                          <pic:cNvPicPr>
                            <a:picLocks noChangeAspect="1" noChangeArrowheads="1"/>
                          </pic:cNvPicPr>
                        </pic:nvPicPr>
                        <pic:blipFill>
                          <a:blip r:embed="rId214"/>
                          <a:srcRect/>
                          <a:stretch>
                            <a:fillRect/>
                          </a:stretch>
                        </pic:blipFill>
                        <pic:spPr>
                          <a:xfrm>
                            <a:off x="0" y="0"/>
                            <a:ext cx="2203450" cy="1706880"/>
                          </a:xfrm>
                          <a:prstGeom prst="rect">
                            <a:avLst/>
                          </a:prstGeom>
                          <a:noFill/>
                          <a:ln w="9525">
                            <a:noFill/>
                            <a:miter lim="800000"/>
                            <a:headEnd/>
                            <a:tailEnd/>
                          </a:ln>
                        </pic:spPr>
                      </pic:pic>
                    </a:graphicData>
                  </a:graphic>
                </wp:anchor>
              </w:drawing>
            </w:r>
          </w:p>
        </w:tc>
      </w:tr>
      <w:tr w14:paraId="54481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3" w:hRule="atLeast"/>
          <w:jc w:val="center"/>
        </w:trPr>
        <w:tc>
          <w:tcPr>
            <w:tcW w:w="1287" w:type="dxa"/>
          </w:tcPr>
          <w:p w14:paraId="5691441C">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气瓶</w:t>
            </w:r>
          </w:p>
        </w:tc>
        <w:tc>
          <w:tcPr>
            <w:tcW w:w="4230" w:type="dxa"/>
          </w:tcPr>
          <w:p w14:paraId="58AA0BDC">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1) 现场使用的气瓶应按标准色标涂色。</w:t>
            </w:r>
          </w:p>
          <w:p w14:paraId="40E230D8">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 气瓶间距应不小于5米、距明火不小于10米，且需设置隔离措施。</w:t>
            </w:r>
          </w:p>
          <w:p w14:paraId="16346DA2">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3) 乙炔瓶使用或存放时不得平放。</w:t>
            </w:r>
          </w:p>
          <w:p w14:paraId="0E688035">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4) 气瓶需要设置防震圈和防护帽。</w:t>
            </w:r>
          </w:p>
        </w:tc>
        <w:tc>
          <w:tcPr>
            <w:tcW w:w="3972" w:type="dxa"/>
          </w:tcPr>
          <w:p w14:paraId="3C1B7726">
            <w:pPr>
              <w:pStyle w:val="112"/>
              <w:keepNext w:val="0"/>
              <w:keepLines w:val="0"/>
              <w:suppressLineNumbers w:val="0"/>
              <w:snapToGrid w:val="0"/>
              <w:spacing w:before="0" w:beforeAutospacing="0" w:after="0" w:afterAutospacing="0" w:line="360" w:lineRule="auto"/>
              <w:ind w:left="0" w:right="0" w:firstLine="482"/>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b/>
                <w:color w:val="auto"/>
                <w:kern w:val="2"/>
                <w:sz w:val="24"/>
                <w:szCs w:val="24"/>
                <w:highlight w:val="none"/>
              </w:rPr>
              <w:drawing>
                <wp:anchor distT="0" distB="0" distL="0" distR="0" simplePos="0" relativeHeight="251819008" behindDoc="0" locked="0" layoutInCell="1" allowOverlap="1">
                  <wp:simplePos x="0" y="0"/>
                  <wp:positionH relativeFrom="column">
                    <wp:posOffset>-25400</wp:posOffset>
                  </wp:positionH>
                  <wp:positionV relativeFrom="paragraph">
                    <wp:posOffset>60325</wp:posOffset>
                  </wp:positionV>
                  <wp:extent cx="2413635" cy="2200910"/>
                  <wp:effectExtent l="19050" t="0" r="5715" b="0"/>
                  <wp:wrapNone/>
                  <wp:docPr id="125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图片 20"/>
                          <pic:cNvPicPr>
                            <a:picLocks noChangeAspect="1" noChangeArrowheads="1"/>
                          </pic:cNvPicPr>
                        </pic:nvPicPr>
                        <pic:blipFill>
                          <a:blip r:embed="rId215"/>
                          <a:srcRect t="531" r="8067"/>
                          <a:stretch>
                            <a:fillRect/>
                          </a:stretch>
                        </pic:blipFill>
                        <pic:spPr>
                          <a:xfrm>
                            <a:off x="0" y="0"/>
                            <a:ext cx="2413635" cy="2200910"/>
                          </a:xfrm>
                          <a:prstGeom prst="rect">
                            <a:avLst/>
                          </a:prstGeom>
                          <a:noFill/>
                          <a:ln w="9525">
                            <a:noFill/>
                            <a:miter lim="800000"/>
                            <a:headEnd/>
                            <a:tailEnd/>
                          </a:ln>
                        </pic:spPr>
                      </pic:pic>
                    </a:graphicData>
                  </a:graphic>
                </wp:anchor>
              </w:drawing>
            </w:r>
          </w:p>
          <w:p w14:paraId="610072FC">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bookmarkStart w:id="1017" w:name="_Toc22858"/>
            <w:r>
              <w:rPr>
                <w:rFonts w:hint="eastAsia" w:cs="仿宋_GB2312" w:asciiTheme="minorEastAsia" w:hAnsiTheme="minorEastAsia" w:eastAsiaTheme="minorEastAsia"/>
                <w:color w:val="auto"/>
                <w:kern w:val="2"/>
                <w:sz w:val="24"/>
                <w:szCs w:val="24"/>
                <w:highlight w:val="none"/>
              </w:rPr>
              <w:drawing>
                <wp:anchor distT="0" distB="0" distL="0" distR="0" simplePos="0" relativeHeight="251817984" behindDoc="0" locked="0" layoutInCell="1" allowOverlap="1">
                  <wp:simplePos x="0" y="0"/>
                  <wp:positionH relativeFrom="column">
                    <wp:posOffset>-21590</wp:posOffset>
                  </wp:positionH>
                  <wp:positionV relativeFrom="paragraph">
                    <wp:posOffset>2038350</wp:posOffset>
                  </wp:positionV>
                  <wp:extent cx="2399030" cy="2184400"/>
                  <wp:effectExtent l="19050" t="0" r="1270" b="0"/>
                  <wp:wrapNone/>
                  <wp:docPr id="1256" name="图片 5" descr="C:\Users\lenovo\Documents\Tencent Files\804950878\Image\1T7G~RBA5XE)TD2K`K5Z%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图片 5" descr="C:\Users\lenovo\Documents\Tencent Files\804950878\Image\1T7G~RBA5XE)TD2K`K5Z%X9.jpg"/>
                          <pic:cNvPicPr>
                            <a:picLocks noChangeAspect="1" noChangeArrowheads="1"/>
                          </pic:cNvPicPr>
                        </pic:nvPicPr>
                        <pic:blipFill>
                          <a:blip r:embed="rId216"/>
                          <a:srcRect t="10840"/>
                          <a:stretch>
                            <a:fillRect/>
                          </a:stretch>
                        </pic:blipFill>
                        <pic:spPr>
                          <a:xfrm>
                            <a:off x="0" y="0"/>
                            <a:ext cx="2399030" cy="2184400"/>
                          </a:xfrm>
                          <a:prstGeom prst="rect">
                            <a:avLst/>
                          </a:prstGeom>
                          <a:noFill/>
                          <a:ln w="9525">
                            <a:noFill/>
                            <a:miter lim="800000"/>
                            <a:headEnd/>
                            <a:tailEnd/>
                          </a:ln>
                        </pic:spPr>
                      </pic:pic>
                    </a:graphicData>
                  </a:graphic>
                </wp:anchor>
              </w:drawing>
            </w:r>
            <w:bookmarkEnd w:id="1017"/>
          </w:p>
        </w:tc>
      </w:tr>
    </w:tbl>
    <w:p w14:paraId="15633DC8">
      <w:pPr>
        <w:pStyle w:val="74"/>
        <w:adjustRightInd w:val="0"/>
        <w:snapToGrid w:val="0"/>
        <w:spacing w:line="360" w:lineRule="auto"/>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（十）有限空间</w:t>
      </w:r>
    </w:p>
    <w:tbl>
      <w:tblPr>
        <w:tblStyle w:val="56"/>
        <w:tblW w:w="94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2"/>
        <w:gridCol w:w="4185"/>
        <w:gridCol w:w="3993"/>
      </w:tblGrid>
      <w:tr w14:paraId="01FE6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14:paraId="48453B55">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185" w:type="dxa"/>
            <w:vAlign w:val="center"/>
          </w:tcPr>
          <w:p w14:paraId="41D5B69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993" w:type="dxa"/>
            <w:vAlign w:val="center"/>
          </w:tcPr>
          <w:p w14:paraId="05180D4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1A2B8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14:paraId="14CA23CA">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有限空间分类</w:t>
            </w:r>
          </w:p>
        </w:tc>
        <w:tc>
          <w:tcPr>
            <w:tcW w:w="4185" w:type="dxa"/>
          </w:tcPr>
          <w:p w14:paraId="0AC8F9A2">
            <w:pPr>
              <w:pStyle w:val="112"/>
              <w:keepNext w:val="0"/>
              <w:keepLines w:val="0"/>
              <w:numPr>
                <w:ilvl w:val="0"/>
                <w:numId w:val="3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有限空间分为地下有限空间、地上有限空间和密闭设备三类。</w:t>
            </w:r>
          </w:p>
          <w:p w14:paraId="60C19D23">
            <w:pPr>
              <w:pStyle w:val="112"/>
              <w:keepNext w:val="0"/>
              <w:keepLines w:val="0"/>
              <w:numPr>
                <w:ilvl w:val="0"/>
                <w:numId w:val="3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地下有限空间，如地下室、地下仓库、地下工程、地下管沟、暗沟、电缆沟道、隧道、涵洞、地坑、深基坑、废井、地窖、检查井、沼气池、化粪池、污水池等。</w:t>
            </w:r>
          </w:p>
          <w:p w14:paraId="388A2212">
            <w:pPr>
              <w:pStyle w:val="112"/>
              <w:keepNext w:val="0"/>
              <w:keepLines w:val="0"/>
              <w:numPr>
                <w:ilvl w:val="0"/>
                <w:numId w:val="3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地上有限空间，如酒糟池、水箱、消防水池、发酵池、腌渍池、纸浆池、粮仓、料仓等。</w:t>
            </w:r>
          </w:p>
          <w:p w14:paraId="22779B77">
            <w:pPr>
              <w:pStyle w:val="112"/>
              <w:keepNext w:val="0"/>
              <w:keepLines w:val="0"/>
              <w:numPr>
                <w:ilvl w:val="0"/>
                <w:numId w:val="3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20032" behindDoc="0" locked="0" layoutInCell="1" allowOverlap="1">
                  <wp:simplePos x="0" y="0"/>
                  <wp:positionH relativeFrom="column">
                    <wp:posOffset>2719070</wp:posOffset>
                  </wp:positionH>
                  <wp:positionV relativeFrom="paragraph">
                    <wp:posOffset>19685</wp:posOffset>
                  </wp:positionV>
                  <wp:extent cx="2236470" cy="797560"/>
                  <wp:effectExtent l="0" t="0" r="11430" b="2540"/>
                  <wp:wrapNone/>
                  <wp:docPr id="1258" name="图片 165" descr="1690248097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165" descr="1690248097100"/>
                          <pic:cNvPicPr>
                            <a:picLocks noChangeAspect="1" noChangeArrowheads="1"/>
                          </pic:cNvPicPr>
                        </pic:nvPicPr>
                        <pic:blipFill>
                          <a:blip r:embed="rId217"/>
                          <a:srcRect/>
                          <a:stretch>
                            <a:fillRect/>
                          </a:stretch>
                        </pic:blipFill>
                        <pic:spPr>
                          <a:xfrm>
                            <a:off x="0" y="0"/>
                            <a:ext cx="2236470" cy="79756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密闭设备，如储藏罐、反应塔、窑炉、烟道、管道及锅炉等。</w:t>
            </w:r>
          </w:p>
          <w:p w14:paraId="56D1F6A2">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c>
          <w:tcPr>
            <w:tcW w:w="3993" w:type="dxa"/>
          </w:tcPr>
          <w:p w14:paraId="04E7034B">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21056" behindDoc="0" locked="0" layoutInCell="1" allowOverlap="1">
                  <wp:simplePos x="0" y="0"/>
                  <wp:positionH relativeFrom="column">
                    <wp:posOffset>35560</wp:posOffset>
                  </wp:positionH>
                  <wp:positionV relativeFrom="paragraph">
                    <wp:posOffset>174625</wp:posOffset>
                  </wp:positionV>
                  <wp:extent cx="2381250" cy="1266190"/>
                  <wp:effectExtent l="0" t="0" r="0" b="10160"/>
                  <wp:wrapNone/>
                  <wp:docPr id="1259" name="图片 164" descr="169024795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图片 164" descr="1690247950490"/>
                          <pic:cNvPicPr>
                            <a:picLocks noChangeAspect="1" noChangeArrowheads="1"/>
                          </pic:cNvPicPr>
                        </pic:nvPicPr>
                        <pic:blipFill>
                          <a:blip r:embed="rId218"/>
                          <a:srcRect/>
                          <a:stretch>
                            <a:fillRect/>
                          </a:stretch>
                        </pic:blipFill>
                        <pic:spPr>
                          <a:xfrm>
                            <a:off x="0" y="0"/>
                            <a:ext cx="2381250" cy="1266190"/>
                          </a:xfrm>
                          <a:prstGeom prst="rect">
                            <a:avLst/>
                          </a:prstGeom>
                          <a:noFill/>
                          <a:ln w="9525">
                            <a:noFill/>
                            <a:miter lim="800000"/>
                            <a:headEnd/>
                            <a:tailEnd/>
                          </a:ln>
                        </pic:spPr>
                      </pic:pic>
                    </a:graphicData>
                  </a:graphic>
                </wp:anchor>
              </w:drawing>
            </w:r>
          </w:p>
          <w:p w14:paraId="5D0A63D6">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2A3A487E">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22080" behindDoc="0" locked="0" layoutInCell="1" allowOverlap="1">
                  <wp:simplePos x="0" y="0"/>
                  <wp:positionH relativeFrom="column">
                    <wp:posOffset>-24130</wp:posOffset>
                  </wp:positionH>
                  <wp:positionV relativeFrom="paragraph">
                    <wp:posOffset>1029335</wp:posOffset>
                  </wp:positionV>
                  <wp:extent cx="2428875" cy="1213485"/>
                  <wp:effectExtent l="0" t="0" r="9525" b="5715"/>
                  <wp:wrapNone/>
                  <wp:docPr id="1260" name="图片 163" descr="1690247780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图片 163" descr="1690247780764"/>
                          <pic:cNvPicPr>
                            <a:picLocks noChangeAspect="1" noChangeArrowheads="1"/>
                          </pic:cNvPicPr>
                        </pic:nvPicPr>
                        <pic:blipFill>
                          <a:blip r:embed="rId219"/>
                          <a:srcRect/>
                          <a:stretch>
                            <a:fillRect/>
                          </a:stretch>
                        </pic:blipFill>
                        <pic:spPr>
                          <a:xfrm>
                            <a:off x="0" y="0"/>
                            <a:ext cx="2428875" cy="1213485"/>
                          </a:xfrm>
                          <a:prstGeom prst="rect">
                            <a:avLst/>
                          </a:prstGeom>
                          <a:noFill/>
                          <a:ln w="9525">
                            <a:noFill/>
                            <a:miter lim="800000"/>
                            <a:headEnd/>
                            <a:tailEnd/>
                          </a:ln>
                        </pic:spPr>
                      </pic:pic>
                    </a:graphicData>
                  </a:graphic>
                </wp:anchor>
              </w:drawing>
            </w:r>
          </w:p>
        </w:tc>
      </w:tr>
      <w:tr w14:paraId="281BE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14:paraId="79113769">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常见的有限空间作业及安全风险点</w:t>
            </w:r>
          </w:p>
        </w:tc>
        <w:tc>
          <w:tcPr>
            <w:tcW w:w="4185" w:type="dxa"/>
          </w:tcPr>
          <w:p w14:paraId="3FD1B3C3">
            <w:pPr>
              <w:pStyle w:val="112"/>
              <w:keepNext w:val="0"/>
              <w:keepLines w:val="0"/>
              <w:numPr>
                <w:ilvl w:val="0"/>
                <w:numId w:val="32"/>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常见的有限空间作业主要有：清除、清理作业，安装、更换、维修设备设施作业，涂装、防腐、防水、焊接作业，巡查、检修等作业等。</w:t>
            </w:r>
          </w:p>
          <w:p w14:paraId="0161AEFC">
            <w:pPr>
              <w:pStyle w:val="112"/>
              <w:keepNext w:val="0"/>
              <w:keepLines w:val="0"/>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2）有限空间作业主要安全风险包括中毒、缺氧窒息、燃爆以及淹溺、高处坠落、触电、物体打击、机械伤害、灼烫、坍塌、掩埋、高温高湿等。</w:t>
            </w:r>
          </w:p>
        </w:tc>
        <w:tc>
          <w:tcPr>
            <w:tcW w:w="3993" w:type="dxa"/>
          </w:tcPr>
          <w:p w14:paraId="0F563BE4">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23104" behindDoc="0" locked="0" layoutInCell="1" allowOverlap="1">
                  <wp:simplePos x="0" y="0"/>
                  <wp:positionH relativeFrom="column">
                    <wp:posOffset>282575</wp:posOffset>
                  </wp:positionH>
                  <wp:positionV relativeFrom="paragraph">
                    <wp:posOffset>376555</wp:posOffset>
                  </wp:positionV>
                  <wp:extent cx="1814830" cy="1795780"/>
                  <wp:effectExtent l="19050" t="0" r="0" b="0"/>
                  <wp:wrapNone/>
                  <wp:docPr id="1261" name="图片 166" descr="169024898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图片 166" descr="1690248985964"/>
                          <pic:cNvPicPr>
                            <a:picLocks noChangeAspect="1" noChangeArrowheads="1"/>
                          </pic:cNvPicPr>
                        </pic:nvPicPr>
                        <pic:blipFill>
                          <a:blip r:embed="rId220" cstate="print"/>
                          <a:srcRect/>
                          <a:stretch>
                            <a:fillRect/>
                          </a:stretch>
                        </pic:blipFill>
                        <pic:spPr>
                          <a:xfrm>
                            <a:off x="0" y="0"/>
                            <a:ext cx="1814830" cy="1795780"/>
                          </a:xfrm>
                          <a:prstGeom prst="rect">
                            <a:avLst/>
                          </a:prstGeom>
                          <a:noFill/>
                          <a:ln w="9525">
                            <a:noFill/>
                            <a:miter lim="800000"/>
                            <a:headEnd/>
                            <a:tailEnd/>
                          </a:ln>
                        </pic:spPr>
                      </pic:pic>
                    </a:graphicData>
                  </a:graphic>
                </wp:anchor>
              </w:drawing>
            </w:r>
          </w:p>
        </w:tc>
      </w:tr>
      <w:tr w14:paraId="149EE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14:paraId="10C4E6B1">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有限空间作业安全防护设备设施</w:t>
            </w:r>
          </w:p>
        </w:tc>
        <w:tc>
          <w:tcPr>
            <w:tcW w:w="4185" w:type="dxa"/>
          </w:tcPr>
          <w:p w14:paraId="4193D963">
            <w:pPr>
              <w:pStyle w:val="112"/>
              <w:keepNext w:val="0"/>
              <w:keepLines w:val="0"/>
              <w:numPr>
                <w:ilvl w:val="0"/>
                <w:numId w:val="33"/>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便携式气体检测报警仪。</w:t>
            </w:r>
          </w:p>
          <w:p w14:paraId="245FA978">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 xml:space="preserve">便携式气体检测报警仪可连续实时监测并显示被测气体浓度，当达到设定报警值时 </w:t>
            </w:r>
          </w:p>
          <w:p w14:paraId="2A2C058B">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可实时报警。按传感器数量划分，便携式气体检测报警仪分为单一式和复合式；按采样方式划分，便携式气体检测报警仪可分为扩散式和泵吸式。</w:t>
            </w:r>
          </w:p>
          <w:p w14:paraId="10F676DD">
            <w:pPr>
              <w:keepNext w:val="0"/>
              <w:keepLines w:val="0"/>
              <w:numPr>
                <w:ilvl w:val="0"/>
                <w:numId w:val="33"/>
              </w:numPr>
              <w:suppressLineNumbers w:val="0"/>
              <w:adjustRightInd w:val="0"/>
              <w:snapToGrid w:val="0"/>
              <w:spacing w:before="0" w:beforeAutospacing="0" w:after="0" w:afterAutospacing="0" w:line="360" w:lineRule="auto"/>
              <w:ind w:left="360" w:right="0" w:hanging="36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呼吸防护用品，根据呼吸防护方法，呼吸防护用品可分为隔绝式和过滤式两大类。</w:t>
            </w:r>
          </w:p>
          <w:p w14:paraId="1F0CBC45">
            <w:pPr>
              <w:keepNext w:val="0"/>
              <w:keepLines w:val="0"/>
              <w:numPr>
                <w:ilvl w:val="0"/>
                <w:numId w:val="33"/>
              </w:numPr>
              <w:suppressLineNumbers w:val="0"/>
              <w:adjustRightInd w:val="0"/>
              <w:snapToGrid w:val="0"/>
              <w:spacing w:before="0" w:beforeAutospacing="0" w:after="0" w:afterAutospacing="0" w:line="360" w:lineRule="auto"/>
              <w:ind w:left="360" w:right="0" w:hanging="36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坠落防护用品，有限空间作业常用的坠落防护用品主要包括安全带、速差器、安全绳以及三脚架等。</w:t>
            </w:r>
          </w:p>
          <w:p w14:paraId="5192CD51">
            <w:pPr>
              <w:keepNext w:val="0"/>
              <w:keepLines w:val="0"/>
              <w:numPr>
                <w:ilvl w:val="0"/>
                <w:numId w:val="33"/>
              </w:numPr>
              <w:suppressLineNumbers w:val="0"/>
              <w:adjustRightInd w:val="0"/>
              <w:snapToGrid w:val="0"/>
              <w:spacing w:before="0" w:beforeAutospacing="0" w:after="0" w:afterAutospacing="0" w:line="360" w:lineRule="auto"/>
              <w:ind w:left="360" w:right="0" w:hanging="36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其他个体防护用品，如安全帽、防护服、防护手套、防护眼镜、防护鞋等。</w:t>
            </w:r>
          </w:p>
        </w:tc>
        <w:tc>
          <w:tcPr>
            <w:tcW w:w="3993" w:type="dxa"/>
          </w:tcPr>
          <w:p w14:paraId="3CCBDC86">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1A438B05">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27200" behindDoc="0" locked="0" layoutInCell="1" allowOverlap="1">
                  <wp:simplePos x="0" y="0"/>
                  <wp:positionH relativeFrom="column">
                    <wp:posOffset>215900</wp:posOffset>
                  </wp:positionH>
                  <wp:positionV relativeFrom="paragraph">
                    <wp:posOffset>46355</wp:posOffset>
                  </wp:positionV>
                  <wp:extent cx="2063115" cy="1059180"/>
                  <wp:effectExtent l="19050" t="0" r="0" b="0"/>
                  <wp:wrapNone/>
                  <wp:docPr id="1265" name="图片 167" descr="169024936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图片 167" descr="1690249364645"/>
                          <pic:cNvPicPr>
                            <a:picLocks noChangeAspect="1" noChangeArrowheads="1"/>
                          </pic:cNvPicPr>
                        </pic:nvPicPr>
                        <pic:blipFill>
                          <a:blip r:embed="rId221"/>
                          <a:srcRect/>
                          <a:stretch>
                            <a:fillRect/>
                          </a:stretch>
                        </pic:blipFill>
                        <pic:spPr>
                          <a:xfrm>
                            <a:off x="0" y="0"/>
                            <a:ext cx="2063115" cy="1059180"/>
                          </a:xfrm>
                          <a:prstGeom prst="rect">
                            <a:avLst/>
                          </a:prstGeom>
                          <a:noFill/>
                          <a:ln w="9525">
                            <a:noFill/>
                            <a:miter lim="800000"/>
                            <a:headEnd/>
                            <a:tailEnd/>
                          </a:ln>
                        </pic:spPr>
                      </pic:pic>
                    </a:graphicData>
                  </a:graphic>
                </wp:anchor>
              </w:drawing>
            </w:r>
          </w:p>
          <w:p w14:paraId="0E6929D9">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568901D3">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2"/>
                <w:highlight w:val="none"/>
              </w:rPr>
              <w:drawing>
                <wp:anchor distT="0" distB="0" distL="114300" distR="114300" simplePos="0" relativeHeight="251824128" behindDoc="0" locked="0" layoutInCell="1" allowOverlap="1">
                  <wp:simplePos x="0" y="0"/>
                  <wp:positionH relativeFrom="column">
                    <wp:posOffset>118745</wp:posOffset>
                  </wp:positionH>
                  <wp:positionV relativeFrom="paragraph">
                    <wp:posOffset>2872740</wp:posOffset>
                  </wp:positionV>
                  <wp:extent cx="2160270" cy="954405"/>
                  <wp:effectExtent l="0" t="0" r="11430" b="17145"/>
                  <wp:wrapNone/>
                  <wp:docPr id="1262" name="图片 170" descr="169024975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图片 170" descr="1690249757777"/>
                          <pic:cNvPicPr>
                            <a:picLocks noChangeAspect="1" noChangeArrowheads="1"/>
                          </pic:cNvPicPr>
                        </pic:nvPicPr>
                        <pic:blipFill>
                          <a:blip r:embed="rId222"/>
                          <a:srcRect/>
                          <a:stretch>
                            <a:fillRect/>
                          </a:stretch>
                        </pic:blipFill>
                        <pic:spPr>
                          <a:xfrm>
                            <a:off x="0" y="0"/>
                            <a:ext cx="2160270" cy="95440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2"/>
                <w:highlight w:val="none"/>
              </w:rPr>
              <w:drawing>
                <wp:anchor distT="0" distB="0" distL="114300" distR="114300" simplePos="0" relativeHeight="251825152" behindDoc="0" locked="0" layoutInCell="1" allowOverlap="1">
                  <wp:simplePos x="0" y="0"/>
                  <wp:positionH relativeFrom="column">
                    <wp:posOffset>306705</wp:posOffset>
                  </wp:positionH>
                  <wp:positionV relativeFrom="paragraph">
                    <wp:posOffset>747395</wp:posOffset>
                  </wp:positionV>
                  <wp:extent cx="1647190" cy="919480"/>
                  <wp:effectExtent l="19050" t="0" r="0" b="0"/>
                  <wp:wrapNone/>
                  <wp:docPr id="1263" name="图片 169" descr="169024965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图片 169" descr="1690249659722"/>
                          <pic:cNvPicPr>
                            <a:picLocks noChangeAspect="1" noChangeArrowheads="1"/>
                          </pic:cNvPicPr>
                        </pic:nvPicPr>
                        <pic:blipFill>
                          <a:blip r:embed="rId223" cstate="print"/>
                          <a:srcRect/>
                          <a:stretch>
                            <a:fillRect/>
                          </a:stretch>
                        </pic:blipFill>
                        <pic:spPr>
                          <a:xfrm>
                            <a:off x="0" y="0"/>
                            <a:ext cx="1647190" cy="91948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26176" behindDoc="0" locked="0" layoutInCell="1" allowOverlap="1">
                  <wp:simplePos x="0" y="0"/>
                  <wp:positionH relativeFrom="column">
                    <wp:posOffset>306705</wp:posOffset>
                  </wp:positionH>
                  <wp:positionV relativeFrom="paragraph">
                    <wp:posOffset>1873885</wp:posOffset>
                  </wp:positionV>
                  <wp:extent cx="1720850" cy="849630"/>
                  <wp:effectExtent l="19050" t="0" r="0" b="0"/>
                  <wp:wrapNone/>
                  <wp:docPr id="1264" name="图片 168" descr="1690249479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图片 168" descr="1690249479515"/>
                          <pic:cNvPicPr>
                            <a:picLocks noChangeAspect="1" noChangeArrowheads="1"/>
                          </pic:cNvPicPr>
                        </pic:nvPicPr>
                        <pic:blipFill>
                          <a:blip r:embed="rId224" cstate="print"/>
                          <a:srcRect/>
                          <a:stretch>
                            <a:fillRect/>
                          </a:stretch>
                        </pic:blipFill>
                        <pic:spPr>
                          <a:xfrm>
                            <a:off x="0" y="0"/>
                            <a:ext cx="1720850" cy="849630"/>
                          </a:xfrm>
                          <a:prstGeom prst="rect">
                            <a:avLst/>
                          </a:prstGeom>
                          <a:noFill/>
                          <a:ln w="9525">
                            <a:noFill/>
                            <a:miter lim="800000"/>
                            <a:headEnd/>
                            <a:tailEnd/>
                          </a:ln>
                        </pic:spPr>
                      </pic:pic>
                    </a:graphicData>
                  </a:graphic>
                </wp:anchor>
              </w:drawing>
            </w:r>
          </w:p>
        </w:tc>
      </w:tr>
      <w:tr w14:paraId="0FDB5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14:paraId="35C02F4F">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安全器具</w:t>
            </w:r>
          </w:p>
        </w:tc>
        <w:tc>
          <w:tcPr>
            <w:tcW w:w="4185" w:type="dxa"/>
          </w:tcPr>
          <w:p w14:paraId="35FC3D5F">
            <w:pPr>
              <w:keepNext w:val="0"/>
              <w:keepLines w:val="0"/>
              <w:numPr>
                <w:ilvl w:val="0"/>
                <w:numId w:val="34"/>
              </w:numPr>
              <w:suppressLineNumbers w:val="0"/>
              <w:adjustRightInd w:val="0"/>
              <w:snapToGrid w:val="0"/>
              <w:spacing w:before="0" w:beforeAutospacing="0" w:after="0" w:afterAutospacing="0" w:line="360" w:lineRule="auto"/>
              <w:ind w:left="360" w:right="0" w:hanging="36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通风设备，移动式风机是对有限空间进行强制通风的设备，通常有送风和排风 2 种。</w:t>
            </w:r>
          </w:p>
          <w:p w14:paraId="63918954">
            <w:pPr>
              <w:keepNext w:val="0"/>
              <w:keepLines w:val="0"/>
              <w:numPr>
                <w:ilvl w:val="0"/>
                <w:numId w:val="34"/>
              </w:numPr>
              <w:suppressLineNumbers w:val="0"/>
              <w:adjustRightInd w:val="0"/>
              <w:snapToGrid w:val="0"/>
              <w:spacing w:before="0" w:beforeAutospacing="0" w:after="0" w:afterAutospacing="0" w:line="360" w:lineRule="auto"/>
              <w:ind w:left="360" w:right="0" w:hanging="36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照明设备，当有限空间内照度不足时，应使用照明设备。有限空间作业常用的照明设备有头灯、手电等。使用前应检查照明设备的电池电量，保证作业过程中能够正常使用。有限空间内使用照明灯具电压应不大于 24 V，在积水、结露等潮湿环境的有限空间和金属容器中作业，照明灯具电压应不大于 12 V。</w:t>
            </w:r>
          </w:p>
          <w:p w14:paraId="0C9392A7">
            <w:pPr>
              <w:keepNext w:val="0"/>
              <w:keepLines w:val="0"/>
              <w:numPr>
                <w:ilvl w:val="0"/>
                <w:numId w:val="34"/>
              </w:numPr>
              <w:suppressLineNumbers w:val="0"/>
              <w:adjustRightInd w:val="0"/>
              <w:snapToGrid w:val="0"/>
              <w:spacing w:before="0" w:beforeAutospacing="0" w:after="0" w:afterAutospacing="0" w:line="360" w:lineRule="auto"/>
              <w:ind w:left="360" w:right="0" w:hanging="36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通讯设备，当作业现场无法通过目视、喊话等方式进行沟通时，应使用对讲机等通讯设备，便于现场作业人员之间的沟通。</w:t>
            </w:r>
          </w:p>
          <w:p w14:paraId="6D5EBD66">
            <w:pPr>
              <w:keepNext w:val="0"/>
              <w:keepLines w:val="0"/>
              <w:numPr>
                <w:ilvl w:val="0"/>
                <w:numId w:val="34"/>
              </w:numPr>
              <w:suppressLineNumbers w:val="0"/>
              <w:adjustRightInd w:val="0"/>
              <w:snapToGrid w:val="0"/>
              <w:spacing w:before="0" w:beforeAutospacing="0" w:after="0" w:afterAutospacing="0" w:line="360" w:lineRule="auto"/>
              <w:ind w:left="360" w:right="0" w:hanging="36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围挡设备和警示设施，有限空间作业过程中常用的围挡设备如图所示，常用的安全警示标志或安全告知牌如图所示。</w:t>
            </w:r>
          </w:p>
        </w:tc>
        <w:tc>
          <w:tcPr>
            <w:tcW w:w="3993" w:type="dxa"/>
          </w:tcPr>
          <w:p w14:paraId="3B0A85A2">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31296" behindDoc="0" locked="0" layoutInCell="1" allowOverlap="1">
                  <wp:simplePos x="0" y="0"/>
                  <wp:positionH relativeFrom="column">
                    <wp:posOffset>365760</wp:posOffset>
                  </wp:positionH>
                  <wp:positionV relativeFrom="paragraph">
                    <wp:posOffset>64135</wp:posOffset>
                  </wp:positionV>
                  <wp:extent cx="1595120" cy="1213485"/>
                  <wp:effectExtent l="0" t="0" r="5080" b="5715"/>
                  <wp:wrapNone/>
                  <wp:docPr id="1269" name="图片 172" descr="169024997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图片 172" descr="1690249972369"/>
                          <pic:cNvPicPr>
                            <a:picLocks noChangeAspect="1" noChangeArrowheads="1"/>
                          </pic:cNvPicPr>
                        </pic:nvPicPr>
                        <pic:blipFill>
                          <a:blip r:embed="rId225"/>
                          <a:srcRect/>
                          <a:stretch>
                            <a:fillRect/>
                          </a:stretch>
                        </pic:blipFill>
                        <pic:spPr>
                          <a:xfrm>
                            <a:off x="0" y="0"/>
                            <a:ext cx="1595120" cy="1213485"/>
                          </a:xfrm>
                          <a:prstGeom prst="rect">
                            <a:avLst/>
                          </a:prstGeom>
                          <a:noFill/>
                          <a:ln w="9525">
                            <a:noFill/>
                            <a:miter lim="800000"/>
                            <a:headEnd/>
                            <a:tailEnd/>
                          </a:ln>
                        </pic:spPr>
                      </pic:pic>
                    </a:graphicData>
                  </a:graphic>
                </wp:anchor>
              </w:drawing>
            </w:r>
          </w:p>
          <w:p w14:paraId="427DCAB6">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6CDB24FB">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25FDA07F">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2"/>
                <w:highlight w:val="none"/>
              </w:rPr>
              <w:drawing>
                <wp:anchor distT="0" distB="0" distL="114300" distR="114300" simplePos="0" relativeHeight="251828224" behindDoc="0" locked="0" layoutInCell="1" allowOverlap="1">
                  <wp:simplePos x="0" y="0"/>
                  <wp:positionH relativeFrom="column">
                    <wp:posOffset>243205</wp:posOffset>
                  </wp:positionH>
                  <wp:positionV relativeFrom="paragraph">
                    <wp:posOffset>3951605</wp:posOffset>
                  </wp:positionV>
                  <wp:extent cx="1708150" cy="981075"/>
                  <wp:effectExtent l="19050" t="0" r="6350" b="0"/>
                  <wp:wrapNone/>
                  <wp:docPr id="1266" name="图片 175" descr="169025039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图片 175" descr="1690250394308"/>
                          <pic:cNvPicPr>
                            <a:picLocks noChangeAspect="1" noChangeArrowheads="1"/>
                          </pic:cNvPicPr>
                        </pic:nvPicPr>
                        <pic:blipFill>
                          <a:blip r:embed="rId226" cstate="print"/>
                          <a:srcRect/>
                          <a:stretch>
                            <a:fillRect/>
                          </a:stretch>
                        </pic:blipFill>
                        <pic:spPr>
                          <a:xfrm>
                            <a:off x="0" y="0"/>
                            <a:ext cx="1708150" cy="98107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2"/>
                <w:highlight w:val="none"/>
              </w:rPr>
              <w:drawing>
                <wp:anchor distT="0" distB="0" distL="114300" distR="114300" simplePos="0" relativeHeight="251829248" behindDoc="0" locked="0" layoutInCell="1" allowOverlap="1">
                  <wp:simplePos x="0" y="0"/>
                  <wp:positionH relativeFrom="column">
                    <wp:posOffset>306705</wp:posOffset>
                  </wp:positionH>
                  <wp:positionV relativeFrom="paragraph">
                    <wp:posOffset>2035810</wp:posOffset>
                  </wp:positionV>
                  <wp:extent cx="1553845" cy="1518285"/>
                  <wp:effectExtent l="19050" t="0" r="8255" b="0"/>
                  <wp:wrapNone/>
                  <wp:docPr id="1267" name="图片 174" descr="169025020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图片 174" descr="1690250206926"/>
                          <pic:cNvPicPr>
                            <a:picLocks noChangeAspect="1" noChangeArrowheads="1"/>
                          </pic:cNvPicPr>
                        </pic:nvPicPr>
                        <pic:blipFill>
                          <a:blip r:embed="rId227"/>
                          <a:srcRect/>
                          <a:stretch>
                            <a:fillRect/>
                          </a:stretch>
                        </pic:blipFill>
                        <pic:spPr>
                          <a:xfrm>
                            <a:off x="0" y="0"/>
                            <a:ext cx="1553845" cy="151828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2"/>
                <w:highlight w:val="none"/>
              </w:rPr>
              <w:drawing>
                <wp:anchor distT="0" distB="0" distL="114300" distR="114300" simplePos="0" relativeHeight="251830272" behindDoc="0" locked="0" layoutInCell="1" allowOverlap="1">
                  <wp:simplePos x="0" y="0"/>
                  <wp:positionH relativeFrom="column">
                    <wp:posOffset>306705</wp:posOffset>
                  </wp:positionH>
                  <wp:positionV relativeFrom="paragraph">
                    <wp:posOffset>541020</wp:posOffset>
                  </wp:positionV>
                  <wp:extent cx="1778000" cy="1168400"/>
                  <wp:effectExtent l="19050" t="0" r="0" b="0"/>
                  <wp:wrapNone/>
                  <wp:docPr id="1268" name="图片 173" descr="169025002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图片 173" descr="1690250027384"/>
                          <pic:cNvPicPr>
                            <a:picLocks noChangeAspect="1" noChangeArrowheads="1"/>
                          </pic:cNvPicPr>
                        </pic:nvPicPr>
                        <pic:blipFill>
                          <a:blip r:embed="rId228" cstate="print"/>
                          <a:srcRect/>
                          <a:stretch>
                            <a:fillRect/>
                          </a:stretch>
                        </pic:blipFill>
                        <pic:spPr>
                          <a:xfrm>
                            <a:off x="0" y="0"/>
                            <a:ext cx="1778000" cy="1168400"/>
                          </a:xfrm>
                          <a:prstGeom prst="rect">
                            <a:avLst/>
                          </a:prstGeom>
                          <a:noFill/>
                          <a:ln w="9525">
                            <a:noFill/>
                            <a:miter lim="800000"/>
                            <a:headEnd/>
                            <a:tailEnd/>
                          </a:ln>
                        </pic:spPr>
                      </pic:pic>
                    </a:graphicData>
                  </a:graphic>
                </wp:anchor>
              </w:drawing>
            </w:r>
          </w:p>
        </w:tc>
      </w:tr>
      <w:tr w14:paraId="5F533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14:paraId="6FE9427A">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有限空间安全风险防控与事故排查</w:t>
            </w:r>
          </w:p>
        </w:tc>
        <w:tc>
          <w:tcPr>
            <w:tcW w:w="4185" w:type="dxa"/>
          </w:tcPr>
          <w:p w14:paraId="5C691C4E">
            <w:pPr>
              <w:keepNext w:val="0"/>
              <w:keepLines w:val="0"/>
              <w:numPr>
                <w:ilvl w:val="0"/>
                <w:numId w:val="35"/>
              </w:numPr>
              <w:suppressLineNumbers w:val="0"/>
              <w:adjustRightInd w:val="0"/>
              <w:snapToGrid w:val="0"/>
              <w:spacing w:before="0" w:beforeAutospacing="0" w:after="0" w:afterAutospacing="0" w:line="360" w:lineRule="auto"/>
              <w:ind w:left="360" w:right="0" w:hanging="36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有限空间作业安全管理措施：a、建立健全有限空间作业安全管理制度。b、辨识有限空间并建立健全管理台账。c、设置安全警示标志或安全告知牌。d、开展相关人员有限空间作业安全专项培训。e、配置有限</w:t>
            </w:r>
            <w:r>
              <w:rPr>
                <w:rFonts w:hint="eastAsia" w:cs="仿宋_GB2312" w:asciiTheme="minorEastAsia" w:hAnsiTheme="minorEastAsia" w:eastAsiaTheme="minorEastAsia"/>
                <w:color w:val="auto"/>
                <w:sz w:val="24"/>
                <w:highlight w:val="none"/>
              </w:rPr>
              <w:drawing>
                <wp:anchor distT="0" distB="0" distL="114300" distR="114300" simplePos="0" relativeHeight="251834368" behindDoc="0" locked="0" layoutInCell="1" allowOverlap="1">
                  <wp:simplePos x="0" y="0"/>
                  <wp:positionH relativeFrom="column">
                    <wp:posOffset>2880995</wp:posOffset>
                  </wp:positionH>
                  <wp:positionV relativeFrom="paragraph">
                    <wp:posOffset>223520</wp:posOffset>
                  </wp:positionV>
                  <wp:extent cx="1832610" cy="1447800"/>
                  <wp:effectExtent l="19050" t="0" r="0" b="0"/>
                  <wp:wrapNone/>
                  <wp:docPr id="1272" name="图片 178" descr="169025257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图片 178" descr="1690252575139"/>
                          <pic:cNvPicPr>
                            <a:picLocks noChangeAspect="1" noChangeArrowheads="1"/>
                          </pic:cNvPicPr>
                        </pic:nvPicPr>
                        <pic:blipFill>
                          <a:blip r:embed="rId229"/>
                          <a:srcRect/>
                          <a:stretch>
                            <a:fillRect/>
                          </a:stretch>
                        </pic:blipFill>
                        <pic:spPr>
                          <a:xfrm>
                            <a:off x="0" y="0"/>
                            <a:ext cx="1832610" cy="144780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空间安全防护设备设施。f、制定应急救援预案并定期演练。g、加强有限空间发包作业管理。</w:t>
            </w:r>
          </w:p>
          <w:p w14:paraId="24DEC913">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832320" behindDoc="0" locked="0" layoutInCell="1" allowOverlap="1">
                  <wp:simplePos x="0" y="0"/>
                  <wp:positionH relativeFrom="column">
                    <wp:posOffset>2862580</wp:posOffset>
                  </wp:positionH>
                  <wp:positionV relativeFrom="paragraph">
                    <wp:posOffset>1588135</wp:posOffset>
                  </wp:positionV>
                  <wp:extent cx="1753235" cy="1665605"/>
                  <wp:effectExtent l="19050" t="0" r="0" b="0"/>
                  <wp:wrapNone/>
                  <wp:docPr id="1270" name="图片 180" descr="169025441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图片 180" descr="1690254413682"/>
                          <pic:cNvPicPr>
                            <a:picLocks noChangeAspect="1" noChangeArrowheads="1"/>
                          </pic:cNvPicPr>
                        </pic:nvPicPr>
                        <pic:blipFill>
                          <a:blip r:embed="rId230"/>
                          <a:srcRect/>
                          <a:stretch>
                            <a:fillRect/>
                          </a:stretch>
                        </pic:blipFill>
                        <pic:spPr>
                          <a:xfrm>
                            <a:off x="0" y="0"/>
                            <a:ext cx="1753235" cy="166560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2）有限空间作业过程风险防控：a、制定作业方案，明确人员职责，作业方案审批。b、作业准备：安全交底，设备检查，封闭作业区域及安全警示，打开进出口，安全隔离，清除置换，初始气体检测，强制通风，再次检测，人员防护。c、安全作业：在确认作业环境、作业程序、安全防护设备和个体防护用品等符合要求后，作业现场负责人方可许可作业人员进入有限空间作业。</w:t>
            </w:r>
          </w:p>
          <w:p w14:paraId="2B350665">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3）有限空间作业主要事故隐患排查：存在有限空间作业的应严格落实各项安全防控措施，定期开展排查并消除事故隐患。</w:t>
            </w:r>
          </w:p>
        </w:tc>
        <w:tc>
          <w:tcPr>
            <w:tcW w:w="3993" w:type="dxa"/>
          </w:tcPr>
          <w:p w14:paraId="4FFF6D7B">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35392" behindDoc="0" locked="0" layoutInCell="1" allowOverlap="1">
                  <wp:simplePos x="0" y="0"/>
                  <wp:positionH relativeFrom="column">
                    <wp:posOffset>94615</wp:posOffset>
                  </wp:positionH>
                  <wp:positionV relativeFrom="paragraph">
                    <wp:posOffset>203200</wp:posOffset>
                  </wp:positionV>
                  <wp:extent cx="2138680" cy="1493520"/>
                  <wp:effectExtent l="0" t="0" r="13970" b="11430"/>
                  <wp:wrapNone/>
                  <wp:docPr id="1273" name="图片 177" descr="169025209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图片 177" descr="1690252092676"/>
                          <pic:cNvPicPr>
                            <a:picLocks noChangeAspect="1" noChangeArrowheads="1"/>
                          </pic:cNvPicPr>
                        </pic:nvPicPr>
                        <pic:blipFill>
                          <a:blip r:embed="rId231" cstate="print"/>
                          <a:srcRect/>
                          <a:stretch>
                            <a:fillRect/>
                          </a:stretch>
                        </pic:blipFill>
                        <pic:spPr>
                          <a:xfrm>
                            <a:off x="0" y="0"/>
                            <a:ext cx="2138680" cy="1493520"/>
                          </a:xfrm>
                          <a:prstGeom prst="rect">
                            <a:avLst/>
                          </a:prstGeom>
                          <a:noFill/>
                          <a:ln w="9525">
                            <a:noFill/>
                            <a:miter lim="800000"/>
                            <a:headEnd/>
                            <a:tailEnd/>
                          </a:ln>
                        </pic:spPr>
                      </pic:pic>
                    </a:graphicData>
                  </a:graphic>
                </wp:anchor>
              </w:drawing>
            </w:r>
          </w:p>
          <w:p w14:paraId="1D227124">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01879B45">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5D54977C">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33344" behindDoc="0" locked="0" layoutInCell="1" allowOverlap="1">
                  <wp:simplePos x="0" y="0"/>
                  <wp:positionH relativeFrom="column">
                    <wp:posOffset>257175</wp:posOffset>
                  </wp:positionH>
                  <wp:positionV relativeFrom="paragraph">
                    <wp:posOffset>4239895</wp:posOffset>
                  </wp:positionV>
                  <wp:extent cx="1694180" cy="1511300"/>
                  <wp:effectExtent l="19050" t="0" r="1270" b="0"/>
                  <wp:wrapNone/>
                  <wp:docPr id="1271" name="图片 179" descr="1690254348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图片 179" descr="1690254348148"/>
                          <pic:cNvPicPr>
                            <a:picLocks noChangeAspect="1" noChangeArrowheads="1"/>
                          </pic:cNvPicPr>
                        </pic:nvPicPr>
                        <pic:blipFill>
                          <a:blip r:embed="rId232"/>
                          <a:srcRect/>
                          <a:stretch>
                            <a:fillRect/>
                          </a:stretch>
                        </pic:blipFill>
                        <pic:spPr>
                          <a:xfrm>
                            <a:off x="0" y="0"/>
                            <a:ext cx="1694180" cy="1511300"/>
                          </a:xfrm>
                          <a:prstGeom prst="rect">
                            <a:avLst/>
                          </a:prstGeom>
                          <a:noFill/>
                          <a:ln w="9525">
                            <a:noFill/>
                            <a:miter lim="800000"/>
                            <a:headEnd/>
                            <a:tailEnd/>
                          </a:ln>
                        </pic:spPr>
                      </pic:pic>
                    </a:graphicData>
                  </a:graphic>
                </wp:anchor>
              </w:drawing>
            </w:r>
          </w:p>
        </w:tc>
      </w:tr>
      <w:tr w14:paraId="713F8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2" w:type="dxa"/>
            <w:vAlign w:val="center"/>
          </w:tcPr>
          <w:p w14:paraId="7D5840E6">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有限空间作业事故应急救援</w:t>
            </w:r>
          </w:p>
        </w:tc>
        <w:tc>
          <w:tcPr>
            <w:tcW w:w="4185" w:type="dxa"/>
          </w:tcPr>
          <w:p w14:paraId="0A12EE16">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救援方式：当作业过程中出现异常情况时，作业人员在具有自主意识的情况下，应采取积极主动的自救措施。作业人员可使用隔绝式紧急逃生呼吸器等救援逃生设备，提高自救成功率。如果作业人员自救逃生失败，应根据实际情况采取非进入式救援或进入式救援方式。</w:t>
            </w:r>
          </w:p>
          <w:p w14:paraId="2C456723">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2）应急救援装备配置：有限空间作业事故应急救援装备主要包括便携式气</w:t>
            </w:r>
            <w:r>
              <w:rPr>
                <w:rFonts w:hint="eastAsia" w:cs="仿宋_GB2312" w:asciiTheme="minorEastAsia" w:hAnsiTheme="minorEastAsia" w:eastAsiaTheme="minorEastAsia"/>
                <w:color w:val="auto"/>
                <w:sz w:val="24"/>
                <w:highlight w:val="none"/>
              </w:rPr>
              <w:drawing>
                <wp:anchor distT="0" distB="0" distL="114300" distR="114300" simplePos="0" relativeHeight="251836416" behindDoc="0" locked="0" layoutInCell="1" allowOverlap="1">
                  <wp:simplePos x="0" y="0"/>
                  <wp:positionH relativeFrom="column">
                    <wp:posOffset>2696845</wp:posOffset>
                  </wp:positionH>
                  <wp:positionV relativeFrom="paragraph">
                    <wp:posOffset>360680</wp:posOffset>
                  </wp:positionV>
                  <wp:extent cx="2393950" cy="2283460"/>
                  <wp:effectExtent l="19050" t="0" r="6350" b="0"/>
                  <wp:wrapNone/>
                  <wp:docPr id="1274" name="图片 183" descr="1690255149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图片 183" descr="1690255149783"/>
                          <pic:cNvPicPr>
                            <a:picLocks noChangeAspect="1" noChangeArrowheads="1"/>
                          </pic:cNvPicPr>
                        </pic:nvPicPr>
                        <pic:blipFill>
                          <a:blip r:embed="rId233"/>
                          <a:srcRect/>
                          <a:stretch>
                            <a:fillRect/>
                          </a:stretch>
                        </pic:blipFill>
                        <pic:spPr>
                          <a:xfrm>
                            <a:off x="0" y="0"/>
                            <a:ext cx="2393950" cy="228346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sz w:val="24"/>
                <w:highlight w:val="none"/>
              </w:rPr>
              <w:t>体检测报警仪、大功率机械通风设备、照明工具、通讯设备、正压式空气呼吸器或高压送风式长管呼吸器、安全帽、全身式安全带、安全绳、有限空间进出及救援系统等。</w:t>
            </w:r>
          </w:p>
          <w:p w14:paraId="6B834262">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3）救援注意事项：一旦发生有限空间作业事故，作业现场负责人应及时向本单位报告事故情况，在分析事发有限空间环境危害控制情况、应急救援装备配置情况以及现场救援能力等因素的基础上，判断可否采取自主救援以及采取何种救援方式。</w:t>
            </w:r>
          </w:p>
        </w:tc>
        <w:tc>
          <w:tcPr>
            <w:tcW w:w="3993" w:type="dxa"/>
          </w:tcPr>
          <w:p w14:paraId="707A0C5A">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2"/>
                <w:highlight w:val="none"/>
              </w:rPr>
              <w:drawing>
                <wp:anchor distT="0" distB="0" distL="114300" distR="114300" simplePos="0" relativeHeight="251837440" behindDoc="0" locked="0" layoutInCell="1" allowOverlap="1">
                  <wp:simplePos x="0" y="0"/>
                  <wp:positionH relativeFrom="column">
                    <wp:posOffset>90805</wp:posOffset>
                  </wp:positionH>
                  <wp:positionV relativeFrom="paragraph">
                    <wp:posOffset>240665</wp:posOffset>
                  </wp:positionV>
                  <wp:extent cx="2056130" cy="1280160"/>
                  <wp:effectExtent l="19050" t="0" r="1270" b="0"/>
                  <wp:wrapNone/>
                  <wp:docPr id="1275" name="图片 181" descr="1690254678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图片 181" descr="1690254678866"/>
                          <pic:cNvPicPr>
                            <a:picLocks noChangeAspect="1" noChangeArrowheads="1"/>
                          </pic:cNvPicPr>
                        </pic:nvPicPr>
                        <pic:blipFill>
                          <a:blip r:embed="rId234" cstate="print"/>
                          <a:srcRect/>
                          <a:stretch>
                            <a:fillRect/>
                          </a:stretch>
                        </pic:blipFill>
                        <pic:spPr>
                          <a:xfrm>
                            <a:off x="0" y="0"/>
                            <a:ext cx="2056130" cy="1280160"/>
                          </a:xfrm>
                          <a:prstGeom prst="rect">
                            <a:avLst/>
                          </a:prstGeom>
                          <a:noFill/>
                          <a:ln w="9525">
                            <a:noFill/>
                            <a:miter lim="800000"/>
                            <a:headEnd/>
                            <a:tailEnd/>
                          </a:ln>
                        </pic:spPr>
                      </pic:pic>
                    </a:graphicData>
                  </a:graphic>
                </wp:anchor>
              </w:drawing>
            </w:r>
          </w:p>
          <w:p w14:paraId="4A279977">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p w14:paraId="67559015">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38464" behindDoc="0" locked="0" layoutInCell="1" allowOverlap="1">
                  <wp:simplePos x="0" y="0"/>
                  <wp:positionH relativeFrom="column">
                    <wp:posOffset>127000</wp:posOffset>
                  </wp:positionH>
                  <wp:positionV relativeFrom="paragraph">
                    <wp:posOffset>1006475</wp:posOffset>
                  </wp:positionV>
                  <wp:extent cx="2032000" cy="1297940"/>
                  <wp:effectExtent l="19050" t="0" r="6350" b="0"/>
                  <wp:wrapNone/>
                  <wp:docPr id="1276" name="图片 184" descr="1690255965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图片 184" descr="1690255965779"/>
                          <pic:cNvPicPr>
                            <a:picLocks noChangeAspect="1" noChangeArrowheads="1"/>
                          </pic:cNvPicPr>
                        </pic:nvPicPr>
                        <pic:blipFill>
                          <a:blip r:embed="rId235"/>
                          <a:srcRect/>
                          <a:stretch>
                            <a:fillRect/>
                          </a:stretch>
                        </pic:blipFill>
                        <pic:spPr>
                          <a:xfrm>
                            <a:off x="0" y="0"/>
                            <a:ext cx="2032000" cy="1297940"/>
                          </a:xfrm>
                          <a:prstGeom prst="rect">
                            <a:avLst/>
                          </a:prstGeom>
                          <a:noFill/>
                          <a:ln w="9525">
                            <a:noFill/>
                            <a:miter lim="800000"/>
                            <a:headEnd/>
                            <a:tailEnd/>
                          </a:ln>
                        </pic:spPr>
                      </pic:pic>
                    </a:graphicData>
                  </a:graphic>
                </wp:anchor>
              </w:drawing>
            </w:r>
          </w:p>
        </w:tc>
      </w:tr>
    </w:tbl>
    <w:p w14:paraId="5841C6C8">
      <w:pPr>
        <w:pStyle w:val="74"/>
        <w:adjustRightInd w:val="0"/>
        <w:snapToGrid w:val="0"/>
        <w:spacing w:line="360" w:lineRule="auto"/>
        <w:ind w:left="0" w:leftChars="0" w:firstLine="0" w:firstLineChars="0"/>
        <w:outlineLvl w:val="9"/>
        <w:rPr>
          <w:rFonts w:cs="黑体" w:asciiTheme="minorEastAsia" w:hAnsiTheme="minorEastAsia" w:eastAsiaTheme="minorEastAsia"/>
          <w:b/>
          <w:bCs/>
          <w:color w:val="auto"/>
          <w:sz w:val="24"/>
          <w:highlight w:val="none"/>
        </w:rPr>
      </w:pPr>
      <w:r>
        <w:rPr>
          <w:rFonts w:hint="eastAsia" w:cs="黑体" w:asciiTheme="minorEastAsia" w:hAnsiTheme="minorEastAsia" w:eastAsiaTheme="minorEastAsia"/>
          <w:b/>
          <w:bCs/>
          <w:color w:val="auto"/>
          <w:sz w:val="24"/>
          <w:highlight w:val="none"/>
        </w:rPr>
        <w:t>七、装修工程安全文明施工实施细则</w:t>
      </w:r>
    </w:p>
    <w:p w14:paraId="12FAB336">
      <w:pPr>
        <w:pStyle w:val="74"/>
        <w:adjustRightInd w:val="0"/>
        <w:snapToGrid w:val="0"/>
        <w:spacing w:line="360" w:lineRule="auto"/>
        <w:ind w:left="0" w:leftChars="0" w:firstLine="0" w:firstLineChars="0"/>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（一）安全施工操作指引</w:t>
      </w:r>
    </w:p>
    <w:tbl>
      <w:tblPr>
        <w:tblStyle w:val="56"/>
        <w:tblW w:w="94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9"/>
        <w:gridCol w:w="4536"/>
        <w:gridCol w:w="3638"/>
      </w:tblGrid>
      <w:tr w14:paraId="0B0B0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9" w:type="dxa"/>
            <w:vAlign w:val="center"/>
          </w:tcPr>
          <w:p w14:paraId="28A9583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536" w:type="dxa"/>
            <w:vAlign w:val="center"/>
          </w:tcPr>
          <w:p w14:paraId="4B965A4F">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638" w:type="dxa"/>
            <w:vAlign w:val="center"/>
          </w:tcPr>
          <w:p w14:paraId="495D9297">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25231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1259" w:type="dxa"/>
            <w:vAlign w:val="center"/>
          </w:tcPr>
          <w:p w14:paraId="6603C41A">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安全施工组织措施</w:t>
            </w:r>
          </w:p>
        </w:tc>
        <w:tc>
          <w:tcPr>
            <w:tcW w:w="4536" w:type="dxa"/>
          </w:tcPr>
          <w:p w14:paraId="41ACBEA6">
            <w:pPr>
              <w:pStyle w:val="112"/>
              <w:keepNext w:val="0"/>
              <w:keepLines w:val="0"/>
              <w:numPr>
                <w:ilvl w:val="0"/>
                <w:numId w:val="36"/>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对施工队伍进行进场安全教育，并签订安全协议后上岗，日常定期召开安全生产总结会，实行动态管理。</w:t>
            </w:r>
          </w:p>
          <w:p w14:paraId="37C977E8">
            <w:pPr>
              <w:pStyle w:val="112"/>
              <w:keepNext w:val="0"/>
              <w:keepLines w:val="0"/>
              <w:numPr>
                <w:ilvl w:val="0"/>
                <w:numId w:val="36"/>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现场建立安全生产责任制，认真执行安全生产制度和各项安全操作规程，建立安全施工台账。</w:t>
            </w:r>
          </w:p>
          <w:p w14:paraId="0FDE5921">
            <w:pPr>
              <w:pStyle w:val="112"/>
              <w:keepNext w:val="0"/>
              <w:keepLines w:val="0"/>
              <w:numPr>
                <w:ilvl w:val="0"/>
                <w:numId w:val="36"/>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在下达生产任务同时，必须进行安全交底。进入施工现场必须戴好安全帽。</w:t>
            </w:r>
          </w:p>
          <w:p w14:paraId="67B5D055">
            <w:pPr>
              <w:pStyle w:val="112"/>
              <w:keepNext w:val="0"/>
              <w:keepLines w:val="0"/>
              <w:numPr>
                <w:ilvl w:val="0"/>
                <w:numId w:val="36"/>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定期进行安全检查，对检查出的事故隐患做到定人、定时、定措施，认真整改。</w:t>
            </w:r>
          </w:p>
          <w:p w14:paraId="0099414B">
            <w:pPr>
              <w:pStyle w:val="112"/>
              <w:keepNext w:val="0"/>
              <w:keepLines w:val="0"/>
              <w:numPr>
                <w:ilvl w:val="0"/>
                <w:numId w:val="36"/>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机械设备定机、定人、定期检查，特殊工种持证上岗。</w:t>
            </w:r>
          </w:p>
          <w:p w14:paraId="5B225A76">
            <w:pPr>
              <w:pStyle w:val="112"/>
              <w:keepNext w:val="0"/>
              <w:keepLines w:val="0"/>
              <w:numPr>
                <w:ilvl w:val="0"/>
                <w:numId w:val="36"/>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40512" behindDoc="0" locked="0" layoutInCell="1" allowOverlap="1">
                  <wp:simplePos x="0" y="0"/>
                  <wp:positionH relativeFrom="column">
                    <wp:posOffset>2936240</wp:posOffset>
                  </wp:positionH>
                  <wp:positionV relativeFrom="paragraph">
                    <wp:posOffset>441325</wp:posOffset>
                  </wp:positionV>
                  <wp:extent cx="1974850" cy="1722755"/>
                  <wp:effectExtent l="19050" t="0" r="6350" b="0"/>
                  <wp:wrapNone/>
                  <wp:docPr id="1278" name="图片 52" descr="168990767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图片 52" descr="1689907677587"/>
                          <pic:cNvPicPr>
                            <a:picLocks noChangeAspect="1" noChangeArrowheads="1"/>
                          </pic:cNvPicPr>
                        </pic:nvPicPr>
                        <pic:blipFill>
                          <a:blip r:embed="rId236"/>
                          <a:srcRect/>
                          <a:stretch>
                            <a:fillRect/>
                          </a:stretch>
                        </pic:blipFill>
                        <pic:spPr>
                          <a:xfrm>
                            <a:off x="0" y="0"/>
                            <a:ext cx="1974850" cy="172275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施工现场实行专人24小时值班，加强巡视。对非工地施工人员进出要及时登记，非必要的门、通道采取封堵措施。</w:t>
            </w:r>
          </w:p>
          <w:p w14:paraId="4ACB3C40">
            <w:pPr>
              <w:pStyle w:val="112"/>
              <w:keepNext w:val="0"/>
              <w:keepLines w:val="0"/>
              <w:numPr>
                <w:ilvl w:val="0"/>
                <w:numId w:val="36"/>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使用明火附近必须有可靠的消防设备，并设专人监视，作业完毕后确定无火种隐患方可离开。</w:t>
            </w:r>
          </w:p>
          <w:p w14:paraId="2A38D5C8">
            <w:pPr>
              <w:pStyle w:val="112"/>
              <w:keepNext w:val="0"/>
              <w:keepLines w:val="0"/>
              <w:numPr>
                <w:ilvl w:val="0"/>
                <w:numId w:val="36"/>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各楼层配备的灭火器材应妥善保存，定期检查，不得任意损坏。</w:t>
            </w:r>
          </w:p>
          <w:p w14:paraId="19239487">
            <w:pPr>
              <w:pStyle w:val="112"/>
              <w:keepNext w:val="0"/>
              <w:keepLines w:val="0"/>
              <w:numPr>
                <w:ilvl w:val="0"/>
                <w:numId w:val="36"/>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39488" behindDoc="0" locked="0" layoutInCell="1" allowOverlap="1">
                  <wp:simplePos x="0" y="0"/>
                  <wp:positionH relativeFrom="column">
                    <wp:posOffset>2943860</wp:posOffset>
                  </wp:positionH>
                  <wp:positionV relativeFrom="paragraph">
                    <wp:posOffset>327025</wp:posOffset>
                  </wp:positionV>
                  <wp:extent cx="1991360" cy="1802765"/>
                  <wp:effectExtent l="19050" t="0" r="8890" b="0"/>
                  <wp:wrapNone/>
                  <wp:docPr id="1277" name="图片 48" descr="168957744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图片 48" descr="1689577443485"/>
                          <pic:cNvPicPr>
                            <a:picLocks noChangeAspect="1" noChangeArrowheads="1"/>
                          </pic:cNvPicPr>
                        </pic:nvPicPr>
                        <pic:blipFill>
                          <a:blip r:embed="rId237"/>
                          <a:srcRect/>
                          <a:stretch>
                            <a:fillRect/>
                          </a:stretch>
                        </pic:blipFill>
                        <pic:spPr>
                          <a:xfrm>
                            <a:off x="0" y="0"/>
                            <a:ext cx="1991360" cy="180276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对油漆和易燃物品严格按规定单独存放，严禁火种接近。加强合理的仓库管理制度，物品出入做好签收工作。</w:t>
            </w:r>
          </w:p>
          <w:p w14:paraId="63998575">
            <w:pPr>
              <w:pStyle w:val="112"/>
              <w:keepNext w:val="0"/>
              <w:keepLines w:val="0"/>
              <w:numPr>
                <w:ilvl w:val="0"/>
                <w:numId w:val="36"/>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施工现场必须做到文明施工，严禁吸烟。对易燃易爆建筑垃圾，每天做到工完场清，垃圾倒入规定地点，集中处理。</w:t>
            </w:r>
          </w:p>
          <w:p w14:paraId="52D17A45">
            <w:pPr>
              <w:pStyle w:val="112"/>
              <w:keepNext w:val="0"/>
              <w:keepLines w:val="0"/>
              <w:numPr>
                <w:ilvl w:val="0"/>
                <w:numId w:val="36"/>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施工现场有严格的安全保障体系。</w:t>
            </w:r>
          </w:p>
          <w:p w14:paraId="7D684D34">
            <w:pPr>
              <w:pStyle w:val="112"/>
              <w:keepNext w:val="0"/>
              <w:keepLines w:val="0"/>
              <w:suppressLineNumbers w:val="0"/>
              <w:snapToGrid w:val="0"/>
              <w:spacing w:before="0" w:beforeAutospacing="0" w:after="0" w:afterAutospacing="0" w:line="360" w:lineRule="auto"/>
              <w:ind w:left="360" w:right="0" w:firstLine="0" w:firstLineChars="0"/>
              <w:jc w:val="both"/>
              <w:outlineLvl w:val="9"/>
              <w:rPr>
                <w:rFonts w:cs="仿宋_GB2312" w:asciiTheme="minorEastAsia" w:hAnsiTheme="minorEastAsia" w:eastAsiaTheme="minorEastAsia"/>
                <w:color w:val="auto"/>
                <w:kern w:val="2"/>
                <w:sz w:val="24"/>
                <w:szCs w:val="24"/>
                <w:highlight w:val="none"/>
              </w:rPr>
            </w:pPr>
          </w:p>
        </w:tc>
        <w:tc>
          <w:tcPr>
            <w:tcW w:w="3638" w:type="dxa"/>
          </w:tcPr>
          <w:p w14:paraId="5B3FC8B9">
            <w:pPr>
              <w:pStyle w:val="112"/>
              <w:keepNext w:val="0"/>
              <w:keepLines w:val="0"/>
              <w:suppressLineNumbers w:val="0"/>
              <w:snapToGrid w:val="0"/>
              <w:spacing w:before="0" w:beforeAutospacing="0" w:after="0" w:afterAutospacing="0" w:line="360" w:lineRule="auto"/>
              <w:ind w:left="0" w:right="0" w:firstLine="480"/>
              <w:jc w:val="center"/>
              <w:outlineLvl w:val="9"/>
              <w:rPr>
                <w:rFonts w:cs="仿宋_GB2312" w:asciiTheme="minorEastAsia" w:hAnsiTheme="minorEastAsia" w:eastAsiaTheme="minorEastAsia"/>
                <w:color w:val="auto"/>
                <w:kern w:val="2"/>
                <w:sz w:val="24"/>
                <w:szCs w:val="24"/>
                <w:highlight w:val="none"/>
              </w:rPr>
            </w:pPr>
          </w:p>
          <w:p w14:paraId="5BF2E9E7">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p w14:paraId="40EB585A">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41536" behindDoc="0" locked="0" layoutInCell="1" allowOverlap="1">
                  <wp:simplePos x="0" y="0"/>
                  <wp:positionH relativeFrom="column">
                    <wp:posOffset>-3175</wp:posOffset>
                  </wp:positionH>
                  <wp:positionV relativeFrom="paragraph">
                    <wp:posOffset>48260</wp:posOffset>
                  </wp:positionV>
                  <wp:extent cx="2097405" cy="1788795"/>
                  <wp:effectExtent l="19050" t="0" r="0" b="0"/>
                  <wp:wrapNone/>
                  <wp:docPr id="1279" name="图片 24" descr="1689907458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图片 24" descr="1689907458153"/>
                          <pic:cNvPicPr>
                            <a:picLocks noChangeAspect="1" noChangeArrowheads="1"/>
                          </pic:cNvPicPr>
                        </pic:nvPicPr>
                        <pic:blipFill>
                          <a:blip r:embed="rId238"/>
                          <a:srcRect/>
                          <a:stretch>
                            <a:fillRect/>
                          </a:stretch>
                        </pic:blipFill>
                        <pic:spPr>
                          <a:xfrm>
                            <a:off x="0" y="0"/>
                            <a:ext cx="2097405" cy="1788795"/>
                          </a:xfrm>
                          <a:prstGeom prst="rect">
                            <a:avLst/>
                          </a:prstGeom>
                          <a:noFill/>
                          <a:ln w="9525">
                            <a:noFill/>
                            <a:miter lim="800000"/>
                            <a:headEnd/>
                            <a:tailEnd/>
                          </a:ln>
                        </pic:spPr>
                      </pic:pic>
                    </a:graphicData>
                  </a:graphic>
                </wp:anchor>
              </w:drawing>
            </w:r>
          </w:p>
        </w:tc>
      </w:tr>
      <w:tr w14:paraId="3C7D2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4" w:hRule="atLeast"/>
          <w:jc w:val="center"/>
        </w:trPr>
        <w:tc>
          <w:tcPr>
            <w:tcW w:w="1259" w:type="dxa"/>
            <w:vAlign w:val="center"/>
          </w:tcPr>
          <w:p w14:paraId="7C482EE5">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安全用电措施</w:t>
            </w:r>
          </w:p>
        </w:tc>
        <w:tc>
          <w:tcPr>
            <w:tcW w:w="4536" w:type="dxa"/>
          </w:tcPr>
          <w:p w14:paraId="15E3A0F6">
            <w:pPr>
              <w:pStyle w:val="112"/>
              <w:keepNext w:val="0"/>
              <w:keepLines w:val="0"/>
              <w:numPr>
                <w:ilvl w:val="0"/>
                <w:numId w:val="37"/>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施工现场用电必须符合三相五线制。</w:t>
            </w:r>
          </w:p>
          <w:p w14:paraId="402B1430">
            <w:pPr>
              <w:pStyle w:val="112"/>
              <w:keepNext w:val="0"/>
              <w:keepLines w:val="0"/>
              <w:numPr>
                <w:ilvl w:val="0"/>
                <w:numId w:val="37"/>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施工用电管理、操作人员必须取得上岗证，必须严格规范操作，正确使用个人劳保用品，无特殊原因和保护措施，不准带电作业。</w:t>
            </w:r>
          </w:p>
          <w:p w14:paraId="412C5D5C">
            <w:pPr>
              <w:pStyle w:val="112"/>
              <w:keepNext w:val="0"/>
              <w:keepLines w:val="0"/>
              <w:numPr>
                <w:ilvl w:val="0"/>
                <w:numId w:val="37"/>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配电箱选用标准箱，挂设高度1.4米，箱前及两侧1米范围不准堆放物品。门锁应有效，电箱应做统一编号，并有检查保养记录。</w:t>
            </w:r>
          </w:p>
          <w:p w14:paraId="4B281B60">
            <w:pPr>
              <w:pStyle w:val="112"/>
              <w:keepNext w:val="0"/>
              <w:keepLines w:val="0"/>
              <w:numPr>
                <w:ilvl w:val="0"/>
                <w:numId w:val="37"/>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移动电箱的距离不大于30米，做到一机一闸一保护，井架开关一律实行低电压36V启动。</w:t>
            </w:r>
          </w:p>
          <w:p w14:paraId="57133CD6">
            <w:pPr>
              <w:pStyle w:val="112"/>
              <w:keepNext w:val="0"/>
              <w:keepLines w:val="0"/>
              <w:numPr>
                <w:ilvl w:val="0"/>
                <w:numId w:val="37"/>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42560" behindDoc="0" locked="0" layoutInCell="1" allowOverlap="1">
                  <wp:simplePos x="0" y="0"/>
                  <wp:positionH relativeFrom="column">
                    <wp:posOffset>2916555</wp:posOffset>
                  </wp:positionH>
                  <wp:positionV relativeFrom="paragraph">
                    <wp:posOffset>127635</wp:posOffset>
                  </wp:positionV>
                  <wp:extent cx="2093595" cy="1824355"/>
                  <wp:effectExtent l="19050" t="0" r="1905" b="0"/>
                  <wp:wrapNone/>
                  <wp:docPr id="1280" name="图片 123" descr="1689910597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图片 123" descr="1689910597875"/>
                          <pic:cNvPicPr>
                            <a:picLocks noChangeAspect="1" noChangeArrowheads="1"/>
                          </pic:cNvPicPr>
                        </pic:nvPicPr>
                        <pic:blipFill>
                          <a:blip r:embed="rId239"/>
                          <a:srcRect/>
                          <a:stretch>
                            <a:fillRect/>
                          </a:stretch>
                        </pic:blipFill>
                        <pic:spPr>
                          <a:xfrm>
                            <a:off x="0" y="0"/>
                            <a:ext cx="2093595" cy="182435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电线进户，应设塑料管做防火弯。</w:t>
            </w:r>
          </w:p>
          <w:p w14:paraId="295DE7B7">
            <w:pPr>
              <w:pStyle w:val="112"/>
              <w:keepNext w:val="0"/>
              <w:keepLines w:val="0"/>
              <w:numPr>
                <w:ilvl w:val="0"/>
                <w:numId w:val="37"/>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单相电气设备设置照明开关箱，配备单相三线制，箱内设漏电保护开关，移动电器和灯具一律采用绝缘良好的软线，无接头、无损伤、无碾压现象。</w:t>
            </w:r>
          </w:p>
          <w:p w14:paraId="50CCCE0D">
            <w:pPr>
              <w:pStyle w:val="112"/>
              <w:keepNext w:val="0"/>
              <w:keepLines w:val="0"/>
              <w:numPr>
                <w:ilvl w:val="0"/>
                <w:numId w:val="37"/>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现场照明采用高光效、长寿命的光源，各箱内应明显分开“动力”、“照明”、“单相电器”、“电焊”等使用插座熔断器。</w:t>
            </w:r>
          </w:p>
        </w:tc>
        <w:tc>
          <w:tcPr>
            <w:tcW w:w="3638" w:type="dxa"/>
          </w:tcPr>
          <w:p w14:paraId="52EE886C">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p>
          <w:p w14:paraId="0F15B326">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114300" distR="114300" simplePos="0" relativeHeight="251843584" behindDoc="0" locked="0" layoutInCell="1" allowOverlap="1">
                  <wp:simplePos x="0" y="0"/>
                  <wp:positionH relativeFrom="column">
                    <wp:posOffset>103505</wp:posOffset>
                  </wp:positionH>
                  <wp:positionV relativeFrom="paragraph">
                    <wp:posOffset>459105</wp:posOffset>
                  </wp:positionV>
                  <wp:extent cx="1999615" cy="1542415"/>
                  <wp:effectExtent l="19050" t="0" r="635" b="0"/>
                  <wp:wrapNone/>
                  <wp:docPr id="1281" name="图片 49" descr="168957756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图片 49" descr="1689577561187"/>
                          <pic:cNvPicPr>
                            <a:picLocks noChangeAspect="1" noChangeArrowheads="1"/>
                          </pic:cNvPicPr>
                        </pic:nvPicPr>
                        <pic:blipFill>
                          <a:blip r:embed="rId240"/>
                          <a:srcRect/>
                          <a:stretch>
                            <a:fillRect/>
                          </a:stretch>
                        </pic:blipFill>
                        <pic:spPr>
                          <a:xfrm>
                            <a:off x="0" y="0"/>
                            <a:ext cx="1999615" cy="1542415"/>
                          </a:xfrm>
                          <a:prstGeom prst="rect">
                            <a:avLst/>
                          </a:prstGeom>
                          <a:noFill/>
                          <a:ln w="9525">
                            <a:noFill/>
                            <a:miter lim="800000"/>
                            <a:headEnd/>
                            <a:tailEnd/>
                          </a:ln>
                        </pic:spPr>
                      </pic:pic>
                    </a:graphicData>
                  </a:graphic>
                </wp:anchor>
              </w:drawing>
            </w:r>
          </w:p>
        </w:tc>
      </w:tr>
      <w:tr w14:paraId="778D3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9" w:type="dxa"/>
            <w:vAlign w:val="center"/>
          </w:tcPr>
          <w:p w14:paraId="5DF2C821">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施工机械安全技术措施</w:t>
            </w:r>
          </w:p>
        </w:tc>
        <w:tc>
          <w:tcPr>
            <w:tcW w:w="4536" w:type="dxa"/>
          </w:tcPr>
          <w:p w14:paraId="3FD1876F">
            <w:pPr>
              <w:pStyle w:val="112"/>
              <w:keepNext w:val="0"/>
              <w:keepLines w:val="0"/>
              <w:numPr>
                <w:ilvl w:val="0"/>
                <w:numId w:val="38"/>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机械操作人员必须持证上岗，必须严格操作规程，正确使用个人劳保用品。</w:t>
            </w:r>
          </w:p>
          <w:p w14:paraId="34A44316">
            <w:pPr>
              <w:pStyle w:val="112"/>
              <w:keepNext w:val="0"/>
              <w:keepLines w:val="0"/>
              <w:numPr>
                <w:ilvl w:val="0"/>
                <w:numId w:val="38"/>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每一台电动机械开关箱，装设过载负荷、短路、漏电保护装置，外设隔离开关。</w:t>
            </w:r>
          </w:p>
          <w:p w14:paraId="7E1F1121">
            <w:pPr>
              <w:pStyle w:val="112"/>
              <w:keepNext w:val="0"/>
              <w:keepLines w:val="0"/>
              <w:numPr>
                <w:ilvl w:val="0"/>
                <w:numId w:val="38"/>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手持类电动工具必须严格遵守《手持电动工具的管理、使用、检查和维修安全技术规程》，每月至少检查一次。现场使用必须符合《施工现场临时用电安全技术规范》中的有关规定。</w:t>
            </w:r>
          </w:p>
        </w:tc>
        <w:tc>
          <w:tcPr>
            <w:tcW w:w="3638" w:type="dxa"/>
          </w:tcPr>
          <w:p w14:paraId="3EE99374">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114300" distR="114300" simplePos="0" relativeHeight="251844608" behindDoc="0" locked="0" layoutInCell="1" allowOverlap="1">
                  <wp:simplePos x="0" y="0"/>
                  <wp:positionH relativeFrom="column">
                    <wp:posOffset>84455</wp:posOffset>
                  </wp:positionH>
                  <wp:positionV relativeFrom="paragraph">
                    <wp:posOffset>570230</wp:posOffset>
                  </wp:positionV>
                  <wp:extent cx="1880235" cy="1672590"/>
                  <wp:effectExtent l="19050" t="0" r="5715" b="0"/>
                  <wp:wrapNone/>
                  <wp:docPr id="1282" name="图片 55" descr="1689909865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图片 55" descr="1689909865972"/>
                          <pic:cNvPicPr>
                            <a:picLocks noChangeAspect="1" noChangeArrowheads="1"/>
                          </pic:cNvPicPr>
                        </pic:nvPicPr>
                        <pic:blipFill>
                          <a:blip r:embed="rId241"/>
                          <a:srcRect/>
                          <a:stretch>
                            <a:fillRect/>
                          </a:stretch>
                        </pic:blipFill>
                        <pic:spPr>
                          <a:xfrm>
                            <a:off x="0" y="0"/>
                            <a:ext cx="1880235" cy="1672590"/>
                          </a:xfrm>
                          <a:prstGeom prst="rect">
                            <a:avLst/>
                          </a:prstGeom>
                          <a:noFill/>
                          <a:ln w="9525">
                            <a:noFill/>
                            <a:miter lim="800000"/>
                            <a:headEnd/>
                            <a:tailEnd/>
                          </a:ln>
                        </pic:spPr>
                      </pic:pic>
                    </a:graphicData>
                  </a:graphic>
                </wp:anchor>
              </w:drawing>
            </w:r>
          </w:p>
        </w:tc>
      </w:tr>
      <w:tr w14:paraId="1B87A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1259" w:type="dxa"/>
            <w:vAlign w:val="center"/>
          </w:tcPr>
          <w:p w14:paraId="4ADA4D10">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射钉枪安全使用措施</w:t>
            </w:r>
          </w:p>
        </w:tc>
        <w:tc>
          <w:tcPr>
            <w:tcW w:w="4536" w:type="dxa"/>
          </w:tcPr>
          <w:p w14:paraId="58849503">
            <w:pPr>
              <w:pStyle w:val="112"/>
              <w:keepNext w:val="0"/>
              <w:keepLines w:val="0"/>
              <w:numPr>
                <w:ilvl w:val="0"/>
                <w:numId w:val="39"/>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操作人员要经过培训，严格按照规定程序操作，工作时要戴防护眼镜，严禁枪口对人。</w:t>
            </w:r>
          </w:p>
          <w:p w14:paraId="395FBFEB">
            <w:pPr>
              <w:pStyle w:val="112"/>
              <w:keepNext w:val="0"/>
              <w:keepLines w:val="0"/>
              <w:numPr>
                <w:ilvl w:val="0"/>
                <w:numId w:val="39"/>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射钉弹要按有关爆炸和危险品的规定进行搬动、储存和使用，存入环境要整洁、干燥、通风良好，不得用火烤、高温加热射钉弹。</w:t>
            </w:r>
          </w:p>
          <w:p w14:paraId="7C8EC4A9">
            <w:pPr>
              <w:pStyle w:val="112"/>
              <w:keepNext w:val="0"/>
              <w:keepLines w:val="0"/>
              <w:numPr>
                <w:ilvl w:val="0"/>
                <w:numId w:val="39"/>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建立机械设备技术安全档案，每台设备的例行保护、定期保养及其他安全行动和检测记录确保准确、及时、齐全，两班制人员均实行交接班制度。</w:t>
            </w:r>
          </w:p>
        </w:tc>
        <w:tc>
          <w:tcPr>
            <w:tcW w:w="3638" w:type="dxa"/>
          </w:tcPr>
          <w:p w14:paraId="6DCFE054">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114300" distR="114300" simplePos="0" relativeHeight="251845632" behindDoc="0" locked="0" layoutInCell="1" allowOverlap="1">
                  <wp:simplePos x="0" y="0"/>
                  <wp:positionH relativeFrom="column">
                    <wp:posOffset>17780</wp:posOffset>
                  </wp:positionH>
                  <wp:positionV relativeFrom="paragraph">
                    <wp:posOffset>77470</wp:posOffset>
                  </wp:positionV>
                  <wp:extent cx="2118360" cy="1944370"/>
                  <wp:effectExtent l="0" t="0" r="15240" b="17780"/>
                  <wp:wrapNone/>
                  <wp:docPr id="1283" name="图片 53" descr="1689908689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图片 53" descr="1689908689534"/>
                          <pic:cNvPicPr>
                            <a:picLocks noChangeAspect="1" noChangeArrowheads="1"/>
                          </pic:cNvPicPr>
                        </pic:nvPicPr>
                        <pic:blipFill>
                          <a:blip r:embed="rId242"/>
                          <a:srcRect/>
                          <a:stretch>
                            <a:fillRect/>
                          </a:stretch>
                        </pic:blipFill>
                        <pic:spPr>
                          <a:xfrm>
                            <a:off x="0" y="0"/>
                            <a:ext cx="2118360" cy="1944370"/>
                          </a:xfrm>
                          <a:prstGeom prst="rect">
                            <a:avLst/>
                          </a:prstGeom>
                          <a:noFill/>
                          <a:ln w="9525">
                            <a:noFill/>
                            <a:miter lim="800000"/>
                            <a:headEnd/>
                            <a:tailEnd/>
                          </a:ln>
                        </pic:spPr>
                      </pic:pic>
                    </a:graphicData>
                  </a:graphic>
                </wp:anchor>
              </w:drawing>
            </w:r>
          </w:p>
        </w:tc>
      </w:tr>
      <w:tr w14:paraId="22C98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2" w:hRule="atLeast"/>
          <w:jc w:val="center"/>
        </w:trPr>
        <w:tc>
          <w:tcPr>
            <w:tcW w:w="1259" w:type="dxa"/>
            <w:vAlign w:val="center"/>
          </w:tcPr>
          <w:p w14:paraId="55E862BA">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轻钢龙骨安全操作规程</w:t>
            </w:r>
          </w:p>
        </w:tc>
        <w:tc>
          <w:tcPr>
            <w:tcW w:w="4536" w:type="dxa"/>
          </w:tcPr>
          <w:p w14:paraId="69A2CEA7">
            <w:pPr>
              <w:pStyle w:val="112"/>
              <w:keepNext w:val="0"/>
              <w:keepLines w:val="0"/>
              <w:numPr>
                <w:ilvl w:val="0"/>
                <w:numId w:val="40"/>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进入施工场所，严禁吸烟。</w:t>
            </w:r>
          </w:p>
          <w:p w14:paraId="1B1EF4C6">
            <w:pPr>
              <w:pStyle w:val="112"/>
              <w:keepNext w:val="0"/>
              <w:keepLines w:val="0"/>
              <w:numPr>
                <w:ilvl w:val="0"/>
                <w:numId w:val="40"/>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电焊工需持证上岗，凡需要动用电焊等明火作业的，事先要得到工地负责人或工地管理员的批准办好“动火证”并做好动火周围安全工作，配好监护员。</w:t>
            </w:r>
          </w:p>
          <w:p w14:paraId="7CC08D69">
            <w:pPr>
              <w:pStyle w:val="112"/>
              <w:keepNext w:val="0"/>
              <w:keepLines w:val="0"/>
              <w:numPr>
                <w:ilvl w:val="0"/>
                <w:numId w:val="40"/>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要注意各类脚手架的牢固安全，制止冒险、冒失行为。挑板厚度应用五公分厚度以上的坚固木板防止坠落物伤害他人，对多余的龙骨、配件等要归库，不得随意乱丢。</w:t>
            </w:r>
          </w:p>
        </w:tc>
        <w:tc>
          <w:tcPr>
            <w:tcW w:w="3638" w:type="dxa"/>
          </w:tcPr>
          <w:p w14:paraId="21B66913">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114300" distR="114300" simplePos="0" relativeHeight="251846656" behindDoc="0" locked="0" layoutInCell="1" allowOverlap="1">
                  <wp:simplePos x="0" y="0"/>
                  <wp:positionH relativeFrom="column">
                    <wp:posOffset>17780</wp:posOffset>
                  </wp:positionH>
                  <wp:positionV relativeFrom="paragraph">
                    <wp:posOffset>463550</wp:posOffset>
                  </wp:positionV>
                  <wp:extent cx="2127250" cy="2017395"/>
                  <wp:effectExtent l="19050" t="0" r="6350" b="0"/>
                  <wp:wrapNone/>
                  <wp:docPr id="1284" name="图片 54" descr="168990915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图片 54" descr="1689909152832"/>
                          <pic:cNvPicPr>
                            <a:picLocks noChangeAspect="1" noChangeArrowheads="1"/>
                          </pic:cNvPicPr>
                        </pic:nvPicPr>
                        <pic:blipFill>
                          <a:blip r:embed="rId243"/>
                          <a:srcRect/>
                          <a:stretch>
                            <a:fillRect/>
                          </a:stretch>
                        </pic:blipFill>
                        <pic:spPr>
                          <a:xfrm>
                            <a:off x="0" y="0"/>
                            <a:ext cx="2127250" cy="2017395"/>
                          </a:xfrm>
                          <a:prstGeom prst="rect">
                            <a:avLst/>
                          </a:prstGeom>
                          <a:noFill/>
                          <a:ln w="9525">
                            <a:noFill/>
                            <a:miter lim="800000"/>
                            <a:headEnd/>
                            <a:tailEnd/>
                          </a:ln>
                        </pic:spPr>
                      </pic:pic>
                    </a:graphicData>
                  </a:graphic>
                </wp:anchor>
              </w:drawing>
            </w:r>
          </w:p>
        </w:tc>
      </w:tr>
      <w:tr w14:paraId="0735B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7" w:hRule="atLeast"/>
          <w:jc w:val="center"/>
        </w:trPr>
        <w:tc>
          <w:tcPr>
            <w:tcW w:w="1259" w:type="dxa"/>
            <w:vAlign w:val="center"/>
          </w:tcPr>
          <w:p w14:paraId="697A3D91">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油漆工安全操作规程</w:t>
            </w:r>
          </w:p>
        </w:tc>
        <w:tc>
          <w:tcPr>
            <w:tcW w:w="4536" w:type="dxa"/>
          </w:tcPr>
          <w:p w14:paraId="5D4EF7FD">
            <w:pPr>
              <w:pStyle w:val="112"/>
              <w:keepNext w:val="0"/>
              <w:keepLines w:val="0"/>
              <w:numPr>
                <w:ilvl w:val="0"/>
                <w:numId w:val="4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进入施工场所，严禁吸烟，不准带火种。领用油漆、化工材料等易燃品，用多少领多少。应将用毕的油漆、化工材料等上盖归库，不得随意乱丢。</w:t>
            </w:r>
          </w:p>
          <w:p w14:paraId="4F7BE11D">
            <w:pPr>
              <w:pStyle w:val="112"/>
              <w:keepNext w:val="0"/>
              <w:keepLines w:val="0"/>
              <w:numPr>
                <w:ilvl w:val="0"/>
                <w:numId w:val="4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油漆作业时，严禁使用碘鸨灯。喷漆作业时要戴好保护口罩，室内要打开门窗或用风扇驱气，以减弱喷雾浓度。</w:t>
            </w:r>
          </w:p>
          <w:p w14:paraId="513C9980">
            <w:pPr>
              <w:pStyle w:val="112"/>
              <w:keepNext w:val="0"/>
              <w:keepLines w:val="0"/>
              <w:numPr>
                <w:ilvl w:val="0"/>
                <w:numId w:val="4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漆仓库、配料房除应悬挂“禁止烟火”的标志外，并根据防火要求设置消防器材，还应与其他生产建筑物隔离。</w:t>
            </w:r>
          </w:p>
          <w:p w14:paraId="51A93902">
            <w:pPr>
              <w:pStyle w:val="112"/>
              <w:keepNext w:val="0"/>
              <w:keepLines w:val="0"/>
              <w:numPr>
                <w:ilvl w:val="0"/>
                <w:numId w:val="4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所有沾染漆类及油类的旧盖纸、废纱头等物，应收集在有盖铁通内，定期处理，以防失火。</w:t>
            </w:r>
          </w:p>
          <w:p w14:paraId="2C3E3D64">
            <w:pPr>
              <w:pStyle w:val="112"/>
              <w:keepNext w:val="0"/>
              <w:keepLines w:val="0"/>
              <w:numPr>
                <w:ilvl w:val="0"/>
                <w:numId w:val="4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上班前对工具、脚手架、梯凳、跳板等，</w:t>
            </w:r>
            <w:r>
              <w:rPr>
                <w:rFonts w:hint="eastAsia" w:cs="仿宋_GB2312" w:asciiTheme="minorEastAsia" w:hAnsiTheme="minorEastAsia" w:eastAsiaTheme="minorEastAsia"/>
                <w:color w:val="auto"/>
                <w:kern w:val="2"/>
                <w:sz w:val="24"/>
                <w:szCs w:val="22"/>
                <w:highlight w:val="none"/>
              </w:rPr>
              <w:drawing>
                <wp:anchor distT="0" distB="0" distL="114300" distR="114300" simplePos="0" relativeHeight="251847680" behindDoc="0" locked="0" layoutInCell="1" allowOverlap="1">
                  <wp:simplePos x="0" y="0"/>
                  <wp:positionH relativeFrom="column">
                    <wp:posOffset>2907665</wp:posOffset>
                  </wp:positionH>
                  <wp:positionV relativeFrom="paragraph">
                    <wp:posOffset>351790</wp:posOffset>
                  </wp:positionV>
                  <wp:extent cx="2054860" cy="1839595"/>
                  <wp:effectExtent l="19050" t="0" r="2540" b="0"/>
                  <wp:wrapNone/>
                  <wp:docPr id="1285" name="图片 121" descr="168991039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图片 121" descr="1689910393691"/>
                          <pic:cNvPicPr>
                            <a:picLocks noChangeAspect="1" noChangeArrowheads="1"/>
                          </pic:cNvPicPr>
                        </pic:nvPicPr>
                        <pic:blipFill>
                          <a:blip r:embed="rId244"/>
                          <a:srcRect/>
                          <a:stretch>
                            <a:fillRect/>
                          </a:stretch>
                        </pic:blipFill>
                        <pic:spPr>
                          <a:xfrm>
                            <a:off x="0" y="0"/>
                            <a:ext cx="2054860" cy="183959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必须经过详细检查，确认安全可靠后才能使用。</w:t>
            </w:r>
          </w:p>
          <w:p w14:paraId="5FF10803">
            <w:pPr>
              <w:pStyle w:val="112"/>
              <w:keepNext w:val="0"/>
              <w:keepLines w:val="0"/>
              <w:numPr>
                <w:ilvl w:val="0"/>
                <w:numId w:val="4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在土建工程结束后或脚手架已经拆除情况下，使用倒挂梯时，绳钩要扎紧、挂牢，检查后方可使用。</w:t>
            </w:r>
          </w:p>
          <w:p w14:paraId="7F8CB442">
            <w:pPr>
              <w:pStyle w:val="112"/>
              <w:keepNext w:val="0"/>
              <w:keepLines w:val="0"/>
              <w:numPr>
                <w:ilvl w:val="0"/>
                <w:numId w:val="4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油漆二层以上的门窗时，安全带不得拴在窗档上。</w:t>
            </w:r>
          </w:p>
          <w:p w14:paraId="3DC6BCAC">
            <w:pPr>
              <w:pStyle w:val="112"/>
              <w:keepNext w:val="0"/>
              <w:keepLines w:val="0"/>
              <w:numPr>
                <w:ilvl w:val="0"/>
                <w:numId w:val="4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操作含酸碱等腐蚀性的油漆、颜料、溶剂等，应遵守本规程安全生产中的有关规定。</w:t>
            </w:r>
          </w:p>
          <w:p w14:paraId="7B1E1376">
            <w:pPr>
              <w:pStyle w:val="112"/>
              <w:keepNext w:val="0"/>
              <w:keepLines w:val="0"/>
              <w:numPr>
                <w:ilvl w:val="0"/>
                <w:numId w:val="4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安装玻璃时，一律带工具袋，严禁把小钉含在口里，以防吞入腹内，造成事故。严禁上下交叉立体作业，应采用流水作业。</w:t>
            </w:r>
          </w:p>
          <w:p w14:paraId="1F2D3B9E">
            <w:pPr>
              <w:pStyle w:val="112"/>
              <w:keepNext w:val="0"/>
              <w:keepLines w:val="0"/>
              <w:numPr>
                <w:ilvl w:val="0"/>
                <w:numId w:val="4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裁下的玻璃条及碎块，禁止任意乱丢。</w:t>
            </w:r>
          </w:p>
          <w:p w14:paraId="025EF0EA">
            <w:pPr>
              <w:pStyle w:val="112"/>
              <w:keepNext w:val="0"/>
              <w:keepLines w:val="0"/>
              <w:numPr>
                <w:ilvl w:val="0"/>
                <w:numId w:val="4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玻璃未钉牢之前，不得中途停止，以防掉落伤人。</w:t>
            </w:r>
          </w:p>
          <w:p w14:paraId="13D28293">
            <w:pPr>
              <w:pStyle w:val="112"/>
              <w:keepNext w:val="0"/>
              <w:keepLines w:val="0"/>
              <w:numPr>
                <w:ilvl w:val="0"/>
                <w:numId w:val="41"/>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门窗玻璃装配完后，应将插销或风钩挂牢。</w:t>
            </w:r>
          </w:p>
        </w:tc>
        <w:tc>
          <w:tcPr>
            <w:tcW w:w="3638" w:type="dxa"/>
          </w:tcPr>
          <w:p w14:paraId="2326C252">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p>
          <w:p w14:paraId="49967A55">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sz w:val="24"/>
                <w:szCs w:val="24"/>
                <w:highlight w:val="none"/>
              </w:rPr>
              <w:drawing>
                <wp:anchor distT="0" distB="0" distL="114300" distR="114300" simplePos="0" relativeHeight="251848704" behindDoc="0" locked="0" layoutInCell="1" allowOverlap="1">
                  <wp:simplePos x="0" y="0"/>
                  <wp:positionH relativeFrom="column">
                    <wp:posOffset>120015</wp:posOffset>
                  </wp:positionH>
                  <wp:positionV relativeFrom="paragraph">
                    <wp:posOffset>1930400</wp:posOffset>
                  </wp:positionV>
                  <wp:extent cx="1842770" cy="1543685"/>
                  <wp:effectExtent l="0" t="0" r="5080" b="18415"/>
                  <wp:wrapNone/>
                  <wp:docPr id="1286" name="图片 58" descr="168991012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图片 58" descr="1689910124388"/>
                          <pic:cNvPicPr>
                            <a:picLocks noChangeAspect="1" noChangeArrowheads="1"/>
                          </pic:cNvPicPr>
                        </pic:nvPicPr>
                        <pic:blipFill>
                          <a:blip r:embed="rId245"/>
                          <a:srcRect/>
                          <a:stretch>
                            <a:fillRect/>
                          </a:stretch>
                        </pic:blipFill>
                        <pic:spPr>
                          <a:xfrm>
                            <a:off x="0" y="0"/>
                            <a:ext cx="1842770" cy="154368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0"/>
                <w:sz w:val="24"/>
                <w:highlight w:val="none"/>
              </w:rPr>
              <w:drawing>
                <wp:anchor distT="0" distB="0" distL="114300" distR="114300" simplePos="0" relativeHeight="251849728" behindDoc="0" locked="0" layoutInCell="1" allowOverlap="1">
                  <wp:simplePos x="0" y="0"/>
                  <wp:positionH relativeFrom="column">
                    <wp:posOffset>27305</wp:posOffset>
                  </wp:positionH>
                  <wp:positionV relativeFrom="paragraph">
                    <wp:posOffset>8890</wp:posOffset>
                  </wp:positionV>
                  <wp:extent cx="2127250" cy="1684655"/>
                  <wp:effectExtent l="19050" t="0" r="6350" b="0"/>
                  <wp:wrapNone/>
                  <wp:docPr id="1287" name="图片 60" descr="168991023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图片 60" descr="1689910237646"/>
                          <pic:cNvPicPr>
                            <a:picLocks noChangeAspect="1" noChangeArrowheads="1"/>
                          </pic:cNvPicPr>
                        </pic:nvPicPr>
                        <pic:blipFill>
                          <a:blip r:embed="rId246"/>
                          <a:srcRect/>
                          <a:stretch>
                            <a:fillRect/>
                          </a:stretch>
                        </pic:blipFill>
                        <pic:spPr>
                          <a:xfrm>
                            <a:off x="0" y="0"/>
                            <a:ext cx="2127250" cy="1684655"/>
                          </a:xfrm>
                          <a:prstGeom prst="rect">
                            <a:avLst/>
                          </a:prstGeom>
                          <a:noFill/>
                          <a:ln w="9525">
                            <a:noFill/>
                            <a:miter lim="800000"/>
                            <a:headEnd/>
                            <a:tailEnd/>
                          </a:ln>
                        </pic:spPr>
                      </pic:pic>
                    </a:graphicData>
                  </a:graphic>
                </wp:anchor>
              </w:drawing>
            </w:r>
          </w:p>
        </w:tc>
      </w:tr>
      <w:tr w14:paraId="48242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9" w:hRule="atLeast"/>
          <w:jc w:val="center"/>
        </w:trPr>
        <w:tc>
          <w:tcPr>
            <w:tcW w:w="1259" w:type="dxa"/>
            <w:vAlign w:val="center"/>
          </w:tcPr>
          <w:p w14:paraId="6EF08CA0">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木工安全操作规程</w:t>
            </w:r>
          </w:p>
        </w:tc>
        <w:tc>
          <w:tcPr>
            <w:tcW w:w="4536" w:type="dxa"/>
          </w:tcPr>
          <w:p w14:paraId="5558E676">
            <w:pPr>
              <w:pStyle w:val="112"/>
              <w:keepNext w:val="0"/>
              <w:keepLines w:val="0"/>
              <w:numPr>
                <w:ilvl w:val="0"/>
                <w:numId w:val="42"/>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工作前应认真学习各种木工机械的安全操作规程。</w:t>
            </w:r>
          </w:p>
          <w:p w14:paraId="416CF1F7">
            <w:pPr>
              <w:pStyle w:val="112"/>
              <w:keepNext w:val="0"/>
              <w:keepLines w:val="0"/>
              <w:numPr>
                <w:ilvl w:val="0"/>
                <w:numId w:val="42"/>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检查所使用的工具有无损伤或松动。操作时应注意立足点。挥动工具时注意不要伤人。</w:t>
            </w:r>
          </w:p>
          <w:p w14:paraId="70591AB1">
            <w:pPr>
              <w:pStyle w:val="112"/>
              <w:keepNext w:val="0"/>
              <w:keepLines w:val="0"/>
              <w:numPr>
                <w:ilvl w:val="0"/>
                <w:numId w:val="42"/>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加强消防意识，严禁吸烟及带火种进入施工现场。工作完毕后，需将施工现场的木屑、刨花等打扫干净。</w:t>
            </w:r>
          </w:p>
          <w:p w14:paraId="5EE4D86B">
            <w:pPr>
              <w:pStyle w:val="112"/>
              <w:keepNext w:val="0"/>
              <w:keepLines w:val="0"/>
              <w:numPr>
                <w:ilvl w:val="0"/>
                <w:numId w:val="42"/>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2"/>
                <w:highlight w:val="none"/>
              </w:rPr>
              <w:drawing>
                <wp:anchor distT="0" distB="0" distL="114300" distR="114300" simplePos="0" relativeHeight="251850752" behindDoc="0" locked="0" layoutInCell="1" allowOverlap="1">
                  <wp:simplePos x="0" y="0"/>
                  <wp:positionH relativeFrom="column">
                    <wp:posOffset>2922905</wp:posOffset>
                  </wp:positionH>
                  <wp:positionV relativeFrom="paragraph">
                    <wp:posOffset>800100</wp:posOffset>
                  </wp:positionV>
                  <wp:extent cx="2047240" cy="1859915"/>
                  <wp:effectExtent l="19050" t="0" r="0" b="0"/>
                  <wp:wrapNone/>
                  <wp:docPr id="1288" name="图片 128" descr="168991097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图片 128" descr="1689910975090"/>
                          <pic:cNvPicPr>
                            <a:picLocks noChangeAspect="1" noChangeArrowheads="1"/>
                          </pic:cNvPicPr>
                        </pic:nvPicPr>
                        <pic:blipFill>
                          <a:blip r:embed="rId247"/>
                          <a:srcRect/>
                          <a:stretch>
                            <a:fillRect/>
                          </a:stretch>
                        </pic:blipFill>
                        <pic:spPr>
                          <a:xfrm>
                            <a:off x="0" y="0"/>
                            <a:ext cx="2047240" cy="185991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木工使用的材料要精打细算，节约各种木材，并不得将带钉的木头、木板随地乱丢，以防伤害他人。</w:t>
            </w:r>
          </w:p>
          <w:p w14:paraId="266B68F1">
            <w:pPr>
              <w:pStyle w:val="112"/>
              <w:keepNext w:val="0"/>
              <w:keepLines w:val="0"/>
              <w:numPr>
                <w:ilvl w:val="0"/>
                <w:numId w:val="42"/>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登高作业时应使用稳固的梯子。要集中思想，同时注意是否有架空电线影响施工。</w:t>
            </w:r>
          </w:p>
          <w:p w14:paraId="76FA55A6">
            <w:pPr>
              <w:pStyle w:val="112"/>
              <w:keepNext w:val="0"/>
              <w:keepLines w:val="0"/>
              <w:numPr>
                <w:ilvl w:val="0"/>
                <w:numId w:val="42"/>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工作现场要保持畅通无阻。看见有带钉的废木料要立即清除，以防伤人。</w:t>
            </w:r>
          </w:p>
          <w:p w14:paraId="5A439D92">
            <w:pPr>
              <w:pStyle w:val="112"/>
              <w:keepNext w:val="0"/>
              <w:keepLines w:val="0"/>
              <w:numPr>
                <w:ilvl w:val="0"/>
                <w:numId w:val="42"/>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使用圆锯前应先试车，发现锯盘裂纹缺牙应立即调换。</w:t>
            </w:r>
          </w:p>
          <w:p w14:paraId="2C3A1B85">
            <w:pPr>
              <w:pStyle w:val="112"/>
              <w:keepNext w:val="0"/>
              <w:keepLines w:val="0"/>
              <w:numPr>
                <w:ilvl w:val="0"/>
                <w:numId w:val="42"/>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在锯料时，木料要放稳，两手均衡扒出，以防木块飞出伤人。</w:t>
            </w:r>
          </w:p>
        </w:tc>
        <w:tc>
          <w:tcPr>
            <w:tcW w:w="3638" w:type="dxa"/>
          </w:tcPr>
          <w:p w14:paraId="0BF0F30A">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p>
          <w:p w14:paraId="10B8FA94">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114300" distR="114300" simplePos="0" relativeHeight="251851776" behindDoc="0" locked="0" layoutInCell="1" allowOverlap="1">
                  <wp:simplePos x="0" y="0"/>
                  <wp:positionH relativeFrom="column">
                    <wp:posOffset>99695</wp:posOffset>
                  </wp:positionH>
                  <wp:positionV relativeFrom="paragraph">
                    <wp:posOffset>83820</wp:posOffset>
                  </wp:positionV>
                  <wp:extent cx="1853565" cy="1640840"/>
                  <wp:effectExtent l="19050" t="0" r="0" b="0"/>
                  <wp:wrapNone/>
                  <wp:docPr id="1289" name="图片 124" descr="1689910698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图片 124" descr="1689910698968"/>
                          <pic:cNvPicPr>
                            <a:picLocks noChangeAspect="1" noChangeArrowheads="1"/>
                          </pic:cNvPicPr>
                        </pic:nvPicPr>
                        <pic:blipFill>
                          <a:blip r:embed="rId248"/>
                          <a:srcRect/>
                          <a:stretch>
                            <a:fillRect/>
                          </a:stretch>
                        </pic:blipFill>
                        <pic:spPr>
                          <a:xfrm>
                            <a:off x="0" y="0"/>
                            <a:ext cx="1853565" cy="1640840"/>
                          </a:xfrm>
                          <a:prstGeom prst="rect">
                            <a:avLst/>
                          </a:prstGeom>
                          <a:noFill/>
                          <a:ln w="9525">
                            <a:noFill/>
                            <a:miter lim="800000"/>
                            <a:headEnd/>
                            <a:tailEnd/>
                          </a:ln>
                        </pic:spPr>
                      </pic:pic>
                    </a:graphicData>
                  </a:graphic>
                </wp:anchor>
              </w:drawing>
            </w:r>
          </w:p>
        </w:tc>
      </w:tr>
      <w:tr w14:paraId="03D13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9" w:type="dxa"/>
            <w:vAlign w:val="center"/>
          </w:tcPr>
          <w:p w14:paraId="4B9A42F1">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电工安全操作规程</w:t>
            </w:r>
          </w:p>
        </w:tc>
        <w:tc>
          <w:tcPr>
            <w:tcW w:w="4536" w:type="dxa"/>
          </w:tcPr>
          <w:p w14:paraId="0FF075D2">
            <w:pPr>
              <w:pStyle w:val="112"/>
              <w:keepNext w:val="0"/>
              <w:keepLines w:val="0"/>
              <w:numPr>
                <w:ilvl w:val="0"/>
                <w:numId w:val="43"/>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在调试电器线路时，如发现自动短路及空气开关自动跳闸，必须查明故障原因后，方可合闸送电。</w:t>
            </w:r>
          </w:p>
          <w:p w14:paraId="4AEE77C1">
            <w:pPr>
              <w:pStyle w:val="112"/>
              <w:keepNext w:val="0"/>
              <w:keepLines w:val="0"/>
              <w:numPr>
                <w:ilvl w:val="0"/>
                <w:numId w:val="43"/>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在施工现场临时搭接电源应注意是否安全可靠。严禁使用已损坏的接线和裸露的电线和电器。</w:t>
            </w:r>
          </w:p>
          <w:p w14:paraId="0F439A56">
            <w:pPr>
              <w:pStyle w:val="112"/>
              <w:keepNext w:val="0"/>
              <w:keepLines w:val="0"/>
              <w:numPr>
                <w:ilvl w:val="0"/>
                <w:numId w:val="43"/>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在安装或调试过程中经常注意导线保险丝的截面积和容量是否恰当。</w:t>
            </w:r>
          </w:p>
          <w:p w14:paraId="0A135093">
            <w:pPr>
              <w:pStyle w:val="112"/>
              <w:keepNext w:val="0"/>
              <w:keepLines w:val="0"/>
              <w:numPr>
                <w:ilvl w:val="0"/>
                <w:numId w:val="43"/>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值班电工必须严守岗位，加强检查，发现异常情况及时处理。</w:t>
            </w:r>
          </w:p>
          <w:p w14:paraId="37359568">
            <w:pPr>
              <w:pStyle w:val="112"/>
              <w:keepNext w:val="0"/>
              <w:keepLines w:val="0"/>
              <w:numPr>
                <w:ilvl w:val="0"/>
                <w:numId w:val="43"/>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总配电箱应有触保器，装门上锁。所有的插头、插座、闸刀都必须完好无损。</w:t>
            </w:r>
          </w:p>
        </w:tc>
        <w:tc>
          <w:tcPr>
            <w:tcW w:w="3638" w:type="dxa"/>
          </w:tcPr>
          <w:p w14:paraId="79C11CC5">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114300" distR="114300" simplePos="0" relativeHeight="251853824" behindDoc="0" locked="0" layoutInCell="1" allowOverlap="1">
                  <wp:simplePos x="0" y="0"/>
                  <wp:positionH relativeFrom="column">
                    <wp:posOffset>-5715</wp:posOffset>
                  </wp:positionH>
                  <wp:positionV relativeFrom="paragraph">
                    <wp:posOffset>25400</wp:posOffset>
                  </wp:positionV>
                  <wp:extent cx="2047875" cy="1558925"/>
                  <wp:effectExtent l="19050" t="0" r="9525" b="0"/>
                  <wp:wrapNone/>
                  <wp:docPr id="1291" name="图片 139" descr="169016058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图片 139" descr="1690160581295"/>
                          <pic:cNvPicPr>
                            <a:picLocks noChangeAspect="1" noChangeArrowheads="1"/>
                          </pic:cNvPicPr>
                        </pic:nvPicPr>
                        <pic:blipFill>
                          <a:blip r:embed="rId249"/>
                          <a:srcRect/>
                          <a:stretch>
                            <a:fillRect/>
                          </a:stretch>
                        </pic:blipFill>
                        <pic:spPr>
                          <a:xfrm>
                            <a:off x="0" y="0"/>
                            <a:ext cx="2047875" cy="1558925"/>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0"/>
                <w:sz w:val="24"/>
                <w:highlight w:val="none"/>
              </w:rPr>
              <w:drawing>
                <wp:anchor distT="0" distB="0" distL="114300" distR="114300" simplePos="0" relativeHeight="251852800" behindDoc="0" locked="0" layoutInCell="1" allowOverlap="1">
                  <wp:simplePos x="0" y="0"/>
                  <wp:positionH relativeFrom="column">
                    <wp:posOffset>-26035</wp:posOffset>
                  </wp:positionH>
                  <wp:positionV relativeFrom="paragraph">
                    <wp:posOffset>1901825</wp:posOffset>
                  </wp:positionV>
                  <wp:extent cx="2068195" cy="1452245"/>
                  <wp:effectExtent l="19050" t="0" r="8255" b="0"/>
                  <wp:wrapNone/>
                  <wp:docPr id="1290" name="图片 129" descr="169016038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图片 129" descr="1690160381663"/>
                          <pic:cNvPicPr>
                            <a:picLocks noChangeAspect="1" noChangeArrowheads="1"/>
                          </pic:cNvPicPr>
                        </pic:nvPicPr>
                        <pic:blipFill>
                          <a:blip r:embed="rId250"/>
                          <a:srcRect/>
                          <a:stretch>
                            <a:fillRect/>
                          </a:stretch>
                        </pic:blipFill>
                        <pic:spPr>
                          <a:xfrm>
                            <a:off x="0" y="0"/>
                            <a:ext cx="2068195" cy="1452245"/>
                          </a:xfrm>
                          <a:prstGeom prst="rect">
                            <a:avLst/>
                          </a:prstGeom>
                          <a:noFill/>
                          <a:ln w="9525">
                            <a:noFill/>
                            <a:miter lim="800000"/>
                            <a:headEnd/>
                            <a:tailEnd/>
                          </a:ln>
                        </pic:spPr>
                      </pic:pic>
                    </a:graphicData>
                  </a:graphic>
                </wp:anchor>
              </w:drawing>
            </w:r>
          </w:p>
        </w:tc>
      </w:tr>
      <w:tr w14:paraId="6E403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9" w:type="dxa"/>
            <w:vAlign w:val="center"/>
          </w:tcPr>
          <w:p w14:paraId="70D9EF07">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电焊工安全操作规程</w:t>
            </w:r>
          </w:p>
        </w:tc>
        <w:tc>
          <w:tcPr>
            <w:tcW w:w="4536" w:type="dxa"/>
          </w:tcPr>
          <w:p w14:paraId="075A64AA">
            <w:pPr>
              <w:pStyle w:val="112"/>
              <w:keepNext w:val="0"/>
              <w:keepLines w:val="0"/>
              <w:numPr>
                <w:ilvl w:val="0"/>
                <w:numId w:val="44"/>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工作前必须戴防护用品。电焊钳、电线切勿搭在焊件上，以防止损坏漏电。</w:t>
            </w:r>
          </w:p>
          <w:p w14:paraId="14D1A414">
            <w:pPr>
              <w:pStyle w:val="112"/>
              <w:keepNext w:val="0"/>
              <w:keepLines w:val="0"/>
              <w:numPr>
                <w:ilvl w:val="0"/>
                <w:numId w:val="44"/>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掌握手钳时，手指不能放在铜头上。严禁脚搭在电线上或电焊棒上。</w:t>
            </w:r>
          </w:p>
          <w:p w14:paraId="6A73B91A">
            <w:pPr>
              <w:pStyle w:val="112"/>
              <w:keepNext w:val="0"/>
              <w:keepLines w:val="0"/>
              <w:numPr>
                <w:ilvl w:val="0"/>
                <w:numId w:val="44"/>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严禁在易燃易爆物资附近进行焊接。</w:t>
            </w:r>
          </w:p>
          <w:p w14:paraId="66232BF1">
            <w:pPr>
              <w:pStyle w:val="112"/>
              <w:keepNext w:val="0"/>
              <w:keepLines w:val="0"/>
              <w:numPr>
                <w:ilvl w:val="0"/>
                <w:numId w:val="44"/>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0"/>
                <w:sz w:val="24"/>
                <w:szCs w:val="22"/>
                <w:highlight w:val="none"/>
              </w:rPr>
              <w:drawing>
                <wp:anchor distT="0" distB="0" distL="114300" distR="114300" simplePos="0" relativeHeight="251854848" behindDoc="0" locked="0" layoutInCell="1" allowOverlap="1">
                  <wp:simplePos x="0" y="0"/>
                  <wp:positionH relativeFrom="column">
                    <wp:posOffset>2899410</wp:posOffset>
                  </wp:positionH>
                  <wp:positionV relativeFrom="paragraph">
                    <wp:posOffset>151130</wp:posOffset>
                  </wp:positionV>
                  <wp:extent cx="2042160" cy="2447290"/>
                  <wp:effectExtent l="19050" t="0" r="0" b="0"/>
                  <wp:wrapNone/>
                  <wp:docPr id="1292" name="图片 138" descr="169016052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图片 138" descr="1690160528873"/>
                          <pic:cNvPicPr>
                            <a:picLocks noChangeAspect="1" noChangeArrowheads="1"/>
                          </pic:cNvPicPr>
                        </pic:nvPicPr>
                        <pic:blipFill>
                          <a:blip r:embed="rId251"/>
                          <a:srcRect/>
                          <a:stretch>
                            <a:fillRect/>
                          </a:stretch>
                        </pic:blipFill>
                        <pic:spPr>
                          <a:xfrm>
                            <a:off x="0" y="0"/>
                            <a:ext cx="2042160" cy="244729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在使用气焊时，严禁抛掷、滚动气瓶，撞击、暴晒及接近高温。</w:t>
            </w:r>
          </w:p>
          <w:p w14:paraId="782D2733">
            <w:pPr>
              <w:pStyle w:val="112"/>
              <w:keepNext w:val="0"/>
              <w:keepLines w:val="0"/>
              <w:numPr>
                <w:ilvl w:val="0"/>
                <w:numId w:val="44"/>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严禁把未熄灭的焊枪放入水中冷却。</w:t>
            </w:r>
          </w:p>
          <w:p w14:paraId="45E9ACDF">
            <w:pPr>
              <w:pStyle w:val="112"/>
              <w:keepNext w:val="0"/>
              <w:keepLines w:val="0"/>
              <w:numPr>
                <w:ilvl w:val="0"/>
                <w:numId w:val="44"/>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严禁在乙炔瓶附近有火种。</w:t>
            </w:r>
          </w:p>
          <w:p w14:paraId="60301DDA">
            <w:pPr>
              <w:pStyle w:val="112"/>
              <w:keepNext w:val="0"/>
              <w:keepLines w:val="0"/>
              <w:numPr>
                <w:ilvl w:val="0"/>
                <w:numId w:val="44"/>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工作时氧气瓶和乙炔瓶必须严格分离（最近不得小于5米）。</w:t>
            </w:r>
          </w:p>
          <w:p w14:paraId="02EC8921">
            <w:pPr>
              <w:pStyle w:val="112"/>
              <w:keepNext w:val="0"/>
              <w:keepLines w:val="0"/>
              <w:numPr>
                <w:ilvl w:val="0"/>
                <w:numId w:val="44"/>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焊接前应检查氧气瓶乙炔瓶和皮管是否漏气。</w:t>
            </w:r>
          </w:p>
          <w:p w14:paraId="209866FA">
            <w:pPr>
              <w:pStyle w:val="112"/>
              <w:keepNext w:val="0"/>
              <w:keepLines w:val="0"/>
              <w:numPr>
                <w:ilvl w:val="0"/>
                <w:numId w:val="44"/>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工作完毕后关闭乙炔和氧气瓶。按规定的安全措施处理放置。</w:t>
            </w:r>
          </w:p>
        </w:tc>
        <w:tc>
          <w:tcPr>
            <w:tcW w:w="3638" w:type="dxa"/>
          </w:tcPr>
          <w:p w14:paraId="07D9514B">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p>
        </w:tc>
      </w:tr>
      <w:tr w14:paraId="26C9F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9" w:type="dxa"/>
            <w:vAlign w:val="center"/>
          </w:tcPr>
          <w:p w14:paraId="22D35870">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瓦工安全操作规程</w:t>
            </w:r>
          </w:p>
        </w:tc>
        <w:tc>
          <w:tcPr>
            <w:tcW w:w="4536" w:type="dxa"/>
          </w:tcPr>
          <w:p w14:paraId="0DF4EC89">
            <w:pPr>
              <w:pStyle w:val="112"/>
              <w:keepNext w:val="0"/>
              <w:keepLines w:val="0"/>
              <w:numPr>
                <w:ilvl w:val="0"/>
                <w:numId w:val="45"/>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工作前应检查场地，放置可能产生撞翻物件、砸伤身体之类事故。</w:t>
            </w:r>
          </w:p>
          <w:p w14:paraId="43745F00">
            <w:pPr>
              <w:pStyle w:val="112"/>
              <w:keepNext w:val="0"/>
              <w:keepLines w:val="0"/>
              <w:numPr>
                <w:ilvl w:val="0"/>
                <w:numId w:val="45"/>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在高空脚手架上接料应防止坠落。下面送料戴好安全帽。上下操作者必须互相呼应。严禁从高空抛掷工具。</w:t>
            </w:r>
          </w:p>
          <w:p w14:paraId="50FDF5EE">
            <w:pPr>
              <w:pStyle w:val="112"/>
              <w:keepNext w:val="0"/>
              <w:keepLines w:val="0"/>
              <w:numPr>
                <w:ilvl w:val="0"/>
                <w:numId w:val="45"/>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在工作中不得任意搭设飞跳板。脚手架堆物严禁超重，严禁多人站立在脚手架板上，防止断塌。</w:t>
            </w:r>
          </w:p>
          <w:p w14:paraId="4AB777BD">
            <w:pPr>
              <w:pStyle w:val="112"/>
              <w:keepNext w:val="0"/>
              <w:keepLines w:val="0"/>
              <w:numPr>
                <w:ilvl w:val="0"/>
                <w:numId w:val="45"/>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拆除墙壁或在墙壁上打孔时，应事先在危险区域内设护栏，并加明显标志。</w:t>
            </w:r>
          </w:p>
        </w:tc>
        <w:tc>
          <w:tcPr>
            <w:tcW w:w="3638" w:type="dxa"/>
          </w:tcPr>
          <w:p w14:paraId="2E48CCB1">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114300" distR="114300" simplePos="0" relativeHeight="251855872" behindDoc="0" locked="0" layoutInCell="1" allowOverlap="1">
                  <wp:simplePos x="0" y="0"/>
                  <wp:positionH relativeFrom="column">
                    <wp:posOffset>-14605</wp:posOffset>
                  </wp:positionH>
                  <wp:positionV relativeFrom="paragraph">
                    <wp:posOffset>51435</wp:posOffset>
                  </wp:positionV>
                  <wp:extent cx="2135505" cy="2705100"/>
                  <wp:effectExtent l="0" t="0" r="17145" b="0"/>
                  <wp:wrapNone/>
                  <wp:docPr id="1293" name="图片 140" descr="169016087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图片 140" descr="1690160873538"/>
                          <pic:cNvPicPr>
                            <a:picLocks noChangeAspect="1" noChangeArrowheads="1"/>
                          </pic:cNvPicPr>
                        </pic:nvPicPr>
                        <pic:blipFill>
                          <a:blip r:embed="rId252"/>
                          <a:srcRect/>
                          <a:stretch>
                            <a:fillRect/>
                          </a:stretch>
                        </pic:blipFill>
                        <pic:spPr>
                          <a:xfrm>
                            <a:off x="0" y="0"/>
                            <a:ext cx="2135505" cy="2705100"/>
                          </a:xfrm>
                          <a:prstGeom prst="rect">
                            <a:avLst/>
                          </a:prstGeom>
                          <a:noFill/>
                          <a:ln w="9525">
                            <a:noFill/>
                            <a:miter lim="800000"/>
                            <a:headEnd/>
                            <a:tailEnd/>
                          </a:ln>
                        </pic:spPr>
                      </pic:pic>
                    </a:graphicData>
                  </a:graphic>
                </wp:anchor>
              </w:drawing>
            </w:r>
          </w:p>
        </w:tc>
      </w:tr>
      <w:tr w14:paraId="7D58B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9" w:type="dxa"/>
            <w:vAlign w:val="center"/>
          </w:tcPr>
          <w:p w14:paraId="45A97285">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保洁安全注意事项</w:t>
            </w:r>
          </w:p>
        </w:tc>
        <w:tc>
          <w:tcPr>
            <w:tcW w:w="4536" w:type="dxa"/>
          </w:tcPr>
          <w:p w14:paraId="1B6391EE">
            <w:pPr>
              <w:pStyle w:val="112"/>
              <w:keepNext w:val="0"/>
              <w:keepLines w:val="0"/>
              <w:numPr>
                <w:ilvl w:val="0"/>
                <w:numId w:val="46"/>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保洁前应做好安全交底。</w:t>
            </w:r>
          </w:p>
          <w:p w14:paraId="7C83D4B0">
            <w:pPr>
              <w:pStyle w:val="112"/>
              <w:keepNext w:val="0"/>
              <w:keepLines w:val="0"/>
              <w:numPr>
                <w:ilvl w:val="0"/>
                <w:numId w:val="46"/>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保洁时应使用木梯，梯子倾斜角度应保持60度左右。</w:t>
            </w:r>
          </w:p>
          <w:p w14:paraId="664816C9">
            <w:pPr>
              <w:pStyle w:val="112"/>
              <w:keepNext w:val="0"/>
              <w:keepLines w:val="0"/>
              <w:numPr>
                <w:ilvl w:val="0"/>
                <w:numId w:val="46"/>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保洁人员使用梯子时，梯子应固定牢固，梯子踏步不得有缺挡。</w:t>
            </w:r>
          </w:p>
          <w:p w14:paraId="2BE3545C">
            <w:pPr>
              <w:pStyle w:val="112"/>
              <w:keepNext w:val="0"/>
              <w:keepLines w:val="0"/>
              <w:numPr>
                <w:ilvl w:val="0"/>
                <w:numId w:val="46"/>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保洁人员高处作业时一组应保证至少有2人以上。</w:t>
            </w:r>
          </w:p>
          <w:p w14:paraId="0DCE7875">
            <w:pPr>
              <w:pStyle w:val="112"/>
              <w:keepNext w:val="0"/>
              <w:keepLines w:val="0"/>
              <w:numPr>
                <w:ilvl w:val="0"/>
                <w:numId w:val="46"/>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擦外窗时，保洁人员应系安全带，安全带严禁固定在窗框上。</w:t>
            </w:r>
          </w:p>
        </w:tc>
        <w:tc>
          <w:tcPr>
            <w:tcW w:w="3638" w:type="dxa"/>
          </w:tcPr>
          <w:p w14:paraId="290DB5CB">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kern w:val="0"/>
                <w:sz w:val="24"/>
                <w:highlight w:val="none"/>
              </w:rPr>
              <w:drawing>
                <wp:anchor distT="0" distB="0" distL="114300" distR="114300" simplePos="0" relativeHeight="251856896" behindDoc="0" locked="0" layoutInCell="1" allowOverlap="1">
                  <wp:simplePos x="0" y="0"/>
                  <wp:positionH relativeFrom="column">
                    <wp:posOffset>38735</wp:posOffset>
                  </wp:positionH>
                  <wp:positionV relativeFrom="paragraph">
                    <wp:posOffset>76200</wp:posOffset>
                  </wp:positionV>
                  <wp:extent cx="2036445" cy="1276350"/>
                  <wp:effectExtent l="0" t="0" r="1905" b="0"/>
                  <wp:wrapNone/>
                  <wp:docPr id="1294" name="图片 148" descr="1690189978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图片 148" descr="1690189978485"/>
                          <pic:cNvPicPr>
                            <a:picLocks noChangeAspect="1" noChangeArrowheads="1"/>
                          </pic:cNvPicPr>
                        </pic:nvPicPr>
                        <pic:blipFill>
                          <a:blip r:embed="rId253"/>
                          <a:srcRect/>
                          <a:stretch>
                            <a:fillRect/>
                          </a:stretch>
                        </pic:blipFill>
                        <pic:spPr>
                          <a:xfrm>
                            <a:off x="0" y="0"/>
                            <a:ext cx="2036445" cy="1276350"/>
                          </a:xfrm>
                          <a:prstGeom prst="rect">
                            <a:avLst/>
                          </a:prstGeom>
                          <a:noFill/>
                          <a:ln w="9525">
                            <a:noFill/>
                            <a:miter lim="800000"/>
                            <a:headEnd/>
                            <a:tailEnd/>
                          </a:ln>
                        </pic:spPr>
                      </pic:pic>
                    </a:graphicData>
                  </a:graphic>
                </wp:anchor>
              </w:drawing>
            </w:r>
          </w:p>
        </w:tc>
      </w:tr>
      <w:tr w14:paraId="0AB1A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9" w:type="dxa"/>
            <w:vAlign w:val="center"/>
          </w:tcPr>
          <w:p w14:paraId="3536FF51">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工地仓库保管员安全防火职责</w:t>
            </w:r>
          </w:p>
        </w:tc>
        <w:tc>
          <w:tcPr>
            <w:tcW w:w="4536" w:type="dxa"/>
          </w:tcPr>
          <w:p w14:paraId="0E35B693">
            <w:pPr>
              <w:pStyle w:val="112"/>
              <w:keepNext w:val="0"/>
              <w:keepLines w:val="0"/>
              <w:numPr>
                <w:ilvl w:val="0"/>
                <w:numId w:val="47"/>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必须坚守岗位，做好装潢物资的验收入库、领用登记手续，切实做好保卫工作。</w:t>
            </w:r>
          </w:p>
          <w:p w14:paraId="38C6C1C8">
            <w:pPr>
              <w:pStyle w:val="112"/>
              <w:keepNext w:val="0"/>
              <w:keepLines w:val="0"/>
              <w:numPr>
                <w:ilvl w:val="0"/>
                <w:numId w:val="47"/>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对油漆、防水等化工材料等易燃物品，特别加强管理，严格收发制度，对漆工领用油漆、化工材料时应严格控制，用多少发多少。对用毕的油漆、化工材料一律随时归库保管。</w:t>
            </w:r>
          </w:p>
          <w:p w14:paraId="69CD348F">
            <w:pPr>
              <w:pStyle w:val="112"/>
              <w:keepNext w:val="0"/>
              <w:keepLines w:val="0"/>
              <w:numPr>
                <w:ilvl w:val="0"/>
                <w:numId w:val="47"/>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油漆、防水等化工材料库内禁止做任何作业。仓库内禁止使用日光灯、碘鸨灯照明，停电时应用手电筒照明，在显眼易取处放置灭火器二台及沙箱二只，确保安全无事故。</w:t>
            </w:r>
          </w:p>
          <w:p w14:paraId="467A4D8E">
            <w:pPr>
              <w:pStyle w:val="112"/>
              <w:keepNext w:val="0"/>
              <w:keepLines w:val="0"/>
              <w:numPr>
                <w:ilvl w:val="0"/>
                <w:numId w:val="47"/>
              </w:numPr>
              <w:suppressLineNumbers w:val="0"/>
              <w:snapToGrid w:val="0"/>
              <w:spacing w:before="0" w:beforeAutospacing="0" w:after="0" w:afterAutospacing="0" w:line="360" w:lineRule="auto"/>
              <w:ind w:left="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库内杂物、废物要经常清理，保持库内干净整齐，过道通畅。仓库内除管理人员外，其他无关人员禁止入内。</w:t>
            </w:r>
          </w:p>
        </w:tc>
        <w:tc>
          <w:tcPr>
            <w:tcW w:w="3638" w:type="dxa"/>
          </w:tcPr>
          <w:p w14:paraId="3948D2FB">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p>
          <w:p w14:paraId="36CFA9A4">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857920" behindDoc="0" locked="0" layoutInCell="1" allowOverlap="1">
                  <wp:simplePos x="0" y="0"/>
                  <wp:positionH relativeFrom="column">
                    <wp:posOffset>76835</wp:posOffset>
                  </wp:positionH>
                  <wp:positionV relativeFrom="paragraph">
                    <wp:posOffset>2221865</wp:posOffset>
                  </wp:positionV>
                  <wp:extent cx="2092325" cy="1648460"/>
                  <wp:effectExtent l="19050" t="0" r="3175" b="0"/>
                  <wp:wrapNone/>
                  <wp:docPr id="1295" name="图片 142" descr="169016131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图片 142" descr="1690161315271"/>
                          <pic:cNvPicPr>
                            <a:picLocks noChangeAspect="1" noChangeArrowheads="1"/>
                          </pic:cNvPicPr>
                        </pic:nvPicPr>
                        <pic:blipFill>
                          <a:blip r:embed="rId254"/>
                          <a:srcRect/>
                          <a:stretch>
                            <a:fillRect/>
                          </a:stretch>
                        </pic:blipFill>
                        <pic:spPr>
                          <a:xfrm>
                            <a:off x="0" y="0"/>
                            <a:ext cx="2092325" cy="164846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0"/>
                <w:sz w:val="24"/>
                <w:highlight w:val="none"/>
              </w:rPr>
              <w:drawing>
                <wp:anchor distT="0" distB="0" distL="114300" distR="114300" simplePos="0" relativeHeight="251858944" behindDoc="0" locked="0" layoutInCell="1" allowOverlap="1">
                  <wp:simplePos x="0" y="0"/>
                  <wp:positionH relativeFrom="column">
                    <wp:posOffset>211455</wp:posOffset>
                  </wp:positionH>
                  <wp:positionV relativeFrom="paragraph">
                    <wp:posOffset>1905</wp:posOffset>
                  </wp:positionV>
                  <wp:extent cx="1672590" cy="1680210"/>
                  <wp:effectExtent l="19050" t="0" r="3810" b="0"/>
                  <wp:wrapNone/>
                  <wp:docPr id="1296" name="图片 141" descr="169016098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141" descr="1690160985312"/>
                          <pic:cNvPicPr>
                            <a:picLocks noChangeAspect="1" noChangeArrowheads="1"/>
                          </pic:cNvPicPr>
                        </pic:nvPicPr>
                        <pic:blipFill>
                          <a:blip r:embed="rId255" cstate="print"/>
                          <a:srcRect/>
                          <a:stretch>
                            <a:fillRect/>
                          </a:stretch>
                        </pic:blipFill>
                        <pic:spPr>
                          <a:xfrm>
                            <a:off x="0" y="0"/>
                            <a:ext cx="1672590" cy="1680210"/>
                          </a:xfrm>
                          <a:prstGeom prst="rect">
                            <a:avLst/>
                          </a:prstGeom>
                          <a:noFill/>
                          <a:ln w="9525">
                            <a:noFill/>
                            <a:miter lim="800000"/>
                            <a:headEnd/>
                            <a:tailEnd/>
                          </a:ln>
                        </pic:spPr>
                      </pic:pic>
                    </a:graphicData>
                  </a:graphic>
                </wp:anchor>
              </w:drawing>
            </w:r>
          </w:p>
        </w:tc>
      </w:tr>
    </w:tbl>
    <w:p w14:paraId="21A95CA7">
      <w:pPr>
        <w:pStyle w:val="74"/>
        <w:adjustRightInd w:val="0"/>
        <w:snapToGrid w:val="0"/>
        <w:spacing w:line="360" w:lineRule="auto"/>
        <w:outlineLvl w:val="9"/>
        <w:rPr>
          <w:rFonts w:cs="楷体_GB2312" w:asciiTheme="minorEastAsia" w:hAnsiTheme="minorEastAsia" w:eastAsiaTheme="minorEastAsia"/>
          <w:color w:val="auto"/>
          <w:sz w:val="24"/>
          <w:highlight w:val="none"/>
          <w:lang w:val="en-US"/>
        </w:rPr>
      </w:pPr>
      <w:r>
        <w:rPr>
          <w:rFonts w:hint="eastAsia" w:cs="楷体_GB2312" w:asciiTheme="minorEastAsia" w:hAnsiTheme="minorEastAsia" w:eastAsiaTheme="minorEastAsia"/>
          <w:color w:val="auto"/>
          <w:sz w:val="24"/>
          <w:highlight w:val="none"/>
          <w:lang w:val="en-US"/>
        </w:rPr>
        <w:t>（</w:t>
      </w:r>
      <w:r>
        <w:rPr>
          <w:rFonts w:hint="eastAsia" w:cs="楷体_GB2312" w:asciiTheme="minorEastAsia" w:hAnsiTheme="minorEastAsia" w:eastAsiaTheme="minorEastAsia"/>
          <w:color w:val="auto"/>
          <w:sz w:val="24"/>
          <w:highlight w:val="none"/>
        </w:rPr>
        <w:t>二</w:t>
      </w:r>
      <w:r>
        <w:rPr>
          <w:rFonts w:hint="eastAsia" w:cs="楷体_GB2312" w:asciiTheme="minorEastAsia" w:hAnsiTheme="minorEastAsia" w:eastAsiaTheme="minorEastAsia"/>
          <w:color w:val="auto"/>
          <w:sz w:val="24"/>
          <w:highlight w:val="none"/>
          <w:lang w:val="en-US"/>
        </w:rPr>
        <w:t>）</w:t>
      </w:r>
      <w:r>
        <w:rPr>
          <w:rFonts w:hint="eastAsia" w:cs="楷体_GB2312" w:asciiTheme="minorEastAsia" w:hAnsiTheme="minorEastAsia" w:eastAsiaTheme="minorEastAsia"/>
          <w:color w:val="auto"/>
          <w:sz w:val="24"/>
          <w:highlight w:val="none"/>
        </w:rPr>
        <w:t>文明施工操作指引</w:t>
      </w:r>
    </w:p>
    <w:tbl>
      <w:tblPr>
        <w:tblStyle w:val="56"/>
        <w:tblpPr w:leftFromText="180" w:rightFromText="180" w:vertAnchor="text" w:horzAnchor="page" w:tblpX="1373" w:tblpY="448"/>
        <w:tblOverlap w:val="never"/>
        <w:tblW w:w="94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2"/>
        <w:gridCol w:w="4536"/>
        <w:gridCol w:w="3686"/>
      </w:tblGrid>
      <w:tr w14:paraId="33F46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2" w:type="dxa"/>
            <w:vAlign w:val="center"/>
          </w:tcPr>
          <w:p w14:paraId="64C61957">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536" w:type="dxa"/>
            <w:vAlign w:val="center"/>
          </w:tcPr>
          <w:p w14:paraId="2C689DF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686" w:type="dxa"/>
            <w:vAlign w:val="center"/>
          </w:tcPr>
          <w:p w14:paraId="0B19A4D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1595D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1202" w:type="dxa"/>
            <w:vAlign w:val="center"/>
          </w:tcPr>
          <w:p w14:paraId="2207DF70">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施工区、集中加工区</w:t>
            </w:r>
          </w:p>
        </w:tc>
        <w:tc>
          <w:tcPr>
            <w:tcW w:w="4536" w:type="dxa"/>
          </w:tcPr>
          <w:p w14:paraId="536A8F71">
            <w:pPr>
              <w:pStyle w:val="112"/>
              <w:keepNext w:val="0"/>
              <w:keepLines w:val="0"/>
              <w:numPr>
                <w:ilvl w:val="0"/>
                <w:numId w:val="48"/>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材料堆场整齐、规范。</w:t>
            </w:r>
          </w:p>
          <w:p w14:paraId="7440D0AE">
            <w:pPr>
              <w:pStyle w:val="112"/>
              <w:keepNext w:val="0"/>
              <w:keepLines w:val="0"/>
              <w:numPr>
                <w:ilvl w:val="0"/>
                <w:numId w:val="48"/>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施工场地垃圾及时清运，做到当日垃圾当日清运至指定地点。</w:t>
            </w:r>
          </w:p>
          <w:p w14:paraId="3FD3D1D0">
            <w:pPr>
              <w:pStyle w:val="112"/>
              <w:keepNext w:val="0"/>
              <w:keepLines w:val="0"/>
              <w:numPr>
                <w:ilvl w:val="0"/>
                <w:numId w:val="48"/>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节约用水、用电，杜绝浪费现象。</w:t>
            </w:r>
          </w:p>
          <w:p w14:paraId="4FA73D72">
            <w:pPr>
              <w:pStyle w:val="112"/>
              <w:keepNext w:val="0"/>
              <w:keepLines w:val="0"/>
              <w:numPr>
                <w:ilvl w:val="0"/>
                <w:numId w:val="48"/>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施工人员按专业操作手册工作，杜绝野蛮施工。</w:t>
            </w:r>
          </w:p>
          <w:p w14:paraId="2A5A368F">
            <w:pPr>
              <w:pStyle w:val="112"/>
              <w:keepNext w:val="0"/>
              <w:keepLines w:val="0"/>
              <w:numPr>
                <w:ilvl w:val="0"/>
                <w:numId w:val="48"/>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2"/>
                <w:highlight w:val="none"/>
              </w:rPr>
              <w:drawing>
                <wp:anchor distT="0" distB="0" distL="114300" distR="114300" simplePos="0" relativeHeight="251859968" behindDoc="0" locked="0" layoutInCell="1" allowOverlap="1">
                  <wp:simplePos x="0" y="0"/>
                  <wp:positionH relativeFrom="column">
                    <wp:posOffset>3146425</wp:posOffset>
                  </wp:positionH>
                  <wp:positionV relativeFrom="paragraph">
                    <wp:posOffset>175895</wp:posOffset>
                  </wp:positionV>
                  <wp:extent cx="1633220" cy="1366520"/>
                  <wp:effectExtent l="19050" t="0" r="5080" b="0"/>
                  <wp:wrapNone/>
                  <wp:docPr id="1297" name="图片 144" descr="1690168744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图片 144" descr="1690168744082"/>
                          <pic:cNvPicPr>
                            <a:picLocks noChangeAspect="1" noChangeArrowheads="1"/>
                          </pic:cNvPicPr>
                        </pic:nvPicPr>
                        <pic:blipFill>
                          <a:blip r:embed="rId256"/>
                          <a:srcRect/>
                          <a:stretch>
                            <a:fillRect/>
                          </a:stretch>
                        </pic:blipFill>
                        <pic:spPr>
                          <a:xfrm>
                            <a:off x="0" y="0"/>
                            <a:ext cx="1633220" cy="1366520"/>
                          </a:xfrm>
                          <a:prstGeom prst="rect">
                            <a:avLst/>
                          </a:prstGeom>
                          <a:noFill/>
                          <a:ln w="9525">
                            <a:noFill/>
                            <a:miter lim="800000"/>
                            <a:headEnd/>
                            <a:tailEnd/>
                          </a:ln>
                        </pic:spPr>
                      </pic:pic>
                    </a:graphicData>
                  </a:graphic>
                </wp:anchor>
              </w:drawing>
            </w:r>
            <w:r>
              <w:rPr>
                <w:rFonts w:hint="eastAsia" w:cs="仿宋_GB2312" w:asciiTheme="minorEastAsia" w:hAnsiTheme="minorEastAsia" w:eastAsiaTheme="minorEastAsia"/>
                <w:color w:val="auto"/>
                <w:kern w:val="2"/>
                <w:sz w:val="24"/>
                <w:szCs w:val="24"/>
                <w:highlight w:val="none"/>
              </w:rPr>
              <w:t>成品、半成品专职人员保管保护，防止污染破损。</w:t>
            </w:r>
          </w:p>
          <w:p w14:paraId="77DA98FB">
            <w:pPr>
              <w:pStyle w:val="112"/>
              <w:keepNext w:val="0"/>
              <w:keepLines w:val="0"/>
              <w:numPr>
                <w:ilvl w:val="0"/>
                <w:numId w:val="48"/>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夜间操作噪声低于55分贝。</w:t>
            </w:r>
          </w:p>
          <w:p w14:paraId="20F046EE">
            <w:pPr>
              <w:pStyle w:val="112"/>
              <w:keepNext w:val="0"/>
              <w:keepLines w:val="0"/>
              <w:numPr>
                <w:ilvl w:val="0"/>
                <w:numId w:val="48"/>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 xml:space="preserve"> 夜间作业照明采取集中照明，避免扰民。</w:t>
            </w:r>
          </w:p>
          <w:p w14:paraId="2894A4D1">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c>
          <w:tcPr>
            <w:tcW w:w="3686" w:type="dxa"/>
          </w:tcPr>
          <w:p w14:paraId="74D65FFD">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860992" behindDoc="0" locked="0" layoutInCell="1" allowOverlap="1">
                  <wp:simplePos x="0" y="0"/>
                  <wp:positionH relativeFrom="column">
                    <wp:posOffset>172720</wp:posOffset>
                  </wp:positionH>
                  <wp:positionV relativeFrom="paragraph">
                    <wp:posOffset>69850</wp:posOffset>
                  </wp:positionV>
                  <wp:extent cx="1791970" cy="1200785"/>
                  <wp:effectExtent l="0" t="0" r="17780" b="18415"/>
                  <wp:wrapNone/>
                  <wp:docPr id="1298" name="图片 143" descr="169016868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图片 143" descr="1690168681484"/>
                          <pic:cNvPicPr>
                            <a:picLocks noChangeAspect="1" noChangeArrowheads="1"/>
                          </pic:cNvPicPr>
                        </pic:nvPicPr>
                        <pic:blipFill>
                          <a:blip r:embed="rId257"/>
                          <a:srcRect/>
                          <a:stretch>
                            <a:fillRect/>
                          </a:stretch>
                        </pic:blipFill>
                        <pic:spPr>
                          <a:xfrm>
                            <a:off x="0" y="0"/>
                            <a:ext cx="1791970" cy="1200785"/>
                          </a:xfrm>
                          <a:prstGeom prst="rect">
                            <a:avLst/>
                          </a:prstGeom>
                          <a:noFill/>
                          <a:ln w="9525">
                            <a:noFill/>
                            <a:miter lim="800000"/>
                            <a:headEnd/>
                            <a:tailEnd/>
                          </a:ln>
                        </pic:spPr>
                      </pic:pic>
                    </a:graphicData>
                  </a:graphic>
                </wp:anchor>
              </w:drawing>
            </w:r>
          </w:p>
          <w:p w14:paraId="38DDAD39">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p>
        </w:tc>
      </w:tr>
      <w:tr w14:paraId="1A71F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5" w:hRule="atLeast"/>
        </w:trPr>
        <w:tc>
          <w:tcPr>
            <w:tcW w:w="1202" w:type="dxa"/>
            <w:vAlign w:val="center"/>
          </w:tcPr>
          <w:p w14:paraId="77BD7079">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办公区、宿舍及食堂管理</w:t>
            </w:r>
          </w:p>
        </w:tc>
        <w:tc>
          <w:tcPr>
            <w:tcW w:w="4536" w:type="dxa"/>
          </w:tcPr>
          <w:p w14:paraId="1465E558">
            <w:pPr>
              <w:pStyle w:val="112"/>
              <w:keepNext w:val="0"/>
              <w:keepLines w:val="0"/>
              <w:numPr>
                <w:ilvl w:val="0"/>
                <w:numId w:val="49"/>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办公区、宿舍：严禁精装修单位宿舍、办公用房卫生脏乱差及违规用电。在建工程、伙房、库房严禁兼做宿舍。</w:t>
            </w:r>
          </w:p>
          <w:p w14:paraId="6081BAB1">
            <w:pPr>
              <w:pStyle w:val="112"/>
              <w:keepNext w:val="0"/>
              <w:keepLines w:val="0"/>
              <w:numPr>
                <w:ilvl w:val="0"/>
                <w:numId w:val="49"/>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 xml:space="preserve">食堂必须办理卫生许可证，炊事人员和茶水工等需持有效的健康证明上岗，证件应粘贴于明显位置；炊事人员应定期体检，上岗应穿戴洁净的工作服、工作帽和口罩，并应保持个人卫生，非炊事人员不得随意进入制作间。  </w:t>
            </w:r>
          </w:p>
          <w:p w14:paraId="18BF0569">
            <w:pPr>
              <w:pStyle w:val="112"/>
              <w:keepNext w:val="0"/>
              <w:keepLines w:val="0"/>
              <w:numPr>
                <w:ilvl w:val="0"/>
                <w:numId w:val="49"/>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食堂应配备必要的排风设施和冷藏设施。</w:t>
            </w:r>
          </w:p>
          <w:p w14:paraId="590BEC1B">
            <w:pPr>
              <w:pStyle w:val="112"/>
              <w:keepNext w:val="0"/>
              <w:keepLines w:val="0"/>
              <w:numPr>
                <w:ilvl w:val="0"/>
                <w:numId w:val="49"/>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食堂的燃气灌必须单独设置存放空间，存放空间应通风良好并严禁存放其他物品。</w:t>
            </w:r>
          </w:p>
          <w:p w14:paraId="603BC564">
            <w:pPr>
              <w:pStyle w:val="112"/>
              <w:keepNext w:val="0"/>
              <w:keepLines w:val="0"/>
              <w:numPr>
                <w:ilvl w:val="0"/>
                <w:numId w:val="49"/>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使用甲醇的食堂，甲醇必须存储于阴凉、通风的库房，远离火源。库温不超过37℃，保持容器密封。</w:t>
            </w:r>
          </w:p>
        </w:tc>
        <w:tc>
          <w:tcPr>
            <w:tcW w:w="3686" w:type="dxa"/>
          </w:tcPr>
          <w:p w14:paraId="23BB6C32">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863040" behindDoc="0" locked="0" layoutInCell="1" allowOverlap="1">
                  <wp:simplePos x="0" y="0"/>
                  <wp:positionH relativeFrom="column">
                    <wp:posOffset>168275</wp:posOffset>
                  </wp:positionH>
                  <wp:positionV relativeFrom="paragraph">
                    <wp:posOffset>190500</wp:posOffset>
                  </wp:positionV>
                  <wp:extent cx="1704975" cy="1469390"/>
                  <wp:effectExtent l="19050" t="0" r="9525" b="0"/>
                  <wp:wrapNone/>
                  <wp:docPr id="1300" name="图片 146" descr="169018859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图片 146" descr="1690188596382"/>
                          <pic:cNvPicPr>
                            <a:picLocks noChangeAspect="1" noChangeArrowheads="1"/>
                          </pic:cNvPicPr>
                        </pic:nvPicPr>
                        <pic:blipFill>
                          <a:blip r:embed="rId258"/>
                          <a:srcRect/>
                          <a:stretch>
                            <a:fillRect/>
                          </a:stretch>
                        </pic:blipFill>
                        <pic:spPr>
                          <a:xfrm>
                            <a:off x="0" y="0"/>
                            <a:ext cx="1704975" cy="1469390"/>
                          </a:xfrm>
                          <a:prstGeom prst="rect">
                            <a:avLst/>
                          </a:prstGeom>
                          <a:noFill/>
                          <a:ln w="9525">
                            <a:noFill/>
                            <a:miter lim="800000"/>
                            <a:headEnd/>
                            <a:tailEnd/>
                          </a:ln>
                        </pic:spPr>
                      </pic:pic>
                    </a:graphicData>
                  </a:graphic>
                </wp:anchor>
              </w:drawing>
            </w:r>
          </w:p>
          <w:p w14:paraId="29AB9EE7">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862016" behindDoc="0" locked="0" layoutInCell="1" allowOverlap="1">
                  <wp:simplePos x="0" y="0"/>
                  <wp:positionH relativeFrom="column">
                    <wp:posOffset>168275</wp:posOffset>
                  </wp:positionH>
                  <wp:positionV relativeFrom="paragraph">
                    <wp:posOffset>1477010</wp:posOffset>
                  </wp:positionV>
                  <wp:extent cx="1704975" cy="1233805"/>
                  <wp:effectExtent l="19050" t="0" r="9525" b="0"/>
                  <wp:wrapNone/>
                  <wp:docPr id="1299" name="Picture 4" descr="食堂内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Picture 4" descr="食堂内1"/>
                          <pic:cNvPicPr>
                            <a:picLocks noChangeAspect="1" noChangeArrowheads="1"/>
                          </pic:cNvPicPr>
                        </pic:nvPicPr>
                        <pic:blipFill>
                          <a:blip r:embed="rId118"/>
                          <a:srcRect/>
                          <a:stretch>
                            <a:fillRect/>
                          </a:stretch>
                        </pic:blipFill>
                        <pic:spPr>
                          <a:xfrm>
                            <a:off x="0" y="0"/>
                            <a:ext cx="1704975" cy="1233805"/>
                          </a:xfrm>
                          <a:prstGeom prst="rect">
                            <a:avLst/>
                          </a:prstGeom>
                          <a:noFill/>
                          <a:ln w="9525">
                            <a:noFill/>
                            <a:miter lim="800000"/>
                            <a:headEnd/>
                            <a:tailEnd/>
                          </a:ln>
                        </pic:spPr>
                      </pic:pic>
                    </a:graphicData>
                  </a:graphic>
                </wp:anchor>
              </w:drawing>
            </w:r>
          </w:p>
        </w:tc>
      </w:tr>
      <w:tr w14:paraId="3A05B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2" w:hRule="atLeast"/>
        </w:trPr>
        <w:tc>
          <w:tcPr>
            <w:tcW w:w="1202" w:type="dxa"/>
            <w:vAlign w:val="center"/>
          </w:tcPr>
          <w:p w14:paraId="3B200F7B">
            <w:pPr>
              <w:pStyle w:val="112"/>
              <w:keepNext w:val="0"/>
              <w:keepLines w:val="0"/>
              <w:suppressLineNumbers w:val="0"/>
              <w:snapToGrid w:val="0"/>
              <w:spacing w:before="0" w:beforeAutospacing="0" w:after="0" w:afterAutospacing="0" w:line="360" w:lineRule="auto"/>
              <w:ind w:left="0" w:leftChars="0" w:right="0" w:firstLine="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降低环境污染及噪音措施</w:t>
            </w:r>
          </w:p>
        </w:tc>
        <w:tc>
          <w:tcPr>
            <w:tcW w:w="4536" w:type="dxa"/>
          </w:tcPr>
          <w:p w14:paraId="0044F875">
            <w:pPr>
              <w:pStyle w:val="112"/>
              <w:keepNext w:val="0"/>
              <w:keepLines w:val="0"/>
              <w:numPr>
                <w:ilvl w:val="0"/>
                <w:numId w:val="50"/>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遵守作息时间，不违章扰民。</w:t>
            </w:r>
          </w:p>
          <w:p w14:paraId="0DA507DE">
            <w:pPr>
              <w:pStyle w:val="112"/>
              <w:keepNext w:val="0"/>
              <w:keepLines w:val="0"/>
              <w:numPr>
                <w:ilvl w:val="0"/>
                <w:numId w:val="50"/>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避免在人们作息时间里，使用功率大、噪音大的机械施工。</w:t>
            </w:r>
          </w:p>
          <w:p w14:paraId="2AA3C9C1">
            <w:pPr>
              <w:pStyle w:val="112"/>
              <w:keepNext w:val="0"/>
              <w:keepLines w:val="0"/>
              <w:numPr>
                <w:ilvl w:val="0"/>
                <w:numId w:val="50"/>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每日施工完，垃圾使用专用袋入袋，并运至指定地点集中堆放。</w:t>
            </w:r>
          </w:p>
          <w:p w14:paraId="3DDDB3B2">
            <w:pPr>
              <w:pStyle w:val="112"/>
              <w:keepNext w:val="0"/>
              <w:keepLines w:val="0"/>
              <w:numPr>
                <w:ilvl w:val="0"/>
                <w:numId w:val="50"/>
              </w:numPr>
              <w:suppressLineNumbers w:val="0"/>
              <w:snapToGrid w:val="0"/>
              <w:spacing w:before="0" w:beforeAutospacing="0" w:after="0" w:afterAutospacing="0" w:line="360" w:lineRule="auto"/>
              <w:ind w:left="360" w:right="0" w:hanging="360" w:firstLineChars="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t>项目部工程师负责对各自管辖范围内施工工地管理，做到施工整洁，工地出口落实外出车辆的整洁措施，严禁建筑垃圾乱倒。</w:t>
            </w:r>
          </w:p>
          <w:p w14:paraId="139B4238">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p>
        </w:tc>
        <w:tc>
          <w:tcPr>
            <w:tcW w:w="3686" w:type="dxa"/>
          </w:tcPr>
          <w:p w14:paraId="499AB566">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65088" behindDoc="0" locked="0" layoutInCell="1" allowOverlap="1">
                  <wp:simplePos x="0" y="0"/>
                  <wp:positionH relativeFrom="column">
                    <wp:posOffset>-40640</wp:posOffset>
                  </wp:positionH>
                  <wp:positionV relativeFrom="paragraph">
                    <wp:posOffset>61595</wp:posOffset>
                  </wp:positionV>
                  <wp:extent cx="1783715" cy="1442720"/>
                  <wp:effectExtent l="19050" t="0" r="6985" b="0"/>
                  <wp:wrapNone/>
                  <wp:docPr id="1302" name="图片 147" descr="169016904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图片 147" descr="1690169048293"/>
                          <pic:cNvPicPr>
                            <a:picLocks noChangeAspect="1" noChangeArrowheads="1"/>
                          </pic:cNvPicPr>
                        </pic:nvPicPr>
                        <pic:blipFill>
                          <a:blip r:embed="rId259"/>
                          <a:srcRect/>
                          <a:stretch>
                            <a:fillRect/>
                          </a:stretch>
                        </pic:blipFill>
                        <pic:spPr>
                          <a:xfrm>
                            <a:off x="0" y="0"/>
                            <a:ext cx="1783715" cy="1442720"/>
                          </a:xfrm>
                          <a:prstGeom prst="rect">
                            <a:avLst/>
                          </a:prstGeom>
                          <a:noFill/>
                          <a:ln w="9525">
                            <a:noFill/>
                            <a:miter lim="800000"/>
                            <a:headEnd/>
                            <a:tailEnd/>
                          </a:ln>
                        </pic:spPr>
                      </pic:pic>
                    </a:graphicData>
                  </a:graphic>
                </wp:anchor>
              </w:drawing>
            </w:r>
          </w:p>
          <w:p w14:paraId="6BEDAE33">
            <w:pPr>
              <w:pStyle w:val="112"/>
              <w:keepNext w:val="0"/>
              <w:keepLines w:val="0"/>
              <w:suppressLineNumbers w:val="0"/>
              <w:snapToGrid w:val="0"/>
              <w:spacing w:before="0" w:beforeAutospacing="0" w:after="0" w:afterAutospacing="0" w:line="360" w:lineRule="auto"/>
              <w:ind w:left="0" w:right="0" w:firstLine="480"/>
              <w:jc w:val="both"/>
              <w:outlineLvl w:val="9"/>
              <w:rPr>
                <w:rFonts w:cs="仿宋_GB2312" w:asciiTheme="minorEastAsia" w:hAnsiTheme="minorEastAsia" w:eastAsiaTheme="minorEastAsia"/>
                <w:color w:val="auto"/>
                <w:kern w:val="2"/>
                <w:sz w:val="24"/>
                <w:szCs w:val="24"/>
                <w:highlight w:val="none"/>
              </w:rPr>
            </w:pPr>
            <w:r>
              <w:rPr>
                <w:rFonts w:hint="eastAsia" w:cs="仿宋_GB2312" w:asciiTheme="minorEastAsia" w:hAnsiTheme="minorEastAsia" w:eastAsiaTheme="minorEastAsia"/>
                <w:color w:val="auto"/>
                <w:kern w:val="2"/>
                <w:sz w:val="24"/>
                <w:szCs w:val="24"/>
                <w:highlight w:val="none"/>
              </w:rPr>
              <w:drawing>
                <wp:anchor distT="0" distB="0" distL="114300" distR="114300" simplePos="0" relativeHeight="251864064" behindDoc="0" locked="0" layoutInCell="1" allowOverlap="1">
                  <wp:simplePos x="0" y="0"/>
                  <wp:positionH relativeFrom="column">
                    <wp:posOffset>-34925</wp:posOffset>
                  </wp:positionH>
                  <wp:positionV relativeFrom="paragraph">
                    <wp:posOffset>1339850</wp:posOffset>
                  </wp:positionV>
                  <wp:extent cx="1820545" cy="1325880"/>
                  <wp:effectExtent l="19050" t="0" r="8255" b="0"/>
                  <wp:wrapNone/>
                  <wp:docPr id="1301" name="图片 145" descr="169016885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图片 145" descr="1690168851939"/>
                          <pic:cNvPicPr>
                            <a:picLocks noChangeAspect="1" noChangeArrowheads="1"/>
                          </pic:cNvPicPr>
                        </pic:nvPicPr>
                        <pic:blipFill>
                          <a:blip r:embed="rId260"/>
                          <a:srcRect/>
                          <a:stretch>
                            <a:fillRect/>
                          </a:stretch>
                        </pic:blipFill>
                        <pic:spPr>
                          <a:xfrm>
                            <a:off x="0" y="0"/>
                            <a:ext cx="1820545" cy="1325880"/>
                          </a:xfrm>
                          <a:prstGeom prst="rect">
                            <a:avLst/>
                          </a:prstGeom>
                          <a:noFill/>
                          <a:ln w="9525">
                            <a:noFill/>
                            <a:miter lim="800000"/>
                            <a:headEnd/>
                            <a:tailEnd/>
                          </a:ln>
                        </pic:spPr>
                      </pic:pic>
                    </a:graphicData>
                  </a:graphic>
                </wp:anchor>
              </w:drawing>
            </w:r>
          </w:p>
        </w:tc>
      </w:tr>
    </w:tbl>
    <w:p w14:paraId="1DE170E3">
      <w:pPr>
        <w:pStyle w:val="74"/>
        <w:adjustRightInd w:val="0"/>
        <w:snapToGrid w:val="0"/>
        <w:spacing w:line="360" w:lineRule="auto"/>
        <w:ind w:left="0" w:leftChars="0" w:firstLine="0" w:firstLineChars="0"/>
        <w:outlineLvl w:val="9"/>
        <w:rPr>
          <w:rFonts w:cs="黑体" w:asciiTheme="minorEastAsia" w:hAnsiTheme="minorEastAsia" w:eastAsiaTheme="minorEastAsia"/>
          <w:bCs/>
          <w:color w:val="auto"/>
          <w:sz w:val="21"/>
          <w:szCs w:val="21"/>
          <w:highlight w:val="none"/>
        </w:rPr>
      </w:pPr>
      <w:r>
        <w:rPr>
          <w:rFonts w:hint="eastAsia" w:cs="黑体" w:asciiTheme="minorEastAsia" w:hAnsiTheme="minorEastAsia" w:eastAsiaTheme="minorEastAsia"/>
          <w:bCs/>
          <w:color w:val="auto"/>
          <w:sz w:val="21"/>
          <w:szCs w:val="21"/>
          <w:highlight w:val="none"/>
        </w:rPr>
        <w:t>八、管理动作实施细则</w:t>
      </w:r>
    </w:p>
    <w:p w14:paraId="31DAA93D">
      <w:pPr>
        <w:adjustRightInd w:val="0"/>
        <w:snapToGrid w:val="0"/>
        <w:spacing w:line="360" w:lineRule="auto"/>
        <w:ind w:firstLine="420" w:firstLineChars="200"/>
        <w:outlineLvl w:val="9"/>
        <w:rPr>
          <w:rFonts w:cs="仿宋_GB2312" w:asciiTheme="minorEastAsia" w:hAnsiTheme="minorEastAsia" w:eastAsiaTheme="minorEastAsia"/>
          <w:bCs/>
          <w:color w:val="auto"/>
          <w:sz w:val="21"/>
          <w:szCs w:val="21"/>
          <w:highlight w:val="none"/>
        </w:rPr>
      </w:pPr>
      <w:r>
        <w:rPr>
          <w:rFonts w:hint="eastAsia" w:cs="仿宋_GB2312" w:asciiTheme="minorEastAsia" w:hAnsiTheme="minorEastAsia" w:eastAsiaTheme="minorEastAsia"/>
          <w:bCs/>
          <w:color w:val="auto"/>
          <w:sz w:val="21"/>
          <w:szCs w:val="21"/>
          <w:highlight w:val="none"/>
        </w:rPr>
        <w:t>管理动作的内容主要包括：安全教育；应急演练；标语宣传牌；可视化管理等4项。其中安全教育、应急演练、标语宣传牌要求强制执行，可视化管理推荐执行（特殊标注除外）。</w:t>
      </w:r>
    </w:p>
    <w:p w14:paraId="29B92244">
      <w:pPr>
        <w:pStyle w:val="74"/>
        <w:adjustRightInd w:val="0"/>
        <w:snapToGrid w:val="0"/>
        <w:spacing w:line="360" w:lineRule="auto"/>
        <w:outlineLvl w:val="9"/>
        <w:rPr>
          <w:rFonts w:cs="楷体_GB2312" w:asciiTheme="minorEastAsia" w:hAnsiTheme="minorEastAsia" w:eastAsiaTheme="minorEastAsia"/>
          <w:color w:val="auto"/>
          <w:sz w:val="21"/>
          <w:szCs w:val="21"/>
          <w:highlight w:val="none"/>
        </w:rPr>
      </w:pPr>
      <w:r>
        <w:rPr>
          <w:rFonts w:hint="eastAsia" w:cs="楷体_GB2312" w:asciiTheme="minorEastAsia" w:hAnsiTheme="minorEastAsia" w:eastAsiaTheme="minorEastAsia"/>
          <w:color w:val="auto"/>
          <w:sz w:val="21"/>
          <w:szCs w:val="21"/>
          <w:highlight w:val="none"/>
        </w:rPr>
        <w:t>（一）安全教育</w:t>
      </w:r>
    </w:p>
    <w:tbl>
      <w:tblPr>
        <w:tblStyle w:val="56"/>
        <w:tblW w:w="93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4373"/>
        <w:gridCol w:w="3575"/>
      </w:tblGrid>
      <w:tr w14:paraId="020B3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8" w:type="dxa"/>
            <w:vAlign w:val="center"/>
          </w:tcPr>
          <w:p w14:paraId="6FEB0D5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373" w:type="dxa"/>
            <w:vAlign w:val="center"/>
          </w:tcPr>
          <w:p w14:paraId="5FAEC2F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575" w:type="dxa"/>
            <w:vAlign w:val="center"/>
          </w:tcPr>
          <w:p w14:paraId="1C88C16A">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35F49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8" w:type="dxa"/>
          </w:tcPr>
          <w:p w14:paraId="17A0BCCE">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班前工人安全教育</w:t>
            </w:r>
          </w:p>
        </w:tc>
        <w:tc>
          <w:tcPr>
            <w:tcW w:w="4373" w:type="dxa"/>
          </w:tcPr>
          <w:p w14:paraId="38464606">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每天早上上班前，组织工人在工地现场进行安全教育，并把当天安全重点注意事项及部位及时进行交底。</w:t>
            </w:r>
          </w:p>
          <w:p w14:paraId="019365D8">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7DDB88A1">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7B06B6FA">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tc>
        <w:tc>
          <w:tcPr>
            <w:tcW w:w="3575" w:type="dxa"/>
          </w:tcPr>
          <w:p w14:paraId="317957AA">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kern w:val="0"/>
                <w:sz w:val="24"/>
                <w:highlight w:val="none"/>
              </w:rPr>
              <w:drawing>
                <wp:anchor distT="0" distB="0" distL="114300" distR="114300" simplePos="0" relativeHeight="251866112" behindDoc="0" locked="0" layoutInCell="1" allowOverlap="1">
                  <wp:simplePos x="0" y="0"/>
                  <wp:positionH relativeFrom="column">
                    <wp:posOffset>133985</wp:posOffset>
                  </wp:positionH>
                  <wp:positionV relativeFrom="paragraph">
                    <wp:posOffset>93345</wp:posOffset>
                  </wp:positionV>
                  <wp:extent cx="1660525" cy="1216025"/>
                  <wp:effectExtent l="0" t="0" r="15875" b="3175"/>
                  <wp:wrapNone/>
                  <wp:docPr id="1303" name="图片 110" descr="1502846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图片 110" descr="1502846318(1)"/>
                          <pic:cNvPicPr>
                            <a:picLocks noChangeAspect="1" noChangeArrowheads="1"/>
                          </pic:cNvPicPr>
                        </pic:nvPicPr>
                        <pic:blipFill>
                          <a:blip r:embed="rId261"/>
                          <a:srcRect/>
                          <a:stretch>
                            <a:fillRect/>
                          </a:stretch>
                        </pic:blipFill>
                        <pic:spPr>
                          <a:xfrm>
                            <a:off x="0" y="0"/>
                            <a:ext cx="1660525" cy="1216025"/>
                          </a:xfrm>
                          <a:prstGeom prst="rect">
                            <a:avLst/>
                          </a:prstGeom>
                          <a:noFill/>
                          <a:ln w="9525">
                            <a:noFill/>
                            <a:miter lim="800000"/>
                            <a:headEnd/>
                            <a:tailEnd/>
                          </a:ln>
                        </pic:spPr>
                      </pic:pic>
                    </a:graphicData>
                  </a:graphic>
                </wp:anchor>
              </w:drawing>
            </w:r>
          </w:p>
        </w:tc>
      </w:tr>
      <w:tr w14:paraId="26ED1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8" w:type="dxa"/>
          </w:tcPr>
          <w:p w14:paraId="3FDC65E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每月安全教育</w:t>
            </w:r>
          </w:p>
        </w:tc>
        <w:tc>
          <w:tcPr>
            <w:tcW w:w="4373" w:type="dxa"/>
          </w:tcPr>
          <w:p w14:paraId="51EA5A5C">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 xml:space="preserve">每月须组织总包及各分包主要管理人员进行安全管理教育交底，同时要求施工单位内部开展安全交底，每月至少组织一次工人观看安全教育片。每周项目部须组织总分包单位进行安全排查。 </w:t>
            </w:r>
          </w:p>
        </w:tc>
        <w:tc>
          <w:tcPr>
            <w:tcW w:w="3575" w:type="dxa"/>
          </w:tcPr>
          <w:p w14:paraId="7BCBF169">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kern w:val="0"/>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867136" behindDoc="0" locked="0" layoutInCell="1" allowOverlap="1">
                  <wp:simplePos x="0" y="0"/>
                  <wp:positionH relativeFrom="column">
                    <wp:posOffset>153670</wp:posOffset>
                  </wp:positionH>
                  <wp:positionV relativeFrom="paragraph">
                    <wp:posOffset>60325</wp:posOffset>
                  </wp:positionV>
                  <wp:extent cx="1666240" cy="1372870"/>
                  <wp:effectExtent l="0" t="0" r="10160" b="17780"/>
                  <wp:wrapNone/>
                  <wp:docPr id="1304" name="图片 111" descr="1502846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图片 111" descr="1502846370(1)"/>
                          <pic:cNvPicPr>
                            <a:picLocks noChangeAspect="1" noChangeArrowheads="1"/>
                          </pic:cNvPicPr>
                        </pic:nvPicPr>
                        <pic:blipFill>
                          <a:blip r:embed="rId262"/>
                          <a:srcRect/>
                          <a:stretch>
                            <a:fillRect/>
                          </a:stretch>
                        </pic:blipFill>
                        <pic:spPr>
                          <a:xfrm>
                            <a:off x="0" y="0"/>
                            <a:ext cx="1666240" cy="1372870"/>
                          </a:xfrm>
                          <a:prstGeom prst="rect">
                            <a:avLst/>
                          </a:prstGeom>
                          <a:noFill/>
                          <a:ln w="9525">
                            <a:noFill/>
                            <a:miter lim="800000"/>
                            <a:headEnd/>
                            <a:tailEnd/>
                          </a:ln>
                        </pic:spPr>
                      </pic:pic>
                    </a:graphicData>
                  </a:graphic>
                </wp:anchor>
              </w:drawing>
            </w:r>
          </w:p>
        </w:tc>
      </w:tr>
      <w:tr w14:paraId="19D6A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0" w:hRule="atLeast"/>
          <w:jc w:val="center"/>
        </w:trPr>
        <w:tc>
          <w:tcPr>
            <w:tcW w:w="1418" w:type="dxa"/>
          </w:tcPr>
          <w:p w14:paraId="7FF488E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持证上岗</w:t>
            </w:r>
          </w:p>
        </w:tc>
        <w:tc>
          <w:tcPr>
            <w:tcW w:w="4373" w:type="dxa"/>
          </w:tcPr>
          <w:p w14:paraId="34290B92">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所有电焊工、架子工、塔吊司机等特殊工种作业人员必须持证上岗。</w:t>
            </w:r>
          </w:p>
        </w:tc>
        <w:tc>
          <w:tcPr>
            <w:tcW w:w="3575" w:type="dxa"/>
          </w:tcPr>
          <w:p w14:paraId="2C7BD084">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868160" behindDoc="0" locked="0" layoutInCell="1" allowOverlap="1">
                  <wp:simplePos x="0" y="0"/>
                  <wp:positionH relativeFrom="column">
                    <wp:posOffset>104140</wp:posOffset>
                  </wp:positionH>
                  <wp:positionV relativeFrom="paragraph">
                    <wp:posOffset>81915</wp:posOffset>
                  </wp:positionV>
                  <wp:extent cx="1720215" cy="1719580"/>
                  <wp:effectExtent l="19050" t="0" r="0" b="0"/>
                  <wp:wrapNone/>
                  <wp:docPr id="1305" name="图片 114" descr="1503899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图片 114" descr="1503899565(1)"/>
                          <pic:cNvPicPr>
                            <a:picLocks noChangeAspect="1" noChangeArrowheads="1"/>
                          </pic:cNvPicPr>
                        </pic:nvPicPr>
                        <pic:blipFill>
                          <a:blip r:embed="rId263"/>
                          <a:srcRect/>
                          <a:stretch>
                            <a:fillRect/>
                          </a:stretch>
                        </pic:blipFill>
                        <pic:spPr>
                          <a:xfrm>
                            <a:off x="0" y="0"/>
                            <a:ext cx="1720215" cy="1719580"/>
                          </a:xfrm>
                          <a:prstGeom prst="rect">
                            <a:avLst/>
                          </a:prstGeom>
                          <a:noFill/>
                          <a:ln w="9525">
                            <a:noFill/>
                            <a:miter lim="800000"/>
                            <a:headEnd/>
                            <a:tailEnd/>
                          </a:ln>
                        </pic:spPr>
                      </pic:pic>
                    </a:graphicData>
                  </a:graphic>
                </wp:anchor>
              </w:drawing>
            </w:r>
          </w:p>
        </w:tc>
      </w:tr>
    </w:tbl>
    <w:p w14:paraId="4DE10C4A">
      <w:pPr>
        <w:pStyle w:val="74"/>
        <w:adjustRightInd w:val="0"/>
        <w:snapToGrid w:val="0"/>
        <w:spacing w:line="360" w:lineRule="auto"/>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（二）应急演练</w:t>
      </w:r>
    </w:p>
    <w:tbl>
      <w:tblPr>
        <w:tblStyle w:val="56"/>
        <w:tblW w:w="92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5"/>
        <w:gridCol w:w="4376"/>
        <w:gridCol w:w="3575"/>
      </w:tblGrid>
      <w:tr w14:paraId="0A260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25" w:type="dxa"/>
            <w:vAlign w:val="center"/>
          </w:tcPr>
          <w:p w14:paraId="2E657317">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376" w:type="dxa"/>
            <w:vAlign w:val="center"/>
          </w:tcPr>
          <w:p w14:paraId="6648E616">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575" w:type="dxa"/>
            <w:vAlign w:val="center"/>
          </w:tcPr>
          <w:p w14:paraId="40836B37">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50F08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25" w:type="dxa"/>
          </w:tcPr>
          <w:p w14:paraId="1735AC7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消防演练</w:t>
            </w:r>
          </w:p>
        </w:tc>
        <w:tc>
          <w:tcPr>
            <w:tcW w:w="4376" w:type="dxa"/>
          </w:tcPr>
          <w:p w14:paraId="13720677">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施工单位应根据灭火及应急疏散预案，定期开展灭火及应急疏散的演练，每季度年不少于1次，并建立文字、影像等资料记录存档。</w:t>
            </w:r>
          </w:p>
          <w:p w14:paraId="02AA2586">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1C388CC1">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528A4D8C">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6DA0DDF2">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24AA333D">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6A9F1750">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1D63D9C6">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248862E8">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0B247CD5">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4901FB72">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15CADC50">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620EFE55">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tc>
        <w:tc>
          <w:tcPr>
            <w:tcW w:w="3575" w:type="dxa"/>
          </w:tcPr>
          <w:p w14:paraId="10805F7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870208" behindDoc="0" locked="0" layoutInCell="1" allowOverlap="1">
                  <wp:simplePos x="0" y="0"/>
                  <wp:positionH relativeFrom="column">
                    <wp:posOffset>115570</wp:posOffset>
                  </wp:positionH>
                  <wp:positionV relativeFrom="paragraph">
                    <wp:posOffset>12065</wp:posOffset>
                  </wp:positionV>
                  <wp:extent cx="1666240" cy="1445260"/>
                  <wp:effectExtent l="19050" t="0" r="0" b="0"/>
                  <wp:wrapNone/>
                  <wp:docPr id="13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图片 5"/>
                          <pic:cNvPicPr>
                            <a:picLocks noChangeAspect="1" noChangeArrowheads="1"/>
                          </pic:cNvPicPr>
                        </pic:nvPicPr>
                        <pic:blipFill>
                          <a:blip r:embed="rId264"/>
                          <a:srcRect/>
                          <a:stretch>
                            <a:fillRect/>
                          </a:stretch>
                        </pic:blipFill>
                        <pic:spPr>
                          <a:xfrm>
                            <a:off x="0" y="0"/>
                            <a:ext cx="1666240" cy="1445260"/>
                          </a:xfrm>
                          <a:prstGeom prst="rect">
                            <a:avLst/>
                          </a:prstGeom>
                          <a:noFill/>
                          <a:ln w="9525">
                            <a:noFill/>
                            <a:miter lim="800000"/>
                            <a:headEnd/>
                            <a:tailEnd/>
                          </a:ln>
                        </pic:spPr>
                      </pic:pic>
                    </a:graphicData>
                  </a:graphic>
                </wp:anchor>
              </w:drawing>
            </w:r>
          </w:p>
          <w:p w14:paraId="3168CFCD">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114300" distR="114300" simplePos="0" relativeHeight="251869184" behindDoc="0" locked="0" layoutInCell="1" allowOverlap="1">
                  <wp:simplePos x="0" y="0"/>
                  <wp:positionH relativeFrom="column">
                    <wp:posOffset>115570</wp:posOffset>
                  </wp:positionH>
                  <wp:positionV relativeFrom="paragraph">
                    <wp:posOffset>1160780</wp:posOffset>
                  </wp:positionV>
                  <wp:extent cx="1666240" cy="1470660"/>
                  <wp:effectExtent l="19050" t="0" r="0" b="0"/>
                  <wp:wrapNone/>
                  <wp:docPr id="1306" name="图片 113" descr="1502846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图片 113" descr="1502846443(1)"/>
                          <pic:cNvPicPr>
                            <a:picLocks noChangeAspect="1" noChangeArrowheads="1"/>
                          </pic:cNvPicPr>
                        </pic:nvPicPr>
                        <pic:blipFill>
                          <a:blip r:embed="rId265"/>
                          <a:srcRect/>
                          <a:stretch>
                            <a:fillRect/>
                          </a:stretch>
                        </pic:blipFill>
                        <pic:spPr>
                          <a:xfrm>
                            <a:off x="0" y="0"/>
                            <a:ext cx="1666240" cy="1470660"/>
                          </a:xfrm>
                          <a:prstGeom prst="rect">
                            <a:avLst/>
                          </a:prstGeom>
                          <a:noFill/>
                          <a:ln w="9525">
                            <a:noFill/>
                            <a:miter lim="800000"/>
                            <a:headEnd/>
                            <a:tailEnd/>
                          </a:ln>
                        </pic:spPr>
                      </pic:pic>
                    </a:graphicData>
                  </a:graphic>
                </wp:anchor>
              </w:drawing>
            </w:r>
          </w:p>
        </w:tc>
      </w:tr>
    </w:tbl>
    <w:p w14:paraId="154D8DA9">
      <w:pPr>
        <w:pStyle w:val="74"/>
        <w:adjustRightInd w:val="0"/>
        <w:snapToGrid w:val="0"/>
        <w:spacing w:line="360" w:lineRule="auto"/>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（三）标语宣传牌</w:t>
      </w:r>
    </w:p>
    <w:tbl>
      <w:tblPr>
        <w:tblStyle w:val="56"/>
        <w:tblW w:w="93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4316"/>
        <w:gridCol w:w="3578"/>
      </w:tblGrid>
      <w:tr w14:paraId="46890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8" w:type="dxa"/>
            <w:vAlign w:val="center"/>
          </w:tcPr>
          <w:p w14:paraId="64CF41A2">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316" w:type="dxa"/>
            <w:vAlign w:val="center"/>
          </w:tcPr>
          <w:p w14:paraId="5E3D04F6">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578" w:type="dxa"/>
            <w:vAlign w:val="center"/>
          </w:tcPr>
          <w:p w14:paraId="356195E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6501E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7" w:hRule="atLeast"/>
          <w:jc w:val="center"/>
        </w:trPr>
        <w:tc>
          <w:tcPr>
            <w:tcW w:w="1418" w:type="dxa"/>
          </w:tcPr>
          <w:p w14:paraId="6F5CB357">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安全宣传栏、安全宣传标语牌</w:t>
            </w:r>
          </w:p>
        </w:tc>
        <w:tc>
          <w:tcPr>
            <w:tcW w:w="4316" w:type="dxa"/>
          </w:tcPr>
          <w:p w14:paraId="24011BDA">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设在生活区、办公区、施工区，以及之间主要通道旁、安全通道两侧等明显位置上。</w:t>
            </w:r>
          </w:p>
          <w:p w14:paraId="00781E26">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13FBEA08">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23791308">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2FE8BE6B">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547809C6">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15939760">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16A06F27">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r>
              <w:rPr>
                <w:rFonts w:hint="eastAsia" w:cs="仿宋_GB2312" w:asciiTheme="minorEastAsia" w:hAnsiTheme="minorEastAsia" w:eastAsiaTheme="minorEastAsia"/>
                <w:color w:val="auto"/>
                <w:sz w:val="24"/>
                <w:highlight w:val="none"/>
                <w:lang w:val="en-US" w:bidi="ar-SA"/>
              </w:rPr>
              <w:drawing>
                <wp:anchor distT="0" distB="0" distL="0" distR="0" simplePos="0" relativeHeight="251872256" behindDoc="0" locked="0" layoutInCell="1" allowOverlap="1">
                  <wp:simplePos x="0" y="0"/>
                  <wp:positionH relativeFrom="column">
                    <wp:posOffset>2790825</wp:posOffset>
                  </wp:positionH>
                  <wp:positionV relativeFrom="paragraph">
                    <wp:posOffset>11430</wp:posOffset>
                  </wp:positionV>
                  <wp:extent cx="2012950" cy="1564005"/>
                  <wp:effectExtent l="19050" t="0" r="6350" b="0"/>
                  <wp:wrapNone/>
                  <wp:docPr id="1309"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图片 115"/>
                          <pic:cNvPicPr>
                            <a:picLocks noChangeAspect="1" noChangeArrowheads="1"/>
                          </pic:cNvPicPr>
                        </pic:nvPicPr>
                        <pic:blipFill>
                          <a:blip r:embed="rId266"/>
                          <a:srcRect/>
                          <a:stretch>
                            <a:fillRect/>
                          </a:stretch>
                        </pic:blipFill>
                        <pic:spPr>
                          <a:xfrm>
                            <a:off x="0" y="0"/>
                            <a:ext cx="2012950" cy="1564005"/>
                          </a:xfrm>
                          <a:prstGeom prst="rect">
                            <a:avLst/>
                          </a:prstGeom>
                          <a:noFill/>
                          <a:ln w="9525">
                            <a:noFill/>
                            <a:miter lim="800000"/>
                            <a:headEnd/>
                            <a:tailEnd/>
                          </a:ln>
                        </pic:spPr>
                      </pic:pic>
                    </a:graphicData>
                  </a:graphic>
                </wp:anchor>
              </w:drawing>
            </w:r>
          </w:p>
          <w:p w14:paraId="03E7BDB3">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34DD30FD">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462EA593">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02ED255A">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393DBF95">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7B6090FB">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5C19B085">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7D133F78">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2A113D01">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tc>
        <w:tc>
          <w:tcPr>
            <w:tcW w:w="3578" w:type="dxa"/>
          </w:tcPr>
          <w:p w14:paraId="72532779">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871232" behindDoc="0" locked="0" layoutInCell="1" allowOverlap="1">
                  <wp:simplePos x="0" y="0"/>
                  <wp:positionH relativeFrom="column">
                    <wp:posOffset>113665</wp:posOffset>
                  </wp:positionH>
                  <wp:positionV relativeFrom="paragraph">
                    <wp:posOffset>1270</wp:posOffset>
                  </wp:positionV>
                  <wp:extent cx="1778000" cy="1407160"/>
                  <wp:effectExtent l="19050" t="0" r="0" b="0"/>
                  <wp:wrapNone/>
                  <wp:docPr id="1308"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图片 116"/>
                          <pic:cNvPicPr>
                            <a:picLocks noChangeAspect="1" noChangeArrowheads="1"/>
                          </pic:cNvPicPr>
                        </pic:nvPicPr>
                        <pic:blipFill>
                          <a:blip r:embed="rId267" cstate="print"/>
                          <a:srcRect/>
                          <a:stretch>
                            <a:fillRect/>
                          </a:stretch>
                        </pic:blipFill>
                        <pic:spPr>
                          <a:xfrm>
                            <a:off x="0" y="0"/>
                            <a:ext cx="1778000" cy="1407160"/>
                          </a:xfrm>
                          <a:prstGeom prst="rect">
                            <a:avLst/>
                          </a:prstGeom>
                          <a:noFill/>
                          <a:ln w="9525">
                            <a:noFill/>
                            <a:miter lim="800000"/>
                            <a:headEnd/>
                            <a:tailEnd/>
                          </a:ln>
                        </pic:spPr>
                      </pic:pic>
                    </a:graphicData>
                  </a:graphic>
                </wp:anchor>
              </w:drawing>
            </w:r>
          </w:p>
          <w:p w14:paraId="1356782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p>
        </w:tc>
      </w:tr>
      <w:tr w14:paraId="15C06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1" w:hRule="atLeast"/>
          <w:jc w:val="center"/>
        </w:trPr>
        <w:tc>
          <w:tcPr>
            <w:tcW w:w="1418" w:type="dxa"/>
          </w:tcPr>
          <w:p w14:paraId="280D3D8C">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质量宣传标语</w:t>
            </w:r>
          </w:p>
        </w:tc>
        <w:tc>
          <w:tcPr>
            <w:tcW w:w="4316" w:type="dxa"/>
          </w:tcPr>
          <w:p w14:paraId="565B2453">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设在办公区、施工区以及施工区之间主要通道旁，楼层外架等明显位置上。</w:t>
            </w:r>
          </w:p>
        </w:tc>
        <w:tc>
          <w:tcPr>
            <w:tcW w:w="3578" w:type="dxa"/>
          </w:tcPr>
          <w:p w14:paraId="73EC5697">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874304" behindDoc="0" locked="0" layoutInCell="1" allowOverlap="1">
                  <wp:simplePos x="0" y="0"/>
                  <wp:positionH relativeFrom="column">
                    <wp:posOffset>-5080</wp:posOffset>
                  </wp:positionH>
                  <wp:positionV relativeFrom="paragraph">
                    <wp:posOffset>16510</wp:posOffset>
                  </wp:positionV>
                  <wp:extent cx="2164080" cy="1661160"/>
                  <wp:effectExtent l="19050" t="0" r="7620" b="0"/>
                  <wp:wrapNone/>
                  <wp:docPr id="131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图片 31"/>
                          <pic:cNvPicPr>
                            <a:picLocks noChangeAspect="1" noChangeArrowheads="1"/>
                          </pic:cNvPicPr>
                        </pic:nvPicPr>
                        <pic:blipFill>
                          <a:blip r:embed="rId268" cstate="print"/>
                          <a:srcRect/>
                          <a:stretch>
                            <a:fillRect/>
                          </a:stretch>
                        </pic:blipFill>
                        <pic:spPr>
                          <a:xfrm>
                            <a:off x="0" y="0"/>
                            <a:ext cx="2164080" cy="1661160"/>
                          </a:xfrm>
                          <a:prstGeom prst="rect">
                            <a:avLst/>
                          </a:prstGeom>
                          <a:noFill/>
                          <a:ln w="9525">
                            <a:noFill/>
                            <a:miter lim="800000"/>
                            <a:headEnd/>
                            <a:tailEnd/>
                          </a:ln>
                        </pic:spPr>
                      </pic:pic>
                    </a:graphicData>
                  </a:graphic>
                </wp:anchor>
              </w:drawing>
            </w:r>
          </w:p>
          <w:p w14:paraId="02373073">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873280" behindDoc="0" locked="0" layoutInCell="1" allowOverlap="1">
                  <wp:simplePos x="0" y="0"/>
                  <wp:positionH relativeFrom="column">
                    <wp:posOffset>-10795</wp:posOffset>
                  </wp:positionH>
                  <wp:positionV relativeFrom="paragraph">
                    <wp:posOffset>1292225</wp:posOffset>
                  </wp:positionV>
                  <wp:extent cx="2171065" cy="1671955"/>
                  <wp:effectExtent l="19050" t="0" r="635" b="0"/>
                  <wp:wrapNone/>
                  <wp:docPr id="1310"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图片 117"/>
                          <pic:cNvPicPr>
                            <a:picLocks noChangeAspect="1" noChangeArrowheads="1"/>
                          </pic:cNvPicPr>
                        </pic:nvPicPr>
                        <pic:blipFill>
                          <a:blip r:embed="rId269"/>
                          <a:srcRect/>
                          <a:stretch>
                            <a:fillRect/>
                          </a:stretch>
                        </pic:blipFill>
                        <pic:spPr>
                          <a:xfrm>
                            <a:off x="0" y="0"/>
                            <a:ext cx="2171065" cy="1671955"/>
                          </a:xfrm>
                          <a:prstGeom prst="rect">
                            <a:avLst/>
                          </a:prstGeom>
                          <a:noFill/>
                          <a:ln w="9525">
                            <a:noFill/>
                            <a:miter lim="800000"/>
                            <a:headEnd/>
                            <a:tailEnd/>
                          </a:ln>
                        </pic:spPr>
                      </pic:pic>
                    </a:graphicData>
                  </a:graphic>
                </wp:anchor>
              </w:drawing>
            </w:r>
          </w:p>
        </w:tc>
      </w:tr>
    </w:tbl>
    <w:p w14:paraId="7E70723E">
      <w:pPr>
        <w:pStyle w:val="74"/>
        <w:adjustRightInd w:val="0"/>
        <w:snapToGrid w:val="0"/>
        <w:spacing w:line="360" w:lineRule="auto"/>
        <w:outlineLvl w:val="9"/>
        <w:rPr>
          <w:rFonts w:cs="楷体_GB2312" w:asciiTheme="minorEastAsia" w:hAnsiTheme="minorEastAsia" w:eastAsiaTheme="minorEastAsia"/>
          <w:color w:val="auto"/>
          <w:sz w:val="24"/>
          <w:highlight w:val="none"/>
        </w:rPr>
      </w:pPr>
      <w:r>
        <w:rPr>
          <w:rFonts w:hint="eastAsia" w:cs="楷体_GB2312" w:asciiTheme="minorEastAsia" w:hAnsiTheme="minorEastAsia" w:eastAsiaTheme="minorEastAsia"/>
          <w:color w:val="auto"/>
          <w:sz w:val="24"/>
          <w:highlight w:val="none"/>
        </w:rPr>
        <w:t>（四）可视化管理</w:t>
      </w:r>
    </w:p>
    <w:tbl>
      <w:tblPr>
        <w:tblStyle w:val="56"/>
        <w:tblW w:w="936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60"/>
        <w:gridCol w:w="4201"/>
        <w:gridCol w:w="3608"/>
      </w:tblGrid>
      <w:tr w14:paraId="637933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vAlign w:val="center"/>
          </w:tcPr>
          <w:p w14:paraId="6E77D8C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管理项目</w:t>
            </w:r>
          </w:p>
        </w:tc>
        <w:tc>
          <w:tcPr>
            <w:tcW w:w="4201" w:type="dxa"/>
            <w:vAlign w:val="center"/>
          </w:tcPr>
          <w:p w14:paraId="5F9063D0">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具体要求</w:t>
            </w:r>
          </w:p>
        </w:tc>
        <w:tc>
          <w:tcPr>
            <w:tcW w:w="3608" w:type="dxa"/>
            <w:vAlign w:val="center"/>
          </w:tcPr>
          <w:p w14:paraId="4195E969">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图片示例</w:t>
            </w:r>
          </w:p>
        </w:tc>
      </w:tr>
      <w:tr w14:paraId="4F44E9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Pr>
          <w:p w14:paraId="6E285204">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每栋单体施工通道入口标牌</w:t>
            </w:r>
          </w:p>
        </w:tc>
        <w:tc>
          <w:tcPr>
            <w:tcW w:w="4201" w:type="dxa"/>
          </w:tcPr>
          <w:p w14:paraId="5DC8824E">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1) 包括施工进度指示牌、实测实量结果、抹灰尺寸控制图、抹灰技术交底、安全文明交底、质量与安全交底。</w:t>
            </w:r>
          </w:p>
          <w:p w14:paraId="13C056C2">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0F9CD1AF">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1FDB201F">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15696114">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tc>
        <w:tc>
          <w:tcPr>
            <w:tcW w:w="3608" w:type="dxa"/>
          </w:tcPr>
          <w:p w14:paraId="722F0670">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875328" behindDoc="0" locked="0" layoutInCell="1" allowOverlap="1">
                  <wp:simplePos x="0" y="0"/>
                  <wp:positionH relativeFrom="column">
                    <wp:posOffset>255270</wp:posOffset>
                  </wp:positionH>
                  <wp:positionV relativeFrom="paragraph">
                    <wp:posOffset>205740</wp:posOffset>
                  </wp:positionV>
                  <wp:extent cx="1635125" cy="1276350"/>
                  <wp:effectExtent l="19050" t="0" r="3175" b="0"/>
                  <wp:wrapNone/>
                  <wp:docPr id="1312"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图片 118"/>
                          <pic:cNvPicPr>
                            <a:picLocks noChangeAspect="1" noChangeArrowheads="1"/>
                          </pic:cNvPicPr>
                        </pic:nvPicPr>
                        <pic:blipFill>
                          <a:blip r:embed="rId270"/>
                          <a:srcRect/>
                          <a:stretch>
                            <a:fillRect/>
                          </a:stretch>
                        </pic:blipFill>
                        <pic:spPr>
                          <a:xfrm>
                            <a:off x="0" y="0"/>
                            <a:ext cx="1635125" cy="1276350"/>
                          </a:xfrm>
                          <a:prstGeom prst="rect">
                            <a:avLst/>
                          </a:prstGeom>
                          <a:noFill/>
                          <a:ln w="9525">
                            <a:noFill/>
                            <a:miter lim="800000"/>
                            <a:headEnd/>
                            <a:tailEnd/>
                          </a:ln>
                        </pic:spPr>
                      </pic:pic>
                    </a:graphicData>
                  </a:graphic>
                </wp:anchor>
              </w:drawing>
            </w:r>
          </w:p>
        </w:tc>
      </w:tr>
      <w:tr w14:paraId="798200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Pr>
          <w:p w14:paraId="281E7DE5">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每栋单体施工通道入口处—周施工进度指示牌</w:t>
            </w:r>
          </w:p>
        </w:tc>
        <w:tc>
          <w:tcPr>
            <w:tcW w:w="4201" w:type="dxa"/>
          </w:tcPr>
          <w:p w14:paraId="05749F8E">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楼栋每周施工进度公示：白色底稿，红色黑体字体标题。</w:t>
            </w:r>
          </w:p>
          <w:p w14:paraId="645F0A1E">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r>
              <w:rPr>
                <w:rFonts w:hint="eastAsia" w:cs="仿宋_GB2312" w:asciiTheme="minorEastAsia" w:hAnsiTheme="minorEastAsia" w:eastAsiaTheme="minorEastAsia"/>
                <w:color w:val="auto"/>
                <w:sz w:val="24"/>
                <w:highlight w:val="none"/>
                <w:lang w:val="en-US" w:bidi="ar-SA"/>
              </w:rPr>
              <w:drawing>
                <wp:anchor distT="0" distB="0" distL="0" distR="0" simplePos="0" relativeHeight="251876352" behindDoc="0" locked="0" layoutInCell="1" allowOverlap="1">
                  <wp:simplePos x="0" y="0"/>
                  <wp:positionH relativeFrom="column">
                    <wp:posOffset>2928620</wp:posOffset>
                  </wp:positionH>
                  <wp:positionV relativeFrom="paragraph">
                    <wp:posOffset>69850</wp:posOffset>
                  </wp:positionV>
                  <wp:extent cx="1640840" cy="885190"/>
                  <wp:effectExtent l="0" t="0" r="16510" b="10160"/>
                  <wp:wrapNone/>
                  <wp:docPr id="1313"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图片 119"/>
                          <pic:cNvPicPr>
                            <a:picLocks noChangeAspect="1" noChangeArrowheads="1"/>
                          </pic:cNvPicPr>
                        </pic:nvPicPr>
                        <pic:blipFill>
                          <a:blip r:embed="rId271"/>
                          <a:srcRect/>
                          <a:stretch>
                            <a:fillRect/>
                          </a:stretch>
                        </pic:blipFill>
                        <pic:spPr>
                          <a:xfrm>
                            <a:off x="0" y="0"/>
                            <a:ext cx="1640840" cy="885190"/>
                          </a:xfrm>
                          <a:prstGeom prst="rect">
                            <a:avLst/>
                          </a:prstGeom>
                          <a:noFill/>
                          <a:ln w="9525">
                            <a:noFill/>
                            <a:miter lim="800000"/>
                            <a:headEnd/>
                            <a:tailEnd/>
                          </a:ln>
                        </pic:spPr>
                      </pic:pic>
                    </a:graphicData>
                  </a:graphic>
                </wp:anchor>
              </w:drawing>
            </w:r>
          </w:p>
          <w:p w14:paraId="3DA83AFF">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48EE6FF0">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083EF489">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58A08F77">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68F4A1A5">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tc>
        <w:tc>
          <w:tcPr>
            <w:tcW w:w="3608" w:type="dxa"/>
          </w:tcPr>
          <w:p w14:paraId="7D498C95">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tc>
      </w:tr>
      <w:tr w14:paraId="13F302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Pr>
          <w:p w14:paraId="462AEBCB">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砌筑主体等放线图</w:t>
            </w:r>
          </w:p>
        </w:tc>
        <w:tc>
          <w:tcPr>
            <w:tcW w:w="4201" w:type="dxa"/>
          </w:tcPr>
          <w:p w14:paraId="78A1346A">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楼栋入口张贴各类放线图。</w:t>
            </w:r>
          </w:p>
          <w:p w14:paraId="0645B5C1">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64EBF247">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3E08DDAD">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23E54164">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4D6EE25C">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3BB2EB3C">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p w14:paraId="4031A11B">
            <w:pPr>
              <w:pStyle w:val="74"/>
              <w:keepNext w:val="0"/>
              <w:keepLines w:val="0"/>
              <w:suppressLineNumbers w:val="0"/>
              <w:spacing w:before="0" w:beforeAutospacing="0" w:after="0" w:afterAutospacing="0"/>
              <w:ind w:right="0" w:firstLine="400"/>
              <w:outlineLvl w:val="9"/>
              <w:rPr>
                <w:rFonts w:asciiTheme="minorEastAsia" w:hAnsiTheme="minorEastAsia" w:eastAsiaTheme="minorEastAsia"/>
                <w:color w:val="auto"/>
                <w:highlight w:val="none"/>
                <w:lang w:val="en-US"/>
              </w:rPr>
            </w:pPr>
          </w:p>
        </w:tc>
        <w:tc>
          <w:tcPr>
            <w:tcW w:w="3608" w:type="dxa"/>
          </w:tcPr>
          <w:p w14:paraId="08C91320">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877376" behindDoc="0" locked="0" layoutInCell="1" allowOverlap="1">
                  <wp:simplePos x="0" y="0"/>
                  <wp:positionH relativeFrom="column">
                    <wp:posOffset>348615</wp:posOffset>
                  </wp:positionH>
                  <wp:positionV relativeFrom="paragraph">
                    <wp:posOffset>161290</wp:posOffset>
                  </wp:positionV>
                  <wp:extent cx="1510030" cy="1251585"/>
                  <wp:effectExtent l="19050" t="0" r="0" b="0"/>
                  <wp:wrapNone/>
                  <wp:docPr id="1314"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图片 122"/>
                          <pic:cNvPicPr>
                            <a:picLocks noChangeAspect="1" noChangeArrowheads="1"/>
                          </pic:cNvPicPr>
                        </pic:nvPicPr>
                        <pic:blipFill>
                          <a:blip r:embed="rId272"/>
                          <a:srcRect/>
                          <a:stretch>
                            <a:fillRect/>
                          </a:stretch>
                        </pic:blipFill>
                        <pic:spPr>
                          <a:xfrm>
                            <a:off x="0" y="0"/>
                            <a:ext cx="1510030" cy="1251585"/>
                          </a:xfrm>
                          <a:prstGeom prst="rect">
                            <a:avLst/>
                          </a:prstGeom>
                          <a:noFill/>
                          <a:ln w="9525">
                            <a:noFill/>
                            <a:miter lim="800000"/>
                            <a:headEnd/>
                            <a:tailEnd/>
                          </a:ln>
                        </pic:spPr>
                      </pic:pic>
                    </a:graphicData>
                  </a:graphic>
                </wp:anchor>
              </w:drawing>
            </w:r>
          </w:p>
        </w:tc>
      </w:tr>
      <w:tr w14:paraId="343C58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06" w:hRule="atLeast"/>
          <w:jc w:val="center"/>
        </w:trPr>
        <w:tc>
          <w:tcPr>
            <w:tcW w:w="1560" w:type="dxa"/>
          </w:tcPr>
          <w:p w14:paraId="2FBD40C4">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每栋单体施工通道入口处标牌—实测实量结果</w:t>
            </w:r>
          </w:p>
        </w:tc>
        <w:tc>
          <w:tcPr>
            <w:tcW w:w="4201" w:type="dxa"/>
          </w:tcPr>
          <w:p w14:paraId="0DD8177C">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楼栋实测实量结果公示：白色底稿，分阶段罗列指标，监理定期更新。</w:t>
            </w:r>
          </w:p>
        </w:tc>
        <w:tc>
          <w:tcPr>
            <w:tcW w:w="3608" w:type="dxa"/>
          </w:tcPr>
          <w:p w14:paraId="0C710DCA">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878400" behindDoc="0" locked="0" layoutInCell="1" allowOverlap="1">
                  <wp:simplePos x="0" y="0"/>
                  <wp:positionH relativeFrom="column">
                    <wp:posOffset>374650</wp:posOffset>
                  </wp:positionH>
                  <wp:positionV relativeFrom="paragraph">
                    <wp:posOffset>57150</wp:posOffset>
                  </wp:positionV>
                  <wp:extent cx="1436370" cy="1171575"/>
                  <wp:effectExtent l="19050" t="0" r="0" b="0"/>
                  <wp:wrapNone/>
                  <wp:docPr id="1315" name="图片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图片 1068"/>
                          <pic:cNvPicPr>
                            <a:picLocks noChangeAspect="1" noChangeArrowheads="1"/>
                          </pic:cNvPicPr>
                        </pic:nvPicPr>
                        <pic:blipFill>
                          <a:blip r:embed="rId273"/>
                          <a:srcRect/>
                          <a:stretch>
                            <a:fillRect/>
                          </a:stretch>
                        </pic:blipFill>
                        <pic:spPr>
                          <a:xfrm>
                            <a:off x="0" y="0"/>
                            <a:ext cx="1436370" cy="1171575"/>
                          </a:xfrm>
                          <a:prstGeom prst="rect">
                            <a:avLst/>
                          </a:prstGeom>
                          <a:noFill/>
                          <a:ln w="9525">
                            <a:noFill/>
                            <a:miter lim="800000"/>
                            <a:headEnd/>
                            <a:tailEnd/>
                          </a:ln>
                        </pic:spPr>
                      </pic:pic>
                    </a:graphicData>
                  </a:graphic>
                </wp:anchor>
              </w:drawing>
            </w:r>
          </w:p>
        </w:tc>
      </w:tr>
      <w:tr w14:paraId="54C34C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Pr>
          <w:p w14:paraId="754439A8">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实测实量结果上墙（垂直度、平整度等）</w:t>
            </w:r>
            <w:r>
              <w:rPr>
                <w:rFonts w:hint="eastAsia" w:cs="仿宋_GB2312" w:asciiTheme="minorEastAsia" w:hAnsiTheme="minorEastAsia" w:eastAsiaTheme="minorEastAsia"/>
                <w:b/>
                <w:color w:val="auto"/>
                <w:sz w:val="24"/>
                <w:highlight w:val="none"/>
              </w:rPr>
              <w:t>（强制执行）</w:t>
            </w:r>
          </w:p>
        </w:tc>
        <w:tc>
          <w:tcPr>
            <w:tcW w:w="4201" w:type="dxa"/>
          </w:tcPr>
          <w:p w14:paraId="0029372E">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实测垂直度、平整度对应部位盖印章，总包、监理及甲方分别填写并签字确认。</w:t>
            </w:r>
          </w:p>
          <w:p w14:paraId="0EA96E6F">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实测测量位置图纸应粘贴于每层过道显著位置，每户张贴A3纸张。</w:t>
            </w:r>
          </w:p>
        </w:tc>
        <w:tc>
          <w:tcPr>
            <w:tcW w:w="3608" w:type="dxa"/>
          </w:tcPr>
          <w:p w14:paraId="1AC45A44">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drawing>
                <wp:anchor distT="0" distB="0" distL="0" distR="0" simplePos="0" relativeHeight="251879424" behindDoc="0" locked="0" layoutInCell="1" allowOverlap="1">
                  <wp:simplePos x="0" y="0"/>
                  <wp:positionH relativeFrom="column">
                    <wp:posOffset>276225</wp:posOffset>
                  </wp:positionH>
                  <wp:positionV relativeFrom="paragraph">
                    <wp:posOffset>36830</wp:posOffset>
                  </wp:positionV>
                  <wp:extent cx="1536700" cy="1384935"/>
                  <wp:effectExtent l="19050" t="0" r="6350" b="0"/>
                  <wp:wrapNone/>
                  <wp:docPr id="131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图片 125"/>
                          <pic:cNvPicPr>
                            <a:picLocks noChangeAspect="1" noChangeArrowheads="1"/>
                          </pic:cNvPicPr>
                        </pic:nvPicPr>
                        <pic:blipFill>
                          <a:blip r:embed="rId274"/>
                          <a:srcRect/>
                          <a:stretch>
                            <a:fillRect/>
                          </a:stretch>
                        </pic:blipFill>
                        <pic:spPr>
                          <a:xfrm>
                            <a:off x="0" y="0"/>
                            <a:ext cx="1536700" cy="1384935"/>
                          </a:xfrm>
                          <a:prstGeom prst="rect">
                            <a:avLst/>
                          </a:prstGeom>
                          <a:noFill/>
                          <a:ln w="9525">
                            <a:noFill/>
                            <a:miter lim="800000"/>
                            <a:headEnd/>
                            <a:tailEnd/>
                          </a:ln>
                        </pic:spPr>
                      </pic:pic>
                    </a:graphicData>
                  </a:graphic>
                </wp:anchor>
              </w:drawing>
            </w:r>
          </w:p>
          <w:p w14:paraId="5ED56D86">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tc>
      </w:tr>
      <w:tr w14:paraId="47AA2E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Pr>
          <w:p w14:paraId="69A61E1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质量技术交底牌</w:t>
            </w:r>
          </w:p>
        </w:tc>
        <w:tc>
          <w:tcPr>
            <w:tcW w:w="4201" w:type="dxa"/>
          </w:tcPr>
          <w:p w14:paraId="05D7C0C6">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每栋楼入口设立质量技术交底，图文结合。</w:t>
            </w:r>
          </w:p>
        </w:tc>
        <w:tc>
          <w:tcPr>
            <w:tcW w:w="3608" w:type="dxa"/>
          </w:tcPr>
          <w:p w14:paraId="7C495024">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tc>
      </w:tr>
      <w:tr w14:paraId="5E648F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Pr>
          <w:p w14:paraId="793E9B51">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实测实量作业指引</w:t>
            </w:r>
          </w:p>
        </w:tc>
        <w:tc>
          <w:tcPr>
            <w:tcW w:w="4201" w:type="dxa"/>
          </w:tcPr>
          <w:p w14:paraId="78699733">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检查方式及标准公示并随时交底。</w:t>
            </w:r>
          </w:p>
        </w:tc>
        <w:tc>
          <w:tcPr>
            <w:tcW w:w="3608" w:type="dxa"/>
          </w:tcPr>
          <w:p w14:paraId="54043CBF">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tc>
      </w:tr>
      <w:tr w14:paraId="70DB24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560" w:type="dxa"/>
          </w:tcPr>
          <w:p w14:paraId="7283C51A">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工艺标准做法</w:t>
            </w:r>
          </w:p>
        </w:tc>
        <w:tc>
          <w:tcPr>
            <w:tcW w:w="4201" w:type="dxa"/>
          </w:tcPr>
          <w:p w14:paraId="1B228A5E">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r>
              <w:rPr>
                <w:rFonts w:hint="eastAsia" w:cs="仿宋_GB2312" w:asciiTheme="minorEastAsia" w:hAnsiTheme="minorEastAsia" w:eastAsiaTheme="minorEastAsia"/>
                <w:color w:val="auto"/>
                <w:sz w:val="24"/>
                <w:highlight w:val="none"/>
              </w:rPr>
              <w:t>将对、错两种做法以图片形式进行对比交底，明确质量做法。</w:t>
            </w:r>
          </w:p>
        </w:tc>
        <w:tc>
          <w:tcPr>
            <w:tcW w:w="3608" w:type="dxa"/>
          </w:tcPr>
          <w:p w14:paraId="4BE94406">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 w:val="24"/>
                <w:highlight w:val="none"/>
              </w:rPr>
            </w:pPr>
          </w:p>
        </w:tc>
      </w:tr>
    </w:tbl>
    <w:p w14:paraId="61024FCF">
      <w:pPr>
        <w:pStyle w:val="74"/>
        <w:adjustRightInd w:val="0"/>
        <w:snapToGrid w:val="0"/>
        <w:spacing w:line="360" w:lineRule="auto"/>
        <w:ind w:left="0" w:leftChars="0" w:firstLine="0" w:firstLineChars="0"/>
        <w:outlineLvl w:val="9"/>
        <w:rPr>
          <w:rFonts w:cs="黑体" w:asciiTheme="minorEastAsia" w:hAnsiTheme="minorEastAsia" w:eastAsiaTheme="minorEastAsia"/>
          <w:bCs/>
          <w:color w:val="auto"/>
          <w:sz w:val="21"/>
          <w:szCs w:val="21"/>
          <w:highlight w:val="none"/>
        </w:rPr>
      </w:pPr>
      <w:r>
        <w:rPr>
          <w:rFonts w:hint="eastAsia" w:cs="黑体" w:asciiTheme="minorEastAsia" w:hAnsiTheme="minorEastAsia" w:eastAsiaTheme="minorEastAsia"/>
          <w:bCs/>
          <w:color w:val="auto"/>
          <w:sz w:val="21"/>
          <w:szCs w:val="21"/>
          <w:highlight w:val="none"/>
        </w:rPr>
        <w:t>九、双重预防机制</w:t>
      </w:r>
    </w:p>
    <w:p w14:paraId="39E02737">
      <w:pPr>
        <w:pStyle w:val="74"/>
        <w:adjustRightInd w:val="0"/>
        <w:snapToGrid w:val="0"/>
        <w:spacing w:line="360" w:lineRule="auto"/>
        <w:outlineLvl w:val="9"/>
        <w:rPr>
          <w:rFonts w:cs="楷体_GB2312" w:asciiTheme="minorEastAsia" w:hAnsiTheme="minorEastAsia" w:eastAsiaTheme="minorEastAsia"/>
          <w:color w:val="auto"/>
          <w:sz w:val="21"/>
          <w:szCs w:val="21"/>
          <w:highlight w:val="none"/>
        </w:rPr>
      </w:pPr>
      <w:r>
        <w:rPr>
          <w:rFonts w:cs="楷体_GB2312" w:asciiTheme="minorEastAsia" w:hAnsiTheme="minorEastAsia" w:eastAsiaTheme="minorEastAsia"/>
          <w:color w:val="auto"/>
          <w:sz w:val="21"/>
          <w:szCs w:val="21"/>
          <w:highlight w:val="none"/>
        </w:rPr>
        <w:t>（一）</w:t>
      </w:r>
      <w:r>
        <w:rPr>
          <w:rFonts w:hint="eastAsia" w:cs="楷体_GB2312" w:asciiTheme="minorEastAsia" w:hAnsiTheme="minorEastAsia" w:eastAsiaTheme="minorEastAsia"/>
          <w:color w:val="auto"/>
          <w:sz w:val="21"/>
          <w:szCs w:val="21"/>
          <w:highlight w:val="none"/>
        </w:rPr>
        <w:t>目标</w:t>
      </w:r>
    </w:p>
    <w:p w14:paraId="03812628">
      <w:pPr>
        <w:pStyle w:val="74"/>
        <w:adjustRightInd w:val="0"/>
        <w:snapToGrid w:val="0"/>
        <w:spacing w:line="360" w:lineRule="auto"/>
        <w:outlineLvl w:val="9"/>
        <w:rPr>
          <w:rFonts w:cs="仿宋_GB2312" w:asciiTheme="minorEastAsia" w:hAnsiTheme="minorEastAsia" w:eastAsiaTheme="minorEastAsia"/>
          <w:color w:val="auto"/>
          <w:sz w:val="21"/>
          <w:szCs w:val="21"/>
          <w:highlight w:val="none"/>
        </w:rPr>
      </w:pPr>
      <w:r>
        <w:rPr>
          <w:rFonts w:cs="仿宋_GB2312" w:asciiTheme="minorEastAsia" w:hAnsiTheme="minorEastAsia" w:eastAsiaTheme="minorEastAsia"/>
          <w:color w:val="auto"/>
          <w:sz w:val="21"/>
          <w:szCs w:val="21"/>
          <w:highlight w:val="none"/>
        </w:rPr>
        <w:t>1.</w:t>
      </w:r>
      <w:r>
        <w:rPr>
          <w:rFonts w:hint="eastAsia" w:cs="仿宋_GB2312" w:asciiTheme="minorEastAsia" w:hAnsiTheme="minorEastAsia" w:eastAsiaTheme="minorEastAsia"/>
          <w:color w:val="auto"/>
          <w:sz w:val="21"/>
          <w:szCs w:val="21"/>
          <w:highlight w:val="none"/>
        </w:rPr>
        <w:t>全面开展岗位风险辨识和分级管控</w:t>
      </w:r>
    </w:p>
    <w:p w14:paraId="3A096AEA">
      <w:pPr>
        <w:adjustRightInd w:val="0"/>
        <w:snapToGrid w:val="0"/>
        <w:spacing w:line="360" w:lineRule="auto"/>
        <w:ind w:firstLine="420" w:firstLineChars="200"/>
        <w:jc w:val="left"/>
        <w:outlineLvl w:val="9"/>
        <w:rPr>
          <w:rFonts w:hint="eastAsia"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全方位、全过程辨识生产工艺、设备设施、作业环境、人员行为和管理体系等方面存在的安全风险。对辨识出的安全风险进行分类梳理，明确风险点、风险类型，建立“一图、两清单”（“红橙黄蓝”四色风险分布图、风险管控责任清单、风险管控措施清单），实施风险公示和分级管控。</w:t>
      </w:r>
    </w:p>
    <w:p w14:paraId="6ACC54D6">
      <w:pPr>
        <w:pStyle w:val="74"/>
        <w:adjustRightInd w:val="0"/>
        <w:snapToGrid w:val="0"/>
        <w:spacing w:line="360" w:lineRule="auto"/>
        <w:outlineLvl w:val="9"/>
        <w:rPr>
          <w:rFonts w:cs="仿宋_GB2312" w:asciiTheme="minorEastAsia" w:hAnsiTheme="minorEastAsia" w:eastAsiaTheme="minorEastAsia"/>
          <w:color w:val="auto"/>
          <w:sz w:val="21"/>
          <w:szCs w:val="21"/>
          <w:highlight w:val="none"/>
        </w:rPr>
      </w:pPr>
      <w:r>
        <w:rPr>
          <w:rFonts w:cs="仿宋_GB2312" w:asciiTheme="minorEastAsia" w:hAnsiTheme="minorEastAsia" w:eastAsiaTheme="minorEastAsia"/>
          <w:color w:val="auto"/>
          <w:sz w:val="21"/>
          <w:szCs w:val="21"/>
          <w:highlight w:val="none"/>
        </w:rPr>
        <w:t>2.</w:t>
      </w:r>
      <w:r>
        <w:rPr>
          <w:rFonts w:hint="eastAsia" w:cs="仿宋_GB2312" w:asciiTheme="minorEastAsia" w:hAnsiTheme="minorEastAsia" w:eastAsiaTheme="minorEastAsia"/>
          <w:color w:val="auto"/>
          <w:sz w:val="21"/>
          <w:szCs w:val="21"/>
          <w:highlight w:val="none"/>
        </w:rPr>
        <w:t>建立健全责任清单、隐患分级和排查治理方案</w:t>
      </w:r>
    </w:p>
    <w:p w14:paraId="5476C793">
      <w:pPr>
        <w:adjustRightInd w:val="0"/>
        <w:snapToGrid w:val="0"/>
        <w:spacing w:line="360" w:lineRule="auto"/>
        <w:ind w:firstLine="420" w:firstLineChars="200"/>
        <w:jc w:val="left"/>
        <w:outlineLvl w:val="9"/>
        <w:rPr>
          <w:rFonts w:hint="eastAsia"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完善闭环管理和考核奖惩制度，全面排查隐患，及时有效治理隐患，建立完善隐患排查整治台账，实现隐患治理工作系统化、制度化、科学化、信息化、标准化、常态化。</w:t>
      </w:r>
    </w:p>
    <w:p w14:paraId="584C8E7A">
      <w:pPr>
        <w:pStyle w:val="74"/>
        <w:adjustRightInd w:val="0"/>
        <w:snapToGrid w:val="0"/>
        <w:spacing w:line="360" w:lineRule="auto"/>
        <w:outlineLvl w:val="9"/>
        <w:rPr>
          <w:rFonts w:cs="仿宋_GB2312" w:asciiTheme="minorEastAsia" w:hAnsiTheme="minorEastAsia" w:eastAsiaTheme="minorEastAsia"/>
          <w:color w:val="auto"/>
          <w:sz w:val="21"/>
          <w:szCs w:val="21"/>
          <w:highlight w:val="none"/>
        </w:rPr>
      </w:pPr>
      <w:r>
        <w:rPr>
          <w:rFonts w:cs="仿宋_GB2312" w:asciiTheme="minorEastAsia" w:hAnsiTheme="minorEastAsia" w:eastAsiaTheme="minorEastAsia"/>
          <w:color w:val="auto"/>
          <w:sz w:val="21"/>
          <w:szCs w:val="21"/>
          <w:highlight w:val="none"/>
        </w:rPr>
        <w:t>3.</w:t>
      </w:r>
      <w:r>
        <w:rPr>
          <w:rFonts w:hint="eastAsia" w:cs="仿宋_GB2312" w:asciiTheme="minorEastAsia" w:hAnsiTheme="minorEastAsia" w:eastAsiaTheme="minorEastAsia"/>
          <w:color w:val="auto"/>
          <w:sz w:val="21"/>
          <w:szCs w:val="21"/>
          <w:highlight w:val="none"/>
        </w:rPr>
        <w:t>完善企业风险分级管理基础台账</w:t>
      </w:r>
    </w:p>
    <w:p w14:paraId="51C52847">
      <w:pPr>
        <w:adjustRightInd w:val="0"/>
        <w:snapToGrid w:val="0"/>
        <w:spacing w:line="360" w:lineRule="auto"/>
        <w:ind w:firstLine="420" w:firstLineChars="200"/>
        <w:jc w:val="left"/>
        <w:outlineLvl w:val="9"/>
        <w:rPr>
          <w:rFonts w:hint="eastAsia"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建立风险点基础数据库、重要危险源台账及重大隐患整治台账，并按照规定实施风险分级监管。</w:t>
      </w:r>
    </w:p>
    <w:p w14:paraId="7FB20937">
      <w:pPr>
        <w:pStyle w:val="74"/>
        <w:adjustRightInd w:val="0"/>
        <w:snapToGrid w:val="0"/>
        <w:spacing w:line="360" w:lineRule="auto"/>
        <w:outlineLvl w:val="9"/>
        <w:rPr>
          <w:rFonts w:cs="仿宋_GB2312" w:asciiTheme="minorEastAsia" w:hAnsiTheme="minorEastAsia" w:eastAsiaTheme="minorEastAsia"/>
          <w:color w:val="auto"/>
          <w:sz w:val="21"/>
          <w:szCs w:val="21"/>
          <w:highlight w:val="none"/>
        </w:rPr>
      </w:pPr>
      <w:r>
        <w:rPr>
          <w:rFonts w:cs="仿宋_GB2312" w:asciiTheme="minorEastAsia" w:hAnsiTheme="minorEastAsia" w:eastAsiaTheme="minorEastAsia"/>
          <w:color w:val="auto"/>
          <w:sz w:val="21"/>
          <w:szCs w:val="21"/>
          <w:highlight w:val="none"/>
        </w:rPr>
        <w:t>（二）</w:t>
      </w:r>
      <w:r>
        <w:rPr>
          <w:rFonts w:hint="eastAsia" w:cs="仿宋_GB2312" w:asciiTheme="minorEastAsia" w:hAnsiTheme="minorEastAsia" w:eastAsiaTheme="minorEastAsia"/>
          <w:color w:val="auto"/>
          <w:sz w:val="21"/>
          <w:szCs w:val="21"/>
          <w:highlight w:val="none"/>
        </w:rPr>
        <w:t>输出成果</w:t>
      </w:r>
    </w:p>
    <w:p w14:paraId="7B00ED6D">
      <w:pPr>
        <w:pStyle w:val="74"/>
        <w:adjustRightInd w:val="0"/>
        <w:snapToGrid w:val="0"/>
        <w:spacing w:line="360" w:lineRule="auto"/>
        <w:outlineLvl w:val="9"/>
        <w:rPr>
          <w:rFonts w:cs="仿宋_GB2312" w:asciiTheme="minorEastAsia" w:hAnsiTheme="minorEastAsia" w:eastAsiaTheme="minorEastAsia"/>
          <w:color w:val="auto"/>
          <w:sz w:val="21"/>
          <w:szCs w:val="21"/>
          <w:highlight w:val="none"/>
        </w:rPr>
      </w:pPr>
      <w:r>
        <w:rPr>
          <w:rFonts w:cs="仿宋_GB2312" w:asciiTheme="minorEastAsia" w:hAnsiTheme="minorEastAsia" w:eastAsiaTheme="minorEastAsia"/>
          <w:color w:val="auto"/>
          <w:sz w:val="21"/>
          <w:szCs w:val="21"/>
          <w:highlight w:val="none"/>
        </w:rPr>
        <w:t>1.</w:t>
      </w:r>
      <w:r>
        <w:rPr>
          <w:rFonts w:hint="eastAsia" w:cs="仿宋_GB2312" w:asciiTheme="minorEastAsia" w:hAnsiTheme="minorEastAsia" w:eastAsiaTheme="minorEastAsia"/>
          <w:color w:val="auto"/>
          <w:sz w:val="21"/>
          <w:szCs w:val="21"/>
          <w:highlight w:val="none"/>
        </w:rPr>
        <w:t>《企业风险防控手册》重点内容包含：</w:t>
      </w:r>
    </w:p>
    <w:p w14:paraId="68D0FDA3">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（1）企业潜在事故风险类型统计表；</w:t>
      </w:r>
    </w:p>
    <w:p w14:paraId="027A05CF">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（2）风险告知卡样图；</w:t>
      </w:r>
    </w:p>
    <w:p w14:paraId="28B96DA2">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（3）风险管控责任清单；</w:t>
      </w:r>
    </w:p>
    <w:p w14:paraId="0C3486DC">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（4）风险管控措施清单；</w:t>
      </w:r>
    </w:p>
    <w:p w14:paraId="21ED1F08">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（5）红橙黄蓝四色风险点分布图；</w:t>
      </w:r>
    </w:p>
    <w:p w14:paraId="5E7A61CE">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（6）隐患排查项目清单；</w:t>
      </w:r>
    </w:p>
    <w:p w14:paraId="11B29B3C">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（7）隐患排查计划。</w:t>
      </w:r>
    </w:p>
    <w:p w14:paraId="6B2B1CF2">
      <w:pPr>
        <w:pStyle w:val="74"/>
        <w:adjustRightInd w:val="0"/>
        <w:snapToGrid w:val="0"/>
        <w:spacing w:line="360" w:lineRule="auto"/>
        <w:outlineLvl w:val="9"/>
        <w:rPr>
          <w:rFonts w:cs="仿宋_GB2312" w:asciiTheme="minorEastAsia" w:hAnsiTheme="minorEastAsia" w:eastAsiaTheme="minorEastAsia"/>
          <w:color w:val="auto"/>
          <w:sz w:val="21"/>
          <w:szCs w:val="21"/>
          <w:highlight w:val="none"/>
        </w:rPr>
      </w:pPr>
      <w:r>
        <w:rPr>
          <w:rFonts w:cs="仿宋_GB2312" w:asciiTheme="minorEastAsia" w:hAnsiTheme="minorEastAsia" w:eastAsiaTheme="minorEastAsia"/>
          <w:color w:val="auto"/>
          <w:sz w:val="21"/>
          <w:szCs w:val="21"/>
          <w:highlight w:val="none"/>
        </w:rPr>
        <w:t>2.</w:t>
      </w:r>
      <w:r>
        <w:rPr>
          <w:rFonts w:hint="eastAsia" w:cs="仿宋_GB2312" w:asciiTheme="minorEastAsia" w:hAnsiTheme="minorEastAsia" w:eastAsiaTheme="minorEastAsia"/>
          <w:color w:val="auto"/>
          <w:sz w:val="21"/>
          <w:szCs w:val="21"/>
          <w:highlight w:val="none"/>
        </w:rPr>
        <w:t>配套体系文件资料重点内容包含</w:t>
      </w:r>
    </w:p>
    <w:p w14:paraId="42205FAD">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（1）企业双控实施方案；</w:t>
      </w:r>
    </w:p>
    <w:p w14:paraId="2B73DE88">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（2）风险管控制度；</w:t>
      </w:r>
    </w:p>
    <w:p w14:paraId="395A72B8">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（3）隐患排查治理的制度；</w:t>
      </w:r>
    </w:p>
    <w:p w14:paraId="1EEBAE88">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（4）风险告知培训的制度；</w:t>
      </w:r>
    </w:p>
    <w:p w14:paraId="57A22D56">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（5）作业活动清单；</w:t>
      </w:r>
    </w:p>
    <w:p w14:paraId="111A8B44">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（6）设备设施清单；</w:t>
      </w:r>
    </w:p>
    <w:p w14:paraId="21493798">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（7）作业活动和设备设施分析与评价记录；</w:t>
      </w:r>
    </w:p>
    <w:p w14:paraId="74A33FA0">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（8）隐患排查表、排查记录、隐患登记表等记录；</w:t>
      </w:r>
    </w:p>
    <w:p w14:paraId="273CCEFF">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（9）隐患整改通知单，隐患排查治理台账；</w:t>
      </w:r>
    </w:p>
    <w:p w14:paraId="6EEE0155">
      <w:pPr>
        <w:pStyle w:val="74"/>
        <w:adjustRightInd w:val="0"/>
        <w:snapToGrid w:val="0"/>
        <w:spacing w:line="360" w:lineRule="auto"/>
        <w:ind w:firstLine="480"/>
        <w:outlineLvl w:val="9"/>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（10）文件制度等发放记录或传达记录。</w:t>
      </w:r>
    </w:p>
    <w:p w14:paraId="7DDC464B">
      <w:pPr>
        <w:pStyle w:val="74"/>
        <w:adjustRightInd w:val="0"/>
        <w:snapToGrid w:val="0"/>
        <w:spacing w:line="360" w:lineRule="auto"/>
        <w:ind w:firstLine="480"/>
        <w:outlineLvl w:val="9"/>
        <w:rPr>
          <w:rFonts w:cs="仿宋_GB2312" w:asciiTheme="minorEastAsia" w:hAnsiTheme="minorEastAsia" w:eastAsiaTheme="minorEastAsia"/>
          <w:color w:val="auto"/>
          <w:kern w:val="0"/>
          <w:sz w:val="21"/>
          <w:szCs w:val="21"/>
          <w:highlight w:val="none"/>
        </w:rPr>
      </w:pPr>
      <w:r>
        <w:rPr>
          <w:rFonts w:hint="eastAsia" w:cs="黑体" w:asciiTheme="minorEastAsia" w:hAnsiTheme="minorEastAsia" w:eastAsiaTheme="minorEastAsia"/>
          <w:color w:val="auto"/>
          <w:sz w:val="21"/>
          <w:szCs w:val="21"/>
          <w:highlight w:val="none"/>
        </w:rPr>
        <w:t>十、附则：</w:t>
      </w:r>
      <w:r>
        <w:rPr>
          <w:rFonts w:hint="eastAsia" w:cs="仿宋_GB2312" w:asciiTheme="minorEastAsia" w:hAnsiTheme="minorEastAsia" w:eastAsiaTheme="minorEastAsia"/>
          <w:color w:val="auto"/>
          <w:kern w:val="0"/>
          <w:sz w:val="21"/>
          <w:szCs w:val="21"/>
          <w:highlight w:val="none"/>
        </w:rPr>
        <w:t>1.本实施细则由工程管理部负责解释；</w:t>
      </w:r>
    </w:p>
    <w:p w14:paraId="09F569B7">
      <w:pPr>
        <w:adjustRightInd w:val="0"/>
        <w:snapToGrid w:val="0"/>
        <w:spacing w:line="360" w:lineRule="auto"/>
        <w:ind w:firstLine="420" w:firstLineChars="200"/>
        <w:jc w:val="left"/>
        <w:outlineLvl w:val="9"/>
        <w:rPr>
          <w:rFonts w:cs="仿宋_GB2312" w:asciiTheme="minorEastAsia" w:hAnsiTheme="minorEastAsia" w:eastAsiaTheme="minorEastAsia"/>
          <w:color w:val="auto"/>
          <w:kern w:val="0"/>
          <w:sz w:val="21"/>
          <w:szCs w:val="21"/>
          <w:highlight w:val="none"/>
        </w:rPr>
      </w:pPr>
      <w:r>
        <w:rPr>
          <w:rFonts w:hint="eastAsia" w:cs="仿宋_GB2312" w:asciiTheme="minorEastAsia" w:hAnsiTheme="minorEastAsia" w:eastAsiaTheme="minorEastAsia"/>
          <w:color w:val="auto"/>
          <w:kern w:val="0"/>
          <w:sz w:val="21"/>
          <w:szCs w:val="21"/>
          <w:highlight w:val="none"/>
        </w:rPr>
        <w:t xml:space="preserve">   </w:t>
      </w:r>
      <w:r>
        <w:rPr>
          <w:rFonts w:hint="eastAsia" w:cs="仿宋_GB2312" w:asciiTheme="minorEastAsia" w:hAnsiTheme="minorEastAsia" w:eastAsiaTheme="minorEastAsia"/>
          <w:color w:val="auto"/>
          <w:kern w:val="0"/>
          <w:sz w:val="21"/>
          <w:szCs w:val="21"/>
          <w:highlight w:val="none"/>
          <w:lang w:val="en-US" w:eastAsia="zh-CN"/>
        </w:rPr>
        <w:t>3</w:t>
      </w:r>
      <w:r>
        <w:rPr>
          <w:rFonts w:hint="eastAsia" w:cs="仿宋_GB2312" w:asciiTheme="minorEastAsia" w:hAnsiTheme="minorEastAsia" w:eastAsiaTheme="minorEastAsia"/>
          <w:color w:val="auto"/>
          <w:kern w:val="0"/>
          <w:sz w:val="21"/>
          <w:szCs w:val="21"/>
          <w:highlight w:val="none"/>
        </w:rPr>
        <w:t>.本实施细则适用于经发地产及全资子公司、代管公司；</w:t>
      </w:r>
    </w:p>
    <w:p w14:paraId="025EB744">
      <w:pPr>
        <w:pStyle w:val="74"/>
        <w:ind w:left="1103" w:leftChars="375" w:hanging="315" w:hangingChars="150"/>
        <w:outlineLvl w:val="9"/>
        <w:rPr>
          <w:rFonts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lang w:val="en-US" w:eastAsia="zh-CN"/>
        </w:rPr>
        <w:t>4</w:t>
      </w:r>
      <w:r>
        <w:rPr>
          <w:rFonts w:hint="eastAsia" w:cs="仿宋_GB2312" w:asciiTheme="minorEastAsia" w:hAnsiTheme="minorEastAsia" w:eastAsiaTheme="minorEastAsia"/>
          <w:color w:val="auto"/>
          <w:sz w:val="21"/>
          <w:szCs w:val="21"/>
          <w:highlight w:val="none"/>
        </w:rPr>
        <w:t>.本实施细则自正式印发之日起执行，原制度规定与本实施细则不一致的，以本细则为准。</w:t>
      </w:r>
    </w:p>
    <w:p w14:paraId="3EF2BB31">
      <w:pPr>
        <w:pStyle w:val="638"/>
        <w:spacing w:line="360" w:lineRule="auto"/>
        <w:ind w:firstLine="400"/>
        <w:jc w:val="left"/>
        <w:outlineLvl w:val="9"/>
        <w:rPr>
          <w:rFonts w:cs="宋体" w:asciiTheme="minorEastAsia" w:hAnsiTheme="minorEastAsia" w:eastAsiaTheme="minorEastAsia"/>
          <w:color w:val="auto"/>
          <w:szCs w:val="21"/>
          <w:highlight w:val="none"/>
        </w:rPr>
      </w:pPr>
    </w:p>
    <w:p w14:paraId="26B710C0">
      <w:pPr>
        <w:spacing w:line="360" w:lineRule="auto"/>
        <w:outlineLvl w:val="9"/>
        <w:rPr>
          <w:rFonts w:cs="宋体" w:asciiTheme="minorEastAsia" w:hAnsiTheme="minorEastAsia" w:eastAsiaTheme="minorEastAsia"/>
          <w:color w:val="auto"/>
          <w:szCs w:val="21"/>
          <w:highlight w:val="none"/>
        </w:rPr>
        <w:sectPr>
          <w:pgSz w:w="12240" w:h="15840"/>
          <w:pgMar w:top="1440" w:right="1440" w:bottom="1440" w:left="1440" w:header="720" w:footer="720" w:gutter="0"/>
          <w:pgBorders>
            <w:top w:val="none" w:sz="0" w:space="0"/>
            <w:left w:val="none" w:sz="0" w:space="0"/>
            <w:bottom w:val="none" w:sz="0" w:space="0"/>
            <w:right w:val="none" w:sz="0" w:space="0"/>
          </w:pgBorders>
          <w:cols w:space="0" w:num="1"/>
          <w:titlePg/>
        </w:sectPr>
      </w:pPr>
    </w:p>
    <w:bookmarkEnd w:id="756"/>
    <w:p w14:paraId="4E34BF15">
      <w:pPr>
        <w:pStyle w:val="638"/>
        <w:spacing w:line="360" w:lineRule="auto"/>
        <w:jc w:val="left"/>
        <w:outlineLvl w:val="9"/>
        <w:rPr>
          <w:rFonts w:hint="eastAsia" w:asciiTheme="minorEastAsia" w:hAnsiTheme="minorEastAsia" w:eastAsiaTheme="minorEastAsia"/>
          <w:b w:val="0"/>
          <w:bCs/>
          <w:color w:val="auto"/>
          <w:sz w:val="21"/>
          <w:szCs w:val="21"/>
          <w:highlight w:val="none"/>
        </w:rPr>
      </w:pPr>
      <w:r>
        <w:rPr>
          <w:rFonts w:hint="eastAsia" w:asciiTheme="minorEastAsia" w:hAnsiTheme="minorEastAsia" w:eastAsiaTheme="minorEastAsia"/>
          <w:b w:val="0"/>
          <w:bCs/>
          <w:color w:val="auto"/>
          <w:sz w:val="21"/>
          <w:szCs w:val="21"/>
          <w:highlight w:val="none"/>
        </w:rPr>
        <w:t>附件四十</w:t>
      </w:r>
      <w:r>
        <w:rPr>
          <w:rFonts w:hint="eastAsia" w:asciiTheme="minorEastAsia" w:hAnsiTheme="minorEastAsia" w:eastAsiaTheme="minorEastAsia"/>
          <w:b w:val="0"/>
          <w:bCs/>
          <w:color w:val="auto"/>
          <w:sz w:val="21"/>
          <w:szCs w:val="21"/>
          <w:highlight w:val="none"/>
          <w:lang w:val="en-US" w:eastAsia="zh-CN"/>
        </w:rPr>
        <w:t>五</w:t>
      </w:r>
      <w:r>
        <w:rPr>
          <w:rFonts w:hint="eastAsia" w:asciiTheme="minorEastAsia" w:hAnsiTheme="minorEastAsia" w:eastAsiaTheme="minorEastAsia"/>
          <w:b w:val="0"/>
          <w:bCs/>
          <w:color w:val="auto"/>
          <w:sz w:val="21"/>
          <w:szCs w:val="21"/>
          <w:highlight w:val="none"/>
        </w:rPr>
        <w:t>：</w:t>
      </w:r>
    </w:p>
    <w:p w14:paraId="7FB2B480">
      <w:pPr>
        <w:pStyle w:val="638"/>
        <w:spacing w:line="360" w:lineRule="auto"/>
        <w:ind w:firstLine="422"/>
        <w:jc w:val="center"/>
        <w:outlineLvl w:val="9"/>
        <w:rPr>
          <w:rFonts w:asciiTheme="minorEastAsia" w:hAnsiTheme="minorEastAsia" w:eastAsiaTheme="minorEastAsia"/>
          <w:b/>
          <w:color w:val="auto"/>
          <w:sz w:val="21"/>
          <w:szCs w:val="21"/>
          <w:highlight w:val="none"/>
        </w:rPr>
      </w:pPr>
      <w:r>
        <w:rPr>
          <w:rFonts w:hint="eastAsia" w:asciiTheme="minorEastAsia" w:hAnsiTheme="minorEastAsia" w:eastAsiaTheme="minorEastAsia"/>
          <w:b/>
          <w:color w:val="auto"/>
          <w:sz w:val="21"/>
          <w:szCs w:val="21"/>
          <w:highlight w:val="none"/>
        </w:rPr>
        <w:t>成品保护实施细则</w:t>
      </w:r>
    </w:p>
    <w:p w14:paraId="3C2E504B">
      <w:pPr>
        <w:adjustRightInd w:val="0"/>
        <w:snapToGrid w:val="0"/>
        <w:spacing w:line="360" w:lineRule="auto"/>
        <w:ind w:firstLine="420" w:firstLineChars="200"/>
        <w:jc w:val="left"/>
        <w:outlineLvl w:val="9"/>
        <w:rPr>
          <w:rFonts w:cs="黑体" w:asciiTheme="minorEastAsia" w:hAnsiTheme="minorEastAsia" w:eastAsiaTheme="minorEastAsia"/>
          <w:color w:val="auto"/>
          <w:kern w:val="0"/>
          <w:szCs w:val="21"/>
          <w:highlight w:val="none"/>
        </w:rPr>
      </w:pPr>
      <w:bookmarkStart w:id="1018" w:name="_Toc21388"/>
      <w:bookmarkStart w:id="1019" w:name="_Toc12598"/>
      <w:bookmarkStart w:id="1020" w:name="_Toc29131"/>
      <w:r>
        <w:rPr>
          <w:rFonts w:hint="eastAsia" w:cs="黑体" w:asciiTheme="minorEastAsia" w:hAnsiTheme="minorEastAsia" w:eastAsiaTheme="minorEastAsia"/>
          <w:color w:val="auto"/>
          <w:kern w:val="0"/>
          <w:szCs w:val="21"/>
          <w:highlight w:val="none"/>
        </w:rPr>
        <w:t>一、目的</w:t>
      </w:r>
      <w:bookmarkEnd w:id="1018"/>
      <w:bookmarkEnd w:id="1019"/>
      <w:bookmarkEnd w:id="1020"/>
    </w:p>
    <w:p w14:paraId="2F0D6107">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成品保护是贯穿施工全过程的关键性工作，做好成品保护可使已完成的分项工程顺利的转入下道工序，为工程的验收和交付创造良好的条件。制定成品保护标准指引是为了最大限度的减少成品在施工过程中的污染和损坏，降低维修成本，提高一次成优率。</w:t>
      </w:r>
    </w:p>
    <w:p w14:paraId="5B7F8B55">
      <w:pPr>
        <w:adjustRightInd w:val="0"/>
        <w:snapToGrid w:val="0"/>
        <w:spacing w:line="360" w:lineRule="auto"/>
        <w:ind w:firstLine="420" w:firstLineChars="200"/>
        <w:jc w:val="left"/>
        <w:outlineLvl w:val="9"/>
        <w:rPr>
          <w:rFonts w:cs="黑体" w:asciiTheme="minorEastAsia" w:hAnsiTheme="minorEastAsia" w:eastAsiaTheme="minorEastAsia"/>
          <w:color w:val="auto"/>
          <w:kern w:val="0"/>
          <w:szCs w:val="21"/>
          <w:highlight w:val="none"/>
        </w:rPr>
      </w:pPr>
      <w:bookmarkStart w:id="1021" w:name="_Toc12674"/>
      <w:bookmarkStart w:id="1022" w:name="_Toc17657"/>
      <w:bookmarkStart w:id="1023" w:name="_Toc3479"/>
      <w:r>
        <w:rPr>
          <w:rFonts w:hint="eastAsia" w:cs="黑体" w:asciiTheme="minorEastAsia" w:hAnsiTheme="minorEastAsia" w:eastAsiaTheme="minorEastAsia"/>
          <w:color w:val="auto"/>
          <w:kern w:val="0"/>
          <w:szCs w:val="21"/>
          <w:highlight w:val="none"/>
        </w:rPr>
        <w:t>二、适用范围</w:t>
      </w:r>
      <w:bookmarkEnd w:id="1021"/>
      <w:bookmarkEnd w:id="1022"/>
      <w:bookmarkEnd w:id="1023"/>
    </w:p>
    <w:p w14:paraId="1B874F86">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bCs/>
          <w:color w:val="auto"/>
          <w:kern w:val="0"/>
          <w:szCs w:val="21"/>
          <w:highlight w:val="none"/>
        </w:rPr>
        <w:t>适用于经发地产所有在建项目</w:t>
      </w:r>
      <w:r>
        <w:rPr>
          <w:rFonts w:hint="eastAsia" w:cs="仿宋_GB2312" w:asciiTheme="minorEastAsia" w:hAnsiTheme="minorEastAsia" w:eastAsiaTheme="minorEastAsia"/>
          <w:color w:val="auto"/>
          <w:szCs w:val="21"/>
          <w:highlight w:val="none"/>
        </w:rPr>
        <w:t>。</w:t>
      </w:r>
    </w:p>
    <w:p w14:paraId="5EEF292F">
      <w:pPr>
        <w:adjustRightInd w:val="0"/>
        <w:snapToGrid w:val="0"/>
        <w:spacing w:line="360" w:lineRule="auto"/>
        <w:ind w:firstLine="420" w:firstLineChars="200"/>
        <w:jc w:val="left"/>
        <w:outlineLvl w:val="9"/>
        <w:rPr>
          <w:rFonts w:cs="黑体" w:asciiTheme="minorEastAsia" w:hAnsiTheme="minorEastAsia" w:eastAsiaTheme="minorEastAsia"/>
          <w:color w:val="auto"/>
          <w:kern w:val="0"/>
          <w:szCs w:val="21"/>
          <w:highlight w:val="none"/>
        </w:rPr>
      </w:pPr>
      <w:bookmarkStart w:id="1024" w:name="_Toc8050"/>
      <w:bookmarkStart w:id="1025" w:name="_Toc10548"/>
      <w:bookmarkStart w:id="1026" w:name="_Toc26307"/>
      <w:r>
        <w:rPr>
          <w:rFonts w:hint="eastAsia" w:cs="黑体" w:asciiTheme="minorEastAsia" w:hAnsiTheme="minorEastAsia" w:eastAsiaTheme="minorEastAsia"/>
          <w:color w:val="auto"/>
          <w:kern w:val="0"/>
          <w:szCs w:val="21"/>
          <w:highlight w:val="none"/>
        </w:rPr>
        <w:t>三、实施要求</w:t>
      </w:r>
      <w:bookmarkEnd w:id="1024"/>
      <w:bookmarkEnd w:id="1025"/>
      <w:bookmarkEnd w:id="1026"/>
    </w:p>
    <w:p w14:paraId="2D84E915">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本标准用于施工及维修全过程的各操作环节，包括但不限于招标文件、合同附件、技术交底、验收标准等。</w:t>
      </w:r>
    </w:p>
    <w:p w14:paraId="069BAD12">
      <w:pPr>
        <w:adjustRightInd w:val="0"/>
        <w:snapToGrid w:val="0"/>
        <w:spacing w:line="360" w:lineRule="auto"/>
        <w:ind w:firstLine="420" w:firstLineChars="200"/>
        <w:jc w:val="left"/>
        <w:outlineLvl w:val="9"/>
        <w:rPr>
          <w:rFonts w:cs="黑体" w:asciiTheme="minorEastAsia" w:hAnsiTheme="minorEastAsia" w:eastAsiaTheme="minorEastAsia"/>
          <w:color w:val="auto"/>
          <w:kern w:val="0"/>
          <w:szCs w:val="21"/>
          <w:highlight w:val="none"/>
        </w:rPr>
      </w:pPr>
      <w:bookmarkStart w:id="1027" w:name="_Toc25866"/>
      <w:bookmarkStart w:id="1028" w:name="_Toc21452"/>
      <w:bookmarkStart w:id="1029" w:name="_Toc19931"/>
      <w:r>
        <w:rPr>
          <w:rFonts w:hint="eastAsia" w:cs="黑体" w:asciiTheme="minorEastAsia" w:hAnsiTheme="minorEastAsia" w:eastAsiaTheme="minorEastAsia"/>
          <w:color w:val="auto"/>
          <w:kern w:val="0"/>
          <w:szCs w:val="21"/>
          <w:highlight w:val="none"/>
        </w:rPr>
        <w:t>四、成品保护管理原则</w:t>
      </w:r>
      <w:bookmarkEnd w:id="1027"/>
      <w:bookmarkEnd w:id="1028"/>
      <w:bookmarkEnd w:id="1029"/>
    </w:p>
    <w:p w14:paraId="75CA3391">
      <w:pPr>
        <w:adjustRightInd w:val="0"/>
        <w:snapToGrid w:val="0"/>
        <w:spacing w:line="360" w:lineRule="auto"/>
        <w:ind w:firstLine="420" w:firstLineChars="200"/>
        <w:jc w:val="left"/>
        <w:outlineLvl w:val="9"/>
        <w:rPr>
          <w:rFonts w:cs="楷体_GB2312" w:asciiTheme="minorEastAsia" w:hAnsiTheme="minorEastAsia" w:eastAsiaTheme="minorEastAsia"/>
          <w:color w:val="auto"/>
          <w:kern w:val="0"/>
          <w:szCs w:val="21"/>
          <w:highlight w:val="none"/>
        </w:rPr>
      </w:pPr>
      <w:bookmarkStart w:id="1030" w:name="_Toc2562"/>
      <w:bookmarkStart w:id="1031" w:name="_Toc27814"/>
      <w:bookmarkStart w:id="1032" w:name="_Toc30580"/>
      <w:r>
        <w:rPr>
          <w:rFonts w:hint="eastAsia" w:cs="楷体_GB2312" w:asciiTheme="minorEastAsia" w:hAnsiTheme="minorEastAsia" w:eastAsiaTheme="minorEastAsia"/>
          <w:color w:val="auto"/>
          <w:kern w:val="0"/>
          <w:szCs w:val="21"/>
          <w:highlight w:val="none"/>
        </w:rPr>
        <w:t>（一）责任明确原则</w:t>
      </w:r>
      <w:bookmarkEnd w:id="1030"/>
      <w:bookmarkEnd w:id="1031"/>
      <w:bookmarkEnd w:id="1032"/>
    </w:p>
    <w:p w14:paraId="492EFC7B">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1.成品保护应始终贯穿于工程施工全过程，随时完成随时保护，并遵循“谁施工谁保护”原则。</w:t>
      </w:r>
    </w:p>
    <w:p w14:paraId="69D78563">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2.责任单位必须做好成品保护样板，经建设单位验收批准后方可大面积施工。</w:t>
      </w:r>
    </w:p>
    <w:p w14:paraId="026BBD3A">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3.项目部应协调各参建单位，避免交叉作业对成品、半成品污染和破坏，提高成品一次合格率。</w:t>
      </w:r>
    </w:p>
    <w:p w14:paraId="2057AC6D">
      <w:pPr>
        <w:adjustRightInd w:val="0"/>
        <w:snapToGrid w:val="0"/>
        <w:spacing w:line="360" w:lineRule="auto"/>
        <w:ind w:firstLine="420" w:firstLineChars="200"/>
        <w:jc w:val="left"/>
        <w:outlineLvl w:val="9"/>
        <w:rPr>
          <w:rFonts w:cs="楷体_GB2312" w:asciiTheme="minorEastAsia" w:hAnsiTheme="minorEastAsia" w:eastAsiaTheme="minorEastAsia"/>
          <w:color w:val="auto"/>
          <w:kern w:val="0"/>
          <w:szCs w:val="21"/>
          <w:highlight w:val="none"/>
        </w:rPr>
      </w:pPr>
      <w:bookmarkStart w:id="1033" w:name="_Toc24965"/>
      <w:bookmarkStart w:id="1034" w:name="_Toc9791"/>
      <w:bookmarkStart w:id="1035" w:name="_Toc25955"/>
      <w:r>
        <w:rPr>
          <w:rFonts w:hint="eastAsia" w:cs="楷体_GB2312" w:asciiTheme="minorEastAsia" w:hAnsiTheme="minorEastAsia" w:eastAsiaTheme="minorEastAsia"/>
          <w:color w:val="auto"/>
          <w:kern w:val="0"/>
          <w:szCs w:val="21"/>
          <w:highlight w:val="none"/>
        </w:rPr>
        <w:t>（二）工序合理化原则</w:t>
      </w:r>
      <w:bookmarkEnd w:id="1033"/>
      <w:bookmarkEnd w:id="1034"/>
      <w:bookmarkEnd w:id="1035"/>
    </w:p>
    <w:p w14:paraId="616D9134">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1.项目部应该合理规划工序，衔接顺畅，避免多工种交叉施工。</w:t>
      </w:r>
    </w:p>
    <w:p w14:paraId="0B884683">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2.所有工序质量必须经施工单位自检及专业工程师验收合格后方可进行保护。工序交接时，成品保护也应进行交接验收。</w:t>
      </w:r>
    </w:p>
    <w:p w14:paraId="236146B3">
      <w:pPr>
        <w:adjustRightInd w:val="0"/>
        <w:snapToGrid w:val="0"/>
        <w:spacing w:line="360" w:lineRule="auto"/>
        <w:ind w:firstLine="420" w:firstLineChars="200"/>
        <w:jc w:val="left"/>
        <w:outlineLvl w:val="9"/>
        <w:rPr>
          <w:rFonts w:cs="楷体_GB2312" w:asciiTheme="minorEastAsia" w:hAnsiTheme="minorEastAsia" w:eastAsiaTheme="minorEastAsia"/>
          <w:color w:val="auto"/>
          <w:kern w:val="0"/>
          <w:szCs w:val="21"/>
          <w:highlight w:val="none"/>
        </w:rPr>
      </w:pPr>
      <w:bookmarkStart w:id="1036" w:name="_Toc26927"/>
      <w:bookmarkStart w:id="1037" w:name="_Toc18875"/>
      <w:bookmarkStart w:id="1038" w:name="_Toc22470"/>
      <w:r>
        <w:rPr>
          <w:rFonts w:hint="eastAsia" w:cs="楷体_GB2312" w:asciiTheme="minorEastAsia" w:hAnsiTheme="minorEastAsia" w:eastAsiaTheme="minorEastAsia"/>
          <w:color w:val="auto"/>
          <w:kern w:val="0"/>
          <w:szCs w:val="21"/>
          <w:highlight w:val="none"/>
        </w:rPr>
        <w:t>（三）成品保护维护原则</w:t>
      </w:r>
      <w:bookmarkEnd w:id="1036"/>
      <w:bookmarkEnd w:id="1037"/>
      <w:bookmarkEnd w:id="1038"/>
    </w:p>
    <w:p w14:paraId="7C8E30D5">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总包要对现场进行巡视检查，发现成品保护破损要及时进行修复，对已完成保护的房间，禁止进行切割作业，须到指定加工场地进行加工；施工时涉及墙地面切割、凿除，须做好相邻部位成品保护，同时对切割、凿除部位进行适当处理避免扬尘。</w:t>
      </w:r>
    </w:p>
    <w:p w14:paraId="397F2A99">
      <w:pPr>
        <w:adjustRightInd w:val="0"/>
        <w:snapToGrid w:val="0"/>
        <w:spacing w:line="360" w:lineRule="auto"/>
        <w:ind w:firstLine="420" w:firstLineChars="200"/>
        <w:jc w:val="left"/>
        <w:outlineLvl w:val="9"/>
        <w:rPr>
          <w:rFonts w:cs="黑体" w:asciiTheme="minorEastAsia" w:hAnsiTheme="minorEastAsia" w:eastAsiaTheme="minorEastAsia"/>
          <w:color w:val="auto"/>
          <w:kern w:val="0"/>
          <w:szCs w:val="21"/>
          <w:highlight w:val="none"/>
        </w:rPr>
      </w:pPr>
      <w:r>
        <w:rPr>
          <w:rFonts w:hint="eastAsia" w:cs="黑体" w:asciiTheme="minorEastAsia" w:hAnsiTheme="minorEastAsia" w:eastAsiaTheme="minorEastAsia"/>
          <w:color w:val="auto"/>
          <w:kern w:val="0"/>
          <w:szCs w:val="21"/>
          <w:highlight w:val="none"/>
        </w:rPr>
        <w:t>五、成品保护做法</w:t>
      </w:r>
    </w:p>
    <w:p w14:paraId="2B99D95B">
      <w:pPr>
        <w:adjustRightInd w:val="0"/>
        <w:snapToGrid w:val="0"/>
        <w:spacing w:line="360" w:lineRule="auto"/>
        <w:ind w:firstLine="420" w:firstLineChars="200"/>
        <w:jc w:val="left"/>
        <w:outlineLvl w:val="9"/>
        <w:rPr>
          <w:rFonts w:cs="楷体_GB2312" w:asciiTheme="minorEastAsia" w:hAnsiTheme="minorEastAsia" w:eastAsiaTheme="minorEastAsia"/>
          <w:color w:val="auto"/>
          <w:kern w:val="0"/>
          <w:szCs w:val="21"/>
          <w:highlight w:val="none"/>
        </w:rPr>
      </w:pPr>
      <w:bookmarkStart w:id="1039" w:name="_Toc20814"/>
      <w:bookmarkStart w:id="1040" w:name="_Toc31083"/>
      <w:bookmarkStart w:id="1041" w:name="_Toc10169"/>
      <w:r>
        <w:rPr>
          <w:rFonts w:hint="eastAsia" w:cs="楷体_GB2312" w:asciiTheme="minorEastAsia" w:hAnsiTheme="minorEastAsia" w:eastAsiaTheme="minorEastAsia"/>
          <w:color w:val="auto"/>
          <w:kern w:val="0"/>
          <w:szCs w:val="21"/>
          <w:highlight w:val="none"/>
        </w:rPr>
        <w:t>（一）地源井施工过程中成品保护做法</w:t>
      </w:r>
    </w:p>
    <w:p w14:paraId="79767256">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1.地埋管下管前U型管下部端头应设保护装置（软质塑料袋）</w:t>
      </w:r>
    </w:p>
    <w:p w14:paraId="031FDFE7">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2.下管成功后立即进行灌浆回填封孔，回填灌浆应采用自下而上的机械灌浆方式，采用泥浆泵灌浆回填，黄沙封孔。</w:t>
      </w:r>
    </w:p>
    <w:p w14:paraId="36D17DF5">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3.垂直井拆除压力表后应及时用管帽进行热熔封闭，并将孔位编号标记在管道上。</w:t>
      </w:r>
    </w:p>
    <w:p w14:paraId="00F9C542">
      <w:pPr>
        <w:adjustRightInd w:val="0"/>
        <w:snapToGrid w:val="0"/>
        <w:spacing w:line="360" w:lineRule="auto"/>
        <w:ind w:firstLine="420" w:firstLineChars="200"/>
        <w:jc w:val="left"/>
        <w:outlineLvl w:val="9"/>
        <w:rPr>
          <w:rFonts w:cs="仿宋_GB2312" w:asciiTheme="minorEastAsia" w:hAnsiTheme="minorEastAsia" w:eastAsiaTheme="minorEastAsia"/>
          <w:color w:val="auto"/>
          <w:kern w:val="0"/>
          <w:szCs w:val="21"/>
          <w:highlight w:val="none"/>
        </w:rPr>
      </w:pPr>
      <w:r>
        <w:rPr>
          <w:rFonts w:hint="eastAsia" w:cs="仿宋_GB2312" w:asciiTheme="minorEastAsia" w:hAnsiTheme="minorEastAsia" w:eastAsiaTheme="minorEastAsia"/>
          <w:color w:val="auto"/>
          <w:kern w:val="0"/>
          <w:szCs w:val="21"/>
          <w:highlight w:val="none"/>
        </w:rPr>
        <w:t>（二）公区保护标准做法</w:t>
      </w:r>
      <w:bookmarkEnd w:id="1039"/>
      <w:bookmarkEnd w:id="1040"/>
      <w:bookmarkEnd w:id="1041"/>
    </w:p>
    <w:p w14:paraId="7D1259E3">
      <w:pPr>
        <w:adjustRightInd w:val="0"/>
        <w:snapToGrid w:val="0"/>
        <w:spacing w:line="360" w:lineRule="auto"/>
        <w:ind w:firstLine="420" w:firstLineChars="200"/>
        <w:jc w:val="left"/>
        <w:outlineLvl w:val="9"/>
        <w:rPr>
          <w:rFonts w:cs="仿宋_GB2312" w:asciiTheme="minorEastAsia" w:hAnsiTheme="minorEastAsia" w:eastAsiaTheme="minorEastAsia"/>
          <w:color w:val="auto"/>
          <w:kern w:val="0"/>
          <w:szCs w:val="21"/>
          <w:highlight w:val="none"/>
        </w:rPr>
      </w:pPr>
      <w:bookmarkStart w:id="1042" w:name="_Toc27024"/>
      <w:bookmarkStart w:id="1043" w:name="_Toc18589"/>
      <w:bookmarkStart w:id="1044" w:name="_Toc22277"/>
      <w:r>
        <w:rPr>
          <w:rFonts w:hint="eastAsia" w:cs="仿宋_GB2312" w:asciiTheme="minorEastAsia" w:hAnsiTheme="minorEastAsia" w:eastAsiaTheme="minorEastAsia"/>
          <w:color w:val="auto"/>
          <w:kern w:val="0"/>
          <w:szCs w:val="21"/>
          <w:highlight w:val="none"/>
        </w:rPr>
        <w:t>1.首层、地下入户大堂及标准层电梯厅地面</w:t>
      </w:r>
      <w:bookmarkEnd w:id="1042"/>
      <w:bookmarkEnd w:id="1043"/>
      <w:bookmarkEnd w:id="1044"/>
    </w:p>
    <w:p w14:paraId="53A5967B">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45" w:name="_Toc1306"/>
      <w:r>
        <w:rPr>
          <w:rFonts w:hint="eastAsia" w:cs="仿宋_GB2312" w:asciiTheme="minorEastAsia" w:hAnsiTheme="minorEastAsia" w:eastAsiaTheme="minorEastAsia"/>
          <w:color w:val="auto"/>
          <w:szCs w:val="21"/>
          <w:highlight w:val="none"/>
        </w:rPr>
        <w:t>（1）保护方式</w:t>
      </w:r>
      <w:bookmarkEnd w:id="1045"/>
    </w:p>
    <w:p w14:paraId="655AF53D">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首层、地下入户大堂石材、瓷砖地面施工过程必须使用防震加厚气泡膜，细木工板平铺地面并加固。标准层公共区域石材、瓷砖地面施工过程可以使用专用保护垫满贴保护；</w:t>
      </w:r>
    </w:p>
    <w:tbl>
      <w:tblPr>
        <w:tblStyle w:val="56"/>
        <w:tblW w:w="9239" w:type="dxa"/>
        <w:jc w:val="center"/>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Layout w:type="fixed"/>
        <w:tblCellMar>
          <w:top w:w="0" w:type="dxa"/>
          <w:left w:w="0" w:type="dxa"/>
          <w:bottom w:w="0" w:type="dxa"/>
          <w:right w:w="0" w:type="dxa"/>
        </w:tblCellMar>
      </w:tblPr>
      <w:tblGrid>
        <w:gridCol w:w="4758"/>
        <w:gridCol w:w="4481"/>
      </w:tblGrid>
      <w:tr w14:paraId="1A245F56">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3531" w:hRule="atLeast"/>
          <w:jc w:val="center"/>
        </w:trPr>
        <w:tc>
          <w:tcPr>
            <w:tcW w:w="4758" w:type="dxa"/>
          </w:tcPr>
          <w:p w14:paraId="59D39567">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901952" behindDoc="0" locked="0" layoutInCell="1" allowOverlap="1">
                  <wp:simplePos x="0" y="0"/>
                  <wp:positionH relativeFrom="page">
                    <wp:posOffset>184785</wp:posOffset>
                  </wp:positionH>
                  <wp:positionV relativeFrom="page">
                    <wp:posOffset>33020</wp:posOffset>
                  </wp:positionV>
                  <wp:extent cx="2721610" cy="2179955"/>
                  <wp:effectExtent l="19050" t="0" r="2540" b="0"/>
                  <wp:wrapNone/>
                  <wp:docPr id="103"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76"/>
                          <pic:cNvPicPr>
                            <a:picLocks noChangeAspect="1" noChangeArrowheads="1"/>
                          </pic:cNvPicPr>
                        </pic:nvPicPr>
                        <pic:blipFill>
                          <a:blip r:embed="rId275"/>
                          <a:srcRect/>
                          <a:stretch>
                            <a:fillRect/>
                          </a:stretch>
                        </pic:blipFill>
                        <pic:spPr>
                          <a:xfrm>
                            <a:off x="0" y="0"/>
                            <a:ext cx="2721610" cy="2179955"/>
                          </a:xfrm>
                          <a:prstGeom prst="rect">
                            <a:avLst/>
                          </a:prstGeom>
                          <a:noFill/>
                          <a:ln w="9525" cmpd="sng">
                            <a:noFill/>
                            <a:miter lim="800000"/>
                            <a:headEnd/>
                            <a:tailEnd/>
                          </a:ln>
                        </pic:spPr>
                      </pic:pic>
                    </a:graphicData>
                  </a:graphic>
                </wp:anchor>
              </w:drawing>
            </w:r>
          </w:p>
        </w:tc>
        <w:tc>
          <w:tcPr>
            <w:tcW w:w="4481" w:type="dxa"/>
          </w:tcPr>
          <w:p w14:paraId="040E264C">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902976" behindDoc="0" locked="0" layoutInCell="1" allowOverlap="1">
                  <wp:simplePos x="0" y="0"/>
                  <wp:positionH relativeFrom="page">
                    <wp:posOffset>88900</wp:posOffset>
                  </wp:positionH>
                  <wp:positionV relativeFrom="page">
                    <wp:posOffset>33020</wp:posOffset>
                  </wp:positionV>
                  <wp:extent cx="2454910" cy="2143760"/>
                  <wp:effectExtent l="19050" t="0" r="2540" b="0"/>
                  <wp:wrapNone/>
                  <wp:docPr id="102"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77"/>
                          <pic:cNvPicPr>
                            <a:picLocks noChangeAspect="1" noChangeArrowheads="1"/>
                          </pic:cNvPicPr>
                        </pic:nvPicPr>
                        <pic:blipFill>
                          <a:blip r:embed="rId276"/>
                          <a:srcRect/>
                          <a:stretch>
                            <a:fillRect/>
                          </a:stretch>
                        </pic:blipFill>
                        <pic:spPr>
                          <a:xfrm>
                            <a:off x="0" y="0"/>
                            <a:ext cx="2454910" cy="2143760"/>
                          </a:xfrm>
                          <a:prstGeom prst="rect">
                            <a:avLst/>
                          </a:prstGeom>
                          <a:noFill/>
                          <a:ln w="9525" cmpd="sng">
                            <a:noFill/>
                            <a:miter lim="800000"/>
                            <a:headEnd/>
                            <a:tailEnd/>
                          </a:ln>
                        </pic:spPr>
                      </pic:pic>
                    </a:graphicData>
                  </a:graphic>
                </wp:anchor>
              </w:drawing>
            </w:r>
          </w:p>
        </w:tc>
      </w:tr>
      <w:tr w14:paraId="38136C5E">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277" w:hRule="atLeast"/>
          <w:jc w:val="center"/>
        </w:trPr>
        <w:tc>
          <w:tcPr>
            <w:tcW w:w="4758" w:type="dxa"/>
          </w:tcPr>
          <w:p w14:paraId="3AD90F2B">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防震加厚气泡膜</w:t>
            </w:r>
          </w:p>
        </w:tc>
        <w:tc>
          <w:tcPr>
            <w:tcW w:w="4481" w:type="dxa"/>
          </w:tcPr>
          <w:p w14:paraId="3A4F2EC8">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首层、地下室大堂满铺细木工板</w:t>
            </w:r>
          </w:p>
        </w:tc>
      </w:tr>
      <w:tr w14:paraId="5ECF347F">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3585" w:hRule="atLeast"/>
          <w:jc w:val="center"/>
        </w:trPr>
        <w:tc>
          <w:tcPr>
            <w:tcW w:w="4758" w:type="dxa"/>
          </w:tcPr>
          <w:p w14:paraId="21C38D97">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904000" behindDoc="0" locked="0" layoutInCell="1" allowOverlap="1">
                  <wp:simplePos x="0" y="0"/>
                  <wp:positionH relativeFrom="page">
                    <wp:posOffset>224790</wp:posOffset>
                  </wp:positionH>
                  <wp:positionV relativeFrom="page">
                    <wp:posOffset>48895</wp:posOffset>
                  </wp:positionV>
                  <wp:extent cx="2620645" cy="2164715"/>
                  <wp:effectExtent l="19050" t="0" r="8255" b="0"/>
                  <wp:wrapNone/>
                  <wp:docPr id="101" name="图片 47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78" descr="IMG_256"/>
                          <pic:cNvPicPr>
                            <a:picLocks noChangeAspect="1" noChangeArrowheads="1"/>
                          </pic:cNvPicPr>
                        </pic:nvPicPr>
                        <pic:blipFill>
                          <a:blip r:embed="rId277"/>
                          <a:srcRect l="39923" t="1866" r="5893" b="5569"/>
                          <a:stretch>
                            <a:fillRect/>
                          </a:stretch>
                        </pic:blipFill>
                        <pic:spPr>
                          <a:xfrm>
                            <a:off x="0" y="0"/>
                            <a:ext cx="2620645" cy="2164715"/>
                          </a:xfrm>
                          <a:prstGeom prst="rect">
                            <a:avLst/>
                          </a:prstGeom>
                          <a:noFill/>
                          <a:ln w="9525" cmpd="sng">
                            <a:noFill/>
                            <a:miter lim="800000"/>
                            <a:headEnd/>
                            <a:tailEnd/>
                          </a:ln>
                        </pic:spPr>
                      </pic:pic>
                    </a:graphicData>
                  </a:graphic>
                </wp:anchor>
              </w:drawing>
            </w:r>
          </w:p>
        </w:tc>
        <w:tc>
          <w:tcPr>
            <w:tcW w:w="4481" w:type="dxa"/>
          </w:tcPr>
          <w:p w14:paraId="755F0E0B">
            <w:pPr>
              <w:keepNext w:val="0"/>
              <w:keepLines w:val="0"/>
              <w:suppressLineNumbers w:val="0"/>
              <w:adjustRightInd w:val="0"/>
              <w:snapToGrid w:val="0"/>
              <w:spacing w:before="0" w:beforeAutospacing="0" w:after="0" w:afterAutospacing="0" w:line="360" w:lineRule="auto"/>
              <w:ind w:left="0" w:right="0" w:firstLine="420" w:firstLineChars="200"/>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905024" behindDoc="0" locked="0" layoutInCell="1" allowOverlap="1">
                  <wp:simplePos x="0" y="0"/>
                  <wp:positionH relativeFrom="page">
                    <wp:posOffset>26670</wp:posOffset>
                  </wp:positionH>
                  <wp:positionV relativeFrom="page">
                    <wp:posOffset>72390</wp:posOffset>
                  </wp:positionV>
                  <wp:extent cx="2517140" cy="2087880"/>
                  <wp:effectExtent l="19050" t="0" r="0" b="0"/>
                  <wp:wrapNone/>
                  <wp:docPr id="100" name="图片 220" descr="IMG_1717"/>
                  <wp:cNvGraphicFramePr/>
                  <a:graphic xmlns:a="http://schemas.openxmlformats.org/drawingml/2006/main">
                    <a:graphicData uri="http://schemas.openxmlformats.org/drawingml/2006/picture">
                      <pic:pic xmlns:pic="http://schemas.openxmlformats.org/drawingml/2006/picture">
                        <pic:nvPicPr>
                          <pic:cNvPr id="100" name="图片 220" descr="IMG_1717"/>
                          <pic:cNvPicPr preferRelativeResize="0">
                            <a:picLocks noChangeArrowheads="1"/>
                          </pic:cNvPicPr>
                        </pic:nvPicPr>
                        <pic:blipFill>
                          <a:blip r:embed="rId278"/>
                          <a:srcRect/>
                          <a:stretch>
                            <a:fillRect/>
                          </a:stretch>
                        </pic:blipFill>
                        <pic:spPr>
                          <a:xfrm>
                            <a:off x="0" y="0"/>
                            <a:ext cx="2517140" cy="2087880"/>
                          </a:xfrm>
                          <a:prstGeom prst="rect">
                            <a:avLst/>
                          </a:prstGeom>
                          <a:noFill/>
                          <a:ln w="9525" cmpd="sng">
                            <a:noFill/>
                            <a:miter lim="800000"/>
                            <a:headEnd/>
                            <a:tailEnd/>
                          </a:ln>
                        </pic:spPr>
                      </pic:pic>
                    </a:graphicData>
                  </a:graphic>
                </wp:anchor>
              </w:drawing>
            </w:r>
          </w:p>
        </w:tc>
      </w:tr>
      <w:tr w14:paraId="30D93F90">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412" w:hRule="atLeast"/>
          <w:jc w:val="center"/>
        </w:trPr>
        <w:tc>
          <w:tcPr>
            <w:tcW w:w="9239" w:type="dxa"/>
            <w:gridSpan w:val="2"/>
          </w:tcPr>
          <w:p w14:paraId="5DC4DD36">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标准层厚纸板满铺地面</w:t>
            </w:r>
          </w:p>
        </w:tc>
      </w:tr>
    </w:tbl>
    <w:p w14:paraId="088B9DAF">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46" w:name="_Toc17147"/>
      <w:r>
        <w:rPr>
          <w:rFonts w:hint="eastAsia" w:cs="仿宋_GB2312" w:asciiTheme="minorEastAsia" w:hAnsiTheme="minorEastAsia" w:eastAsiaTheme="minorEastAsia"/>
          <w:color w:val="auto"/>
          <w:szCs w:val="21"/>
          <w:highlight w:val="none"/>
        </w:rPr>
        <w:t>保护实施时间：</w:t>
      </w:r>
      <w:bookmarkEnd w:id="1046"/>
      <w:r>
        <w:rPr>
          <w:rFonts w:hint="eastAsia" w:cs="仿宋_GB2312" w:asciiTheme="minorEastAsia" w:hAnsiTheme="minorEastAsia" w:eastAsiaTheme="minorEastAsia"/>
          <w:color w:val="auto"/>
          <w:szCs w:val="21"/>
          <w:highlight w:val="none"/>
        </w:rPr>
        <w:t>地面瓷砖铺贴完成3天后，石材铺贴完成7天后进行保护。</w:t>
      </w:r>
    </w:p>
    <w:p w14:paraId="7F9160B1">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保护拆除时间：公区精装修理开始。</w:t>
      </w:r>
    </w:p>
    <w:p w14:paraId="11C666B4">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47" w:name="_Toc24462"/>
      <w:r>
        <w:rPr>
          <w:rFonts w:hint="eastAsia" w:cs="仿宋_GB2312" w:asciiTheme="minorEastAsia" w:hAnsiTheme="minorEastAsia" w:eastAsiaTheme="minorEastAsia"/>
          <w:color w:val="auto"/>
          <w:szCs w:val="21"/>
          <w:highlight w:val="none"/>
        </w:rPr>
        <w:t>（2）产品保护</w:t>
      </w:r>
      <w:bookmarkEnd w:id="1047"/>
    </w:p>
    <w:p w14:paraId="06F0C673">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施工后及时清除瓷砖或石材表面泥浆及垃圾，待表面干爽后按要求对地面进行全覆盖保护，材料交接及转角处，需用胶带固定牢固。</w:t>
      </w:r>
    </w:p>
    <w:p w14:paraId="5CEB7A82">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48" w:name="_Toc12324"/>
      <w:r>
        <w:rPr>
          <w:rFonts w:hint="eastAsia" w:cs="仿宋_GB2312" w:asciiTheme="minorEastAsia" w:hAnsiTheme="minorEastAsia" w:eastAsiaTheme="minorEastAsia"/>
          <w:color w:val="auto"/>
          <w:szCs w:val="21"/>
          <w:highlight w:val="none"/>
        </w:rPr>
        <w:t>（3）保洁注意事项</w:t>
      </w:r>
      <w:bookmarkEnd w:id="1048"/>
    </w:p>
    <w:p w14:paraId="2B181F00">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在清洁瓷砖、石材类产品时禁用有颜色的清洁剂、易退色的干净棉布（回丝）等擦拭表面。应用干净不退色的抹布或毛巾擦拭干净即可，严禁将油脂淋到石材表面，不能用铲刀、钢丝球等工具在瓷砖表面铲擦，一般以擦拭灰尘为主。</w:t>
      </w:r>
    </w:p>
    <w:p w14:paraId="65A7B719">
      <w:pPr>
        <w:adjustRightInd w:val="0"/>
        <w:snapToGrid w:val="0"/>
        <w:spacing w:line="360" w:lineRule="auto"/>
        <w:ind w:firstLine="420" w:firstLineChars="200"/>
        <w:jc w:val="left"/>
        <w:outlineLvl w:val="9"/>
        <w:rPr>
          <w:rFonts w:cs="仿宋_GB2312" w:asciiTheme="minorEastAsia" w:hAnsiTheme="minorEastAsia" w:eastAsiaTheme="minorEastAsia"/>
          <w:color w:val="auto"/>
          <w:kern w:val="0"/>
          <w:szCs w:val="21"/>
          <w:highlight w:val="none"/>
        </w:rPr>
      </w:pPr>
      <w:bookmarkStart w:id="1049" w:name="_Toc24968"/>
      <w:bookmarkStart w:id="1050" w:name="_Toc1802"/>
      <w:bookmarkStart w:id="1051" w:name="_Toc4260"/>
      <w:r>
        <w:rPr>
          <w:rFonts w:hint="eastAsia" w:cs="仿宋_GB2312" w:asciiTheme="minorEastAsia" w:hAnsiTheme="minorEastAsia" w:eastAsiaTheme="minorEastAsia"/>
          <w:color w:val="auto"/>
          <w:kern w:val="0"/>
          <w:szCs w:val="21"/>
          <w:highlight w:val="none"/>
        </w:rPr>
        <w:t>2.首层、地下入户大堂及标准层电梯厅墙面</w:t>
      </w:r>
      <w:bookmarkEnd w:id="1049"/>
      <w:bookmarkEnd w:id="1050"/>
      <w:bookmarkEnd w:id="1051"/>
    </w:p>
    <w:p w14:paraId="08248E77">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52" w:name="_Toc26830"/>
      <w:r>
        <w:rPr>
          <w:rFonts w:hint="eastAsia" w:cs="仿宋_GB2312" w:asciiTheme="minorEastAsia" w:hAnsiTheme="minorEastAsia" w:eastAsiaTheme="minorEastAsia"/>
          <w:color w:val="auto"/>
          <w:szCs w:val="21"/>
          <w:highlight w:val="none"/>
        </w:rPr>
        <w:t>（1）保护方式</w:t>
      </w:r>
      <w:bookmarkEnd w:id="1052"/>
    </w:p>
    <w:p w14:paraId="570B08AE">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①</w:t>
      </w:r>
      <w:r>
        <w:rPr>
          <w:rFonts w:hint="eastAsia" w:cs="仿宋_GB2312" w:asciiTheme="minorEastAsia" w:hAnsiTheme="minorEastAsia" w:eastAsiaTheme="minorEastAsia"/>
          <w:color w:val="auto"/>
          <w:szCs w:val="21"/>
          <w:highlight w:val="none"/>
        </w:rPr>
        <w:t>首层、地下入户大堂及标准层电梯厅墙面是石材的，其阳角处采用阳角条保护，墙面覆膜保护，高度不低于1.8m，墙面是瓷砖的可不覆膜，其阳角处采用处阳角条保护，高度不低于1.8m。</w:t>
      </w:r>
    </w:p>
    <w:p w14:paraId="222830FD">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宋体" w:asciiTheme="minorEastAsia" w:hAnsiTheme="minorEastAsia" w:eastAsiaTheme="minorEastAsia"/>
          <w:color w:val="auto"/>
          <w:szCs w:val="21"/>
          <w:highlight w:val="none"/>
        </w:rPr>
        <w:t>②</w:t>
      </w:r>
      <w:r>
        <w:rPr>
          <w:rFonts w:hint="eastAsia" w:cs="仿宋_GB2312" w:asciiTheme="minorEastAsia" w:hAnsiTheme="minorEastAsia" w:eastAsiaTheme="minorEastAsia"/>
          <w:color w:val="auto"/>
          <w:szCs w:val="21"/>
          <w:highlight w:val="none"/>
        </w:rPr>
        <w:t>交付时首层、地下入户大堂墙面全部更换全新阳角条保护，保护高度不低于1.8m，其他保护可拆除，做好保洁。</w:t>
      </w:r>
    </w:p>
    <w:tbl>
      <w:tblPr>
        <w:tblStyle w:val="56"/>
        <w:tblW w:w="9215" w:type="dxa"/>
        <w:jc w:val="center"/>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Layout w:type="fixed"/>
        <w:tblCellMar>
          <w:top w:w="0" w:type="dxa"/>
          <w:left w:w="0" w:type="dxa"/>
          <w:bottom w:w="0" w:type="dxa"/>
          <w:right w:w="0" w:type="dxa"/>
        </w:tblCellMar>
      </w:tblPr>
      <w:tblGrid>
        <w:gridCol w:w="4592"/>
        <w:gridCol w:w="4623"/>
      </w:tblGrid>
      <w:tr w14:paraId="1A5117AA">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3920" w:hRule="atLeast"/>
          <w:jc w:val="center"/>
        </w:trPr>
        <w:tc>
          <w:tcPr>
            <w:tcW w:w="4592" w:type="dxa"/>
          </w:tcPr>
          <w:p w14:paraId="58285E1F">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906048" behindDoc="0" locked="0" layoutInCell="1" allowOverlap="1">
                  <wp:simplePos x="0" y="0"/>
                  <wp:positionH relativeFrom="page">
                    <wp:posOffset>26670</wp:posOffset>
                  </wp:positionH>
                  <wp:positionV relativeFrom="page">
                    <wp:posOffset>85725</wp:posOffset>
                  </wp:positionV>
                  <wp:extent cx="2749550" cy="2006600"/>
                  <wp:effectExtent l="19050" t="0" r="0" b="0"/>
                  <wp:wrapNone/>
                  <wp:docPr id="99" name="图片 480" descr="E:\郑海翔\16-临时工作\51、公建区材料样板保护指引\照片\14097251325406b2cceb4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80" descr="E:\郑海翔\16-临时工作\51、公建区材料样板保护指引\照片\14097251325406b2cceb4f9.jpg"/>
                          <pic:cNvPicPr>
                            <a:picLocks noChangeAspect="1" noChangeArrowheads="1"/>
                          </pic:cNvPicPr>
                        </pic:nvPicPr>
                        <pic:blipFill>
                          <a:blip r:embed="rId279"/>
                          <a:srcRect/>
                          <a:stretch>
                            <a:fillRect/>
                          </a:stretch>
                        </pic:blipFill>
                        <pic:spPr>
                          <a:xfrm>
                            <a:off x="0" y="0"/>
                            <a:ext cx="2749550" cy="2006600"/>
                          </a:xfrm>
                          <a:prstGeom prst="rect">
                            <a:avLst/>
                          </a:prstGeom>
                          <a:noFill/>
                          <a:ln w="9525" cmpd="sng">
                            <a:noFill/>
                            <a:miter lim="800000"/>
                            <a:headEnd/>
                            <a:tailEnd/>
                          </a:ln>
                          <a:effectLst/>
                        </pic:spPr>
                      </pic:pic>
                    </a:graphicData>
                  </a:graphic>
                </wp:anchor>
              </w:drawing>
            </w:r>
          </w:p>
        </w:tc>
        <w:tc>
          <w:tcPr>
            <w:tcW w:w="4623" w:type="dxa"/>
          </w:tcPr>
          <w:p w14:paraId="097FB229">
            <w:pPr>
              <w:keepNext w:val="0"/>
              <w:keepLines w:val="0"/>
              <w:suppressLineNumbers w:val="0"/>
              <w:adjustRightInd w:val="0"/>
              <w:snapToGrid w:val="0"/>
              <w:spacing w:before="0" w:beforeAutospacing="0" w:after="0" w:afterAutospacing="0" w:line="360" w:lineRule="auto"/>
              <w:ind w:left="0" w:right="0"/>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907072" behindDoc="0" locked="0" layoutInCell="1" allowOverlap="1">
                  <wp:simplePos x="0" y="0"/>
                  <wp:positionH relativeFrom="page">
                    <wp:posOffset>26670</wp:posOffset>
                  </wp:positionH>
                  <wp:positionV relativeFrom="page">
                    <wp:posOffset>71120</wp:posOffset>
                  </wp:positionV>
                  <wp:extent cx="2776855" cy="2312035"/>
                  <wp:effectExtent l="19050" t="0" r="4445" b="0"/>
                  <wp:wrapNone/>
                  <wp:docPr id="9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6"/>
                          <pic:cNvPicPr>
                            <a:picLocks noChangeAspect="1" noChangeArrowheads="1"/>
                          </pic:cNvPicPr>
                        </pic:nvPicPr>
                        <pic:blipFill>
                          <a:blip r:embed="rId280"/>
                          <a:srcRect/>
                          <a:stretch>
                            <a:fillRect/>
                          </a:stretch>
                        </pic:blipFill>
                        <pic:spPr>
                          <a:xfrm>
                            <a:off x="0" y="0"/>
                            <a:ext cx="2776855" cy="2312035"/>
                          </a:xfrm>
                          <a:prstGeom prst="rect">
                            <a:avLst/>
                          </a:prstGeom>
                          <a:noFill/>
                          <a:ln w="9525" cmpd="sng">
                            <a:noFill/>
                            <a:miter lim="800000"/>
                            <a:headEnd/>
                            <a:tailEnd/>
                          </a:ln>
                        </pic:spPr>
                      </pic:pic>
                    </a:graphicData>
                  </a:graphic>
                </wp:anchor>
              </w:drawing>
            </w:r>
          </w:p>
        </w:tc>
      </w:tr>
      <w:tr w14:paraId="750C2C33">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jc w:val="center"/>
        </w:trPr>
        <w:tc>
          <w:tcPr>
            <w:tcW w:w="4592" w:type="dxa"/>
          </w:tcPr>
          <w:p w14:paraId="35EBA8E4">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大堂墙面覆膜保护</w:t>
            </w:r>
          </w:p>
        </w:tc>
        <w:tc>
          <w:tcPr>
            <w:tcW w:w="4623" w:type="dxa"/>
          </w:tcPr>
          <w:p w14:paraId="2872A535">
            <w:pPr>
              <w:keepNext w:val="0"/>
              <w:keepLines w:val="0"/>
              <w:suppressLineNumbers w:val="0"/>
              <w:adjustRightInd w:val="0"/>
              <w:snapToGrid w:val="0"/>
              <w:spacing w:before="0" w:beforeAutospacing="0" w:after="0" w:afterAutospacing="0" w:line="360" w:lineRule="auto"/>
              <w:ind w:left="0" w:right="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大堂墙面阳角保护</w:t>
            </w:r>
          </w:p>
        </w:tc>
      </w:tr>
    </w:tbl>
    <w:p w14:paraId="022420D4">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53" w:name="_Toc25085"/>
      <w:r>
        <w:rPr>
          <w:rFonts w:hint="eastAsia" w:cs="仿宋_GB2312" w:asciiTheme="minorEastAsia" w:hAnsiTheme="minorEastAsia" w:eastAsiaTheme="minorEastAsia"/>
          <w:color w:val="auto"/>
          <w:szCs w:val="21"/>
          <w:highlight w:val="none"/>
        </w:rPr>
        <w:t>保护实施时间：墙面铺贴两天后进行保护。</w:t>
      </w:r>
      <w:bookmarkEnd w:id="1053"/>
    </w:p>
    <w:p w14:paraId="423FF699">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54" w:name="_Toc25947"/>
      <w:r>
        <w:rPr>
          <w:rFonts w:hint="eastAsia" w:cs="仿宋_GB2312" w:asciiTheme="minorEastAsia" w:hAnsiTheme="minorEastAsia" w:eastAsiaTheme="minorEastAsia"/>
          <w:color w:val="auto"/>
          <w:szCs w:val="21"/>
          <w:highlight w:val="none"/>
        </w:rPr>
        <w:t>保护拆除时间：公区精装修理开始。</w:t>
      </w:r>
      <w:bookmarkEnd w:id="1054"/>
    </w:p>
    <w:p w14:paraId="6F801187">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55" w:name="_Toc3683"/>
      <w:r>
        <w:rPr>
          <w:rFonts w:hint="eastAsia" w:cs="仿宋_GB2312" w:asciiTheme="minorEastAsia" w:hAnsiTheme="minorEastAsia" w:eastAsiaTheme="minorEastAsia"/>
          <w:color w:val="auto"/>
          <w:szCs w:val="21"/>
          <w:highlight w:val="none"/>
        </w:rPr>
        <w:t>（2）保洁注意事项</w:t>
      </w:r>
      <w:bookmarkEnd w:id="1055"/>
    </w:p>
    <w:p w14:paraId="0562B77F">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严禁使用油漆稀释剂、脱漆松香水、二甲苯等溶液擦拭油漆表面。不得使用金属工具铲擦门框表面，防止表面产生划痕，用干布擦拭灰尘即可。</w:t>
      </w:r>
    </w:p>
    <w:p w14:paraId="641E4B56">
      <w:pPr>
        <w:adjustRightInd w:val="0"/>
        <w:snapToGrid w:val="0"/>
        <w:spacing w:line="360" w:lineRule="auto"/>
        <w:ind w:firstLine="420" w:firstLineChars="200"/>
        <w:jc w:val="left"/>
        <w:outlineLvl w:val="9"/>
        <w:rPr>
          <w:rFonts w:cs="仿宋_GB2312" w:asciiTheme="minorEastAsia" w:hAnsiTheme="minorEastAsia" w:eastAsiaTheme="minorEastAsia"/>
          <w:color w:val="auto"/>
          <w:kern w:val="0"/>
          <w:szCs w:val="21"/>
          <w:highlight w:val="none"/>
        </w:rPr>
      </w:pPr>
      <w:bookmarkStart w:id="1056" w:name="_Toc24431"/>
      <w:bookmarkStart w:id="1057" w:name="_Toc11056"/>
      <w:bookmarkStart w:id="1058" w:name="_Toc28103"/>
      <w:r>
        <w:rPr>
          <w:rFonts w:hint="eastAsia" w:cs="仿宋_GB2312" w:asciiTheme="minorEastAsia" w:hAnsiTheme="minorEastAsia" w:eastAsiaTheme="minorEastAsia"/>
          <w:color w:val="auto"/>
          <w:kern w:val="0"/>
          <w:szCs w:val="21"/>
          <w:highlight w:val="none"/>
        </w:rPr>
        <w:t>（三）电梯及楼梯相关保护做法</w:t>
      </w:r>
      <w:bookmarkEnd w:id="1056"/>
    </w:p>
    <w:p w14:paraId="7587F06D">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59" w:name="_Toc6515"/>
      <w:r>
        <w:rPr>
          <w:rFonts w:hint="eastAsia" w:cs="仿宋_GB2312" w:asciiTheme="minorEastAsia" w:hAnsiTheme="minorEastAsia" w:eastAsiaTheme="minorEastAsia"/>
          <w:color w:val="auto"/>
          <w:szCs w:val="21"/>
          <w:highlight w:val="none"/>
        </w:rPr>
        <w:t>1.电梯门套及外呼按钮</w:t>
      </w:r>
      <w:bookmarkEnd w:id="1057"/>
      <w:bookmarkEnd w:id="1058"/>
      <w:bookmarkEnd w:id="1059"/>
    </w:p>
    <w:p w14:paraId="65F2CA06">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60" w:name="_Toc21062"/>
      <w:r>
        <w:rPr>
          <w:rFonts w:hint="eastAsia" w:cs="仿宋_GB2312" w:asciiTheme="minorEastAsia" w:hAnsiTheme="minorEastAsia" w:eastAsiaTheme="minorEastAsia"/>
          <w:color w:val="auto"/>
          <w:szCs w:val="21"/>
          <w:highlight w:val="none"/>
        </w:rPr>
        <w:t>（1）保护方式</w:t>
      </w:r>
      <w:bookmarkEnd w:id="1060"/>
    </w:p>
    <w:p w14:paraId="1D3C7DC4">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成品保护电梯门套，应采用细木工板材料，对电梯门套进行整体保护，外呼按钮安装时注意保留原透明保护膜安装完成后用加厚保护膜满贴保护。切割面使用PVC封边收口，交付前更换全新保护。对于施工期间投入使用的电梯门必须按要求做全覆盖保护。</w:t>
      </w:r>
    </w:p>
    <w:tbl>
      <w:tblPr>
        <w:tblStyle w:val="56"/>
        <w:tblW w:w="9158" w:type="dxa"/>
        <w:jc w:val="center"/>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Layout w:type="fixed"/>
        <w:tblCellMar>
          <w:top w:w="0" w:type="dxa"/>
          <w:left w:w="0" w:type="dxa"/>
          <w:bottom w:w="0" w:type="dxa"/>
          <w:right w:w="0" w:type="dxa"/>
        </w:tblCellMar>
      </w:tblPr>
      <w:tblGrid>
        <w:gridCol w:w="4807"/>
        <w:gridCol w:w="4351"/>
      </w:tblGrid>
      <w:tr w14:paraId="165ED569">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3734" w:hRule="atLeast"/>
          <w:jc w:val="center"/>
        </w:trPr>
        <w:tc>
          <w:tcPr>
            <w:tcW w:w="4807" w:type="dxa"/>
          </w:tcPr>
          <w:p w14:paraId="180F5DFE">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908096" behindDoc="0" locked="0" layoutInCell="1" allowOverlap="1">
                  <wp:simplePos x="0" y="0"/>
                  <wp:positionH relativeFrom="page">
                    <wp:posOffset>168275</wp:posOffset>
                  </wp:positionH>
                  <wp:positionV relativeFrom="page">
                    <wp:posOffset>116840</wp:posOffset>
                  </wp:positionV>
                  <wp:extent cx="2752090" cy="2623820"/>
                  <wp:effectExtent l="19050" t="0" r="0" b="0"/>
                  <wp:wrapNone/>
                  <wp:docPr id="97"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9"/>
                          <pic:cNvPicPr>
                            <a:picLocks noChangeAspect="1" noChangeArrowheads="1"/>
                          </pic:cNvPicPr>
                        </pic:nvPicPr>
                        <pic:blipFill>
                          <a:blip r:embed="rId281"/>
                          <a:srcRect/>
                          <a:stretch>
                            <a:fillRect/>
                          </a:stretch>
                        </pic:blipFill>
                        <pic:spPr>
                          <a:xfrm>
                            <a:off x="0" y="0"/>
                            <a:ext cx="2752090" cy="2623820"/>
                          </a:xfrm>
                          <a:prstGeom prst="rect">
                            <a:avLst/>
                          </a:prstGeom>
                          <a:noFill/>
                          <a:ln w="9525" cmpd="sng">
                            <a:noFill/>
                            <a:miter lim="800000"/>
                            <a:headEnd/>
                            <a:tailEnd/>
                          </a:ln>
                          <a:effectLst/>
                        </pic:spPr>
                      </pic:pic>
                    </a:graphicData>
                  </a:graphic>
                </wp:anchor>
              </w:drawing>
            </w:r>
          </w:p>
        </w:tc>
        <w:tc>
          <w:tcPr>
            <w:tcW w:w="4351" w:type="dxa"/>
          </w:tcPr>
          <w:p w14:paraId="2DB0F50B">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909120" behindDoc="0" locked="0" layoutInCell="1" allowOverlap="1">
                  <wp:simplePos x="0" y="0"/>
                  <wp:positionH relativeFrom="page">
                    <wp:posOffset>57150</wp:posOffset>
                  </wp:positionH>
                  <wp:positionV relativeFrom="page">
                    <wp:posOffset>39370</wp:posOffset>
                  </wp:positionV>
                  <wp:extent cx="2566035" cy="2187575"/>
                  <wp:effectExtent l="19050" t="0" r="5715" b="0"/>
                  <wp:wrapNone/>
                  <wp:docPr id="9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0"/>
                          <pic:cNvPicPr>
                            <a:picLocks noChangeAspect="1" noChangeArrowheads="1"/>
                          </pic:cNvPicPr>
                        </pic:nvPicPr>
                        <pic:blipFill>
                          <a:blip r:embed="rId282"/>
                          <a:srcRect/>
                          <a:stretch>
                            <a:fillRect/>
                          </a:stretch>
                        </pic:blipFill>
                        <pic:spPr>
                          <a:xfrm>
                            <a:off x="0" y="0"/>
                            <a:ext cx="2566035" cy="2187575"/>
                          </a:xfrm>
                          <a:prstGeom prst="rect">
                            <a:avLst/>
                          </a:prstGeom>
                          <a:noFill/>
                          <a:ln w="9525" cmpd="sng">
                            <a:noFill/>
                            <a:miter lim="800000"/>
                            <a:headEnd/>
                            <a:tailEnd/>
                          </a:ln>
                        </pic:spPr>
                      </pic:pic>
                    </a:graphicData>
                  </a:graphic>
                </wp:anchor>
              </w:drawing>
            </w:r>
          </w:p>
        </w:tc>
      </w:tr>
      <w:tr w14:paraId="5A034823">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424" w:hRule="atLeast"/>
          <w:jc w:val="center"/>
        </w:trPr>
        <w:tc>
          <w:tcPr>
            <w:tcW w:w="9158" w:type="dxa"/>
            <w:gridSpan w:val="2"/>
          </w:tcPr>
          <w:p w14:paraId="3DAE51F3">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电梯门套全覆盖保护</w:t>
            </w:r>
          </w:p>
        </w:tc>
      </w:tr>
    </w:tbl>
    <w:p w14:paraId="1A686ED2">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61" w:name="_Toc26998"/>
      <w:r>
        <w:rPr>
          <w:rFonts w:hint="eastAsia" w:cs="仿宋_GB2312" w:asciiTheme="minorEastAsia" w:hAnsiTheme="minorEastAsia" w:eastAsiaTheme="minorEastAsia"/>
          <w:color w:val="auto"/>
          <w:szCs w:val="21"/>
          <w:highlight w:val="none"/>
        </w:rPr>
        <w:t>保护实施时间：</w:t>
      </w:r>
      <w:bookmarkEnd w:id="1061"/>
      <w:r>
        <w:rPr>
          <w:rFonts w:hint="eastAsia" w:cs="仿宋_GB2312" w:asciiTheme="minorEastAsia" w:hAnsiTheme="minorEastAsia" w:eastAsiaTheme="minorEastAsia"/>
          <w:color w:val="auto"/>
          <w:szCs w:val="21"/>
          <w:highlight w:val="none"/>
        </w:rPr>
        <w:t>门套安装完成、经验收合格后，即时实施保护。</w:t>
      </w:r>
    </w:p>
    <w:p w14:paraId="55712D3A">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62" w:name="_Toc12238"/>
      <w:r>
        <w:rPr>
          <w:rFonts w:hint="eastAsia" w:cs="仿宋_GB2312" w:asciiTheme="minorEastAsia" w:hAnsiTheme="minorEastAsia" w:eastAsiaTheme="minorEastAsia"/>
          <w:color w:val="auto"/>
          <w:szCs w:val="21"/>
          <w:highlight w:val="none"/>
        </w:rPr>
        <w:t>保护拆除时间：</w:t>
      </w:r>
      <w:bookmarkEnd w:id="1062"/>
      <w:r>
        <w:rPr>
          <w:rFonts w:hint="eastAsia" w:cs="仿宋_GB2312" w:asciiTheme="minorEastAsia" w:hAnsiTheme="minorEastAsia" w:eastAsiaTheme="minorEastAsia"/>
          <w:color w:val="auto"/>
          <w:szCs w:val="21"/>
          <w:highlight w:val="none"/>
        </w:rPr>
        <w:t>公区精装开始整修；交付前更换全新保护。</w:t>
      </w:r>
    </w:p>
    <w:p w14:paraId="5FBA3E6E">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63" w:name="_Toc2181"/>
      <w:bookmarkStart w:id="1064" w:name="_Toc7589"/>
      <w:bookmarkStart w:id="1065" w:name="_Toc24734"/>
      <w:r>
        <w:rPr>
          <w:rFonts w:hint="eastAsia" w:cs="仿宋_GB2312" w:asciiTheme="minorEastAsia" w:hAnsiTheme="minorEastAsia" w:eastAsiaTheme="minorEastAsia"/>
          <w:color w:val="auto"/>
          <w:szCs w:val="21"/>
          <w:highlight w:val="none"/>
        </w:rPr>
        <w:t>（2）产品保护</w:t>
      </w:r>
      <w:bookmarkEnd w:id="1063"/>
      <w:bookmarkEnd w:id="1064"/>
      <w:bookmarkEnd w:id="1065"/>
    </w:p>
    <w:p w14:paraId="651CA11E">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电梯门套石材、瓷砖、不锈钢套口完成后，细部修补需及时跟进，经验收合格后，清除石材拼缝及拼角部位的垃圾杂物，用干净棉布清除石材表面灰尘。用适宜尺寸的细木工板拼成门套形状，用机械固定在外侧。瓷砖墙面可以用胶带固定，应在转角部位用稍硬板条加强保护，防止材料进出电梯时损坏石材。</w:t>
      </w:r>
    </w:p>
    <w:p w14:paraId="2311879B">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66" w:name="_Toc313"/>
      <w:r>
        <w:rPr>
          <w:rFonts w:hint="eastAsia" w:cs="仿宋_GB2312" w:asciiTheme="minorEastAsia" w:hAnsiTheme="minorEastAsia" w:eastAsiaTheme="minorEastAsia"/>
          <w:color w:val="auto"/>
          <w:szCs w:val="21"/>
          <w:highlight w:val="none"/>
        </w:rPr>
        <w:t>（3）保洁注意事项</w:t>
      </w:r>
      <w:bookmarkEnd w:id="1066"/>
    </w:p>
    <w:p w14:paraId="35CFBBFF">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避免使用有颜色和酸、碱性的清洁剂清洁石材，因为有色液体会被石材表面毛细孔吸收引起颜色污染。</w:t>
      </w:r>
    </w:p>
    <w:p w14:paraId="3EC51424">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67" w:name="_Toc28759"/>
      <w:bookmarkStart w:id="1068" w:name="_Toc13840"/>
      <w:bookmarkStart w:id="1069" w:name="_Toc161"/>
      <w:r>
        <w:rPr>
          <w:rFonts w:hint="eastAsia" w:cs="仿宋_GB2312" w:asciiTheme="minorEastAsia" w:hAnsiTheme="minorEastAsia" w:eastAsiaTheme="minorEastAsia"/>
          <w:color w:val="auto"/>
          <w:szCs w:val="21"/>
          <w:highlight w:val="none"/>
        </w:rPr>
        <w:t>2.电梯轿厢</w:t>
      </w:r>
      <w:bookmarkEnd w:id="1067"/>
      <w:bookmarkEnd w:id="1068"/>
      <w:bookmarkEnd w:id="1069"/>
    </w:p>
    <w:p w14:paraId="12BD4798">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（1）保护方式</w:t>
      </w:r>
    </w:p>
    <w:p w14:paraId="407CA5C4">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施工过程中，除灯具、开关部位外，用细木工板满封保护。呼叫面板（包含按钮键）贴膜保护，电梯门口底板防护采用竹胶板（见下图）。若电梯顶部存在较大led照明灯，需在灯具部位增设15mm*15mm钢丝网加以保护。</w:t>
      </w:r>
    </w:p>
    <w:tbl>
      <w:tblPr>
        <w:tblStyle w:val="56"/>
        <w:tblW w:w="9099" w:type="dxa"/>
        <w:jc w:val="center"/>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Layout w:type="fixed"/>
        <w:tblCellMar>
          <w:top w:w="0" w:type="dxa"/>
          <w:left w:w="0" w:type="dxa"/>
          <w:bottom w:w="0" w:type="dxa"/>
          <w:right w:w="0" w:type="dxa"/>
        </w:tblCellMar>
      </w:tblPr>
      <w:tblGrid>
        <w:gridCol w:w="4619"/>
        <w:gridCol w:w="4480"/>
      </w:tblGrid>
      <w:tr w14:paraId="1155F308">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3628" w:hRule="atLeast"/>
          <w:jc w:val="center"/>
        </w:trPr>
        <w:tc>
          <w:tcPr>
            <w:tcW w:w="4619" w:type="dxa"/>
          </w:tcPr>
          <w:p w14:paraId="01490BC6">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910144" behindDoc="0" locked="0" layoutInCell="1" allowOverlap="1">
                  <wp:simplePos x="0" y="0"/>
                  <wp:positionH relativeFrom="page">
                    <wp:posOffset>78105</wp:posOffset>
                  </wp:positionH>
                  <wp:positionV relativeFrom="page">
                    <wp:posOffset>69850</wp:posOffset>
                  </wp:positionV>
                  <wp:extent cx="2752725" cy="2136140"/>
                  <wp:effectExtent l="19050" t="0" r="9525" b="0"/>
                  <wp:wrapNone/>
                  <wp:docPr id="63"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84"/>
                          <pic:cNvPicPr>
                            <a:picLocks noChangeAspect="1" noChangeArrowheads="1"/>
                          </pic:cNvPicPr>
                        </pic:nvPicPr>
                        <pic:blipFill>
                          <a:blip r:embed="rId283"/>
                          <a:srcRect/>
                          <a:stretch>
                            <a:fillRect/>
                          </a:stretch>
                        </pic:blipFill>
                        <pic:spPr>
                          <a:xfrm>
                            <a:off x="0" y="0"/>
                            <a:ext cx="2752725" cy="2136140"/>
                          </a:xfrm>
                          <a:prstGeom prst="rect">
                            <a:avLst/>
                          </a:prstGeom>
                          <a:noFill/>
                          <a:ln w="9525" cmpd="sng">
                            <a:noFill/>
                            <a:miter lim="800000"/>
                            <a:headEnd/>
                            <a:tailEnd/>
                          </a:ln>
                        </pic:spPr>
                      </pic:pic>
                    </a:graphicData>
                  </a:graphic>
                </wp:anchor>
              </w:drawing>
            </w:r>
          </w:p>
        </w:tc>
        <w:tc>
          <w:tcPr>
            <w:tcW w:w="4480" w:type="dxa"/>
          </w:tcPr>
          <w:p w14:paraId="4450090A">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911168" behindDoc="0" locked="0" layoutInCell="1" allowOverlap="1">
                  <wp:simplePos x="0" y="0"/>
                  <wp:positionH relativeFrom="page">
                    <wp:posOffset>64770</wp:posOffset>
                  </wp:positionH>
                  <wp:positionV relativeFrom="page">
                    <wp:posOffset>69850</wp:posOffset>
                  </wp:positionV>
                  <wp:extent cx="2711450" cy="2083435"/>
                  <wp:effectExtent l="19050" t="0" r="0" b="0"/>
                  <wp:wrapNone/>
                  <wp:docPr id="62"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85"/>
                          <pic:cNvPicPr>
                            <a:picLocks noChangeAspect="1" noChangeArrowheads="1"/>
                          </pic:cNvPicPr>
                        </pic:nvPicPr>
                        <pic:blipFill>
                          <a:blip r:embed="rId284"/>
                          <a:srcRect/>
                          <a:stretch>
                            <a:fillRect/>
                          </a:stretch>
                        </pic:blipFill>
                        <pic:spPr>
                          <a:xfrm>
                            <a:off x="0" y="0"/>
                            <a:ext cx="2711450" cy="2083435"/>
                          </a:xfrm>
                          <a:prstGeom prst="rect">
                            <a:avLst/>
                          </a:prstGeom>
                          <a:noFill/>
                          <a:ln w="9525" cmpd="sng">
                            <a:noFill/>
                            <a:miter lim="800000"/>
                            <a:headEnd/>
                            <a:tailEnd/>
                          </a:ln>
                        </pic:spPr>
                      </pic:pic>
                    </a:graphicData>
                  </a:graphic>
                </wp:anchor>
              </w:drawing>
            </w:r>
          </w:p>
        </w:tc>
      </w:tr>
      <w:tr w14:paraId="51D510F3">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jc w:val="center"/>
        </w:trPr>
        <w:tc>
          <w:tcPr>
            <w:tcW w:w="9099" w:type="dxa"/>
            <w:gridSpan w:val="2"/>
          </w:tcPr>
          <w:p w14:paraId="1ACF39FB">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施工过程保护</w:t>
            </w:r>
          </w:p>
        </w:tc>
      </w:tr>
    </w:tbl>
    <w:p w14:paraId="71BC2BFA">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保护实施时间：电梯轿箱安装调试完成、验收合格后，即时保护。</w:t>
      </w:r>
    </w:p>
    <w:p w14:paraId="055C71C3">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保护拆除时间：交付前原保护拆除后，清理基层卫生更换全新保护后移交物业。</w:t>
      </w:r>
    </w:p>
    <w:p w14:paraId="5CFDB8F5">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（2）产品保护</w:t>
      </w:r>
    </w:p>
    <w:p w14:paraId="569ECF2A">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电梯轿箱安装调试完成、经专业验收机构验收合格后，在监理单位的主持下，移交给总包单位。由总包单位使用原专用保护膜满贴，在此基础上用细木工板满封，进一步强化保护效果。</w:t>
      </w:r>
    </w:p>
    <w:p w14:paraId="228DB0AC">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（3）使用管理</w:t>
      </w:r>
    </w:p>
    <w:p w14:paraId="5D9E641F">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总包接手电梯后，必须派持有电梯驾驶操作证的专人操作电梯，负责成品保护的监管。如成品保护损坏，应及时恢复。电梯操作员需要保持轿箱内清洁卫生、不超载。沙石等零碎材料必须袋装上楼。</w:t>
      </w:r>
    </w:p>
    <w:p w14:paraId="10129B6C">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（4）保洁注意事项</w:t>
      </w:r>
    </w:p>
    <w:p w14:paraId="54832FF6">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保洁时禁用腐蚀性溶液，避免蚀伤不锈钢表面及塑料配件，用干净棉布湿水擦拭即可。</w:t>
      </w:r>
    </w:p>
    <w:p w14:paraId="52DF6146">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70" w:name="_Toc29144"/>
      <w:bookmarkStart w:id="1071" w:name="_Toc20913"/>
      <w:bookmarkStart w:id="1072" w:name="_Toc13221"/>
      <w:r>
        <w:rPr>
          <w:rFonts w:hint="eastAsia" w:cs="仿宋_GB2312" w:asciiTheme="minorEastAsia" w:hAnsiTheme="minorEastAsia" w:eastAsiaTheme="minorEastAsia"/>
          <w:color w:val="auto"/>
          <w:szCs w:val="21"/>
          <w:highlight w:val="none"/>
        </w:rPr>
        <w:t>3.装饰面楼梯踏步、扶手、阳台栏杆、室内玻璃扶手</w:t>
      </w:r>
      <w:bookmarkEnd w:id="1070"/>
      <w:bookmarkEnd w:id="1071"/>
      <w:bookmarkEnd w:id="1072"/>
    </w:p>
    <w:p w14:paraId="4E516F02">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（1）保护方式</w:t>
      </w:r>
    </w:p>
    <w:p w14:paraId="3DD039B9">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使用细木工板定制成踏步形式进行整体覆盖保护，侧边加踢脚板保护栏杆底座及墙角，楼梯栏杆扶手转角部位用珍珠棉包裹3层，平均每间隔距离300~400mm，用胶带纸缠绕一周固定。其余栏杆或扶手可用塑料布或珍珠棉缠绕满包，并在端部及拼接位置用胶带纸缠绕一周加强固定。（见下图）。</w:t>
      </w:r>
    </w:p>
    <w:p w14:paraId="6121E940">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室内公寓loft玻璃扶手同样采用珍珠棉包裹，用胶带纸缠绕一周固定。</w:t>
      </w:r>
    </w:p>
    <w:tbl>
      <w:tblPr>
        <w:tblStyle w:val="56"/>
        <w:tblW w:w="9013" w:type="dxa"/>
        <w:jc w:val="center"/>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Layout w:type="fixed"/>
        <w:tblCellMar>
          <w:top w:w="0" w:type="dxa"/>
          <w:left w:w="0" w:type="dxa"/>
          <w:bottom w:w="0" w:type="dxa"/>
          <w:right w:w="0" w:type="dxa"/>
        </w:tblCellMar>
      </w:tblPr>
      <w:tblGrid>
        <w:gridCol w:w="4451"/>
        <w:gridCol w:w="4562"/>
      </w:tblGrid>
      <w:tr w14:paraId="6495B304">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PrEx>
        <w:trPr>
          <w:trHeight w:val="3628" w:hRule="atLeast"/>
          <w:jc w:val="center"/>
        </w:trPr>
        <w:tc>
          <w:tcPr>
            <w:tcW w:w="4451" w:type="dxa"/>
          </w:tcPr>
          <w:p w14:paraId="373D5126">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89664" behindDoc="0" locked="0" layoutInCell="1" allowOverlap="1">
                  <wp:simplePos x="0" y="0"/>
                  <wp:positionH relativeFrom="page">
                    <wp:posOffset>12065</wp:posOffset>
                  </wp:positionH>
                  <wp:positionV relativeFrom="page">
                    <wp:posOffset>44450</wp:posOffset>
                  </wp:positionV>
                  <wp:extent cx="2676525" cy="2084070"/>
                  <wp:effectExtent l="19050" t="0" r="9525" b="0"/>
                  <wp:wrapNone/>
                  <wp:docPr id="61"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86"/>
                          <pic:cNvPicPr>
                            <a:picLocks noChangeAspect="1" noChangeArrowheads="1"/>
                          </pic:cNvPicPr>
                        </pic:nvPicPr>
                        <pic:blipFill>
                          <a:blip r:embed="rId285"/>
                          <a:srcRect/>
                          <a:stretch>
                            <a:fillRect/>
                          </a:stretch>
                        </pic:blipFill>
                        <pic:spPr>
                          <a:xfrm>
                            <a:off x="0" y="0"/>
                            <a:ext cx="2676525" cy="2084070"/>
                          </a:xfrm>
                          <a:prstGeom prst="rect">
                            <a:avLst/>
                          </a:prstGeom>
                          <a:noFill/>
                          <a:ln w="9525" cmpd="sng">
                            <a:noFill/>
                            <a:miter lim="800000"/>
                            <a:headEnd/>
                            <a:tailEnd/>
                          </a:ln>
                        </pic:spPr>
                      </pic:pic>
                    </a:graphicData>
                  </a:graphic>
                </wp:anchor>
              </w:drawing>
            </w:r>
          </w:p>
        </w:tc>
        <w:tc>
          <w:tcPr>
            <w:tcW w:w="4562" w:type="dxa"/>
          </w:tcPr>
          <w:p w14:paraId="386916D6">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90688" behindDoc="0" locked="0" layoutInCell="1" allowOverlap="1">
                  <wp:simplePos x="0" y="0"/>
                  <wp:positionH relativeFrom="page">
                    <wp:posOffset>81915</wp:posOffset>
                  </wp:positionH>
                  <wp:positionV relativeFrom="page">
                    <wp:posOffset>44450</wp:posOffset>
                  </wp:positionV>
                  <wp:extent cx="2814320" cy="2109470"/>
                  <wp:effectExtent l="19050" t="0" r="5080" b="0"/>
                  <wp:wrapNone/>
                  <wp:docPr id="60"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87"/>
                          <pic:cNvPicPr>
                            <a:picLocks noChangeAspect="1" noChangeArrowheads="1"/>
                          </pic:cNvPicPr>
                        </pic:nvPicPr>
                        <pic:blipFill>
                          <a:blip r:embed="rId286"/>
                          <a:srcRect/>
                          <a:stretch>
                            <a:fillRect/>
                          </a:stretch>
                        </pic:blipFill>
                        <pic:spPr>
                          <a:xfrm>
                            <a:off x="0" y="0"/>
                            <a:ext cx="2814320" cy="2109470"/>
                          </a:xfrm>
                          <a:prstGeom prst="rect">
                            <a:avLst/>
                          </a:prstGeom>
                          <a:noFill/>
                          <a:ln w="9525" cmpd="sng">
                            <a:noFill/>
                            <a:miter lim="800000"/>
                            <a:headEnd/>
                            <a:tailEnd/>
                          </a:ln>
                        </pic:spPr>
                      </pic:pic>
                    </a:graphicData>
                  </a:graphic>
                </wp:anchor>
              </w:drawing>
            </w:r>
          </w:p>
        </w:tc>
      </w:tr>
      <w:tr w14:paraId="7AE590A9">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90" w:hRule="atLeast"/>
          <w:jc w:val="center"/>
        </w:trPr>
        <w:tc>
          <w:tcPr>
            <w:tcW w:w="9013" w:type="dxa"/>
            <w:gridSpan w:val="2"/>
          </w:tcPr>
          <w:p w14:paraId="0FEDA819">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楼梯踏步及扶手全覆盖保护</w:t>
            </w:r>
          </w:p>
        </w:tc>
      </w:tr>
      <w:tr w14:paraId="1B3675C4">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3942" w:hRule="atLeast"/>
          <w:jc w:val="center"/>
        </w:trPr>
        <w:tc>
          <w:tcPr>
            <w:tcW w:w="9013" w:type="dxa"/>
            <w:gridSpan w:val="2"/>
          </w:tcPr>
          <w:p w14:paraId="55CAAED5">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912192" behindDoc="0" locked="0" layoutInCell="1" allowOverlap="1">
                  <wp:simplePos x="0" y="0"/>
                  <wp:positionH relativeFrom="page">
                    <wp:posOffset>465455</wp:posOffset>
                  </wp:positionH>
                  <wp:positionV relativeFrom="page">
                    <wp:posOffset>127000</wp:posOffset>
                  </wp:positionV>
                  <wp:extent cx="4751070" cy="2319020"/>
                  <wp:effectExtent l="19050" t="0" r="0" b="0"/>
                  <wp:wrapNone/>
                  <wp:docPr id="59"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88"/>
                          <pic:cNvPicPr>
                            <a:picLocks noChangeAspect="1" noChangeArrowheads="1"/>
                          </pic:cNvPicPr>
                        </pic:nvPicPr>
                        <pic:blipFill>
                          <a:blip r:embed="rId287"/>
                          <a:srcRect/>
                          <a:stretch>
                            <a:fillRect/>
                          </a:stretch>
                        </pic:blipFill>
                        <pic:spPr>
                          <a:xfrm>
                            <a:off x="0" y="0"/>
                            <a:ext cx="4751070" cy="2319020"/>
                          </a:xfrm>
                          <a:prstGeom prst="rect">
                            <a:avLst/>
                          </a:prstGeom>
                          <a:noFill/>
                          <a:ln w="9525" cmpd="sng">
                            <a:noFill/>
                            <a:miter lim="800000"/>
                            <a:headEnd/>
                            <a:tailEnd/>
                          </a:ln>
                        </pic:spPr>
                      </pic:pic>
                    </a:graphicData>
                  </a:graphic>
                </wp:anchor>
              </w:drawing>
            </w:r>
          </w:p>
        </w:tc>
      </w:tr>
      <w:tr w14:paraId="23A68045">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jc w:val="center"/>
        </w:trPr>
        <w:tc>
          <w:tcPr>
            <w:tcW w:w="9013" w:type="dxa"/>
            <w:gridSpan w:val="2"/>
          </w:tcPr>
          <w:p w14:paraId="24F739FE">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阳台栏杆全覆盖保护</w:t>
            </w:r>
          </w:p>
        </w:tc>
      </w:tr>
    </w:tbl>
    <w:p w14:paraId="0588BDA0">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保护实施时间：踏步面层施工完成、楼梯扶手安装完、公寓玻璃扶手、阳台栏杆安装完，经验收合格后，即时实施保护。</w:t>
      </w:r>
    </w:p>
    <w:p w14:paraId="72E8DB3E">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保护拆除时间：公区踏步开始细部整修时拆除，保洁进场后进行拆除。</w:t>
      </w:r>
    </w:p>
    <w:p w14:paraId="2AF9EA91">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（2）产品保护</w:t>
      </w:r>
    </w:p>
    <w:p w14:paraId="67908710">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石材、瓷砖或其他面层铺贴完成后，自检合格。并经监理单位验收合格后，由总包单位将表面打扫干净。用细木工板定制成踏步形式进行整体覆盖保护，侧边加踢脚板保护栏杆底座及墙角，如有破坏立即恢复。</w:t>
      </w:r>
    </w:p>
    <w:p w14:paraId="6A9D52A0">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（3）保洁注意事项</w:t>
      </w:r>
    </w:p>
    <w:p w14:paraId="1EED53B0">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在清洁石材类产品时禁用有颜色的清洁剂、易退色的干净棉布（回丝）等擦拭表面。应用干净不退色的抹布或毛巾擦拭干净即可，严禁将油脂淋到石材表面，不能用铲刀、钢丝球等工具在表面铲擦，一般以擦拭灰尘为主。</w:t>
      </w:r>
    </w:p>
    <w:p w14:paraId="50DDE7D9">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73" w:name="_Toc17767"/>
      <w:r>
        <w:rPr>
          <w:rFonts w:hint="eastAsia" w:cs="仿宋_GB2312" w:asciiTheme="minorEastAsia" w:hAnsiTheme="minorEastAsia" w:eastAsiaTheme="minorEastAsia"/>
          <w:color w:val="auto"/>
          <w:szCs w:val="21"/>
          <w:highlight w:val="none"/>
        </w:rPr>
        <w:t>4.预制楼梯成品保护</w:t>
      </w:r>
      <w:bookmarkEnd w:id="1073"/>
    </w:p>
    <w:p w14:paraId="52809A7C">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（1）保护方式</w:t>
      </w:r>
    </w:p>
    <w:p w14:paraId="3661680D">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休息平台的上表面、踏步和踢脚部位采用厚度为0.08mm的塑料薄膜覆盖保护，然后再用9mm厚的木板对休息平台、踏步进行覆盖保护。孔洞及预埋件的位置木板需预留相应的缺口，内部填充泡沫板，避免后期砂浆、混凝土落入。木板使用自攻螺丝进行安装后打胶塞。</w:t>
      </w:r>
    </w:p>
    <w:tbl>
      <w:tblPr>
        <w:tblStyle w:val="56"/>
        <w:tblW w:w="9157" w:type="dxa"/>
        <w:jc w:val="center"/>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Layout w:type="fixed"/>
        <w:tblCellMar>
          <w:top w:w="0" w:type="dxa"/>
          <w:left w:w="0" w:type="dxa"/>
          <w:bottom w:w="0" w:type="dxa"/>
          <w:right w:w="0" w:type="dxa"/>
        </w:tblCellMar>
      </w:tblPr>
      <w:tblGrid>
        <w:gridCol w:w="4590"/>
        <w:gridCol w:w="4567"/>
      </w:tblGrid>
      <w:tr w14:paraId="3D34D441">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4751" w:hRule="atLeast"/>
          <w:jc w:val="center"/>
        </w:trPr>
        <w:tc>
          <w:tcPr>
            <w:tcW w:w="4590" w:type="dxa"/>
          </w:tcPr>
          <w:p w14:paraId="620DA628">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99904" behindDoc="0" locked="0" layoutInCell="1" allowOverlap="1">
                  <wp:simplePos x="0" y="0"/>
                  <wp:positionH relativeFrom="column">
                    <wp:posOffset>75565</wp:posOffset>
                  </wp:positionH>
                  <wp:positionV relativeFrom="page">
                    <wp:posOffset>57785</wp:posOffset>
                  </wp:positionV>
                  <wp:extent cx="2673985" cy="2865120"/>
                  <wp:effectExtent l="19050" t="0" r="0" b="0"/>
                  <wp:wrapNone/>
                  <wp:docPr id="58"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89"/>
                          <pic:cNvPicPr>
                            <a:picLocks noChangeAspect="1" noChangeArrowheads="1"/>
                          </pic:cNvPicPr>
                        </pic:nvPicPr>
                        <pic:blipFill>
                          <a:blip r:embed="rId288"/>
                          <a:srcRect/>
                          <a:stretch>
                            <a:fillRect/>
                          </a:stretch>
                        </pic:blipFill>
                        <pic:spPr>
                          <a:xfrm>
                            <a:off x="0" y="0"/>
                            <a:ext cx="2673985" cy="2865120"/>
                          </a:xfrm>
                          <a:prstGeom prst="rect">
                            <a:avLst/>
                          </a:prstGeom>
                          <a:noFill/>
                          <a:ln w="9525" cmpd="sng">
                            <a:noFill/>
                            <a:miter lim="800000"/>
                            <a:headEnd/>
                            <a:tailEnd/>
                          </a:ln>
                        </pic:spPr>
                      </pic:pic>
                    </a:graphicData>
                  </a:graphic>
                </wp:anchor>
              </w:drawing>
            </w:r>
          </w:p>
        </w:tc>
        <w:tc>
          <w:tcPr>
            <w:tcW w:w="4567" w:type="dxa"/>
          </w:tcPr>
          <w:p w14:paraId="3DDDBCEF">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900928" behindDoc="0" locked="0" layoutInCell="1" allowOverlap="1">
                  <wp:simplePos x="0" y="0"/>
                  <wp:positionH relativeFrom="column">
                    <wp:posOffset>29845</wp:posOffset>
                  </wp:positionH>
                  <wp:positionV relativeFrom="paragraph">
                    <wp:posOffset>57785</wp:posOffset>
                  </wp:positionV>
                  <wp:extent cx="2723515" cy="2901950"/>
                  <wp:effectExtent l="19050" t="0" r="635" b="0"/>
                  <wp:wrapNone/>
                  <wp:docPr id="57"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90"/>
                          <pic:cNvPicPr>
                            <a:picLocks noChangeAspect="1" noChangeArrowheads="1"/>
                          </pic:cNvPicPr>
                        </pic:nvPicPr>
                        <pic:blipFill>
                          <a:blip r:embed="rId289"/>
                          <a:srcRect/>
                          <a:stretch>
                            <a:fillRect/>
                          </a:stretch>
                        </pic:blipFill>
                        <pic:spPr>
                          <a:xfrm>
                            <a:off x="0" y="0"/>
                            <a:ext cx="2723515" cy="2901950"/>
                          </a:xfrm>
                          <a:prstGeom prst="rect">
                            <a:avLst/>
                          </a:prstGeom>
                          <a:noFill/>
                          <a:ln w="9525" cmpd="sng">
                            <a:noFill/>
                            <a:miter lim="800000"/>
                            <a:headEnd/>
                            <a:tailEnd/>
                          </a:ln>
                        </pic:spPr>
                      </pic:pic>
                    </a:graphicData>
                  </a:graphic>
                </wp:anchor>
              </w:drawing>
            </w:r>
          </w:p>
        </w:tc>
      </w:tr>
      <w:tr w14:paraId="2F364988">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90" w:hRule="atLeast"/>
          <w:jc w:val="center"/>
        </w:trPr>
        <w:tc>
          <w:tcPr>
            <w:tcW w:w="9157" w:type="dxa"/>
            <w:gridSpan w:val="2"/>
          </w:tcPr>
          <w:p w14:paraId="12D6040D">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楼梯踏步及扶手全覆盖保护</w:t>
            </w:r>
          </w:p>
        </w:tc>
      </w:tr>
    </w:tbl>
    <w:p w14:paraId="383A3957">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保护实施时间：预制楼梯吊装调平完成后。</w:t>
      </w:r>
    </w:p>
    <w:p w14:paraId="56B41CA6">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保护拆除时间：公区地面开始找平前。</w:t>
      </w:r>
    </w:p>
    <w:p w14:paraId="4C349F14">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实施责任单位：总包单位。</w:t>
      </w:r>
    </w:p>
    <w:p w14:paraId="6F5A9145">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维护责任单位：总包单位。</w:t>
      </w:r>
    </w:p>
    <w:p w14:paraId="6FA8ED1A">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（2）产品保护</w:t>
      </w:r>
    </w:p>
    <w:p w14:paraId="41D1A77D">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楼梯踏步吊装找平完成后，自检合格。并经监理单位验收合格后，由总包单位将表面打扫干净。用薄膜及木工板定制成踏步形式进行整体覆盖保护，侧边加踢脚板保护栏杆底座及墙角，如有破坏立即恢复。</w:t>
      </w:r>
    </w:p>
    <w:p w14:paraId="5B044899">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（3）保洁注意事项</w:t>
      </w:r>
    </w:p>
    <w:p w14:paraId="2D566A58">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清扫时不能用铲刀、钢丝球等工具在表面铲擦，一般以擦拭灰尘为主。</w:t>
      </w:r>
    </w:p>
    <w:p w14:paraId="5FFE8050">
      <w:pPr>
        <w:adjustRightInd w:val="0"/>
        <w:snapToGrid w:val="0"/>
        <w:spacing w:line="360" w:lineRule="auto"/>
        <w:ind w:firstLine="420" w:firstLineChars="200"/>
        <w:jc w:val="left"/>
        <w:outlineLvl w:val="9"/>
        <w:rPr>
          <w:rFonts w:cs="楷体_GB2312" w:asciiTheme="minorEastAsia" w:hAnsiTheme="minorEastAsia" w:eastAsiaTheme="minorEastAsia"/>
          <w:color w:val="auto"/>
          <w:kern w:val="0"/>
          <w:szCs w:val="21"/>
          <w:highlight w:val="none"/>
        </w:rPr>
      </w:pPr>
      <w:bookmarkStart w:id="1074" w:name="_Toc5045"/>
      <w:bookmarkStart w:id="1075" w:name="_Toc27510"/>
      <w:bookmarkStart w:id="1076" w:name="_Toc1796"/>
      <w:r>
        <w:rPr>
          <w:rFonts w:hint="eastAsia" w:cs="楷体_GB2312" w:asciiTheme="minorEastAsia" w:hAnsiTheme="minorEastAsia" w:eastAsiaTheme="minorEastAsia"/>
          <w:color w:val="auto"/>
          <w:kern w:val="0"/>
          <w:szCs w:val="21"/>
          <w:highlight w:val="none"/>
        </w:rPr>
        <w:t>（五）户内成品保护标准作法：</w:t>
      </w:r>
      <w:bookmarkEnd w:id="1074"/>
      <w:bookmarkEnd w:id="1075"/>
      <w:bookmarkEnd w:id="1076"/>
    </w:p>
    <w:p w14:paraId="725AA24E">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77" w:name="_Toc3788"/>
      <w:bookmarkStart w:id="1078" w:name="_Toc14239"/>
      <w:bookmarkStart w:id="1079" w:name="_Toc1068"/>
      <w:r>
        <w:rPr>
          <w:rFonts w:hint="eastAsia" w:cs="仿宋_GB2312" w:asciiTheme="minorEastAsia" w:hAnsiTheme="minorEastAsia" w:eastAsiaTheme="minorEastAsia"/>
          <w:color w:val="auto"/>
          <w:szCs w:val="21"/>
          <w:highlight w:val="none"/>
        </w:rPr>
        <w:t>1.入户门</w:t>
      </w:r>
      <w:bookmarkEnd w:id="1077"/>
      <w:bookmarkEnd w:id="1078"/>
      <w:bookmarkEnd w:id="1079"/>
    </w:p>
    <w:p w14:paraId="04210BDD">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（1）保护方式</w:t>
      </w:r>
    </w:p>
    <w:p w14:paraId="55F88E56">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成品瓦楞纸板或原包装纸壳、泡沫板满贴外包裹保护薄膜（见下图）。门锁安装后用原包装盒覆盖保护。入户门底框采用细木工板或多层板做成“U”型槽保护。入户门门框采用瓦楞纸或者原包装纸盒保护。</w:t>
      </w:r>
    </w:p>
    <w:tbl>
      <w:tblPr>
        <w:tblStyle w:val="56"/>
        <w:tblW w:w="9232" w:type="dxa"/>
        <w:jc w:val="center"/>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Layout w:type="autofit"/>
        <w:tblCellMar>
          <w:top w:w="0" w:type="dxa"/>
          <w:left w:w="0" w:type="dxa"/>
          <w:bottom w:w="0" w:type="dxa"/>
          <w:right w:w="0" w:type="dxa"/>
        </w:tblCellMar>
      </w:tblPr>
      <w:tblGrid>
        <w:gridCol w:w="4801"/>
        <w:gridCol w:w="4431"/>
      </w:tblGrid>
      <w:tr w14:paraId="666BA67C">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3967" w:hRule="atLeast"/>
          <w:jc w:val="center"/>
        </w:trPr>
        <w:tc>
          <w:tcPr>
            <w:tcW w:w="4801" w:type="dxa"/>
          </w:tcPr>
          <w:p w14:paraId="46FC07DD">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91712" behindDoc="0" locked="0" layoutInCell="1" allowOverlap="1">
                  <wp:simplePos x="0" y="0"/>
                  <wp:positionH relativeFrom="column">
                    <wp:posOffset>275590</wp:posOffset>
                  </wp:positionH>
                  <wp:positionV relativeFrom="paragraph">
                    <wp:posOffset>74295</wp:posOffset>
                  </wp:positionV>
                  <wp:extent cx="2585085" cy="2316480"/>
                  <wp:effectExtent l="19050" t="0" r="5715" b="0"/>
                  <wp:wrapNone/>
                  <wp:docPr id="56"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91"/>
                          <pic:cNvPicPr>
                            <a:picLocks noChangeAspect="1" noChangeArrowheads="1"/>
                          </pic:cNvPicPr>
                        </pic:nvPicPr>
                        <pic:blipFill>
                          <a:blip r:embed="rId290"/>
                          <a:srcRect/>
                          <a:stretch>
                            <a:fillRect/>
                          </a:stretch>
                        </pic:blipFill>
                        <pic:spPr>
                          <a:xfrm>
                            <a:off x="0" y="0"/>
                            <a:ext cx="2585085" cy="2316480"/>
                          </a:xfrm>
                          <a:prstGeom prst="rect">
                            <a:avLst/>
                          </a:prstGeom>
                          <a:noFill/>
                          <a:ln w="9525" cmpd="sng">
                            <a:noFill/>
                            <a:miter lim="800000"/>
                            <a:headEnd/>
                            <a:tailEnd/>
                          </a:ln>
                        </pic:spPr>
                      </pic:pic>
                    </a:graphicData>
                  </a:graphic>
                </wp:anchor>
              </w:drawing>
            </w:r>
          </w:p>
        </w:tc>
        <w:tc>
          <w:tcPr>
            <w:tcW w:w="4431" w:type="dxa"/>
          </w:tcPr>
          <w:p w14:paraId="6C99D4F4">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92736" behindDoc="0" locked="0" layoutInCell="1" allowOverlap="1">
                  <wp:simplePos x="0" y="0"/>
                  <wp:positionH relativeFrom="column">
                    <wp:posOffset>79375</wp:posOffset>
                  </wp:positionH>
                  <wp:positionV relativeFrom="page">
                    <wp:posOffset>74295</wp:posOffset>
                  </wp:positionV>
                  <wp:extent cx="2607945" cy="2310130"/>
                  <wp:effectExtent l="19050" t="0" r="1905" b="0"/>
                  <wp:wrapNone/>
                  <wp:docPr id="55"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92"/>
                          <pic:cNvPicPr>
                            <a:picLocks noChangeAspect="1" noChangeArrowheads="1"/>
                          </pic:cNvPicPr>
                        </pic:nvPicPr>
                        <pic:blipFill>
                          <a:blip r:embed="rId291"/>
                          <a:srcRect/>
                          <a:stretch>
                            <a:fillRect/>
                          </a:stretch>
                        </pic:blipFill>
                        <pic:spPr>
                          <a:xfrm>
                            <a:off x="0" y="0"/>
                            <a:ext cx="2607945" cy="2310130"/>
                          </a:xfrm>
                          <a:prstGeom prst="rect">
                            <a:avLst/>
                          </a:prstGeom>
                          <a:noFill/>
                          <a:ln w="9525" cmpd="sng">
                            <a:noFill/>
                            <a:miter lim="800000"/>
                            <a:headEnd/>
                            <a:tailEnd/>
                          </a:ln>
                        </pic:spPr>
                      </pic:pic>
                    </a:graphicData>
                  </a:graphic>
                </wp:anchor>
              </w:drawing>
            </w:r>
          </w:p>
        </w:tc>
      </w:tr>
      <w:tr w14:paraId="18213B6B">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562" w:hRule="atLeast"/>
          <w:jc w:val="center"/>
        </w:trPr>
        <w:tc>
          <w:tcPr>
            <w:tcW w:w="4801" w:type="dxa"/>
          </w:tcPr>
          <w:p w14:paraId="5ED65B17">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入户门门框保护</w:t>
            </w:r>
          </w:p>
        </w:tc>
        <w:tc>
          <w:tcPr>
            <w:tcW w:w="4431" w:type="dxa"/>
          </w:tcPr>
          <w:p w14:paraId="6AED8484">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入户门底框“U”型槽保护</w:t>
            </w:r>
          </w:p>
        </w:tc>
      </w:tr>
      <w:tr w14:paraId="73AB21D8">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4558" w:hRule="atLeast"/>
          <w:jc w:val="center"/>
        </w:trPr>
        <w:tc>
          <w:tcPr>
            <w:tcW w:w="4801" w:type="dxa"/>
          </w:tcPr>
          <w:p w14:paraId="4CFFF097">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93760" behindDoc="0" locked="0" layoutInCell="1" allowOverlap="1">
                  <wp:simplePos x="0" y="0"/>
                  <wp:positionH relativeFrom="column">
                    <wp:posOffset>90170</wp:posOffset>
                  </wp:positionH>
                  <wp:positionV relativeFrom="page">
                    <wp:posOffset>41275</wp:posOffset>
                  </wp:positionV>
                  <wp:extent cx="2735580" cy="2741930"/>
                  <wp:effectExtent l="19050" t="0" r="7620" b="0"/>
                  <wp:wrapNone/>
                  <wp:docPr id="54"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93"/>
                          <pic:cNvPicPr>
                            <a:picLocks noChangeAspect="1" noChangeArrowheads="1"/>
                          </pic:cNvPicPr>
                        </pic:nvPicPr>
                        <pic:blipFill>
                          <a:blip r:embed="rId292"/>
                          <a:srcRect/>
                          <a:stretch>
                            <a:fillRect/>
                          </a:stretch>
                        </pic:blipFill>
                        <pic:spPr>
                          <a:xfrm>
                            <a:off x="0" y="0"/>
                            <a:ext cx="2735580" cy="2741930"/>
                          </a:xfrm>
                          <a:prstGeom prst="rect">
                            <a:avLst/>
                          </a:prstGeom>
                          <a:noFill/>
                          <a:ln w="9525" cmpd="sng">
                            <a:noFill/>
                            <a:miter lim="800000"/>
                            <a:headEnd/>
                            <a:tailEnd/>
                          </a:ln>
                        </pic:spPr>
                      </pic:pic>
                    </a:graphicData>
                  </a:graphic>
                </wp:anchor>
              </w:drawing>
            </w:r>
          </w:p>
        </w:tc>
        <w:tc>
          <w:tcPr>
            <w:tcW w:w="4431" w:type="dxa"/>
          </w:tcPr>
          <w:p w14:paraId="7E6F29C7">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94784" behindDoc="0" locked="0" layoutInCell="1" allowOverlap="1">
                  <wp:simplePos x="0" y="0"/>
                  <wp:positionH relativeFrom="column">
                    <wp:posOffset>38100</wp:posOffset>
                  </wp:positionH>
                  <wp:positionV relativeFrom="page">
                    <wp:posOffset>41275</wp:posOffset>
                  </wp:positionV>
                  <wp:extent cx="2729230" cy="2741930"/>
                  <wp:effectExtent l="19050" t="0" r="0" b="0"/>
                  <wp:wrapNone/>
                  <wp:docPr id="53"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94"/>
                          <pic:cNvPicPr>
                            <a:picLocks noChangeAspect="1" noChangeArrowheads="1"/>
                          </pic:cNvPicPr>
                        </pic:nvPicPr>
                        <pic:blipFill>
                          <a:blip r:embed="rId293"/>
                          <a:srcRect/>
                          <a:stretch>
                            <a:fillRect/>
                          </a:stretch>
                        </pic:blipFill>
                        <pic:spPr>
                          <a:xfrm>
                            <a:off x="0" y="0"/>
                            <a:ext cx="2729230" cy="2741930"/>
                          </a:xfrm>
                          <a:prstGeom prst="rect">
                            <a:avLst/>
                          </a:prstGeom>
                          <a:noFill/>
                          <a:ln w="9525" cmpd="sng">
                            <a:noFill/>
                            <a:miter lim="800000"/>
                            <a:headEnd/>
                            <a:tailEnd/>
                          </a:ln>
                        </pic:spPr>
                      </pic:pic>
                    </a:graphicData>
                  </a:graphic>
                </wp:anchor>
              </w:drawing>
            </w:r>
          </w:p>
        </w:tc>
      </w:tr>
      <w:tr w14:paraId="55AB0AEE">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jc w:val="center"/>
        </w:trPr>
        <w:tc>
          <w:tcPr>
            <w:tcW w:w="9232" w:type="dxa"/>
            <w:gridSpan w:val="2"/>
          </w:tcPr>
          <w:p w14:paraId="6D1F6386">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入户门扇保护</w:t>
            </w:r>
          </w:p>
        </w:tc>
      </w:tr>
    </w:tbl>
    <w:p w14:paraId="57C3F916">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保护实施时间：进户门扇安装后，防火门及管井门安装后即时保护。</w:t>
      </w:r>
    </w:p>
    <w:p w14:paraId="0FE8F424">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保护拆除时间：细部整改后拆除。维修完成，更换整套全新保护。</w:t>
      </w:r>
    </w:p>
    <w:p w14:paraId="51927CA6">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实施责任单位：入户门、防火门、管井门单位。</w:t>
      </w:r>
    </w:p>
    <w:p w14:paraId="43257FE7">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（2）产品保护</w:t>
      </w:r>
    </w:p>
    <w:p w14:paraId="54BEEBAA">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生产单位在工厂包装前进行门扇的成品保护，门扇安装过程中应避免损伤保护膜，确保保护膜完整、无裸露。</w:t>
      </w:r>
    </w:p>
    <w:p w14:paraId="52AFD893">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（3）保洁注意事项</w:t>
      </w:r>
    </w:p>
    <w:p w14:paraId="107F2849">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严禁使用油漆稀释剂、脱漆松香水、二甲苯等溶液擦拭油漆表面。不得用金属工具铲擦门扇表面，防止表面产生划痕，用干布擦拭灰尘即可。</w:t>
      </w:r>
    </w:p>
    <w:p w14:paraId="27434B81">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80" w:name="_Toc9079"/>
      <w:r>
        <w:rPr>
          <w:rFonts w:hint="eastAsia" w:cs="仿宋_GB2312" w:asciiTheme="minorEastAsia" w:hAnsiTheme="minorEastAsia" w:eastAsiaTheme="minorEastAsia"/>
          <w:color w:val="auto"/>
          <w:szCs w:val="21"/>
          <w:highlight w:val="none"/>
        </w:rPr>
        <w:t>2.配电箱、可视对讲、消防设施</w:t>
      </w:r>
      <w:bookmarkEnd w:id="1080"/>
    </w:p>
    <w:p w14:paraId="2A48CA55">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81" w:name="_Toc7960"/>
      <w:r>
        <w:rPr>
          <w:rFonts w:hint="eastAsia" w:cs="仿宋_GB2312" w:asciiTheme="minorEastAsia" w:hAnsiTheme="minorEastAsia" w:eastAsiaTheme="minorEastAsia"/>
          <w:color w:val="auto"/>
          <w:szCs w:val="21"/>
          <w:highlight w:val="none"/>
        </w:rPr>
        <w:t>（1）保护方式</w:t>
      </w:r>
      <w:bookmarkEnd w:id="1081"/>
    </w:p>
    <w:p w14:paraId="15D7630A">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可视对讲及户内强弱电配电箱使用原包装材料或PE膜包裹、透明胶带固定，防止污染。墙面涂料施工过程中，四周使用美纹纸保护。若装修与消防工程交叉施工，装修施工过程中须对已安装的消防设备进行保护；消防按钮、警铃及烟感：表面及四周面贴美纹纸保护或采用塑料袋包裹、透明胶带固定保护；喷淋管及消防管：满包塑料薄膜或彩条布保护。</w:t>
      </w:r>
    </w:p>
    <w:tbl>
      <w:tblPr>
        <w:tblStyle w:val="56"/>
        <w:tblW w:w="9225" w:type="dxa"/>
        <w:jc w:val="center"/>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Layout w:type="fixed"/>
        <w:tblCellMar>
          <w:top w:w="0" w:type="dxa"/>
          <w:left w:w="0" w:type="dxa"/>
          <w:bottom w:w="0" w:type="dxa"/>
          <w:right w:w="0" w:type="dxa"/>
        </w:tblCellMar>
      </w:tblPr>
      <w:tblGrid>
        <w:gridCol w:w="4596"/>
        <w:gridCol w:w="4629"/>
      </w:tblGrid>
      <w:tr w14:paraId="0D04262C">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3779" w:hRule="atLeast"/>
          <w:jc w:val="center"/>
        </w:trPr>
        <w:tc>
          <w:tcPr>
            <w:tcW w:w="4596" w:type="dxa"/>
          </w:tcPr>
          <w:p w14:paraId="4AE4495C">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82496" behindDoc="0" locked="0" layoutInCell="1" allowOverlap="1">
                  <wp:simplePos x="0" y="0"/>
                  <wp:positionH relativeFrom="column">
                    <wp:posOffset>6350</wp:posOffset>
                  </wp:positionH>
                  <wp:positionV relativeFrom="page">
                    <wp:posOffset>51435</wp:posOffset>
                  </wp:positionV>
                  <wp:extent cx="2847975" cy="2209800"/>
                  <wp:effectExtent l="19050" t="0" r="9525" b="0"/>
                  <wp:wrapNone/>
                  <wp:docPr id="52"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34"/>
                          <pic:cNvPicPr>
                            <a:picLocks noChangeAspect="1" noChangeArrowheads="1"/>
                          </pic:cNvPicPr>
                        </pic:nvPicPr>
                        <pic:blipFill>
                          <a:blip r:embed="rId294"/>
                          <a:srcRect/>
                          <a:stretch>
                            <a:fillRect/>
                          </a:stretch>
                        </pic:blipFill>
                        <pic:spPr>
                          <a:xfrm>
                            <a:off x="0" y="0"/>
                            <a:ext cx="2847975" cy="2209800"/>
                          </a:xfrm>
                          <a:prstGeom prst="rect">
                            <a:avLst/>
                          </a:prstGeom>
                          <a:noFill/>
                          <a:ln w="9525" cmpd="sng">
                            <a:noFill/>
                            <a:miter lim="800000"/>
                            <a:headEnd/>
                            <a:tailEnd/>
                          </a:ln>
                        </pic:spPr>
                      </pic:pic>
                    </a:graphicData>
                  </a:graphic>
                </wp:anchor>
              </w:drawing>
            </w:r>
          </w:p>
        </w:tc>
        <w:tc>
          <w:tcPr>
            <w:tcW w:w="4629" w:type="dxa"/>
          </w:tcPr>
          <w:p w14:paraId="13194C66">
            <w:pPr>
              <w:keepNext w:val="0"/>
              <w:keepLines w:val="0"/>
              <w:suppressLineNumbers w:val="0"/>
              <w:adjustRightInd w:val="0"/>
              <w:snapToGrid w:val="0"/>
              <w:spacing w:before="0" w:beforeAutospacing="0" w:after="0" w:afterAutospacing="0" w:line="360" w:lineRule="auto"/>
              <w:ind w:left="0" w:right="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81472" behindDoc="0" locked="0" layoutInCell="1" allowOverlap="1">
                  <wp:simplePos x="0" y="0"/>
                  <wp:positionH relativeFrom="column">
                    <wp:posOffset>35560</wp:posOffset>
                  </wp:positionH>
                  <wp:positionV relativeFrom="page">
                    <wp:posOffset>80010</wp:posOffset>
                  </wp:positionV>
                  <wp:extent cx="2759710" cy="2197100"/>
                  <wp:effectExtent l="19050" t="0" r="2540" b="0"/>
                  <wp:wrapNone/>
                  <wp:docPr id="51"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35"/>
                          <pic:cNvPicPr>
                            <a:picLocks noChangeAspect="1" noChangeArrowheads="1"/>
                          </pic:cNvPicPr>
                        </pic:nvPicPr>
                        <pic:blipFill>
                          <a:blip r:embed="rId295"/>
                          <a:srcRect/>
                          <a:stretch>
                            <a:fillRect/>
                          </a:stretch>
                        </pic:blipFill>
                        <pic:spPr>
                          <a:xfrm>
                            <a:off x="0" y="0"/>
                            <a:ext cx="2759710" cy="2197100"/>
                          </a:xfrm>
                          <a:prstGeom prst="rect">
                            <a:avLst/>
                          </a:prstGeom>
                          <a:noFill/>
                          <a:ln w="9525" cmpd="sng">
                            <a:noFill/>
                            <a:miter lim="800000"/>
                            <a:headEnd/>
                            <a:tailEnd/>
                          </a:ln>
                        </pic:spPr>
                      </pic:pic>
                    </a:graphicData>
                  </a:graphic>
                </wp:anchor>
              </w:drawing>
            </w:r>
          </w:p>
        </w:tc>
      </w:tr>
      <w:tr w14:paraId="7F72E991">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90" w:hRule="atLeast"/>
          <w:jc w:val="center"/>
        </w:trPr>
        <w:tc>
          <w:tcPr>
            <w:tcW w:w="4596" w:type="dxa"/>
          </w:tcPr>
          <w:p w14:paraId="54C33BE2">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消防按钮Pe膜保护</w:t>
            </w:r>
          </w:p>
        </w:tc>
        <w:tc>
          <w:tcPr>
            <w:tcW w:w="4629" w:type="dxa"/>
          </w:tcPr>
          <w:p w14:paraId="3AFCD589">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烟感保护</w:t>
            </w:r>
          </w:p>
        </w:tc>
      </w:tr>
      <w:tr w14:paraId="6A2B65B7">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3529" w:hRule="atLeast"/>
          <w:jc w:val="center"/>
        </w:trPr>
        <w:tc>
          <w:tcPr>
            <w:tcW w:w="4596" w:type="dxa"/>
          </w:tcPr>
          <w:p w14:paraId="16ACF426">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83520" behindDoc="0" locked="0" layoutInCell="1" allowOverlap="1">
                  <wp:simplePos x="0" y="0"/>
                  <wp:positionH relativeFrom="column">
                    <wp:posOffset>-21590</wp:posOffset>
                  </wp:positionH>
                  <wp:positionV relativeFrom="page">
                    <wp:posOffset>59055</wp:posOffset>
                  </wp:positionV>
                  <wp:extent cx="2809240" cy="2089785"/>
                  <wp:effectExtent l="19050" t="0" r="0" b="0"/>
                  <wp:wrapNone/>
                  <wp:docPr id="50"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36"/>
                          <pic:cNvPicPr>
                            <a:picLocks noChangeAspect="1" noChangeArrowheads="1"/>
                          </pic:cNvPicPr>
                        </pic:nvPicPr>
                        <pic:blipFill>
                          <a:blip r:embed="rId296"/>
                          <a:srcRect/>
                          <a:stretch>
                            <a:fillRect/>
                          </a:stretch>
                        </pic:blipFill>
                        <pic:spPr>
                          <a:xfrm>
                            <a:off x="0" y="0"/>
                            <a:ext cx="2809240" cy="2089785"/>
                          </a:xfrm>
                          <a:prstGeom prst="rect">
                            <a:avLst/>
                          </a:prstGeom>
                          <a:noFill/>
                          <a:ln w="9525" cmpd="sng">
                            <a:noFill/>
                            <a:miter lim="800000"/>
                            <a:headEnd/>
                            <a:tailEnd/>
                          </a:ln>
                        </pic:spPr>
                      </pic:pic>
                    </a:graphicData>
                  </a:graphic>
                </wp:anchor>
              </w:drawing>
            </w:r>
          </w:p>
        </w:tc>
        <w:tc>
          <w:tcPr>
            <w:tcW w:w="4629" w:type="dxa"/>
          </w:tcPr>
          <w:p w14:paraId="304569FD">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84544" behindDoc="0" locked="0" layoutInCell="1" allowOverlap="1">
                  <wp:simplePos x="0" y="0"/>
                  <wp:positionH relativeFrom="column">
                    <wp:posOffset>56515</wp:posOffset>
                  </wp:positionH>
                  <wp:positionV relativeFrom="page">
                    <wp:posOffset>81280</wp:posOffset>
                  </wp:positionV>
                  <wp:extent cx="2698750" cy="1850390"/>
                  <wp:effectExtent l="19050" t="0" r="6350" b="0"/>
                  <wp:wrapNone/>
                  <wp:docPr id="49"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37"/>
                          <pic:cNvPicPr>
                            <a:picLocks noChangeAspect="1" noChangeArrowheads="1"/>
                          </pic:cNvPicPr>
                        </pic:nvPicPr>
                        <pic:blipFill>
                          <a:blip r:embed="rId297"/>
                          <a:srcRect/>
                          <a:stretch>
                            <a:fillRect/>
                          </a:stretch>
                        </pic:blipFill>
                        <pic:spPr>
                          <a:xfrm>
                            <a:off x="0" y="0"/>
                            <a:ext cx="2698750" cy="1850390"/>
                          </a:xfrm>
                          <a:prstGeom prst="rect">
                            <a:avLst/>
                          </a:prstGeom>
                          <a:noFill/>
                          <a:ln w="9525" cmpd="sng">
                            <a:noFill/>
                            <a:miter lim="800000"/>
                            <a:headEnd/>
                            <a:tailEnd/>
                          </a:ln>
                          <a:effectLst/>
                        </pic:spPr>
                      </pic:pic>
                    </a:graphicData>
                  </a:graphic>
                </wp:anchor>
              </w:drawing>
            </w:r>
          </w:p>
        </w:tc>
      </w:tr>
      <w:tr w14:paraId="2F9D146A">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508" w:hRule="atLeast"/>
          <w:jc w:val="center"/>
        </w:trPr>
        <w:tc>
          <w:tcPr>
            <w:tcW w:w="4596" w:type="dxa"/>
          </w:tcPr>
          <w:p w14:paraId="01BCBEF1">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可视对讲成品保护</w:t>
            </w:r>
          </w:p>
        </w:tc>
        <w:tc>
          <w:tcPr>
            <w:tcW w:w="4629" w:type="dxa"/>
          </w:tcPr>
          <w:p w14:paraId="15ECB76B">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配电箱成品保护</w:t>
            </w:r>
          </w:p>
        </w:tc>
      </w:tr>
    </w:tbl>
    <w:p w14:paraId="1095C01F">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82" w:name="_Toc27393"/>
      <w:r>
        <w:rPr>
          <w:rFonts w:hint="eastAsia" w:cs="仿宋_GB2312" w:asciiTheme="minorEastAsia" w:hAnsiTheme="minorEastAsia" w:eastAsiaTheme="minorEastAsia"/>
          <w:color w:val="auto"/>
          <w:szCs w:val="21"/>
          <w:highlight w:val="none"/>
        </w:rPr>
        <w:t>保护实施时间：施工完毕、验收合格后，即时进行保护。</w:t>
      </w:r>
      <w:bookmarkEnd w:id="1082"/>
    </w:p>
    <w:p w14:paraId="0E60EA14">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83" w:name="_Toc4746"/>
      <w:r>
        <w:rPr>
          <w:rFonts w:hint="eastAsia" w:cs="仿宋_GB2312" w:asciiTheme="minorEastAsia" w:hAnsiTheme="minorEastAsia" w:eastAsiaTheme="minorEastAsia"/>
          <w:color w:val="auto"/>
          <w:szCs w:val="21"/>
          <w:highlight w:val="none"/>
        </w:rPr>
        <w:t>保护拆除时间：保洁开始后拆除。</w:t>
      </w:r>
      <w:bookmarkEnd w:id="1083"/>
    </w:p>
    <w:p w14:paraId="7DB78EF1">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84" w:name="_Toc9216"/>
      <w:r>
        <w:rPr>
          <w:rFonts w:hint="eastAsia" w:cs="仿宋_GB2312" w:asciiTheme="minorEastAsia" w:hAnsiTheme="minorEastAsia" w:eastAsiaTheme="minorEastAsia"/>
          <w:color w:val="auto"/>
          <w:szCs w:val="21"/>
          <w:highlight w:val="none"/>
        </w:rPr>
        <w:t>（2）产品保护</w:t>
      </w:r>
      <w:bookmarkEnd w:id="1084"/>
    </w:p>
    <w:p w14:paraId="5C16FDED">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施工单位进场后，对强弱电箱箱盖进行检查，有磕碰痕迹的，报项目公司，待修补完成后移交施工单位进行保护。</w:t>
      </w:r>
    </w:p>
    <w:p w14:paraId="633DB221">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85" w:name="_Toc22707"/>
      <w:r>
        <w:rPr>
          <w:rFonts w:hint="eastAsia" w:cs="仿宋_GB2312" w:asciiTheme="minorEastAsia" w:hAnsiTheme="minorEastAsia" w:eastAsiaTheme="minorEastAsia"/>
          <w:color w:val="auto"/>
          <w:szCs w:val="21"/>
          <w:highlight w:val="none"/>
        </w:rPr>
        <w:t>（3）保洁注意事项</w:t>
      </w:r>
      <w:bookmarkEnd w:id="1085"/>
    </w:p>
    <w:p w14:paraId="0D167329">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面板表面保洁时禁止使用铲刀、美工刀等铲刮。用湿布擦除即可。</w:t>
      </w:r>
    </w:p>
    <w:p w14:paraId="4344CABE">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86" w:name="_Toc32549"/>
      <w:bookmarkStart w:id="1087" w:name="_Toc29755"/>
      <w:bookmarkStart w:id="1088" w:name="_Toc25124"/>
      <w:r>
        <w:rPr>
          <w:rFonts w:hint="eastAsia" w:cs="仿宋_GB2312" w:asciiTheme="minorEastAsia" w:hAnsiTheme="minorEastAsia" w:eastAsiaTheme="minorEastAsia"/>
          <w:color w:val="auto"/>
          <w:szCs w:val="21"/>
          <w:highlight w:val="none"/>
        </w:rPr>
        <w:t>3.线盒开关插座等</w:t>
      </w:r>
      <w:bookmarkEnd w:id="1086"/>
      <w:bookmarkEnd w:id="1087"/>
      <w:bookmarkEnd w:id="1088"/>
    </w:p>
    <w:p w14:paraId="2D6B6A8F">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（1）保护方式</w:t>
      </w:r>
    </w:p>
    <w:p w14:paraId="378273D7">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原预留底盒用专用线盒盖保护，并做明显颜色区分及标示，防止后期施工覆盖。后期面板安装后，用PE保护膜或原包装袋保护。（见下图）</w:t>
      </w:r>
    </w:p>
    <w:tbl>
      <w:tblPr>
        <w:tblStyle w:val="56"/>
        <w:tblW w:w="9186" w:type="dxa"/>
        <w:jc w:val="center"/>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Layout w:type="fixed"/>
        <w:tblCellMar>
          <w:top w:w="0" w:type="dxa"/>
          <w:left w:w="0" w:type="dxa"/>
          <w:bottom w:w="0" w:type="dxa"/>
          <w:right w:w="0" w:type="dxa"/>
        </w:tblCellMar>
      </w:tblPr>
      <w:tblGrid>
        <w:gridCol w:w="4592"/>
        <w:gridCol w:w="4594"/>
      </w:tblGrid>
      <w:tr w14:paraId="048913E9">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3673" w:hRule="atLeast"/>
          <w:jc w:val="center"/>
        </w:trPr>
        <w:tc>
          <w:tcPr>
            <w:tcW w:w="4592" w:type="dxa"/>
          </w:tcPr>
          <w:p w14:paraId="54FA8C35">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85568" behindDoc="0" locked="0" layoutInCell="1" allowOverlap="1">
                  <wp:simplePos x="0" y="0"/>
                  <wp:positionH relativeFrom="page">
                    <wp:posOffset>45085</wp:posOffset>
                  </wp:positionH>
                  <wp:positionV relativeFrom="page">
                    <wp:posOffset>84455</wp:posOffset>
                  </wp:positionV>
                  <wp:extent cx="2698115" cy="2134870"/>
                  <wp:effectExtent l="19050" t="0" r="6985" b="0"/>
                  <wp:wrapNone/>
                  <wp:docPr id="4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38"/>
                          <pic:cNvPicPr>
                            <a:picLocks noChangeAspect="1" noChangeArrowheads="1"/>
                          </pic:cNvPicPr>
                        </pic:nvPicPr>
                        <pic:blipFill>
                          <a:blip r:embed="rId298"/>
                          <a:srcRect/>
                          <a:stretch>
                            <a:fillRect/>
                          </a:stretch>
                        </pic:blipFill>
                        <pic:spPr>
                          <a:xfrm>
                            <a:off x="0" y="0"/>
                            <a:ext cx="2698115" cy="2134870"/>
                          </a:xfrm>
                          <a:prstGeom prst="rect">
                            <a:avLst/>
                          </a:prstGeom>
                          <a:noFill/>
                          <a:ln w="9525" cmpd="sng">
                            <a:noFill/>
                            <a:miter lim="800000"/>
                            <a:headEnd/>
                            <a:tailEnd/>
                          </a:ln>
                        </pic:spPr>
                      </pic:pic>
                    </a:graphicData>
                  </a:graphic>
                </wp:anchor>
              </w:drawing>
            </w:r>
          </w:p>
        </w:tc>
        <w:tc>
          <w:tcPr>
            <w:tcW w:w="4594" w:type="dxa"/>
          </w:tcPr>
          <w:p w14:paraId="6D23DED6">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86592" behindDoc="0" locked="0" layoutInCell="1" allowOverlap="1">
                  <wp:simplePos x="0" y="0"/>
                  <wp:positionH relativeFrom="page">
                    <wp:posOffset>78740</wp:posOffset>
                  </wp:positionH>
                  <wp:positionV relativeFrom="page">
                    <wp:posOffset>85725</wp:posOffset>
                  </wp:positionV>
                  <wp:extent cx="2571115" cy="2119630"/>
                  <wp:effectExtent l="19050" t="0" r="635" b="0"/>
                  <wp:wrapNone/>
                  <wp:docPr id="47"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39"/>
                          <pic:cNvPicPr>
                            <a:picLocks noChangeAspect="1" noChangeArrowheads="1"/>
                          </pic:cNvPicPr>
                        </pic:nvPicPr>
                        <pic:blipFill>
                          <a:blip r:embed="rId299"/>
                          <a:srcRect/>
                          <a:stretch>
                            <a:fillRect/>
                          </a:stretch>
                        </pic:blipFill>
                        <pic:spPr>
                          <a:xfrm>
                            <a:off x="0" y="0"/>
                            <a:ext cx="2571115" cy="2119630"/>
                          </a:xfrm>
                          <a:prstGeom prst="rect">
                            <a:avLst/>
                          </a:prstGeom>
                          <a:noFill/>
                          <a:ln w="9525" cmpd="sng">
                            <a:noFill/>
                            <a:miter lim="800000"/>
                            <a:headEnd/>
                            <a:tailEnd/>
                          </a:ln>
                        </pic:spPr>
                      </pic:pic>
                    </a:graphicData>
                  </a:graphic>
                </wp:anchor>
              </w:drawing>
            </w:r>
          </w:p>
        </w:tc>
      </w:tr>
      <w:tr w14:paraId="5B7C44BF">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jc w:val="center"/>
        </w:trPr>
        <w:tc>
          <w:tcPr>
            <w:tcW w:w="9186" w:type="dxa"/>
            <w:gridSpan w:val="2"/>
          </w:tcPr>
          <w:p w14:paraId="31E6A165">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底盒及面板保护</w:t>
            </w:r>
          </w:p>
        </w:tc>
      </w:tr>
    </w:tbl>
    <w:p w14:paraId="652592B5">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保护实施时间：施工完毕、验收合格后，即时进行保护。</w:t>
      </w:r>
    </w:p>
    <w:p w14:paraId="770DFF36">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保护拆除时间：底盒保护上面板前拆除，面板保护保洁开始后拆除。</w:t>
      </w:r>
    </w:p>
    <w:p w14:paraId="2B08EB42">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（2）产品保护</w:t>
      </w:r>
    </w:p>
    <w:p w14:paraId="5E313CD9">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单位进场后，对底盒即进行保护，后期穿线等拆除施工完成后及时恢复。面板进行最后收口修补时，需满覆保护后进行修补。不得造成污染。</w:t>
      </w:r>
    </w:p>
    <w:p w14:paraId="5AB04985">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（3）保洁注意事项</w:t>
      </w:r>
    </w:p>
    <w:p w14:paraId="4D825B8A">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面板表面保洁时禁止使用铲刀、美工刀等铲刮。用湿布擦除即可。</w:t>
      </w:r>
    </w:p>
    <w:p w14:paraId="0E6DA78B">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89" w:name="_Toc3105"/>
      <w:bookmarkStart w:id="1090" w:name="_Toc23961"/>
      <w:bookmarkStart w:id="1091" w:name="_Toc2716"/>
      <w:r>
        <w:rPr>
          <w:rFonts w:hint="eastAsia" w:cs="仿宋_GB2312" w:asciiTheme="minorEastAsia" w:hAnsiTheme="minorEastAsia" w:eastAsiaTheme="minorEastAsia"/>
          <w:color w:val="auto"/>
          <w:szCs w:val="21"/>
          <w:highlight w:val="none"/>
        </w:rPr>
        <w:t>4.防水</w:t>
      </w:r>
      <w:bookmarkEnd w:id="1089"/>
      <w:bookmarkEnd w:id="1090"/>
      <w:bookmarkEnd w:id="1091"/>
    </w:p>
    <w:p w14:paraId="49F1B426">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（1）保护方式</w:t>
      </w:r>
    </w:p>
    <w:p w14:paraId="583895D9">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防水施工完成后在所有可进入的入口进行围挡并张贴警示标示；保护层或面层施工前该围挡及标示应一直保留。（见下图）</w:t>
      </w:r>
    </w:p>
    <w:tbl>
      <w:tblPr>
        <w:tblStyle w:val="56"/>
        <w:tblW w:w="9122" w:type="dxa"/>
        <w:jc w:val="center"/>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Layout w:type="fixed"/>
        <w:tblCellMar>
          <w:top w:w="0" w:type="dxa"/>
          <w:left w:w="0" w:type="dxa"/>
          <w:bottom w:w="0" w:type="dxa"/>
          <w:right w:w="0" w:type="dxa"/>
        </w:tblCellMar>
      </w:tblPr>
      <w:tblGrid>
        <w:gridCol w:w="4728"/>
        <w:gridCol w:w="4394"/>
      </w:tblGrid>
      <w:tr w14:paraId="2FD0000D">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3203" w:hRule="atLeast"/>
          <w:jc w:val="center"/>
        </w:trPr>
        <w:tc>
          <w:tcPr>
            <w:tcW w:w="4728" w:type="dxa"/>
          </w:tcPr>
          <w:p w14:paraId="22AF8023">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87616" behindDoc="0" locked="0" layoutInCell="1" allowOverlap="1">
                  <wp:simplePos x="0" y="0"/>
                  <wp:positionH relativeFrom="column">
                    <wp:posOffset>134620</wp:posOffset>
                  </wp:positionH>
                  <wp:positionV relativeFrom="page">
                    <wp:posOffset>113030</wp:posOffset>
                  </wp:positionV>
                  <wp:extent cx="2724785" cy="1866900"/>
                  <wp:effectExtent l="19050" t="0" r="0" b="0"/>
                  <wp:wrapNone/>
                  <wp:docPr id="46"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40"/>
                          <pic:cNvPicPr>
                            <a:picLocks noChangeAspect="1" noChangeArrowheads="1"/>
                          </pic:cNvPicPr>
                        </pic:nvPicPr>
                        <pic:blipFill>
                          <a:blip r:embed="rId300"/>
                          <a:srcRect/>
                          <a:stretch>
                            <a:fillRect/>
                          </a:stretch>
                        </pic:blipFill>
                        <pic:spPr>
                          <a:xfrm>
                            <a:off x="0" y="0"/>
                            <a:ext cx="2724785" cy="1866900"/>
                          </a:xfrm>
                          <a:prstGeom prst="rect">
                            <a:avLst/>
                          </a:prstGeom>
                          <a:noFill/>
                          <a:ln w="9525" cmpd="sng">
                            <a:noFill/>
                            <a:miter lim="800000"/>
                            <a:headEnd/>
                            <a:tailEnd/>
                          </a:ln>
                        </pic:spPr>
                      </pic:pic>
                    </a:graphicData>
                  </a:graphic>
                </wp:anchor>
              </w:drawing>
            </w:r>
          </w:p>
        </w:tc>
        <w:tc>
          <w:tcPr>
            <w:tcW w:w="4394" w:type="dxa"/>
          </w:tcPr>
          <w:p w14:paraId="5BE579CA">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88640" behindDoc="0" locked="0" layoutInCell="1" allowOverlap="1">
                  <wp:simplePos x="0" y="0"/>
                  <wp:positionH relativeFrom="page">
                    <wp:posOffset>78105</wp:posOffset>
                  </wp:positionH>
                  <wp:positionV relativeFrom="page">
                    <wp:posOffset>150495</wp:posOffset>
                  </wp:positionV>
                  <wp:extent cx="2635250" cy="1829435"/>
                  <wp:effectExtent l="19050" t="0" r="0" b="0"/>
                  <wp:wrapNone/>
                  <wp:docPr id="45"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41"/>
                          <pic:cNvPicPr>
                            <a:picLocks noChangeAspect="1" noChangeArrowheads="1"/>
                          </pic:cNvPicPr>
                        </pic:nvPicPr>
                        <pic:blipFill>
                          <a:blip r:embed="rId301"/>
                          <a:srcRect/>
                          <a:stretch>
                            <a:fillRect/>
                          </a:stretch>
                        </pic:blipFill>
                        <pic:spPr>
                          <a:xfrm>
                            <a:off x="0" y="0"/>
                            <a:ext cx="2635250" cy="1829435"/>
                          </a:xfrm>
                          <a:prstGeom prst="rect">
                            <a:avLst/>
                          </a:prstGeom>
                          <a:noFill/>
                          <a:ln w="9525" cmpd="sng">
                            <a:noFill/>
                            <a:miter lim="800000"/>
                            <a:headEnd/>
                            <a:tailEnd/>
                          </a:ln>
                        </pic:spPr>
                      </pic:pic>
                    </a:graphicData>
                  </a:graphic>
                </wp:anchor>
              </w:drawing>
            </w:r>
          </w:p>
        </w:tc>
      </w:tr>
      <w:tr w14:paraId="64F203DC">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jc w:val="center"/>
        </w:trPr>
        <w:tc>
          <w:tcPr>
            <w:tcW w:w="9122" w:type="dxa"/>
            <w:gridSpan w:val="2"/>
          </w:tcPr>
          <w:p w14:paraId="6D7BCA9D">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防水保护</w:t>
            </w:r>
          </w:p>
        </w:tc>
      </w:tr>
    </w:tbl>
    <w:p w14:paraId="3B0579CB">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保护实施时间：防水施工完成后立即进行保护。</w:t>
      </w:r>
    </w:p>
    <w:p w14:paraId="2AEE4C74">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保护拆除时间：保护层施工完成或面层材料施工完成后拆除。</w:t>
      </w:r>
    </w:p>
    <w:p w14:paraId="59A7DE6C">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实施责任人：防水施工单位。</w:t>
      </w:r>
    </w:p>
    <w:p w14:paraId="2E9771A3">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（2）产品保护</w:t>
      </w:r>
    </w:p>
    <w:p w14:paraId="77901F34">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防水施工完成后在所有可进入的入口进行围挡并张贴警示标示；保护层或面层施工前该围挡及标示应一直保留。</w:t>
      </w:r>
    </w:p>
    <w:p w14:paraId="616ABBA7">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（3）保洁注意事项</w:t>
      </w:r>
    </w:p>
    <w:p w14:paraId="2A708C81">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防水施工前应清理基层，保证基层干净平整无起砂等现象；涂刷防水应在墙角或管根作加强处理。</w:t>
      </w:r>
    </w:p>
    <w:p w14:paraId="4DAA03E3">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92" w:name="_Toc30067"/>
      <w:bookmarkStart w:id="1093" w:name="_Toc17514"/>
      <w:bookmarkStart w:id="1094" w:name="_Toc11554"/>
      <w:r>
        <w:rPr>
          <w:rFonts w:hint="eastAsia" w:cs="仿宋_GB2312" w:asciiTheme="minorEastAsia" w:hAnsiTheme="minorEastAsia" w:eastAsiaTheme="minorEastAsia"/>
          <w:color w:val="auto"/>
          <w:szCs w:val="21"/>
          <w:highlight w:val="none"/>
        </w:rPr>
        <w:t>5.其他零星成品保护</w:t>
      </w:r>
      <w:bookmarkEnd w:id="1092"/>
      <w:bookmarkEnd w:id="1093"/>
      <w:bookmarkEnd w:id="1094"/>
    </w:p>
    <w:p w14:paraId="2D34843C">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95" w:name="_Toc7491"/>
      <w:r>
        <w:rPr>
          <w:rFonts w:hint="eastAsia" w:cs="仿宋_GB2312" w:asciiTheme="minorEastAsia" w:hAnsiTheme="minorEastAsia" w:eastAsiaTheme="minorEastAsia"/>
          <w:color w:val="auto"/>
          <w:szCs w:val="21"/>
          <w:highlight w:val="none"/>
        </w:rPr>
        <w:t>（1）保护方式：多层板、石膏板、原包装、美纹纸（见下图）。</w:t>
      </w:r>
      <w:bookmarkEnd w:id="1095"/>
    </w:p>
    <w:tbl>
      <w:tblPr>
        <w:tblStyle w:val="56"/>
        <w:tblW w:w="9185" w:type="dxa"/>
        <w:jc w:val="center"/>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Layout w:type="fixed"/>
        <w:tblCellMar>
          <w:top w:w="0" w:type="dxa"/>
          <w:left w:w="0" w:type="dxa"/>
          <w:bottom w:w="0" w:type="dxa"/>
          <w:right w:w="0" w:type="dxa"/>
        </w:tblCellMar>
      </w:tblPr>
      <w:tblGrid>
        <w:gridCol w:w="4679"/>
        <w:gridCol w:w="4506"/>
      </w:tblGrid>
      <w:tr w14:paraId="7E422AF5">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3521" w:hRule="atLeast"/>
          <w:jc w:val="center"/>
        </w:trPr>
        <w:tc>
          <w:tcPr>
            <w:tcW w:w="4679" w:type="dxa"/>
          </w:tcPr>
          <w:p w14:paraId="06C23DEE">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95808" behindDoc="0" locked="0" layoutInCell="1" allowOverlap="1">
                  <wp:simplePos x="0" y="0"/>
                  <wp:positionH relativeFrom="column">
                    <wp:posOffset>8255</wp:posOffset>
                  </wp:positionH>
                  <wp:positionV relativeFrom="page">
                    <wp:posOffset>48895</wp:posOffset>
                  </wp:positionV>
                  <wp:extent cx="2705735" cy="2164715"/>
                  <wp:effectExtent l="19050" t="0" r="0" b="0"/>
                  <wp:wrapNone/>
                  <wp:docPr id="44"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42"/>
                          <pic:cNvPicPr>
                            <a:picLocks noChangeAspect="1" noChangeArrowheads="1"/>
                          </pic:cNvPicPr>
                        </pic:nvPicPr>
                        <pic:blipFill>
                          <a:blip r:embed="rId302"/>
                          <a:srcRect/>
                          <a:stretch>
                            <a:fillRect/>
                          </a:stretch>
                        </pic:blipFill>
                        <pic:spPr>
                          <a:xfrm>
                            <a:off x="0" y="0"/>
                            <a:ext cx="2705735" cy="2164715"/>
                          </a:xfrm>
                          <a:prstGeom prst="rect">
                            <a:avLst/>
                          </a:prstGeom>
                          <a:noFill/>
                          <a:ln w="9525" cmpd="sng">
                            <a:noFill/>
                            <a:miter lim="800000"/>
                            <a:headEnd/>
                            <a:tailEnd/>
                          </a:ln>
                        </pic:spPr>
                      </pic:pic>
                    </a:graphicData>
                  </a:graphic>
                </wp:anchor>
              </w:drawing>
            </w:r>
          </w:p>
        </w:tc>
        <w:tc>
          <w:tcPr>
            <w:tcW w:w="4506" w:type="dxa"/>
          </w:tcPr>
          <w:p w14:paraId="26D64F6A">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96832" behindDoc="0" locked="0" layoutInCell="1" allowOverlap="1">
                  <wp:simplePos x="0" y="0"/>
                  <wp:positionH relativeFrom="page">
                    <wp:posOffset>44450</wp:posOffset>
                  </wp:positionH>
                  <wp:positionV relativeFrom="page">
                    <wp:posOffset>83185</wp:posOffset>
                  </wp:positionV>
                  <wp:extent cx="2661285" cy="2098675"/>
                  <wp:effectExtent l="19050" t="0" r="5715" b="0"/>
                  <wp:wrapNone/>
                  <wp:docPr id="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43"/>
                          <pic:cNvPicPr>
                            <a:picLocks noChangeAspect="1" noChangeArrowheads="1"/>
                          </pic:cNvPicPr>
                        </pic:nvPicPr>
                        <pic:blipFill>
                          <a:blip r:embed="rId303"/>
                          <a:srcRect/>
                          <a:stretch>
                            <a:fillRect/>
                          </a:stretch>
                        </pic:blipFill>
                        <pic:spPr>
                          <a:xfrm>
                            <a:off x="0" y="0"/>
                            <a:ext cx="2661285" cy="2098675"/>
                          </a:xfrm>
                          <a:prstGeom prst="rect">
                            <a:avLst/>
                          </a:prstGeom>
                          <a:noFill/>
                          <a:ln w="9525" cmpd="sng">
                            <a:noFill/>
                            <a:miter lim="800000"/>
                            <a:headEnd/>
                            <a:tailEnd/>
                          </a:ln>
                        </pic:spPr>
                      </pic:pic>
                    </a:graphicData>
                  </a:graphic>
                </wp:anchor>
              </w:drawing>
            </w:r>
          </w:p>
        </w:tc>
      </w:tr>
      <w:tr w14:paraId="4A832C56">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458" w:hRule="atLeast"/>
          <w:jc w:val="center"/>
        </w:trPr>
        <w:tc>
          <w:tcPr>
            <w:tcW w:w="4679" w:type="dxa"/>
          </w:tcPr>
          <w:p w14:paraId="5D3CA49A">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淋浴间反坎</w:t>
            </w:r>
          </w:p>
        </w:tc>
        <w:tc>
          <w:tcPr>
            <w:tcW w:w="4506" w:type="dxa"/>
          </w:tcPr>
          <w:p w14:paraId="19028CEA">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灯具</w:t>
            </w:r>
          </w:p>
        </w:tc>
      </w:tr>
      <w:tr w14:paraId="3BEDA23A">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3486" w:hRule="atLeast"/>
          <w:jc w:val="center"/>
        </w:trPr>
        <w:tc>
          <w:tcPr>
            <w:tcW w:w="4679" w:type="dxa"/>
          </w:tcPr>
          <w:p w14:paraId="03BD66D4">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97856" behindDoc="0" locked="0" layoutInCell="1" allowOverlap="1">
                  <wp:simplePos x="0" y="0"/>
                  <wp:positionH relativeFrom="page">
                    <wp:posOffset>44450</wp:posOffset>
                  </wp:positionH>
                  <wp:positionV relativeFrom="page">
                    <wp:posOffset>88900</wp:posOffset>
                  </wp:positionV>
                  <wp:extent cx="2762250" cy="2015490"/>
                  <wp:effectExtent l="19050" t="0" r="0" b="0"/>
                  <wp:wrapNone/>
                  <wp:docPr id="42"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44"/>
                          <pic:cNvPicPr>
                            <a:picLocks noChangeAspect="1" noChangeArrowheads="1"/>
                          </pic:cNvPicPr>
                        </pic:nvPicPr>
                        <pic:blipFill>
                          <a:blip r:embed="rId304"/>
                          <a:srcRect/>
                          <a:stretch>
                            <a:fillRect/>
                          </a:stretch>
                        </pic:blipFill>
                        <pic:spPr>
                          <a:xfrm>
                            <a:off x="0" y="0"/>
                            <a:ext cx="2762250" cy="2015490"/>
                          </a:xfrm>
                          <a:prstGeom prst="rect">
                            <a:avLst/>
                          </a:prstGeom>
                          <a:noFill/>
                          <a:ln w="9525" cmpd="sng">
                            <a:noFill/>
                            <a:miter lim="800000"/>
                            <a:headEnd/>
                            <a:tailEnd/>
                          </a:ln>
                        </pic:spPr>
                      </pic:pic>
                    </a:graphicData>
                  </a:graphic>
                </wp:anchor>
              </w:drawing>
            </w:r>
          </w:p>
        </w:tc>
        <w:tc>
          <w:tcPr>
            <w:tcW w:w="4506" w:type="dxa"/>
          </w:tcPr>
          <w:p w14:paraId="72EC7EF8">
            <w:pPr>
              <w:keepNext w:val="0"/>
              <w:keepLines w:val="0"/>
              <w:suppressLineNumbers w:val="0"/>
              <w:adjustRightInd w:val="0"/>
              <w:snapToGrid w:val="0"/>
              <w:spacing w:before="0" w:beforeAutospacing="0" w:after="0" w:afterAutospacing="0" w:line="360" w:lineRule="auto"/>
              <w:ind w:left="0" w:right="0"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drawing>
                <wp:anchor distT="0" distB="0" distL="114300" distR="114300" simplePos="0" relativeHeight="251898880" behindDoc="0" locked="0" layoutInCell="1" allowOverlap="1">
                  <wp:simplePos x="0" y="0"/>
                  <wp:positionH relativeFrom="page">
                    <wp:posOffset>69850</wp:posOffset>
                  </wp:positionH>
                  <wp:positionV relativeFrom="page">
                    <wp:posOffset>94615</wp:posOffset>
                  </wp:positionV>
                  <wp:extent cx="2700020" cy="1954530"/>
                  <wp:effectExtent l="19050" t="0" r="5080" b="0"/>
                  <wp:wrapNone/>
                  <wp:docPr id="41"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45"/>
                          <pic:cNvPicPr>
                            <a:picLocks noChangeAspect="1" noChangeArrowheads="1"/>
                          </pic:cNvPicPr>
                        </pic:nvPicPr>
                        <pic:blipFill>
                          <a:blip r:embed="rId305"/>
                          <a:srcRect/>
                          <a:stretch>
                            <a:fillRect/>
                          </a:stretch>
                        </pic:blipFill>
                        <pic:spPr>
                          <a:xfrm>
                            <a:off x="0" y="0"/>
                            <a:ext cx="2700020" cy="1954530"/>
                          </a:xfrm>
                          <a:prstGeom prst="rect">
                            <a:avLst/>
                          </a:prstGeom>
                          <a:noFill/>
                          <a:ln w="9525" cmpd="sng">
                            <a:noFill/>
                            <a:miter lim="800000"/>
                            <a:headEnd/>
                            <a:tailEnd/>
                          </a:ln>
                        </pic:spPr>
                      </pic:pic>
                    </a:graphicData>
                  </a:graphic>
                </wp:anchor>
              </w:drawing>
            </w:r>
          </w:p>
        </w:tc>
      </w:tr>
      <w:tr w14:paraId="3764D1BF">
        <w:tblPrEx>
          <w:tblBorders>
            <w:top w:val="single" w:color="D7D7D7" w:sz="24" w:space="0"/>
            <w:left w:val="single" w:color="D7D7D7" w:sz="24" w:space="0"/>
            <w:bottom w:val="single" w:color="D7D7D7" w:sz="24" w:space="0"/>
            <w:right w:val="single" w:color="D7D7D7" w:sz="24" w:space="0"/>
            <w:insideH w:val="single" w:color="D7D7D7" w:sz="24" w:space="0"/>
            <w:insideV w:val="single" w:color="D7D7D7" w:sz="24" w:space="0"/>
          </w:tblBorders>
          <w:tblCellMar>
            <w:top w:w="0" w:type="dxa"/>
            <w:left w:w="0" w:type="dxa"/>
            <w:bottom w:w="0" w:type="dxa"/>
            <w:right w:w="0" w:type="dxa"/>
          </w:tblCellMar>
        </w:tblPrEx>
        <w:trPr>
          <w:trHeight w:val="488" w:hRule="atLeast"/>
          <w:jc w:val="center"/>
        </w:trPr>
        <w:tc>
          <w:tcPr>
            <w:tcW w:w="4679" w:type="dxa"/>
          </w:tcPr>
          <w:p w14:paraId="125C30DE">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检修口</w:t>
            </w:r>
          </w:p>
        </w:tc>
        <w:tc>
          <w:tcPr>
            <w:tcW w:w="4506" w:type="dxa"/>
          </w:tcPr>
          <w:p w14:paraId="7429D453">
            <w:pPr>
              <w:keepNext w:val="0"/>
              <w:keepLines w:val="0"/>
              <w:suppressLineNumbers w:val="0"/>
              <w:adjustRightInd w:val="0"/>
              <w:snapToGrid w:val="0"/>
              <w:spacing w:before="0" w:beforeAutospacing="0" w:after="0" w:afterAutospacing="0" w:line="360" w:lineRule="auto"/>
              <w:ind w:left="0" w:right="0" w:firstLine="420" w:firstLineChars="200"/>
              <w:jc w:val="center"/>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空调出回风口</w:t>
            </w:r>
          </w:p>
        </w:tc>
      </w:tr>
    </w:tbl>
    <w:p w14:paraId="1F8B112D">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96" w:name="_Toc24649"/>
      <w:r>
        <w:rPr>
          <w:rFonts w:hint="eastAsia" w:cs="仿宋_GB2312" w:asciiTheme="minorEastAsia" w:hAnsiTheme="minorEastAsia" w:eastAsiaTheme="minorEastAsia"/>
          <w:color w:val="auto"/>
          <w:szCs w:val="21"/>
          <w:highlight w:val="none"/>
        </w:rPr>
        <w:t>保护实施时间：施工完毕、验收合格后，即时进行保护。</w:t>
      </w:r>
      <w:bookmarkEnd w:id="1096"/>
    </w:p>
    <w:p w14:paraId="666C2A13">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97" w:name="_Toc30325"/>
      <w:r>
        <w:rPr>
          <w:rFonts w:hint="eastAsia" w:cs="仿宋_GB2312" w:asciiTheme="minorEastAsia" w:hAnsiTheme="minorEastAsia" w:eastAsiaTheme="minorEastAsia"/>
          <w:color w:val="auto"/>
          <w:szCs w:val="21"/>
          <w:highlight w:val="none"/>
        </w:rPr>
        <w:t>保护拆除时间：细部整改后拆除。</w:t>
      </w:r>
      <w:bookmarkEnd w:id="1097"/>
    </w:p>
    <w:p w14:paraId="0F140234">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bookmarkStart w:id="1098" w:name="_Toc4061"/>
      <w:r>
        <w:rPr>
          <w:rFonts w:hint="eastAsia" w:cs="仿宋_GB2312" w:asciiTheme="minorEastAsia" w:hAnsiTheme="minorEastAsia" w:eastAsiaTheme="minorEastAsia"/>
          <w:color w:val="auto"/>
          <w:szCs w:val="21"/>
          <w:highlight w:val="none"/>
        </w:rPr>
        <w:t>（2）产品保护</w:t>
      </w:r>
      <w:bookmarkEnd w:id="1098"/>
    </w:p>
    <w:p w14:paraId="6D6927F4">
      <w:pPr>
        <w:adjustRightInd w:val="0"/>
        <w:snapToGrid w:val="0"/>
        <w:spacing w:line="360" w:lineRule="auto"/>
        <w:ind w:firstLine="420" w:firstLineChars="200"/>
        <w:jc w:val="left"/>
        <w:outlineLvl w:val="9"/>
        <w:rPr>
          <w:rFonts w:cs="仿宋_GB2312" w:asciiTheme="minorEastAsia" w:hAnsiTheme="minorEastAsia" w:eastAsiaTheme="minorEastAsia"/>
          <w:color w:val="auto"/>
          <w:szCs w:val="21"/>
          <w:highlight w:val="none"/>
        </w:rPr>
      </w:pPr>
      <w:r>
        <w:rPr>
          <w:rFonts w:hint="eastAsia" w:cs="仿宋_GB2312" w:asciiTheme="minorEastAsia" w:hAnsiTheme="minorEastAsia" w:eastAsiaTheme="minorEastAsia"/>
          <w:color w:val="auto"/>
          <w:szCs w:val="21"/>
          <w:highlight w:val="none"/>
        </w:rPr>
        <w:t>淋浴房反坎及地暖集分水器采用多层板盒进行保护，空调室内机出风回风口及检修口采用石膏板或原包装纸板由安装单位进行保护，灯具采用原包装及美纹纸进行保护。</w:t>
      </w:r>
    </w:p>
    <w:p w14:paraId="35CA8CB1">
      <w:pPr>
        <w:adjustRightInd w:val="0"/>
        <w:snapToGrid w:val="0"/>
        <w:spacing w:line="360" w:lineRule="auto"/>
        <w:ind w:firstLine="420" w:firstLineChars="200"/>
        <w:jc w:val="left"/>
        <w:outlineLvl w:val="9"/>
        <w:rPr>
          <w:rFonts w:cs="黑体" w:asciiTheme="minorEastAsia" w:hAnsiTheme="minorEastAsia" w:eastAsiaTheme="minorEastAsia"/>
          <w:color w:val="auto"/>
          <w:kern w:val="0"/>
          <w:szCs w:val="21"/>
          <w:highlight w:val="none"/>
        </w:rPr>
      </w:pPr>
      <w:r>
        <w:rPr>
          <w:rFonts w:hint="eastAsia" w:cs="黑体" w:asciiTheme="minorEastAsia" w:hAnsiTheme="minorEastAsia" w:eastAsiaTheme="minorEastAsia"/>
          <w:color w:val="auto"/>
          <w:kern w:val="0"/>
          <w:szCs w:val="21"/>
          <w:highlight w:val="none"/>
        </w:rPr>
        <w:t>六、附则</w:t>
      </w:r>
    </w:p>
    <w:p w14:paraId="4676A908">
      <w:pPr>
        <w:adjustRightInd w:val="0"/>
        <w:snapToGrid w:val="0"/>
        <w:spacing w:line="360" w:lineRule="auto"/>
        <w:ind w:firstLine="420" w:firstLineChars="200"/>
        <w:jc w:val="left"/>
        <w:outlineLvl w:val="9"/>
        <w:rPr>
          <w:rFonts w:cs="仿宋_GB2312" w:asciiTheme="minorEastAsia" w:hAnsiTheme="minorEastAsia" w:eastAsiaTheme="minorEastAsia"/>
          <w:color w:val="auto"/>
          <w:kern w:val="0"/>
          <w:szCs w:val="21"/>
          <w:highlight w:val="none"/>
        </w:rPr>
      </w:pPr>
      <w:r>
        <w:rPr>
          <w:rFonts w:hint="eastAsia" w:cs="仿宋_GB2312" w:asciiTheme="minorEastAsia" w:hAnsiTheme="minorEastAsia" w:eastAsiaTheme="minorEastAsia"/>
          <w:color w:val="auto"/>
          <w:kern w:val="0"/>
          <w:szCs w:val="21"/>
          <w:highlight w:val="none"/>
        </w:rPr>
        <w:t>1.本实施细则由工程管理部负责解释；</w:t>
      </w:r>
    </w:p>
    <w:p w14:paraId="4D14AD63">
      <w:pPr>
        <w:adjustRightInd w:val="0"/>
        <w:snapToGrid w:val="0"/>
        <w:spacing w:line="360" w:lineRule="auto"/>
        <w:ind w:firstLine="420" w:firstLineChars="200"/>
        <w:jc w:val="left"/>
        <w:outlineLvl w:val="9"/>
        <w:rPr>
          <w:rFonts w:cs="仿宋_GB2312" w:asciiTheme="minorEastAsia" w:hAnsiTheme="minorEastAsia" w:eastAsiaTheme="minorEastAsia"/>
          <w:color w:val="auto"/>
          <w:kern w:val="0"/>
          <w:szCs w:val="21"/>
          <w:highlight w:val="none"/>
        </w:rPr>
      </w:pPr>
      <w:r>
        <w:rPr>
          <w:rFonts w:hint="eastAsia" w:cs="仿宋_GB2312" w:asciiTheme="minorEastAsia" w:hAnsiTheme="minorEastAsia" w:eastAsiaTheme="minorEastAsia"/>
          <w:color w:val="auto"/>
          <w:kern w:val="0"/>
          <w:szCs w:val="21"/>
          <w:highlight w:val="none"/>
        </w:rPr>
        <w:t>2.本实施细则适用于经发地产及全资子公司、代管公司；</w:t>
      </w:r>
    </w:p>
    <w:p w14:paraId="143C6021">
      <w:pPr>
        <w:adjustRightInd w:val="0"/>
        <w:snapToGrid w:val="0"/>
        <w:spacing w:line="360" w:lineRule="auto"/>
        <w:ind w:firstLine="420" w:firstLineChars="200"/>
        <w:jc w:val="left"/>
        <w:outlineLvl w:val="9"/>
        <w:rPr>
          <w:rFonts w:cs="宋体" w:asciiTheme="minorEastAsia" w:hAnsiTheme="minorEastAsia" w:eastAsiaTheme="minorEastAsia"/>
          <w:color w:val="auto"/>
          <w:szCs w:val="21"/>
          <w:highlight w:val="none"/>
        </w:rPr>
        <w:sectPr>
          <w:pgSz w:w="12240" w:h="15840"/>
          <w:pgMar w:top="1440" w:right="1440" w:bottom="1440" w:left="1440" w:header="720" w:footer="720" w:gutter="0"/>
          <w:pgBorders>
            <w:top w:val="none" w:sz="0" w:space="0"/>
            <w:left w:val="none" w:sz="0" w:space="0"/>
            <w:bottom w:val="none" w:sz="0" w:space="0"/>
            <w:right w:val="none" w:sz="0" w:space="0"/>
          </w:pgBorders>
          <w:cols w:space="0" w:num="1"/>
          <w:titlePg/>
        </w:sectPr>
      </w:pPr>
      <w:r>
        <w:rPr>
          <w:rFonts w:hint="eastAsia" w:cs="仿宋_GB2312" w:asciiTheme="minorEastAsia" w:hAnsiTheme="minorEastAsia" w:eastAsiaTheme="minorEastAsia"/>
          <w:color w:val="auto"/>
          <w:szCs w:val="21"/>
          <w:highlight w:val="none"/>
        </w:rPr>
        <w:t>3.本实施细则自正式印发之日起执行，原制度规定与本实施细则不一致的，以本细则为准。</w:t>
      </w:r>
    </w:p>
    <w:p w14:paraId="6930F5A1">
      <w:pPr>
        <w:adjustRightInd w:val="0"/>
        <w:snapToGrid w:val="0"/>
        <w:spacing w:line="360" w:lineRule="auto"/>
        <w:ind w:firstLine="643"/>
        <w:jc w:val="both"/>
        <w:outlineLvl w:val="9"/>
        <w:rPr>
          <w:rFonts w:hint="eastAsia" w:cs="宋体" w:asciiTheme="minorEastAsia" w:hAnsiTheme="minorEastAsia" w:eastAsiaTheme="minorEastAsia"/>
          <w:b/>
          <w:color w:val="auto"/>
          <w:szCs w:val="21"/>
          <w:highlight w:val="none"/>
          <w:lang w:eastAsia="zh-CN"/>
        </w:rPr>
      </w:pPr>
      <w:r>
        <w:rPr>
          <w:rFonts w:hint="eastAsia" w:cs="宋体" w:asciiTheme="minorEastAsia" w:hAnsiTheme="minorEastAsia" w:eastAsiaTheme="minorEastAsia"/>
          <w:b/>
          <w:color w:val="auto"/>
          <w:szCs w:val="21"/>
          <w:highlight w:val="none"/>
          <w:lang w:eastAsia="zh-CN"/>
        </w:rPr>
        <w:t>附件四十六：</w:t>
      </w:r>
    </w:p>
    <w:p w14:paraId="320F7A3D">
      <w:pPr>
        <w:pageBreakBefore w:val="0"/>
        <w:kinsoku/>
        <w:wordWrap/>
        <w:overflowPunct/>
        <w:topLinePunct w:val="0"/>
        <w:autoSpaceDE/>
        <w:autoSpaceDN/>
        <w:bidi w:val="0"/>
        <w:adjustRightInd w:val="0"/>
        <w:snapToGrid w:val="0"/>
        <w:spacing w:line="360" w:lineRule="auto"/>
        <w:ind w:left="0" w:leftChars="0" w:firstLine="422" w:firstLineChars="200"/>
        <w:jc w:val="center"/>
        <w:textAlignment w:val="auto"/>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设计任务书</w:t>
      </w:r>
    </w:p>
    <w:p w14:paraId="4098F112">
      <w:pPr>
        <w:pStyle w:val="52"/>
        <w:jc w:val="center"/>
        <w:rPr>
          <w:u w:val="none" w:color="auto"/>
          <w:lang w:eastAsia="zh-CN"/>
        </w:rPr>
      </w:pPr>
      <w:r>
        <w:rPr>
          <w:rFonts w:hint="eastAsia"/>
          <w:u w:val="none" w:color="auto"/>
          <w:lang w:eastAsia="zh-CN"/>
        </w:rPr>
        <w:t>白桦林观澜、白桦林泊岸</w:t>
      </w:r>
      <w:r>
        <w:rPr>
          <w:u w:val="none" w:color="auto"/>
          <w:lang w:eastAsia="zh-CN"/>
        </w:rPr>
        <w:t>项目方案深化设计部分任务书</w:t>
      </w:r>
    </w:p>
    <w:p w14:paraId="05326C62">
      <w:pPr>
        <w:spacing w:before="312" w:line="222" w:lineRule="auto"/>
        <w:jc w:val="center"/>
        <w:rPr>
          <w:rFonts w:cs="宋体"/>
          <w:sz w:val="36"/>
          <w:szCs w:val="36"/>
          <w:u w:val="none" w:color="auto"/>
          <w:lang w:eastAsia="zh-CN"/>
        </w:rPr>
      </w:pPr>
      <w:r>
        <w:rPr>
          <w:rFonts w:cs="宋体"/>
          <w:b/>
          <w:bCs/>
          <w:spacing w:val="-25"/>
          <w:sz w:val="36"/>
          <w:szCs w:val="36"/>
          <w:u w:val="none" w:color="auto"/>
          <w:lang w:eastAsia="zh-CN"/>
        </w:rPr>
        <w:t>目录</w:t>
      </w:r>
    </w:p>
    <w:p w14:paraId="3DF4A1CB">
      <w:pPr>
        <w:rPr>
          <w:u w:val="none" w:color="auto"/>
          <w:lang w:eastAsia="zh-CN"/>
        </w:rPr>
      </w:pPr>
      <w:r>
        <w:rPr>
          <w:u w:val="none" w:color="auto"/>
          <w:lang w:eastAsia="zh-CN"/>
        </w:rPr>
        <w:t>第一部分：概况及设计定位</w:t>
      </w:r>
    </w:p>
    <w:p w14:paraId="647FCC7A">
      <w:pPr>
        <w:rPr>
          <w:u w:val="none" w:color="auto"/>
          <w:lang w:eastAsia="zh-CN"/>
        </w:rPr>
      </w:pPr>
    </w:p>
    <w:p w14:paraId="58DA46EE">
      <w:pPr>
        <w:rPr>
          <w:u w:val="none" w:color="auto"/>
          <w:lang w:eastAsia="zh-CN"/>
        </w:rPr>
      </w:pPr>
      <w:r>
        <w:rPr>
          <w:rFonts w:hint="eastAsia"/>
          <w:u w:val="none" w:color="auto"/>
          <w:lang w:eastAsia="zh-CN"/>
        </w:rPr>
        <w:t>一</w:t>
      </w:r>
      <w:r>
        <w:rPr>
          <w:u w:val="none" w:color="auto"/>
          <w:lang w:eastAsia="zh-CN"/>
        </w:rPr>
        <w:t xml:space="preserve"> 、</w:t>
      </w:r>
      <w:r>
        <w:rPr>
          <w:u w:val="none" w:color="auto"/>
          <w:lang w:eastAsia="zh-CN"/>
        </w:rPr>
        <w:tab/>
      </w:r>
      <w:r>
        <w:rPr>
          <w:u w:val="none" w:color="auto"/>
          <w:lang w:eastAsia="zh-CN"/>
        </w:rPr>
        <w:t>项目概况</w:t>
      </w:r>
    </w:p>
    <w:p w14:paraId="30CE4C49">
      <w:pPr>
        <w:rPr>
          <w:u w:val="none" w:color="auto"/>
          <w:lang w:eastAsia="zh-CN"/>
        </w:rPr>
      </w:pPr>
      <w:r>
        <w:rPr>
          <w:rFonts w:hint="eastAsia"/>
          <w:u w:val="none" w:color="auto"/>
          <w:lang w:eastAsia="zh-CN"/>
        </w:rPr>
        <w:t>二、</w:t>
      </w:r>
      <w:r>
        <w:rPr>
          <w:u w:val="none" w:color="auto"/>
          <w:lang w:eastAsia="zh-CN"/>
        </w:rPr>
        <w:tab/>
      </w:r>
      <w:r>
        <w:rPr>
          <w:u w:val="none" w:color="auto"/>
          <w:lang w:eastAsia="zh-CN"/>
        </w:rPr>
        <w:t>设计依据</w:t>
      </w:r>
    </w:p>
    <w:p w14:paraId="5A0B8139">
      <w:pPr>
        <w:rPr>
          <w:u w:val="none" w:color="auto"/>
          <w:lang w:eastAsia="zh-CN"/>
        </w:rPr>
      </w:pPr>
      <w:r>
        <w:rPr>
          <w:rFonts w:hint="eastAsia"/>
          <w:u w:val="none" w:color="auto"/>
          <w:lang w:eastAsia="zh-CN"/>
        </w:rPr>
        <w:t>三、</w:t>
      </w:r>
      <w:r>
        <w:rPr>
          <w:u w:val="none" w:color="auto"/>
          <w:lang w:eastAsia="zh-CN"/>
        </w:rPr>
        <w:tab/>
      </w:r>
      <w:r>
        <w:rPr>
          <w:u w:val="none" w:color="auto"/>
          <w:lang w:eastAsia="zh-CN"/>
        </w:rPr>
        <w:t>项目发展目标</w:t>
      </w:r>
    </w:p>
    <w:p w14:paraId="7E0AE799">
      <w:pPr>
        <w:rPr>
          <w:u w:val="none" w:color="auto"/>
          <w:lang w:eastAsia="zh-CN"/>
        </w:rPr>
      </w:pPr>
      <w:r>
        <w:rPr>
          <w:rFonts w:hint="eastAsia"/>
          <w:u w:val="none" w:color="auto"/>
          <w:lang w:eastAsia="zh-CN"/>
        </w:rPr>
        <w:t>四、</w:t>
      </w:r>
      <w:r>
        <w:rPr>
          <w:u w:val="none" w:color="auto"/>
          <w:lang w:eastAsia="zh-CN"/>
        </w:rPr>
        <w:tab/>
      </w:r>
      <w:r>
        <w:rPr>
          <w:u w:val="none" w:color="auto"/>
          <w:lang w:eastAsia="zh-CN"/>
        </w:rPr>
        <w:t>项目定位</w:t>
      </w:r>
    </w:p>
    <w:p w14:paraId="3885C144">
      <w:pPr>
        <w:rPr>
          <w:u w:val="none" w:color="auto"/>
          <w:lang w:eastAsia="zh-CN"/>
        </w:rPr>
      </w:pPr>
      <w:r>
        <w:rPr>
          <w:rFonts w:hint="eastAsia"/>
          <w:u w:val="none" w:color="auto"/>
          <w:lang w:eastAsia="zh-CN"/>
        </w:rPr>
        <w:t>五、</w:t>
      </w:r>
      <w:r>
        <w:rPr>
          <w:u w:val="none" w:color="auto"/>
          <w:lang w:eastAsia="zh-CN"/>
        </w:rPr>
        <w:tab/>
      </w:r>
      <w:r>
        <w:rPr>
          <w:u w:val="none" w:color="auto"/>
          <w:lang w:eastAsia="zh-CN"/>
        </w:rPr>
        <w:t>规划及设计建议</w:t>
      </w:r>
    </w:p>
    <w:p w14:paraId="11C8ED04">
      <w:pPr>
        <w:rPr>
          <w:u w:val="none" w:color="auto"/>
          <w:lang w:eastAsia="zh-CN"/>
        </w:rPr>
      </w:pPr>
      <w:r>
        <w:rPr>
          <w:rFonts w:hint="eastAsia"/>
          <w:u w:val="none" w:color="auto"/>
          <w:lang w:eastAsia="zh-CN"/>
        </w:rPr>
        <w:t>六、</w:t>
      </w:r>
      <w:r>
        <w:rPr>
          <w:u w:val="none" w:color="auto"/>
          <w:lang w:eastAsia="zh-CN"/>
        </w:rPr>
        <w:tab/>
      </w:r>
      <w:r>
        <w:rPr>
          <w:u w:val="none" w:color="auto"/>
          <w:lang w:eastAsia="zh-CN"/>
        </w:rPr>
        <w:t>项目定位版交付标准</w:t>
      </w:r>
    </w:p>
    <w:p w14:paraId="7FBC02B9">
      <w:pPr>
        <w:rPr>
          <w:u w:val="none" w:color="auto"/>
          <w:lang w:eastAsia="zh-CN"/>
        </w:rPr>
      </w:pPr>
      <w:r>
        <w:rPr>
          <w:rFonts w:hint="eastAsia"/>
          <w:u w:val="none" w:color="auto"/>
          <w:lang w:eastAsia="zh-CN"/>
        </w:rPr>
        <w:t>七、</w:t>
      </w:r>
      <w:r>
        <w:rPr>
          <w:u w:val="none" w:color="auto"/>
          <w:lang w:eastAsia="zh-CN"/>
        </w:rPr>
        <w:tab/>
      </w:r>
      <w:r>
        <w:rPr>
          <w:u w:val="none" w:color="auto"/>
          <w:lang w:eastAsia="zh-CN"/>
        </w:rPr>
        <w:t>设计原则及建议</w:t>
      </w:r>
    </w:p>
    <w:p w14:paraId="5A27D343">
      <w:pPr>
        <w:rPr>
          <w:u w:val="none" w:color="auto"/>
          <w:lang w:eastAsia="zh-CN"/>
        </w:rPr>
      </w:pPr>
    </w:p>
    <w:p w14:paraId="7D715090">
      <w:pPr>
        <w:rPr>
          <w:u w:val="none" w:color="auto"/>
          <w:lang w:eastAsia="zh-CN"/>
        </w:rPr>
      </w:pPr>
      <w:r>
        <w:rPr>
          <w:u w:val="none" w:color="auto"/>
          <w:lang w:eastAsia="zh-CN"/>
        </w:rPr>
        <w:t>第二部分：建筑方案</w:t>
      </w:r>
      <w:r>
        <w:rPr>
          <w:rFonts w:hint="eastAsia"/>
          <w:u w:val="none" w:color="auto"/>
          <w:lang w:eastAsia="zh-CN"/>
        </w:rPr>
        <w:t>深化</w:t>
      </w:r>
      <w:r>
        <w:rPr>
          <w:u w:val="none" w:color="auto"/>
          <w:lang w:eastAsia="zh-CN"/>
        </w:rPr>
        <w:t>设计要求（包括但不限于以下内容）</w:t>
      </w:r>
    </w:p>
    <w:p w14:paraId="77D2445C">
      <w:pPr>
        <w:rPr>
          <w:u w:val="none" w:color="auto"/>
          <w:lang w:eastAsia="zh-CN"/>
        </w:rPr>
      </w:pPr>
      <w:r>
        <w:rPr>
          <w:u w:val="none" w:color="auto"/>
          <w:lang w:eastAsia="zh-CN"/>
        </w:rPr>
        <w:t>一、   设计总则</w:t>
      </w:r>
    </w:p>
    <w:p w14:paraId="2F1BAB1F">
      <w:pPr>
        <w:rPr>
          <w:u w:val="none" w:color="auto"/>
          <w:lang w:eastAsia="zh-CN"/>
        </w:rPr>
      </w:pPr>
      <w:r>
        <w:rPr>
          <w:u w:val="none" w:color="auto"/>
          <w:lang w:eastAsia="zh-CN"/>
        </w:rPr>
        <w:t>二、   用地规划指标</w:t>
      </w:r>
    </w:p>
    <w:p w14:paraId="2B6794F6">
      <w:pPr>
        <w:rPr>
          <w:u w:val="none" w:color="auto"/>
          <w:lang w:eastAsia="zh-CN"/>
        </w:rPr>
      </w:pPr>
      <w:r>
        <w:rPr>
          <w:u w:val="none" w:color="auto"/>
          <w:lang w:eastAsia="zh-CN"/>
        </w:rPr>
        <w:t>三、   配套设施规划要求</w:t>
      </w:r>
    </w:p>
    <w:p w14:paraId="33ABFEC8">
      <w:pPr>
        <w:rPr>
          <w:u w:val="none" w:color="auto"/>
          <w:lang w:eastAsia="zh-CN"/>
        </w:rPr>
      </w:pPr>
      <w:r>
        <w:rPr>
          <w:u w:val="none" w:color="auto"/>
          <w:lang w:eastAsia="zh-CN"/>
        </w:rPr>
        <w:t>四、   总体规划</w:t>
      </w:r>
    </w:p>
    <w:p w14:paraId="55F5064F">
      <w:pPr>
        <w:rPr>
          <w:u w:val="none" w:color="auto"/>
          <w:lang w:eastAsia="zh-CN"/>
        </w:rPr>
      </w:pPr>
      <w:r>
        <w:rPr>
          <w:u w:val="none" w:color="auto"/>
          <w:lang w:eastAsia="zh-CN"/>
        </w:rPr>
        <w:t>五、   建筑单体设计</w:t>
      </w:r>
    </w:p>
    <w:p w14:paraId="55B65BC7">
      <w:pPr>
        <w:rPr>
          <w:u w:val="none" w:color="auto"/>
          <w:lang w:eastAsia="zh-CN"/>
        </w:rPr>
      </w:pPr>
      <w:r>
        <w:rPr>
          <w:u w:val="none" w:color="auto"/>
          <w:lang w:eastAsia="zh-CN"/>
        </w:rPr>
        <w:t>1、    住宅产品：</w:t>
      </w:r>
    </w:p>
    <w:p w14:paraId="6E35244A">
      <w:pPr>
        <w:rPr>
          <w:u w:val="none" w:color="auto"/>
          <w:lang w:eastAsia="zh-CN"/>
        </w:rPr>
      </w:pPr>
      <w:r>
        <w:rPr>
          <w:u w:val="none" w:color="auto"/>
          <w:lang w:eastAsia="zh-CN"/>
        </w:rPr>
        <w:t>2、    社区型商业：</w:t>
      </w:r>
    </w:p>
    <w:p w14:paraId="1E2CC1F1">
      <w:pPr>
        <w:rPr>
          <w:u w:val="none" w:color="auto"/>
          <w:lang w:eastAsia="zh-CN"/>
        </w:rPr>
      </w:pPr>
      <w:r>
        <w:rPr>
          <w:u w:val="none" w:color="auto"/>
          <w:lang w:eastAsia="zh-CN"/>
        </w:rPr>
        <w:t>3、    配套设施：</w:t>
      </w:r>
    </w:p>
    <w:p w14:paraId="17E6877C">
      <w:pPr>
        <w:rPr>
          <w:u w:val="none" w:color="auto"/>
          <w:lang w:eastAsia="zh-CN"/>
        </w:rPr>
      </w:pPr>
      <w:r>
        <w:rPr>
          <w:u w:val="none" w:color="auto"/>
          <w:lang w:eastAsia="zh-CN"/>
        </w:rPr>
        <w:t>六、   建筑立面</w:t>
      </w:r>
    </w:p>
    <w:p w14:paraId="3B6893F5">
      <w:pPr>
        <w:rPr>
          <w:u w:val="none" w:color="auto"/>
          <w:lang w:eastAsia="zh-CN"/>
        </w:rPr>
      </w:pPr>
      <w:r>
        <w:rPr>
          <w:u w:val="none" w:color="auto"/>
          <w:lang w:eastAsia="zh-CN"/>
        </w:rPr>
        <w:t>七、   景观设计</w:t>
      </w:r>
    </w:p>
    <w:p w14:paraId="7A695413">
      <w:pPr>
        <w:rPr>
          <w:u w:val="none" w:color="auto"/>
          <w:lang w:eastAsia="zh-CN"/>
        </w:rPr>
      </w:pPr>
      <w:r>
        <w:rPr>
          <w:u w:val="none" w:color="auto"/>
          <w:lang w:eastAsia="zh-CN"/>
        </w:rPr>
        <w:t>八、   绿色环保</w:t>
      </w:r>
    </w:p>
    <w:p w14:paraId="40929772">
      <w:pPr>
        <w:rPr>
          <w:u w:val="none" w:color="auto"/>
          <w:lang w:eastAsia="zh-CN"/>
        </w:rPr>
      </w:pPr>
      <w:r>
        <w:rPr>
          <w:u w:val="none" w:color="auto"/>
          <w:lang w:eastAsia="zh-CN"/>
        </w:rPr>
        <w:t>九、   智能科技及智能化系统的应用</w:t>
      </w:r>
    </w:p>
    <w:p w14:paraId="1D1F0213">
      <w:pPr>
        <w:rPr>
          <w:u w:val="none" w:color="auto"/>
          <w:lang w:eastAsia="zh-CN"/>
        </w:rPr>
      </w:pPr>
      <w:r>
        <w:rPr>
          <w:u w:val="none" w:color="auto"/>
          <w:lang w:eastAsia="zh-CN"/>
        </w:rPr>
        <w:t>十、   方案深化设计成果</w:t>
      </w:r>
    </w:p>
    <w:p w14:paraId="6450FDFE">
      <w:pPr>
        <w:rPr>
          <w:u w:val="none" w:color="auto"/>
          <w:lang w:eastAsia="zh-CN"/>
        </w:rPr>
      </w:pPr>
      <w:r>
        <w:rPr>
          <w:u w:val="none" w:color="auto"/>
          <w:lang w:eastAsia="zh-CN"/>
        </w:rPr>
        <w:t>十一、 后续配合设计成果</w:t>
      </w:r>
    </w:p>
    <w:p w14:paraId="21E6C4DC">
      <w:pPr>
        <w:pStyle w:val="22"/>
        <w:spacing w:line="275" w:lineRule="auto"/>
        <w:rPr>
          <w:rFonts w:eastAsiaTheme="minorEastAsia"/>
          <w:u w:val="none" w:color="auto"/>
          <w:lang w:eastAsia="zh-CN"/>
        </w:rPr>
      </w:pPr>
    </w:p>
    <w:p w14:paraId="01E4BB9D">
      <w:pPr>
        <w:pStyle w:val="22"/>
        <w:spacing w:line="275" w:lineRule="auto"/>
        <w:rPr>
          <w:rFonts w:eastAsiaTheme="minorEastAsia"/>
          <w:u w:val="none" w:color="auto"/>
          <w:lang w:eastAsia="zh-CN"/>
        </w:rPr>
      </w:pPr>
    </w:p>
    <w:p w14:paraId="793C28A7">
      <w:pPr>
        <w:pStyle w:val="2"/>
        <w:rPr>
          <w:u w:val="none" w:color="auto"/>
          <w:lang w:eastAsia="zh-CN"/>
        </w:rPr>
      </w:pPr>
      <w:r>
        <w:rPr>
          <w:u w:val="none" w:color="auto"/>
          <w:lang w:eastAsia="zh-CN"/>
        </w:rPr>
        <w:t>第一部分 概况及定位</w:t>
      </w:r>
    </w:p>
    <w:p w14:paraId="7CC6FA75">
      <w:pPr>
        <w:pStyle w:val="3"/>
        <w:ind w:firstLine="565" w:firstLineChars="176"/>
        <w:rPr>
          <w:u w:val="none" w:color="auto"/>
          <w:lang w:eastAsia="zh-CN"/>
        </w:rPr>
      </w:pPr>
      <w:r>
        <w:rPr>
          <w:u w:val="none" w:color="auto"/>
          <w:lang w:eastAsia="zh-CN"/>
        </w:rPr>
        <w:t>一、项目概况</w:t>
      </w:r>
    </w:p>
    <w:p w14:paraId="49BC7381">
      <w:pPr>
        <w:ind w:firstLine="369" w:firstLineChars="176"/>
        <w:rPr>
          <w:u w:val="none" w:color="auto"/>
          <w:lang w:eastAsia="zh-CN"/>
        </w:rPr>
      </w:pPr>
      <w:r>
        <w:rPr>
          <w:u w:val="none" w:color="auto"/>
          <w:lang w:eastAsia="zh-CN"/>
        </w:rPr>
        <w:t>1.项目区位</w:t>
      </w:r>
    </w:p>
    <w:p w14:paraId="5AC74261">
      <w:pPr>
        <w:ind w:firstLine="422" w:firstLineChars="176"/>
        <w:rPr>
          <w:u w:val="none" w:color="auto"/>
          <w:lang w:eastAsia="zh-CN"/>
        </w:rPr>
      </w:pPr>
      <w:r>
        <w:rPr>
          <w:rFonts w:asciiTheme="minorEastAsia" w:hAnsiTheme="minorEastAsia" w:eastAsiaTheme="minorEastAsia"/>
          <w:bCs/>
          <w:color w:val="000000" w:themeColor="text1"/>
          <w:sz w:val="24"/>
          <w:u w:val="none" w:color="auto"/>
          <w14:textFill>
            <w14:solidFill>
              <w14:schemeClr w14:val="tx1"/>
            </w14:solidFill>
          </w14:textFill>
        </w:rPr>
        <w:t>中国·</w:t>
      </w:r>
      <w:r>
        <w:rPr>
          <w:rFonts w:hint="eastAsia" w:asciiTheme="minorEastAsia" w:hAnsiTheme="minorEastAsia" w:eastAsiaTheme="minorEastAsia"/>
          <w:bCs/>
          <w:color w:val="000000" w:themeColor="text1"/>
          <w:sz w:val="24"/>
          <w:u w:val="none" w:color="auto"/>
          <w14:textFill>
            <w14:solidFill>
              <w14:schemeClr w14:val="tx1"/>
            </w14:solidFill>
          </w14:textFill>
        </w:rPr>
        <w:t>西安市</w:t>
      </w:r>
      <w:r>
        <w:rPr>
          <w:rFonts w:asciiTheme="minorEastAsia" w:hAnsiTheme="minorEastAsia" w:eastAsiaTheme="minorEastAsia"/>
          <w:bCs/>
          <w:color w:val="000000" w:themeColor="text1"/>
          <w:sz w:val="24"/>
          <w:u w:val="none" w:color="auto"/>
          <w14:textFill>
            <w14:solidFill>
              <w14:schemeClr w14:val="tx1"/>
            </w14:solidFill>
          </w14:textFill>
        </w:rPr>
        <w:t>·</w:t>
      </w:r>
      <w:r>
        <w:rPr>
          <w:rFonts w:hint="eastAsia" w:asciiTheme="minorEastAsia" w:hAnsiTheme="minorEastAsia" w:eastAsiaTheme="minorEastAsia"/>
          <w:bCs/>
          <w:color w:val="000000" w:themeColor="text1"/>
          <w:sz w:val="24"/>
          <w:u w:val="none" w:color="auto"/>
          <w14:textFill>
            <w14:solidFill>
              <w14:schemeClr w14:val="tx1"/>
            </w14:solidFill>
          </w14:textFill>
        </w:rPr>
        <w:t>经开区高铁新城明光路</w:t>
      </w:r>
      <w:r>
        <w:rPr>
          <w:rFonts w:hint="eastAsia" w:asciiTheme="minorEastAsia" w:hAnsiTheme="minorEastAsia" w:eastAsiaTheme="minorEastAsia"/>
          <w:bCs/>
          <w:color w:val="000000" w:themeColor="text1"/>
          <w:sz w:val="24"/>
          <w:u w:val="none" w:color="auto"/>
          <w:lang w:val="en-US" w:eastAsia="zh-CN"/>
          <w14:textFill>
            <w14:solidFill>
              <w14:schemeClr w14:val="tx1"/>
            </w14:solidFill>
          </w14:textFill>
        </w:rPr>
        <w:t>东侧规划路</w:t>
      </w:r>
      <w:r>
        <w:rPr>
          <w:rFonts w:hint="eastAsia" w:asciiTheme="minorEastAsia" w:hAnsiTheme="minorEastAsia" w:eastAsiaTheme="minorEastAsia"/>
          <w:bCs/>
          <w:color w:val="000000" w:themeColor="text1"/>
          <w:sz w:val="24"/>
          <w:u w:val="none" w:color="auto"/>
          <w14:textFill>
            <w14:solidFill>
              <w14:schemeClr w14:val="tx1"/>
            </w14:solidFill>
          </w14:textFill>
        </w:rPr>
        <w:t>以东、滨河大道（河堤路）以南</w:t>
      </w:r>
      <w:r>
        <w:rPr>
          <w:u w:val="none" w:color="auto"/>
          <w:lang w:eastAsia="zh-CN"/>
        </w:rPr>
        <w:t>。</w:t>
      </w:r>
    </w:p>
    <w:p w14:paraId="4CDFC21C">
      <w:pPr>
        <w:pStyle w:val="22"/>
        <w:spacing w:line="251" w:lineRule="auto"/>
        <w:ind w:firstLine="422" w:firstLineChars="176"/>
        <w:rPr>
          <w:u w:val="none" w:color="auto"/>
          <w:lang w:eastAsia="zh-CN"/>
        </w:rPr>
      </w:pPr>
      <w:r>
        <w:rPr>
          <w:rFonts w:asciiTheme="minorEastAsia" w:hAnsiTheme="minorEastAsia" w:eastAsiaTheme="minorEastAsia"/>
          <w:sz w:val="24"/>
          <w:u w:val="single" w:color="FF0000"/>
        </w:rPr>
        <w:drawing>
          <wp:inline distT="0" distB="0" distL="0" distR="0">
            <wp:extent cx="4034790" cy="3649980"/>
            <wp:effectExtent l="0" t="0" r="3810" b="7620"/>
            <wp:docPr id="9" name="图片 9" descr="E:\经发\15 白桦林泊岸 观澜\03 成果图纸\20250511 团购\方案册\20250511团购汇报文件-end_页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经发\15 白桦林泊岸 观澜\03 成果图纸\20250511 团购\方案册\20250511团购汇报文件-end_页面_03.jpg"/>
                    <pic:cNvPicPr>
                      <a:picLocks noChangeAspect="1" noChangeArrowheads="1"/>
                    </pic:cNvPicPr>
                  </pic:nvPicPr>
                  <pic:blipFill>
                    <a:blip r:embed="rId306" cstate="print"/>
                    <a:srcRect r="36941"/>
                    <a:stretch>
                      <a:fillRect/>
                    </a:stretch>
                  </pic:blipFill>
                  <pic:spPr>
                    <a:xfrm>
                      <a:off x="0" y="0"/>
                      <a:ext cx="4031838" cy="3647335"/>
                    </a:xfrm>
                    <a:prstGeom prst="rect">
                      <a:avLst/>
                    </a:prstGeom>
                    <a:noFill/>
                    <a:ln w="9525">
                      <a:noFill/>
                      <a:miter lim="800000"/>
                      <a:headEnd/>
                      <a:tailEnd/>
                    </a:ln>
                  </pic:spPr>
                </pic:pic>
              </a:graphicData>
            </a:graphic>
          </wp:inline>
        </w:drawing>
      </w:r>
    </w:p>
    <w:p w14:paraId="53E4B4F8">
      <w:pPr>
        <w:ind w:firstLine="369" w:firstLineChars="176"/>
        <w:rPr>
          <w:u w:val="none" w:color="auto"/>
          <w:lang w:eastAsia="zh-CN"/>
        </w:rPr>
      </w:pPr>
      <w:r>
        <w:rPr>
          <w:u w:val="none" w:color="auto"/>
          <w:lang w:eastAsia="zh-CN"/>
        </w:rPr>
        <w:t>2.规划指标</w:t>
      </w:r>
    </w:p>
    <w:p w14:paraId="5941BEB8">
      <w:pPr>
        <w:ind w:firstLine="369" w:firstLineChars="176"/>
        <w:rPr>
          <w:u w:val="none" w:color="auto"/>
          <w:lang w:eastAsia="zh-CN"/>
        </w:rPr>
      </w:pPr>
      <w:r>
        <w:rPr>
          <w:rFonts w:hint="eastAsia"/>
          <w:u w:val="none" w:color="auto"/>
          <w:lang w:eastAsia="zh-CN"/>
        </w:rPr>
        <w:t>白桦林观澜、白桦林泊岸</w:t>
      </w:r>
      <w:r>
        <w:rPr>
          <w:u w:val="none" w:color="auto"/>
          <w:lang w:eastAsia="zh-CN"/>
        </w:rPr>
        <w:t>项目位于西安市</w:t>
      </w:r>
      <w:r>
        <w:rPr>
          <w:rFonts w:hint="eastAsia" w:asciiTheme="minorEastAsia" w:hAnsiTheme="minorEastAsia" w:eastAsiaTheme="minorEastAsia"/>
          <w:bCs/>
          <w:color w:val="000000" w:themeColor="text1"/>
          <w:sz w:val="24"/>
          <w:u w:val="none" w:color="auto"/>
          <w14:textFill>
            <w14:solidFill>
              <w14:schemeClr w14:val="tx1"/>
            </w14:solidFill>
          </w14:textFill>
        </w:rPr>
        <w:t>经开区高铁新城明光路</w:t>
      </w:r>
      <w:r>
        <w:rPr>
          <w:rFonts w:hint="eastAsia" w:asciiTheme="minorEastAsia" w:hAnsiTheme="minorEastAsia" w:eastAsiaTheme="minorEastAsia"/>
          <w:bCs/>
          <w:color w:val="000000" w:themeColor="text1"/>
          <w:sz w:val="24"/>
          <w:u w:val="none" w:color="auto"/>
          <w:lang w:val="en-US" w:eastAsia="zh-CN"/>
          <w14:textFill>
            <w14:solidFill>
              <w14:schemeClr w14:val="tx1"/>
            </w14:solidFill>
          </w14:textFill>
        </w:rPr>
        <w:t>东侧规划路</w:t>
      </w:r>
      <w:r>
        <w:rPr>
          <w:rFonts w:hint="eastAsia" w:asciiTheme="minorEastAsia" w:hAnsiTheme="minorEastAsia" w:eastAsiaTheme="minorEastAsia"/>
          <w:bCs/>
          <w:color w:val="000000" w:themeColor="text1"/>
          <w:sz w:val="24"/>
          <w:u w:val="none" w:color="auto"/>
          <w14:textFill>
            <w14:solidFill>
              <w14:schemeClr w14:val="tx1"/>
            </w14:solidFill>
          </w14:textFill>
        </w:rPr>
        <w:t>以东、滨河大道（河堤路）以南</w:t>
      </w:r>
      <w:r>
        <w:rPr>
          <w:u w:val="none" w:color="auto"/>
          <w:lang w:eastAsia="zh-CN"/>
        </w:rPr>
        <w:t>。净用地面积约</w:t>
      </w:r>
      <w:r>
        <w:rPr>
          <w:rFonts w:hint="eastAsia"/>
          <w:u w:val="none" w:color="auto"/>
          <w:lang w:val="en-US" w:eastAsia="zh-CN"/>
        </w:rPr>
        <w:t>52亩、41</w:t>
      </w:r>
      <w:r>
        <w:rPr>
          <w:u w:val="none" w:color="auto"/>
          <w:lang w:eastAsia="zh-CN"/>
        </w:rPr>
        <w:t>亩，容积率</w:t>
      </w:r>
      <w:r>
        <w:rPr>
          <w:rFonts w:hint="eastAsia"/>
          <w:u w:val="none" w:color="auto"/>
          <w:lang w:val="en-US" w:eastAsia="zh-CN"/>
        </w:rPr>
        <w:t>均</w:t>
      </w:r>
      <w:r>
        <w:rPr>
          <w:u w:val="none" w:color="auto"/>
          <w:lang w:eastAsia="zh-CN"/>
        </w:rPr>
        <w:t>不大于 2.</w:t>
      </w:r>
      <w:r>
        <w:rPr>
          <w:rFonts w:hint="eastAsia"/>
          <w:u w:val="none" w:color="auto"/>
          <w:lang w:val="en-US" w:eastAsia="zh-CN"/>
        </w:rPr>
        <w:t>0</w:t>
      </w:r>
      <w:r>
        <w:rPr>
          <w:u w:val="none" w:color="auto"/>
          <w:lang w:eastAsia="zh-CN"/>
        </w:rPr>
        <w:t xml:space="preserve">，建筑密度不大于 20%，绿地率不小于 35%，限高 </w:t>
      </w:r>
      <w:r>
        <w:rPr>
          <w:rFonts w:hint="eastAsia"/>
          <w:u w:val="none" w:color="auto"/>
          <w:lang w:val="en-US" w:eastAsia="zh-CN"/>
        </w:rPr>
        <w:t>54</w:t>
      </w:r>
      <w:r>
        <w:rPr>
          <w:u w:val="none" w:color="auto"/>
          <w:lang w:eastAsia="zh-CN"/>
        </w:rPr>
        <w:t xml:space="preserve"> 米。</w:t>
      </w:r>
    </w:p>
    <w:p w14:paraId="1650865B">
      <w:pPr>
        <w:ind w:firstLine="369" w:firstLineChars="176"/>
        <w:rPr>
          <w:u w:val="none" w:color="auto"/>
          <w:lang w:eastAsia="zh-CN"/>
        </w:rPr>
      </w:pPr>
      <w:r>
        <w:rPr>
          <w:u w:val="none" w:color="auto"/>
          <w:lang w:eastAsia="zh-CN"/>
        </w:rPr>
        <w:t>3.周边交通及道路现状</w:t>
      </w:r>
    </w:p>
    <w:p w14:paraId="01F71C3D">
      <w:pPr>
        <w:ind w:firstLine="422" w:firstLineChars="176"/>
        <w:rPr>
          <w:u w:val="none" w:color="auto"/>
          <w:lang w:eastAsia="zh-CN"/>
        </w:rPr>
      </w:pPr>
      <w:r>
        <w:rPr>
          <w:rFonts w:hint="eastAsia" w:asciiTheme="minorEastAsia" w:hAnsiTheme="minorEastAsia" w:eastAsiaTheme="minorEastAsia"/>
          <w:sz w:val="24"/>
          <w:u w:val="none" w:color="auto"/>
        </w:rPr>
        <w:t>项目南侧设有西安北站，该处汇集有地铁2号、4号、14号线等，其中地铁14号线渭河南站</w:t>
      </w:r>
      <w:r>
        <w:rPr>
          <w:rFonts w:hint="eastAsia" w:asciiTheme="minorEastAsia" w:hAnsiTheme="minorEastAsia" w:eastAsiaTheme="minorEastAsia"/>
          <w:sz w:val="24"/>
          <w:u w:val="none" w:color="auto"/>
          <w:lang w:val="en-US" w:eastAsia="zh-CN"/>
        </w:rPr>
        <w:t>临近</w:t>
      </w:r>
      <w:r>
        <w:rPr>
          <w:rFonts w:hint="eastAsia" w:asciiTheme="minorEastAsia" w:hAnsiTheme="minorEastAsia" w:eastAsiaTheme="minorEastAsia"/>
          <w:sz w:val="24"/>
          <w:u w:val="none" w:color="auto"/>
        </w:rPr>
        <w:t>项目地块；项目</w:t>
      </w:r>
      <w:r>
        <w:rPr>
          <w:rFonts w:hint="eastAsia" w:asciiTheme="minorEastAsia" w:hAnsiTheme="minorEastAsia" w:eastAsiaTheme="minorEastAsia"/>
          <w:sz w:val="24"/>
          <w:u w:val="none" w:color="auto"/>
          <w:lang w:val="en-US" w:eastAsia="zh-CN"/>
        </w:rPr>
        <w:t>西</w:t>
      </w:r>
      <w:r>
        <w:rPr>
          <w:rFonts w:hint="eastAsia" w:asciiTheme="minorEastAsia" w:hAnsiTheme="minorEastAsia" w:eastAsiaTheme="minorEastAsia"/>
          <w:sz w:val="24"/>
          <w:u w:val="none" w:color="auto"/>
        </w:rPr>
        <w:t>侧、南侧为待建规划路，周边1公里范围内设有高速出入口</w:t>
      </w:r>
      <w:r>
        <w:rPr>
          <w:u w:val="none" w:color="auto"/>
          <w:lang w:eastAsia="zh-CN"/>
        </w:rPr>
        <w:t>。</w:t>
      </w:r>
    </w:p>
    <w:p w14:paraId="5E5D48AB">
      <w:pPr>
        <w:ind w:firstLine="369" w:firstLineChars="176"/>
        <w:rPr>
          <w:u w:val="none" w:color="auto"/>
          <w:lang w:eastAsia="zh-CN"/>
        </w:rPr>
      </w:pPr>
      <w:r>
        <w:rPr>
          <w:u w:val="none" w:color="auto"/>
          <w:lang w:eastAsia="zh-CN"/>
        </w:rPr>
        <w:t>4.周边市政配套现状</w:t>
      </w:r>
    </w:p>
    <w:p w14:paraId="2FB95D90">
      <w:pPr>
        <w:ind w:firstLine="422" w:firstLineChars="176"/>
        <w:rPr>
          <w:u w:val="none" w:color="auto"/>
          <w:lang w:eastAsia="zh-CN"/>
        </w:rPr>
      </w:pPr>
      <w:r>
        <w:rPr>
          <w:rFonts w:hint="eastAsia" w:asciiTheme="minorEastAsia" w:hAnsiTheme="minorEastAsia" w:eastAsiaTheme="minorEastAsia"/>
          <w:sz w:val="24"/>
          <w:u w:val="none" w:color="auto"/>
        </w:rPr>
        <w:t>周边设有红会医院、陕中医医院、未央区中医院等；周边有已建成的经开三小，同步规划有3处学校</w:t>
      </w:r>
      <w:r>
        <w:rPr>
          <w:rFonts w:cs="宋体"/>
          <w:spacing w:val="-9"/>
          <w:szCs w:val="24"/>
          <w:u w:val="none" w:color="auto"/>
          <w:lang w:eastAsia="zh-CN"/>
        </w:rPr>
        <w:t>。</w:t>
      </w:r>
    </w:p>
    <w:p w14:paraId="385ECDDB">
      <w:pPr>
        <w:ind w:firstLine="369" w:firstLineChars="176"/>
        <w:rPr>
          <w:u w:val="none" w:color="auto"/>
          <w:lang w:eastAsia="zh-CN"/>
        </w:rPr>
      </w:pPr>
      <w:r>
        <w:rPr>
          <w:u w:val="none" w:color="auto"/>
          <w:lang w:eastAsia="zh-CN"/>
        </w:rPr>
        <w:t>5.用地现状</w:t>
      </w:r>
    </w:p>
    <w:p w14:paraId="20993858">
      <w:pPr>
        <w:ind w:firstLine="422" w:firstLineChars="176"/>
        <w:rPr>
          <w:u w:val="none" w:color="auto"/>
          <w:lang w:eastAsia="zh-CN"/>
        </w:rPr>
      </w:pPr>
      <w:r>
        <w:rPr>
          <w:rFonts w:hint="eastAsia" w:asciiTheme="minorEastAsia" w:hAnsiTheme="minorEastAsia" w:eastAsiaTheme="minorEastAsia"/>
          <w:sz w:val="24"/>
          <w:u w:val="none" w:color="auto"/>
        </w:rPr>
        <w:t>地块方正，内有部分农作物及苗木，现场无围墙</w:t>
      </w:r>
      <w:r>
        <w:rPr>
          <w:u w:val="none" w:color="auto"/>
          <w:lang w:eastAsia="zh-CN"/>
        </w:rPr>
        <w:t>。</w:t>
      </w:r>
    </w:p>
    <w:p w14:paraId="0CA45A03">
      <w:pPr>
        <w:ind w:firstLine="369" w:firstLineChars="176"/>
        <w:rPr>
          <w:u w:val="none" w:color="auto"/>
          <w:lang w:eastAsia="zh-CN"/>
        </w:rPr>
      </w:pPr>
      <w:r>
        <w:rPr>
          <w:u w:val="none" w:color="auto"/>
          <w:lang w:eastAsia="zh-CN"/>
        </w:rPr>
        <w:t>6.项目用地规划建设规模</w:t>
      </w:r>
    </w:p>
    <w:p w14:paraId="61B7ECCE">
      <w:pPr>
        <w:ind w:firstLine="369" w:firstLineChars="176"/>
        <w:rPr>
          <w:u w:val="none" w:color="auto"/>
          <w:lang w:eastAsia="zh-CN"/>
        </w:rPr>
      </w:pPr>
      <w:r>
        <w:rPr>
          <w:rFonts w:hint="eastAsia"/>
          <w:u w:val="none" w:color="auto"/>
          <w:lang w:eastAsia="zh-CN"/>
        </w:rPr>
        <w:t>白桦林观澜、白桦林泊岸</w:t>
      </w:r>
      <w:r>
        <w:rPr>
          <w:u w:val="none" w:color="auto"/>
          <w:lang w:eastAsia="zh-CN"/>
        </w:rPr>
        <w:t xml:space="preserve">项目划拟建地上建筑面积约 </w:t>
      </w:r>
      <w:r>
        <w:rPr>
          <w:rFonts w:hint="eastAsia"/>
          <w:u w:val="none" w:color="auto"/>
          <w:lang w:val="en-US" w:eastAsia="zh-CN"/>
        </w:rPr>
        <w:t>123312</w:t>
      </w:r>
      <w:r>
        <w:rPr>
          <w:u w:val="none" w:color="auto"/>
          <w:lang w:eastAsia="zh-CN"/>
        </w:rPr>
        <w:t xml:space="preserve"> ㎡, 容积率≤2.</w:t>
      </w:r>
      <w:r>
        <w:rPr>
          <w:rFonts w:hint="eastAsia"/>
          <w:u w:val="none" w:color="auto"/>
          <w:lang w:val="en-US" w:eastAsia="zh-CN"/>
        </w:rPr>
        <w:t>0</w:t>
      </w:r>
      <w:r>
        <w:rPr>
          <w:u w:val="none" w:color="auto"/>
          <w:lang w:eastAsia="zh-CN"/>
        </w:rPr>
        <w:t>；</w:t>
      </w:r>
    </w:p>
    <w:p w14:paraId="422573D0">
      <w:pPr>
        <w:ind w:firstLine="369" w:firstLineChars="176"/>
        <w:rPr>
          <w:u w:val="none" w:color="auto"/>
          <w:lang w:eastAsia="zh-CN"/>
        </w:rPr>
      </w:pPr>
      <w:r>
        <w:rPr>
          <w:u w:val="none" w:color="auto"/>
          <w:lang w:eastAsia="zh-CN"/>
        </w:rPr>
        <w:t>具体经济技术指标以最终审定的总平面及相关规划部门的审批为准。</w:t>
      </w:r>
    </w:p>
    <w:p w14:paraId="4E3F1E07">
      <w:pPr>
        <w:ind w:firstLine="369" w:firstLineChars="176"/>
        <w:rPr>
          <w:u w:val="none" w:color="auto"/>
          <w:lang w:eastAsia="zh-CN"/>
        </w:rPr>
      </w:pPr>
      <w:r>
        <w:rPr>
          <w:u w:val="none" w:color="auto"/>
          <w:lang w:eastAsia="zh-CN"/>
        </w:rPr>
        <w:t>7.项目用地规划指标要求：</w:t>
      </w:r>
    </w:p>
    <w:p w14:paraId="2A6E34AA">
      <w:pPr>
        <w:ind w:firstLine="369" w:firstLineChars="176"/>
        <w:rPr>
          <w:u w:val="none" w:color="auto"/>
          <w:lang w:eastAsia="zh-CN"/>
        </w:rPr>
      </w:pPr>
      <w:r>
        <w:rPr>
          <w:u w:val="none" w:color="auto"/>
          <w:lang w:eastAsia="zh-CN"/>
        </w:rPr>
        <w:t>项目用地性质为二类居住用地（R2），拟建建筑的使用性质为住宅建筑、居住区配</w:t>
      </w:r>
    </w:p>
    <w:p w14:paraId="6C026D64">
      <w:pPr>
        <w:ind w:firstLine="369" w:firstLineChars="176"/>
        <w:rPr>
          <w:u w:val="none" w:color="auto"/>
        </w:rPr>
      </w:pPr>
      <w:r>
        <w:rPr>
          <w:u w:val="none" w:color="auto"/>
          <w:lang w:eastAsia="zh-CN"/>
        </w:rPr>
        <w:t xml:space="preserve">套建筑、商业建筑。建筑高度不应超过 </w:t>
      </w:r>
      <w:r>
        <w:rPr>
          <w:rFonts w:hint="eastAsia"/>
          <w:u w:val="none" w:color="auto"/>
          <w:lang w:val="en-US" w:eastAsia="zh-CN"/>
        </w:rPr>
        <w:t>54</w:t>
      </w:r>
      <w:r>
        <w:rPr>
          <w:u w:val="none" w:color="auto"/>
          <w:lang w:eastAsia="zh-CN"/>
        </w:rPr>
        <w:t>M。</w:t>
      </w:r>
      <w:r>
        <w:rPr>
          <w:rFonts w:hint="eastAsia"/>
          <w:u w:val="none" w:color="auto"/>
          <w:lang w:val="en-US" w:eastAsia="zh-CN"/>
        </w:rPr>
        <w:t>具体数据参见附件规划条件书</w:t>
      </w:r>
      <w:r>
        <w:rPr>
          <w:u w:val="none" w:color="auto"/>
        </w:rPr>
        <w:t>：</w:t>
      </w:r>
    </w:p>
    <w:p w14:paraId="13D8FCBC">
      <w:pPr>
        <w:spacing w:line="147" w:lineRule="exact"/>
        <w:rPr>
          <w:u w:val="none" w:color="auto"/>
        </w:rPr>
      </w:pPr>
    </w:p>
    <w:p w14:paraId="43A7CA49">
      <w:pPr>
        <w:ind w:firstLine="371" w:firstLineChars="177"/>
        <w:rPr>
          <w:u w:val="none" w:color="auto"/>
          <w:lang w:eastAsia="zh-CN"/>
        </w:rPr>
      </w:pPr>
      <w:r>
        <w:rPr>
          <w:u w:val="none" w:color="auto"/>
          <w:lang w:eastAsia="zh-CN"/>
        </w:rPr>
        <w:t>8.其他规划条件</w:t>
      </w:r>
    </w:p>
    <w:p w14:paraId="123546D4">
      <w:pPr>
        <w:ind w:firstLine="371" w:firstLineChars="177"/>
        <w:rPr>
          <w:u w:val="none" w:color="auto"/>
          <w:lang w:eastAsia="zh-CN"/>
        </w:rPr>
      </w:pPr>
      <w:r>
        <w:rPr>
          <w:u w:val="none" w:color="auto"/>
          <w:lang w:eastAsia="zh-CN"/>
        </w:rPr>
        <w:t>符合国家和陕西省、西安市有关的规范、法规和文件及城市规划准则。</w:t>
      </w:r>
    </w:p>
    <w:p w14:paraId="5379E2F2">
      <w:pPr>
        <w:pStyle w:val="3"/>
        <w:ind w:firstLine="565" w:firstLineChars="176"/>
        <w:rPr>
          <w:u w:val="none" w:color="auto"/>
          <w:lang w:eastAsia="zh-CN"/>
        </w:rPr>
      </w:pPr>
      <w:r>
        <w:rPr>
          <w:u w:val="none" w:color="auto"/>
          <w:lang w:eastAsia="zh-CN"/>
        </w:rPr>
        <w:t>二、设计依据</w:t>
      </w:r>
    </w:p>
    <w:p w14:paraId="2B8E0055">
      <w:pPr>
        <w:ind w:firstLine="369" w:firstLineChars="176"/>
        <w:rPr>
          <w:u w:val="none" w:color="auto"/>
          <w:lang w:eastAsia="zh-CN"/>
        </w:rPr>
      </w:pPr>
      <w:r>
        <w:rPr>
          <w:u w:val="none" w:color="auto"/>
          <w:lang w:eastAsia="zh-CN"/>
        </w:rPr>
        <w:t>1、方案</w:t>
      </w:r>
      <w:r>
        <w:rPr>
          <w:rFonts w:hint="eastAsia"/>
          <w:u w:val="none" w:color="auto"/>
          <w:lang w:eastAsia="zh-CN"/>
        </w:rPr>
        <w:t>深化</w:t>
      </w:r>
      <w:r>
        <w:rPr>
          <w:u w:val="none" w:color="auto"/>
          <w:lang w:eastAsia="zh-CN"/>
        </w:rPr>
        <w:t>设计任务书</w:t>
      </w:r>
    </w:p>
    <w:p w14:paraId="1508B032">
      <w:pPr>
        <w:ind w:firstLine="369" w:firstLineChars="176"/>
        <w:rPr>
          <w:u w:val="none" w:color="auto"/>
          <w:lang w:eastAsia="zh-CN"/>
        </w:rPr>
      </w:pPr>
      <w:r>
        <w:rPr>
          <w:u w:val="none" w:color="auto"/>
          <w:lang w:eastAsia="zh-CN"/>
        </w:rPr>
        <w:t>2、</w:t>
      </w:r>
      <w:r>
        <w:rPr>
          <w:rFonts w:hint="eastAsia"/>
          <w:u w:val="none" w:color="auto"/>
          <w:lang w:eastAsia="zh-CN"/>
        </w:rPr>
        <w:t>概念方案</w:t>
      </w:r>
    </w:p>
    <w:p w14:paraId="2CEE5355">
      <w:pPr>
        <w:ind w:firstLine="369" w:firstLineChars="176"/>
        <w:rPr>
          <w:u w:val="none" w:color="auto"/>
          <w:lang w:eastAsia="zh-CN"/>
        </w:rPr>
      </w:pPr>
      <w:r>
        <w:rPr>
          <w:u w:val="none" w:color="auto"/>
          <w:lang w:eastAsia="zh-CN"/>
        </w:rPr>
        <w:t>3、</w:t>
      </w:r>
      <w:r>
        <w:rPr>
          <w:rFonts w:hint="eastAsia"/>
          <w:u w:val="none" w:color="auto"/>
          <w:lang w:eastAsia="zh-CN"/>
        </w:rPr>
        <w:t>用地红线图</w:t>
      </w:r>
    </w:p>
    <w:p w14:paraId="3A9D88DC">
      <w:pPr>
        <w:ind w:firstLine="369" w:firstLineChars="176"/>
        <w:rPr>
          <w:u w:val="none" w:color="auto"/>
          <w:lang w:eastAsia="zh-CN"/>
        </w:rPr>
      </w:pPr>
      <w:r>
        <w:rPr>
          <w:u w:val="none" w:color="auto"/>
          <w:lang w:eastAsia="zh-CN"/>
        </w:rPr>
        <w:t>4、规划条件书</w:t>
      </w:r>
    </w:p>
    <w:p w14:paraId="246BA877">
      <w:pPr>
        <w:ind w:firstLine="369" w:firstLineChars="176"/>
        <w:rPr>
          <w:u w:val="none" w:color="auto"/>
          <w:lang w:eastAsia="zh-CN"/>
        </w:rPr>
      </w:pPr>
      <w:r>
        <w:rPr>
          <w:u w:val="none" w:color="auto"/>
          <w:lang w:eastAsia="zh-CN"/>
        </w:rPr>
        <w:t>5、其它应遵循的设计依据，地方规划管理部门规范条例要求，符合国家、陕西省和西安市有关法律、法规、规程、规范及相关标准的要求</w:t>
      </w:r>
    </w:p>
    <w:p w14:paraId="580A6FCF">
      <w:pPr>
        <w:pStyle w:val="3"/>
        <w:ind w:firstLine="569" w:firstLineChars="177"/>
        <w:rPr>
          <w:u w:val="none" w:color="auto"/>
          <w:lang w:eastAsia="zh-CN"/>
        </w:rPr>
      </w:pPr>
      <w:r>
        <w:rPr>
          <w:rFonts w:hint="eastAsia"/>
          <w:u w:val="none" w:color="auto"/>
          <w:lang w:val="en-US" w:eastAsia="zh-CN"/>
        </w:rPr>
        <w:t>三</w:t>
      </w:r>
      <w:r>
        <w:rPr>
          <w:u w:val="none" w:color="auto"/>
          <w:lang w:eastAsia="zh-CN"/>
        </w:rPr>
        <w:t>、</w:t>
      </w:r>
      <w:r>
        <w:rPr>
          <w:rFonts w:hint="eastAsia"/>
          <w:u w:val="none" w:color="auto"/>
          <w:lang w:eastAsia="zh-CN"/>
        </w:rPr>
        <w:t>其他</w:t>
      </w:r>
    </w:p>
    <w:p w14:paraId="2AF18316">
      <w:pPr>
        <w:ind w:firstLine="424" w:firstLineChars="177"/>
        <w:rPr>
          <w:u w:val="none" w:color="auto"/>
          <w:lang w:eastAsia="zh-CN"/>
        </w:rPr>
      </w:pPr>
      <w:r>
        <w:rPr>
          <w:rFonts w:asciiTheme="minorEastAsia" w:hAnsiTheme="minorEastAsia" w:eastAsiaTheme="minorEastAsia"/>
          <w:sz w:val="24"/>
        </w:rPr>
        <w:t>人防、消防等请按照国家和</w:t>
      </w:r>
      <w:r>
        <w:rPr>
          <w:rFonts w:hint="eastAsia" w:asciiTheme="minorEastAsia" w:hAnsiTheme="minorEastAsia" w:eastAsiaTheme="minorEastAsia"/>
          <w:sz w:val="24"/>
        </w:rPr>
        <w:t>西安</w:t>
      </w:r>
      <w:r>
        <w:rPr>
          <w:rFonts w:asciiTheme="minorEastAsia" w:hAnsiTheme="minorEastAsia" w:eastAsiaTheme="minorEastAsia"/>
          <w:sz w:val="24"/>
        </w:rPr>
        <w:t>市的有关法规进行设计</w:t>
      </w:r>
      <w:r>
        <w:rPr>
          <w:u w:val="none" w:color="auto"/>
          <w:lang w:eastAsia="zh-CN"/>
        </w:rPr>
        <w:t>。</w:t>
      </w:r>
    </w:p>
    <w:p w14:paraId="2EA8DD64">
      <w:pPr>
        <w:pStyle w:val="2"/>
        <w:rPr>
          <w:u w:val="none" w:color="auto"/>
          <w:lang w:eastAsia="zh-CN"/>
        </w:rPr>
      </w:pPr>
      <w:r>
        <w:rPr>
          <w:u w:val="none" w:color="auto"/>
          <w:lang w:eastAsia="zh-CN"/>
        </w:rPr>
        <w:t>第二部分建筑方案</w:t>
      </w:r>
      <w:r>
        <w:rPr>
          <w:rFonts w:hint="eastAsia"/>
          <w:u w:val="none" w:color="auto"/>
          <w:lang w:eastAsia="zh-CN"/>
        </w:rPr>
        <w:t>深化</w:t>
      </w:r>
      <w:r>
        <w:rPr>
          <w:u w:val="none" w:color="auto"/>
          <w:lang w:eastAsia="zh-CN"/>
        </w:rPr>
        <w:t>设计要求（包括但不限于以下内容）</w:t>
      </w:r>
    </w:p>
    <w:p w14:paraId="0BCD4B60">
      <w:pPr>
        <w:pStyle w:val="3"/>
        <w:ind w:firstLine="565" w:firstLineChars="176"/>
        <w:rPr>
          <w:u w:val="none" w:color="auto"/>
          <w:lang w:eastAsia="zh-CN"/>
        </w:rPr>
      </w:pPr>
      <w:r>
        <w:rPr>
          <w:u w:val="none" w:color="auto"/>
          <w:lang w:eastAsia="zh-CN"/>
        </w:rPr>
        <w:t>一、设计总则</w:t>
      </w:r>
    </w:p>
    <w:p w14:paraId="1829C429">
      <w:pPr>
        <w:ind w:firstLine="369" w:firstLineChars="176"/>
        <w:rPr>
          <w:u w:val="none" w:color="auto"/>
          <w:lang w:eastAsia="zh-CN"/>
        </w:rPr>
      </w:pPr>
      <w:r>
        <w:rPr>
          <w:u w:val="none" w:color="auto"/>
          <w:lang w:eastAsia="zh-CN"/>
        </w:rPr>
        <w:t xml:space="preserve">(一)设计原则： </w:t>
      </w:r>
      <w:r>
        <w:rPr>
          <w:rFonts w:hint="eastAsia"/>
          <w:u w:val="none" w:color="auto"/>
          <w:lang w:eastAsia="zh-CN"/>
        </w:rPr>
        <w:t>白桦林观澜、白桦林泊岸</w:t>
      </w:r>
      <w:r>
        <w:rPr>
          <w:u w:val="none" w:color="auto"/>
          <w:lang w:eastAsia="zh-CN"/>
        </w:rPr>
        <w:t>项目（r≦2.</w:t>
      </w:r>
      <w:r>
        <w:rPr>
          <w:rFonts w:hint="eastAsia"/>
          <w:u w:val="none" w:color="auto"/>
          <w:lang w:val="en-US" w:eastAsia="zh-CN"/>
        </w:rPr>
        <w:t>0</w:t>
      </w:r>
      <w:r>
        <w:rPr>
          <w:u w:val="none" w:color="auto"/>
          <w:lang w:eastAsia="zh-CN"/>
        </w:rPr>
        <w:t>）项目定位为</w:t>
      </w:r>
      <w:r>
        <w:rPr>
          <w:rFonts w:hint="eastAsia"/>
          <w:u w:val="none" w:color="auto"/>
          <w:lang w:val="en-US" w:eastAsia="zh-CN"/>
        </w:rPr>
        <w:t>纯洋房</w:t>
      </w:r>
      <w:r>
        <w:rPr>
          <w:u w:val="none" w:color="auto"/>
          <w:lang w:eastAsia="zh-CN"/>
        </w:rPr>
        <w:t>楼盘， 采用整体规划分期实施的建设方式，实现低密度品质楼盘的规划方案及相对应的经济技术指标。</w:t>
      </w:r>
    </w:p>
    <w:p w14:paraId="03CB7C11">
      <w:pPr>
        <w:ind w:firstLine="369" w:firstLineChars="176"/>
        <w:rPr>
          <w:u w:val="none" w:color="auto"/>
          <w:lang w:eastAsia="zh-CN"/>
        </w:rPr>
      </w:pPr>
      <w:r>
        <w:rPr>
          <w:u w:val="none" w:color="auto"/>
          <w:lang w:eastAsia="zh-CN"/>
        </w:rPr>
        <w:t>(二)规划设计结合周边配套的优劣特点， 分析应对设计手法，以解决地块存在的劣势。</w:t>
      </w:r>
    </w:p>
    <w:p w14:paraId="441A2B95">
      <w:pPr>
        <w:ind w:firstLine="369" w:firstLineChars="176"/>
        <w:rPr>
          <w:u w:val="none" w:color="auto"/>
          <w:lang w:eastAsia="zh-CN"/>
        </w:rPr>
      </w:pPr>
      <w:r>
        <w:rPr>
          <w:u w:val="none" w:color="auto"/>
          <w:lang w:eastAsia="zh-CN"/>
        </w:rPr>
        <w:t>(三)规划设计应满足国家及地方各类相关法律、法规、规范、规程、规定及标准条例的要求。</w:t>
      </w:r>
    </w:p>
    <w:p w14:paraId="2A2FDDD7">
      <w:pPr>
        <w:ind w:firstLine="369" w:firstLineChars="176"/>
        <w:rPr>
          <w:color w:val="auto"/>
          <w:highlight w:val="none"/>
          <w:u w:val="none" w:color="auto"/>
          <w:lang w:eastAsia="zh-CN"/>
        </w:rPr>
      </w:pPr>
      <w:r>
        <w:rPr>
          <w:u w:val="none" w:color="auto"/>
          <w:lang w:eastAsia="zh-CN"/>
        </w:rPr>
        <w:t>(四</w:t>
      </w:r>
      <w:r>
        <w:rPr>
          <w:color w:val="auto"/>
          <w:highlight w:val="none"/>
          <w:u w:val="none" w:color="auto"/>
          <w:lang w:eastAsia="zh-CN"/>
        </w:rPr>
        <w:t>)在保证规划设计内容符合规划、消防、环保、园林、电力、煤气、自来水、排污、交通、人防及节能等各专业部门送审要求的基础上， 结合最新的居住理念及发展趋势，力争在规划方案上有所创新， 用新理念、新思路、新户型做成区域内有特色和影响力的楼盘。</w:t>
      </w:r>
    </w:p>
    <w:p w14:paraId="53931298">
      <w:pPr>
        <w:ind w:firstLine="369" w:firstLineChars="176"/>
        <w:rPr>
          <w:color w:val="auto"/>
          <w:highlight w:val="none"/>
          <w:u w:val="none" w:color="auto"/>
          <w:lang w:eastAsia="zh-CN"/>
        </w:rPr>
      </w:pPr>
      <w:r>
        <w:rPr>
          <w:color w:val="auto"/>
          <w:highlight w:val="none"/>
          <w:u w:val="none" w:color="auto"/>
          <w:lang w:eastAsia="zh-CN"/>
        </w:rPr>
        <w:t>(五)设计单位针对开发地块所在区域的人文、历史、及环境状况进行全面、深入的 有效了解。认真分析研究时下相似规模畅销楼盘的主题特色。在充分挖掘、整理各类资 料、数据的基础上，赋予本项目恰如其分的主题概念，以指导整个小区的总体、单体及景观的规划设计。</w:t>
      </w:r>
    </w:p>
    <w:p w14:paraId="2E0FE6E6">
      <w:pPr>
        <w:ind w:firstLine="369" w:firstLineChars="176"/>
        <w:rPr>
          <w:color w:val="auto"/>
          <w:highlight w:val="yellow"/>
          <w:u w:val="none" w:color="auto"/>
          <w:lang w:eastAsia="zh-CN"/>
        </w:rPr>
      </w:pPr>
      <w:r>
        <w:rPr>
          <w:rFonts w:hint="eastAsia"/>
          <w:color w:val="auto"/>
          <w:highlight w:val="yellow"/>
          <w:u w:val="none" w:color="auto"/>
          <w:lang w:eastAsia="zh-CN"/>
        </w:rPr>
        <w:t>（六）设计单位需要按照已报建或备案设计方案各项成果执行后续深化设计。</w:t>
      </w:r>
    </w:p>
    <w:p w14:paraId="55E83C3D">
      <w:pPr>
        <w:pStyle w:val="3"/>
        <w:ind w:firstLine="565" w:firstLineChars="176"/>
        <w:rPr>
          <w:color w:val="auto"/>
          <w:highlight w:val="none"/>
          <w:u w:val="none" w:color="auto"/>
          <w:lang w:eastAsia="zh-CN"/>
        </w:rPr>
      </w:pPr>
      <w:r>
        <w:rPr>
          <w:color w:val="auto"/>
          <w:highlight w:val="none"/>
          <w:u w:val="none" w:color="auto"/>
          <w:lang w:eastAsia="zh-CN"/>
        </w:rPr>
        <w:t>二、用地规划指标</w:t>
      </w:r>
    </w:p>
    <w:p w14:paraId="3A6AF8DD">
      <w:pPr>
        <w:ind w:firstLine="369" w:firstLineChars="176"/>
        <w:rPr>
          <w:color w:val="auto"/>
          <w:highlight w:val="none"/>
          <w:u w:val="none" w:color="auto"/>
          <w:lang w:eastAsia="zh-CN"/>
        </w:rPr>
      </w:pPr>
      <w:r>
        <w:rPr>
          <w:color w:val="auto"/>
          <w:highlight w:val="none"/>
          <w:u w:val="none" w:color="auto"/>
          <w:lang w:eastAsia="zh-CN"/>
        </w:rPr>
        <w:t>1) 用地性质：二类居住用地（R2）；</w:t>
      </w:r>
    </w:p>
    <w:p w14:paraId="2921273F">
      <w:pPr>
        <w:ind w:firstLine="369" w:firstLineChars="176"/>
        <w:rPr>
          <w:color w:val="auto"/>
          <w:highlight w:val="none"/>
          <w:u w:val="none" w:color="auto"/>
          <w:lang w:eastAsia="zh-CN"/>
        </w:rPr>
      </w:pPr>
      <w:r>
        <w:rPr>
          <w:color w:val="auto"/>
          <w:highlight w:val="none"/>
          <w:u w:val="none" w:color="auto"/>
          <w:lang w:eastAsia="zh-CN"/>
        </w:rPr>
        <w:t>2) 容积率：≦2.</w:t>
      </w:r>
      <w:r>
        <w:rPr>
          <w:rFonts w:hint="eastAsia"/>
          <w:color w:val="auto"/>
          <w:highlight w:val="none"/>
          <w:u w:val="none" w:color="auto"/>
          <w:lang w:val="en-US" w:eastAsia="zh-CN"/>
        </w:rPr>
        <w:t>0</w:t>
      </w:r>
    </w:p>
    <w:p w14:paraId="3264D343">
      <w:pPr>
        <w:ind w:firstLine="369" w:firstLineChars="176"/>
        <w:rPr>
          <w:color w:val="auto"/>
          <w:highlight w:val="none"/>
          <w:u w:val="none" w:color="auto"/>
          <w:lang w:eastAsia="zh-CN"/>
        </w:rPr>
      </w:pPr>
      <w:r>
        <w:rPr>
          <w:color w:val="auto"/>
          <w:highlight w:val="none"/>
          <w:u w:val="none" w:color="auto"/>
          <w:lang w:eastAsia="zh-CN"/>
        </w:rPr>
        <w:t>3) 绿化率：≥35%；</w:t>
      </w:r>
    </w:p>
    <w:p w14:paraId="29AC68D6">
      <w:pPr>
        <w:ind w:firstLine="369" w:firstLineChars="176"/>
        <w:rPr>
          <w:color w:val="auto"/>
          <w:highlight w:val="none"/>
          <w:u w:val="none" w:color="auto"/>
          <w:lang w:eastAsia="zh-CN"/>
        </w:rPr>
      </w:pPr>
      <w:r>
        <w:rPr>
          <w:color w:val="auto"/>
          <w:highlight w:val="none"/>
          <w:u w:val="none" w:color="auto"/>
          <w:lang w:eastAsia="zh-CN"/>
        </w:rPr>
        <w:t>4) 建筑密度：≦20%；</w:t>
      </w:r>
    </w:p>
    <w:p w14:paraId="190E956A">
      <w:pPr>
        <w:ind w:firstLine="369" w:firstLineChars="176"/>
        <w:rPr>
          <w:color w:val="auto"/>
          <w:highlight w:val="none"/>
          <w:u w:val="none" w:color="auto"/>
          <w:lang w:eastAsia="zh-CN"/>
        </w:rPr>
      </w:pPr>
      <w:r>
        <w:rPr>
          <w:color w:val="auto"/>
          <w:highlight w:val="none"/>
          <w:u w:val="none" w:color="auto"/>
          <w:lang w:eastAsia="zh-CN"/>
        </w:rPr>
        <w:t>5) 建筑退让：结合用地红线图按《西安市规划管理技术规定》及现行相关技术规</w:t>
      </w:r>
    </w:p>
    <w:p w14:paraId="78825E44">
      <w:pPr>
        <w:ind w:firstLine="369" w:firstLineChars="176"/>
        <w:rPr>
          <w:color w:val="auto"/>
          <w:highlight w:val="none"/>
          <w:u w:val="none" w:color="auto"/>
          <w:lang w:eastAsia="zh-CN"/>
        </w:rPr>
      </w:pPr>
      <w:r>
        <w:rPr>
          <w:color w:val="auto"/>
          <w:highlight w:val="none"/>
          <w:u w:val="none" w:color="auto"/>
          <w:lang w:eastAsia="zh-CN"/>
        </w:rPr>
        <w:t>定及规范进行总平规划与退让；</w:t>
      </w:r>
    </w:p>
    <w:p w14:paraId="73936BBD">
      <w:pPr>
        <w:ind w:firstLine="369" w:firstLineChars="176"/>
        <w:rPr>
          <w:color w:val="auto"/>
          <w:highlight w:val="none"/>
          <w:u w:val="none" w:color="auto"/>
          <w:lang w:eastAsia="zh-CN"/>
        </w:rPr>
      </w:pPr>
      <w:r>
        <w:rPr>
          <w:color w:val="auto"/>
          <w:highlight w:val="none"/>
          <w:u w:val="none" w:color="auto"/>
          <w:lang w:eastAsia="zh-CN"/>
        </w:rPr>
        <w:t>6) 停车配置：《西安市城乡规划管理技术规定》（试行）执行及现行相关技术规</w:t>
      </w:r>
    </w:p>
    <w:p w14:paraId="7F24D882">
      <w:pPr>
        <w:ind w:firstLine="369" w:firstLineChars="176"/>
        <w:rPr>
          <w:color w:val="auto"/>
          <w:highlight w:val="none"/>
          <w:u w:val="none" w:color="auto"/>
          <w:lang w:eastAsia="zh-CN"/>
        </w:rPr>
      </w:pPr>
      <w:r>
        <w:rPr>
          <w:color w:val="auto"/>
          <w:highlight w:val="none"/>
          <w:u w:val="none" w:color="auto"/>
          <w:lang w:eastAsia="zh-CN"/>
        </w:rPr>
        <w:t>定及规范；</w:t>
      </w:r>
    </w:p>
    <w:p w14:paraId="02D69D2A">
      <w:pPr>
        <w:ind w:firstLine="369" w:firstLineChars="176"/>
        <w:rPr>
          <w:color w:val="auto"/>
          <w:highlight w:val="none"/>
          <w:u w:val="none" w:color="auto"/>
          <w:lang w:eastAsia="zh-CN"/>
        </w:rPr>
      </w:pPr>
      <w:r>
        <w:rPr>
          <w:color w:val="auto"/>
          <w:highlight w:val="none"/>
          <w:u w:val="none" w:color="auto"/>
          <w:lang w:eastAsia="zh-CN"/>
        </w:rPr>
        <w:t>7) 基地出入口：应结合规划方案合理设置；</w:t>
      </w:r>
    </w:p>
    <w:p w14:paraId="66AD460D">
      <w:pPr>
        <w:ind w:firstLine="369" w:firstLineChars="176"/>
        <w:rPr>
          <w:color w:val="auto"/>
          <w:highlight w:val="none"/>
          <w:u w:val="none" w:color="auto"/>
          <w:lang w:eastAsia="zh-CN"/>
        </w:rPr>
      </w:pPr>
      <w:r>
        <w:rPr>
          <w:color w:val="auto"/>
          <w:highlight w:val="none"/>
          <w:u w:val="none" w:color="auto"/>
          <w:lang w:eastAsia="zh-CN"/>
        </w:rPr>
        <w:t>8) 其它规划条件详见规划条件书</w:t>
      </w:r>
    </w:p>
    <w:p w14:paraId="61113F03">
      <w:pPr>
        <w:pStyle w:val="3"/>
        <w:ind w:firstLine="565" w:firstLineChars="176"/>
        <w:rPr>
          <w:color w:val="auto"/>
          <w:highlight w:val="none"/>
          <w:u w:val="none" w:color="auto"/>
          <w:lang w:eastAsia="zh-CN"/>
        </w:rPr>
      </w:pPr>
      <w:r>
        <w:rPr>
          <w:color w:val="auto"/>
          <w:highlight w:val="none"/>
          <w:u w:val="none" w:color="auto"/>
          <w:lang w:eastAsia="zh-CN"/>
        </w:rPr>
        <w:t>三、配套设施规划要求</w:t>
      </w:r>
    </w:p>
    <w:p w14:paraId="6917C94B">
      <w:pPr>
        <w:ind w:firstLine="369" w:firstLineChars="176"/>
        <w:rPr>
          <w:color w:val="auto"/>
          <w:highlight w:val="none"/>
          <w:u w:val="none" w:color="auto"/>
          <w:lang w:eastAsia="zh-CN"/>
        </w:rPr>
      </w:pPr>
      <w:r>
        <w:rPr>
          <w:color w:val="auto"/>
          <w:highlight w:val="none"/>
          <w:u w:val="none" w:color="auto"/>
          <w:lang w:eastAsia="zh-CN"/>
        </w:rPr>
        <w:t>1、公共服务设施：</w:t>
      </w:r>
    </w:p>
    <w:p w14:paraId="3F95CD1B">
      <w:pPr>
        <w:ind w:firstLine="369" w:firstLineChars="176"/>
        <w:rPr>
          <w:color w:val="auto"/>
          <w:highlight w:val="none"/>
          <w:u w:val="none" w:color="auto"/>
          <w:lang w:eastAsia="zh-CN"/>
        </w:rPr>
      </w:pPr>
      <w:r>
        <w:rPr>
          <w:color w:val="auto"/>
          <w:highlight w:val="none"/>
          <w:u w:val="none" w:color="auto"/>
          <w:lang w:eastAsia="zh-CN"/>
        </w:rPr>
        <w:t>公共服务配套设施设计要求按《陕西省西安市规划管理技术规定》对应人口密度指标进行拆分设计。</w:t>
      </w:r>
    </w:p>
    <w:p w14:paraId="6A6B6F2F">
      <w:pPr>
        <w:ind w:firstLine="369" w:firstLineChars="176"/>
        <w:rPr>
          <w:color w:val="auto"/>
          <w:highlight w:val="none"/>
          <w:u w:val="none" w:color="auto"/>
          <w:lang w:eastAsia="zh-CN"/>
        </w:rPr>
      </w:pPr>
      <w:r>
        <w:rPr>
          <w:color w:val="auto"/>
          <w:highlight w:val="none"/>
          <w:u w:val="none" w:color="auto"/>
          <w:lang w:eastAsia="zh-CN"/>
        </w:rPr>
        <w:t>2、市政基础设施：</w:t>
      </w:r>
    </w:p>
    <w:p w14:paraId="7A0DADDA">
      <w:pPr>
        <w:ind w:firstLine="369" w:firstLineChars="176"/>
        <w:rPr>
          <w:color w:val="auto"/>
          <w:highlight w:val="none"/>
          <w:u w:val="none" w:color="auto"/>
          <w:lang w:eastAsia="zh-CN"/>
        </w:rPr>
      </w:pPr>
      <w:r>
        <w:rPr>
          <w:color w:val="auto"/>
          <w:highlight w:val="none"/>
          <w:u w:val="none" w:color="auto"/>
          <w:lang w:eastAsia="zh-CN"/>
        </w:rPr>
        <w:t>项目用地</w:t>
      </w:r>
      <w:r>
        <w:rPr>
          <w:rFonts w:hint="eastAsia"/>
          <w:color w:val="auto"/>
          <w:highlight w:val="none"/>
          <w:u w:val="none" w:color="auto"/>
          <w:lang w:eastAsia="zh-CN"/>
        </w:rPr>
        <w:t>西侧明光路</w:t>
      </w:r>
      <w:r>
        <w:rPr>
          <w:rFonts w:hint="eastAsia"/>
          <w:color w:val="auto"/>
          <w:highlight w:val="none"/>
          <w:u w:val="none" w:color="auto"/>
          <w:lang w:val="en-US" w:eastAsia="zh-CN"/>
        </w:rPr>
        <w:t>东侧</w:t>
      </w:r>
      <w:r>
        <w:rPr>
          <w:color w:val="auto"/>
          <w:highlight w:val="none"/>
          <w:u w:val="none" w:color="auto"/>
          <w:lang w:eastAsia="zh-CN"/>
        </w:rPr>
        <w:t>市政基础设施配套已初步到位</w:t>
      </w:r>
      <w:r>
        <w:rPr>
          <w:rFonts w:hint="eastAsia"/>
          <w:color w:val="auto"/>
          <w:highlight w:val="none"/>
          <w:u w:val="none" w:color="auto"/>
          <w:lang w:eastAsia="zh-CN"/>
        </w:rPr>
        <w:t>，</w:t>
      </w:r>
      <w:r>
        <w:rPr>
          <w:color w:val="auto"/>
          <w:highlight w:val="none"/>
          <w:u w:val="none" w:color="auto"/>
          <w:lang w:eastAsia="zh-CN"/>
        </w:rPr>
        <w:t>市政基础设施最终情况，以相关部门的最终审批为准。</w:t>
      </w:r>
    </w:p>
    <w:p w14:paraId="0761DE34">
      <w:pPr>
        <w:pStyle w:val="3"/>
        <w:ind w:firstLine="565" w:firstLineChars="176"/>
        <w:rPr>
          <w:color w:val="auto"/>
          <w:highlight w:val="none"/>
          <w:u w:val="none" w:color="auto"/>
          <w:lang w:eastAsia="zh-CN"/>
        </w:rPr>
      </w:pPr>
      <w:r>
        <w:rPr>
          <w:color w:val="auto"/>
          <w:highlight w:val="none"/>
          <w:u w:val="none" w:color="auto"/>
          <w:lang w:eastAsia="zh-CN"/>
        </w:rPr>
        <w:t>四、总体规划</w:t>
      </w:r>
    </w:p>
    <w:p w14:paraId="1C943D3E">
      <w:pPr>
        <w:ind w:firstLine="369" w:firstLineChars="176"/>
        <w:rPr>
          <w:color w:val="auto"/>
          <w:highlight w:val="none"/>
          <w:u w:val="none" w:color="auto"/>
          <w:lang w:eastAsia="zh-CN"/>
        </w:rPr>
      </w:pPr>
      <w:r>
        <w:rPr>
          <w:color w:val="auto"/>
          <w:highlight w:val="none"/>
          <w:u w:val="none" w:color="auto"/>
          <w:lang w:eastAsia="zh-CN"/>
        </w:rPr>
        <w:t>1、总体布局</w:t>
      </w:r>
    </w:p>
    <w:p w14:paraId="46CA1C51">
      <w:pPr>
        <w:ind w:firstLine="369" w:firstLineChars="176"/>
        <w:rPr>
          <w:color w:val="auto"/>
          <w:highlight w:val="none"/>
          <w:u w:val="none" w:color="auto"/>
          <w:lang w:eastAsia="zh-CN"/>
        </w:rPr>
      </w:pPr>
      <w:r>
        <w:rPr>
          <w:color w:val="auto"/>
          <w:highlight w:val="none"/>
          <w:u w:val="none" w:color="auto"/>
          <w:lang w:eastAsia="zh-CN"/>
        </w:rPr>
        <w:t>(一)应合理组织交通及景观视线通廊，注重小区的空间序列清晰，楼栋层数可在一定范围内高低起伏，形成活泼的天际线，注重小区规划布局的层次感与梯度感，结合总体布局考虑景观空间的延伸和均好性。</w:t>
      </w:r>
    </w:p>
    <w:p w14:paraId="0484B6EA">
      <w:pPr>
        <w:ind w:firstLine="369" w:firstLineChars="176"/>
        <w:rPr>
          <w:color w:val="auto"/>
          <w:highlight w:val="none"/>
          <w:u w:val="none" w:color="auto"/>
          <w:lang w:eastAsia="zh-CN"/>
        </w:rPr>
      </w:pPr>
      <w:r>
        <w:rPr>
          <w:color w:val="auto"/>
          <w:highlight w:val="none"/>
          <w:u w:val="none" w:color="auto"/>
          <w:lang w:eastAsia="zh-CN"/>
        </w:rPr>
        <w:t>(二)总体规划设计可以有多种组合方式， 设计方案应布局合理、功能完善、空间组 合富有特色；小区建筑组合满足楼宇之间采光、通风的环境设计要求，功能分区清晰，</w:t>
      </w:r>
    </w:p>
    <w:p w14:paraId="32C368D0">
      <w:pPr>
        <w:ind w:firstLine="369" w:firstLineChars="176"/>
        <w:rPr>
          <w:color w:val="auto"/>
          <w:highlight w:val="none"/>
          <w:u w:val="none" w:color="auto"/>
          <w:lang w:eastAsia="zh-CN"/>
        </w:rPr>
      </w:pPr>
      <w:r>
        <w:rPr>
          <w:color w:val="auto"/>
          <w:highlight w:val="none"/>
          <w:u w:val="none" w:color="auto"/>
          <w:lang w:eastAsia="zh-CN"/>
        </w:rPr>
        <w:t>(三)组团通过不同的主题意向，结合建筑造型和室外环境设计来表明其特征和区域界定，为居民创造特点鲜明的空间环境。</w:t>
      </w:r>
    </w:p>
    <w:p w14:paraId="09055EDC">
      <w:pPr>
        <w:ind w:firstLine="369" w:firstLineChars="176"/>
        <w:rPr>
          <w:color w:val="auto"/>
          <w:highlight w:val="none"/>
          <w:u w:val="none" w:color="auto"/>
          <w:lang w:eastAsia="zh-CN"/>
        </w:rPr>
      </w:pPr>
      <w:r>
        <w:rPr>
          <w:color w:val="auto"/>
          <w:highlight w:val="none"/>
          <w:u w:val="none" w:color="auto"/>
          <w:lang w:eastAsia="zh-CN"/>
        </w:rPr>
        <w:t>(四)日照设计要求：按西安市规划局的相关规定要求执行；日照计算按规划局认可的专用日照软件众智进行日照计算复核。</w:t>
      </w:r>
    </w:p>
    <w:p w14:paraId="5E15C768">
      <w:pPr>
        <w:ind w:firstLine="369" w:firstLineChars="176"/>
        <w:rPr>
          <w:color w:val="auto"/>
          <w:highlight w:val="none"/>
          <w:u w:val="none" w:color="auto"/>
          <w:lang w:eastAsia="zh-CN"/>
        </w:rPr>
      </w:pPr>
      <w:r>
        <w:rPr>
          <w:color w:val="auto"/>
          <w:highlight w:val="none"/>
          <w:u w:val="none" w:color="auto"/>
          <w:lang w:eastAsia="zh-CN"/>
        </w:rPr>
        <w:t>2、交通组织</w:t>
      </w:r>
    </w:p>
    <w:p w14:paraId="431FEB6E">
      <w:pPr>
        <w:ind w:firstLine="369" w:firstLineChars="176"/>
        <w:rPr>
          <w:color w:val="auto"/>
          <w:highlight w:val="none"/>
          <w:u w:val="none" w:color="auto"/>
          <w:lang w:eastAsia="zh-CN"/>
        </w:rPr>
      </w:pPr>
      <w:r>
        <w:rPr>
          <w:color w:val="auto"/>
          <w:highlight w:val="none"/>
          <w:u w:val="none" w:color="auto"/>
          <w:lang w:eastAsia="zh-CN"/>
        </w:rPr>
        <w:t>(一)外部交通要求：人行、车行出入口设置应清晰合理，满足城市道路规划的要求和人员出行便捷的要求。地下与地面停车位相对集中，通过合理有效交通组织方式实现人车分流。</w:t>
      </w:r>
    </w:p>
    <w:p w14:paraId="5A7CA8DE">
      <w:pPr>
        <w:ind w:firstLine="369" w:firstLineChars="176"/>
        <w:rPr>
          <w:color w:val="auto"/>
          <w:highlight w:val="none"/>
          <w:u w:val="none" w:color="auto"/>
          <w:lang w:eastAsia="zh-CN"/>
        </w:rPr>
      </w:pPr>
      <w:r>
        <w:rPr>
          <w:color w:val="auto"/>
          <w:highlight w:val="none"/>
          <w:u w:val="none" w:color="auto"/>
          <w:lang w:eastAsia="zh-CN"/>
        </w:rPr>
        <w:t>(二)道路结构合理， 分级明确； 注重道路、广场的设计应达到功能实用与环境美观的统一。</w:t>
      </w:r>
    </w:p>
    <w:p w14:paraId="3AB29A71">
      <w:pPr>
        <w:ind w:firstLine="369" w:firstLineChars="176"/>
        <w:rPr>
          <w:color w:val="auto"/>
          <w:highlight w:val="none"/>
          <w:u w:val="none" w:color="auto"/>
          <w:lang w:eastAsia="zh-CN"/>
        </w:rPr>
      </w:pPr>
      <w:r>
        <w:rPr>
          <w:color w:val="auto"/>
          <w:highlight w:val="none"/>
          <w:u w:val="none" w:color="auto"/>
          <w:lang w:eastAsia="zh-CN"/>
        </w:rPr>
        <w:t>(三)车道系统：人车分离，将小区综合环境影响降至最低程度。小区内部地面只设计步行系统，车库出入口建议直接面向小区外，小区内部除消防车行道外不设任何车行道路，最大化的保证充足的地面生态绿化空间和交流活动空间， 保证小区内部的安全性。</w:t>
      </w:r>
    </w:p>
    <w:p w14:paraId="1E2CDF86">
      <w:pPr>
        <w:ind w:firstLine="369" w:firstLineChars="176"/>
        <w:rPr>
          <w:color w:val="auto"/>
          <w:highlight w:val="none"/>
          <w:u w:val="none" w:color="auto"/>
          <w:lang w:eastAsia="zh-CN"/>
        </w:rPr>
      </w:pPr>
      <w:r>
        <w:rPr>
          <w:color w:val="auto"/>
          <w:highlight w:val="none"/>
          <w:u w:val="none" w:color="auto"/>
          <w:lang w:eastAsia="zh-CN"/>
        </w:rPr>
        <w:t>(四)主要出入口方位：建议小区车库出入口建议直接面向小区外。具体各出入口的设置以最终总平面方案审查为准。</w:t>
      </w:r>
    </w:p>
    <w:p w14:paraId="09967F0F">
      <w:pPr>
        <w:ind w:firstLine="369" w:firstLineChars="176"/>
        <w:rPr>
          <w:color w:val="auto"/>
          <w:highlight w:val="none"/>
          <w:u w:val="none" w:color="auto"/>
          <w:lang w:eastAsia="zh-CN"/>
        </w:rPr>
      </w:pPr>
      <w:r>
        <w:rPr>
          <w:color w:val="auto"/>
          <w:highlight w:val="none"/>
          <w:u w:val="none" w:color="auto"/>
          <w:lang w:eastAsia="zh-CN"/>
        </w:rPr>
        <w:t>(五)车行系统： 机动车停车的设置在满足规范、规划要求的前提下，可适度提高地下车位数，地下车库形式不限，应注重成本控制，通过合理的设计尽可能提高车库的经济性，有效控制开发成本。非机动车的停车场可结合主楼地下空间设计。</w:t>
      </w:r>
    </w:p>
    <w:p w14:paraId="62BFC6C8">
      <w:pPr>
        <w:ind w:firstLine="369" w:firstLineChars="176"/>
        <w:rPr>
          <w:color w:val="auto"/>
          <w:highlight w:val="none"/>
          <w:u w:val="none" w:color="auto"/>
          <w:lang w:eastAsia="zh-CN"/>
        </w:rPr>
      </w:pPr>
      <w:r>
        <w:rPr>
          <w:color w:val="auto"/>
          <w:highlight w:val="none"/>
          <w:u w:val="none" w:color="auto"/>
          <w:lang w:eastAsia="zh-CN"/>
        </w:rPr>
        <w:t>(六)步行系统：确保各组团便捷畅通，并考虑景观与建筑的关系，可结合园路设置健康步道。</w:t>
      </w:r>
    </w:p>
    <w:p w14:paraId="7B649945">
      <w:pPr>
        <w:pStyle w:val="3"/>
        <w:ind w:firstLine="565" w:firstLineChars="176"/>
        <w:rPr>
          <w:color w:val="auto"/>
          <w:highlight w:val="none"/>
          <w:u w:val="none" w:color="auto"/>
          <w:lang w:eastAsia="zh-CN"/>
        </w:rPr>
      </w:pPr>
      <w:r>
        <w:rPr>
          <w:color w:val="auto"/>
          <w:highlight w:val="none"/>
          <w:u w:val="none" w:color="auto"/>
          <w:lang w:eastAsia="zh-CN"/>
        </w:rPr>
        <w:t>五、建筑单体设计</w:t>
      </w:r>
    </w:p>
    <w:p w14:paraId="5ED8A107">
      <w:pPr>
        <w:ind w:firstLine="369" w:firstLineChars="176"/>
        <w:rPr>
          <w:color w:val="auto"/>
          <w:highlight w:val="none"/>
          <w:u w:val="none" w:color="auto"/>
        </w:rPr>
      </w:pPr>
      <w:r>
        <w:rPr>
          <w:color w:val="auto"/>
          <w:highlight w:val="none"/>
          <w:u w:val="none" w:color="auto"/>
          <w:lang w:eastAsia="zh-CN"/>
        </w:rPr>
        <w:t>1、住宅产品：</w:t>
      </w:r>
    </w:p>
    <w:p w14:paraId="1F3287C8">
      <w:pPr>
        <w:ind w:firstLine="371" w:firstLineChars="177"/>
        <w:rPr>
          <w:color w:val="auto"/>
          <w:highlight w:val="none"/>
          <w:u w:val="none" w:color="auto"/>
          <w:lang w:eastAsia="zh-CN"/>
        </w:rPr>
      </w:pPr>
      <w:r>
        <w:rPr>
          <w:color w:val="auto"/>
          <w:highlight w:val="none"/>
          <w:u w:val="none" w:color="auto"/>
          <w:lang w:eastAsia="zh-CN"/>
        </w:rPr>
        <w:t>1.</w:t>
      </w:r>
      <w:r>
        <w:rPr>
          <w:rFonts w:hint="eastAsia"/>
          <w:color w:val="auto"/>
          <w:highlight w:val="none"/>
          <w:u w:val="none" w:color="auto"/>
          <w:lang w:val="en-US" w:eastAsia="zh-CN"/>
        </w:rPr>
        <w:t>1</w:t>
      </w:r>
      <w:r>
        <w:rPr>
          <w:color w:val="auto"/>
          <w:highlight w:val="none"/>
          <w:u w:val="none" w:color="auto"/>
          <w:lang w:eastAsia="zh-CN"/>
        </w:rPr>
        <w:t xml:space="preserve"> 应设计有品质仪式感的社区及单元入户大堂， 入户交通应便捷且便于识别， 同时注 意入户私密空间感的设计，以体现人文关怀。住宅应通过电梯直接到达地下停车场。</w:t>
      </w:r>
    </w:p>
    <w:p w14:paraId="64E8D76E">
      <w:pPr>
        <w:ind w:firstLine="371" w:firstLineChars="177"/>
        <w:rPr>
          <w:color w:val="auto"/>
          <w:highlight w:val="none"/>
          <w:u w:val="none" w:color="auto"/>
          <w:lang w:eastAsia="zh-CN"/>
        </w:rPr>
      </w:pPr>
      <w:r>
        <w:rPr>
          <w:color w:val="auto"/>
          <w:highlight w:val="none"/>
          <w:u w:val="none" w:color="auto"/>
          <w:lang w:eastAsia="zh-CN"/>
        </w:rPr>
        <w:t>1.</w:t>
      </w:r>
      <w:r>
        <w:rPr>
          <w:rFonts w:hint="eastAsia"/>
          <w:color w:val="auto"/>
          <w:highlight w:val="none"/>
          <w:u w:val="none" w:color="auto"/>
          <w:lang w:val="en-US" w:eastAsia="zh-CN"/>
        </w:rPr>
        <w:t>2</w:t>
      </w:r>
      <w:r>
        <w:rPr>
          <w:color w:val="auto"/>
          <w:highlight w:val="none"/>
          <w:u w:val="none" w:color="auto"/>
          <w:lang w:eastAsia="zh-CN"/>
        </w:rPr>
        <w:t xml:space="preserve"> 建筑细节：不仅应在建筑造型、风格、施工及材料的设计选择上坚持品质细节追求，还应考虑无障碍的设计使用、大堂出入口的空间尺度、生活垃圾的投放等其他细节的人性化设计。</w:t>
      </w:r>
    </w:p>
    <w:p w14:paraId="5479FA24">
      <w:pPr>
        <w:ind w:firstLine="371" w:firstLineChars="177"/>
        <w:rPr>
          <w:color w:val="auto"/>
          <w:highlight w:val="none"/>
          <w:u w:val="none" w:color="auto"/>
          <w:lang w:eastAsia="zh-CN"/>
        </w:rPr>
      </w:pPr>
      <w:r>
        <w:rPr>
          <w:color w:val="auto"/>
          <w:highlight w:val="none"/>
          <w:u w:val="none" w:color="auto"/>
          <w:lang w:eastAsia="zh-CN"/>
        </w:rPr>
        <w:t>把控业主入户区域空间品质感受，通过细节设计避免在大堂及业主户门区域有消火栓、凸出的配电箱体等构筑物。</w:t>
      </w:r>
    </w:p>
    <w:p w14:paraId="04F41056">
      <w:pPr>
        <w:ind w:firstLine="371" w:firstLineChars="177"/>
        <w:rPr>
          <w:color w:val="auto"/>
          <w:highlight w:val="none"/>
          <w:u w:val="none" w:color="auto"/>
          <w:lang w:eastAsia="zh-CN"/>
        </w:rPr>
      </w:pPr>
      <w:r>
        <w:rPr>
          <w:color w:val="auto"/>
          <w:highlight w:val="none"/>
          <w:u w:val="none" w:color="auto"/>
          <w:lang w:eastAsia="zh-CN"/>
        </w:rPr>
        <w:t>提供阳台护栏的细节设计，对入户大堂门厅处的灯具、大堂铺装提供设计建议。</w:t>
      </w:r>
    </w:p>
    <w:p w14:paraId="6C40ACE6">
      <w:pPr>
        <w:ind w:firstLine="371" w:firstLineChars="177"/>
        <w:rPr>
          <w:color w:val="auto"/>
          <w:highlight w:val="none"/>
          <w:u w:val="none" w:color="auto"/>
          <w:lang w:eastAsia="zh-CN"/>
        </w:rPr>
      </w:pPr>
      <w:r>
        <w:rPr>
          <w:color w:val="auto"/>
          <w:highlight w:val="none"/>
          <w:u w:val="none" w:color="auto"/>
          <w:lang w:eastAsia="zh-CN"/>
        </w:rPr>
        <w:t>2、社区型商业：</w:t>
      </w:r>
    </w:p>
    <w:p w14:paraId="6B0F437F">
      <w:pPr>
        <w:ind w:firstLine="371" w:firstLineChars="177"/>
        <w:rPr>
          <w:color w:val="auto"/>
          <w:highlight w:val="none"/>
          <w:u w:val="none" w:color="auto"/>
          <w:lang w:eastAsia="zh-CN"/>
        </w:rPr>
      </w:pPr>
      <w:r>
        <w:rPr>
          <w:color w:val="auto"/>
          <w:highlight w:val="none"/>
          <w:u w:val="none" w:color="auto"/>
          <w:lang w:eastAsia="zh-CN"/>
        </w:rPr>
        <w:t>2.</w:t>
      </w:r>
      <w:r>
        <w:rPr>
          <w:rFonts w:hint="eastAsia"/>
          <w:color w:val="auto"/>
          <w:highlight w:val="none"/>
          <w:u w:val="none" w:color="auto"/>
          <w:lang w:val="en-US" w:eastAsia="zh-CN"/>
        </w:rPr>
        <w:t>1</w:t>
      </w:r>
      <w:r>
        <w:rPr>
          <w:color w:val="auto"/>
          <w:highlight w:val="none"/>
          <w:u w:val="none" w:color="auto"/>
          <w:lang w:eastAsia="zh-CN"/>
        </w:rPr>
        <w:t xml:space="preserve"> 商业定位：商业定位以满足社区基本生活需求为主，商业设置应结合地块和周 边道路关系合理避城市绿化带对商业的不利影响。生活配套一定要成系统， 要“自成一 体”可考虑街铺和社区服务中心业态互补，整体化设计。</w:t>
      </w:r>
    </w:p>
    <w:p w14:paraId="7147E11C">
      <w:pPr>
        <w:ind w:firstLine="371" w:firstLineChars="177"/>
        <w:rPr>
          <w:color w:val="auto"/>
          <w:highlight w:val="none"/>
          <w:u w:val="none" w:color="auto"/>
          <w:lang w:eastAsia="zh-CN"/>
        </w:rPr>
      </w:pPr>
      <w:r>
        <w:rPr>
          <w:color w:val="auto"/>
          <w:highlight w:val="none"/>
          <w:u w:val="none" w:color="auto"/>
          <w:lang w:eastAsia="zh-CN"/>
        </w:rPr>
        <w:t>2.</w:t>
      </w:r>
      <w:r>
        <w:rPr>
          <w:rFonts w:hint="eastAsia"/>
          <w:color w:val="auto"/>
          <w:highlight w:val="none"/>
          <w:u w:val="none" w:color="auto"/>
          <w:lang w:val="en-US" w:eastAsia="zh-CN"/>
        </w:rPr>
        <w:t>2</w:t>
      </w:r>
      <w:r>
        <w:rPr>
          <w:color w:val="auto"/>
          <w:highlight w:val="none"/>
          <w:u w:val="none" w:color="auto"/>
          <w:lang w:eastAsia="zh-CN"/>
        </w:rPr>
        <w:t xml:space="preserve"> 业态布置： 商业业态主要包括超市、餐饮店、便利店、药店、水果店、文具店、干洗店、甜品店等满足社区及周边人群日常生活配套所需的业态为主。</w:t>
      </w:r>
    </w:p>
    <w:p w14:paraId="45A6FD44">
      <w:pPr>
        <w:ind w:firstLine="371" w:firstLineChars="177"/>
        <w:rPr>
          <w:color w:val="auto"/>
          <w:highlight w:val="none"/>
          <w:u w:val="none" w:color="auto"/>
          <w:lang w:eastAsia="zh-CN"/>
        </w:rPr>
      </w:pPr>
      <w:r>
        <w:rPr>
          <w:color w:val="auto"/>
          <w:highlight w:val="none"/>
          <w:u w:val="none" w:color="auto"/>
          <w:lang w:eastAsia="zh-CN"/>
        </w:rPr>
        <w:t>2.</w:t>
      </w:r>
      <w:r>
        <w:rPr>
          <w:rFonts w:hint="eastAsia"/>
          <w:color w:val="auto"/>
          <w:highlight w:val="none"/>
          <w:u w:val="none" w:color="auto"/>
          <w:lang w:val="en-US" w:eastAsia="zh-CN"/>
        </w:rPr>
        <w:t>3</w:t>
      </w:r>
      <w:r>
        <w:rPr>
          <w:color w:val="auto"/>
          <w:highlight w:val="none"/>
          <w:u w:val="none" w:color="auto"/>
          <w:lang w:eastAsia="zh-CN"/>
        </w:rPr>
        <w:t xml:space="preserve"> 商业交通组织：商业需要充分考虑对基地自身人流、周边经过人流、周边交通 人流的合理组织。交通组织应垂直交通和水平交通相结合。要求商业流线横纵回流， 围 绕商铺形成单一动线， 形成人流回路， 避免商业交通死角。针对不同业态的商业应有明 显的出入口设计。同时还应考虑商业的人车分流， 部分中型餐饮、养生娱乐等应考虑局部的地面停车，停车位不应对商铺产生阻挡或其他影响。</w:t>
      </w:r>
    </w:p>
    <w:p w14:paraId="3D55A782">
      <w:pPr>
        <w:ind w:firstLine="371" w:firstLineChars="177"/>
        <w:rPr>
          <w:color w:val="auto"/>
          <w:highlight w:val="none"/>
          <w:u w:val="none" w:color="auto"/>
          <w:lang w:eastAsia="zh-CN"/>
        </w:rPr>
      </w:pPr>
      <w:r>
        <w:rPr>
          <w:color w:val="auto"/>
          <w:highlight w:val="none"/>
          <w:u w:val="none" w:color="auto"/>
          <w:lang w:eastAsia="zh-CN"/>
        </w:rPr>
        <w:t>2.</w:t>
      </w:r>
      <w:r>
        <w:rPr>
          <w:rFonts w:hint="eastAsia"/>
          <w:color w:val="auto"/>
          <w:highlight w:val="none"/>
          <w:u w:val="none" w:color="auto"/>
          <w:lang w:val="en-US" w:eastAsia="zh-CN"/>
        </w:rPr>
        <w:t>4</w:t>
      </w:r>
      <w:r>
        <w:rPr>
          <w:color w:val="auto"/>
          <w:highlight w:val="none"/>
          <w:u w:val="none" w:color="auto"/>
          <w:lang w:eastAsia="zh-CN"/>
        </w:rPr>
        <w:t xml:space="preserve"> 商业昭示性：要综合考虑商业的外部形象。需整体考虑外立面相应店铺标牌、店招设计。建筑设计时可考虑采用玻璃幕墙，增强房间的通透性，少用墙体，增加商业的展示空间。在条件允许的情况下，商业楼顶可考虑设置绿化、增加商业气氛，提高建筑的潜在利用率。</w:t>
      </w:r>
    </w:p>
    <w:p w14:paraId="25A260A3">
      <w:pPr>
        <w:ind w:firstLine="371" w:firstLineChars="177"/>
        <w:rPr>
          <w:color w:val="auto"/>
          <w:highlight w:val="none"/>
          <w:u w:val="none" w:color="auto"/>
          <w:lang w:eastAsia="zh-CN"/>
        </w:rPr>
      </w:pPr>
      <w:r>
        <w:rPr>
          <w:color w:val="auto"/>
          <w:highlight w:val="none"/>
          <w:u w:val="none" w:color="auto"/>
          <w:lang w:eastAsia="zh-CN"/>
        </w:rPr>
        <w:t>3、配套设施：</w:t>
      </w:r>
    </w:p>
    <w:p w14:paraId="66D18F11">
      <w:pPr>
        <w:ind w:firstLine="371" w:firstLineChars="177"/>
        <w:rPr>
          <w:color w:val="auto"/>
          <w:highlight w:val="none"/>
          <w:u w:val="none" w:color="auto"/>
          <w:lang w:eastAsia="zh-CN"/>
        </w:rPr>
      </w:pPr>
      <w:r>
        <w:rPr>
          <w:color w:val="auto"/>
          <w:highlight w:val="none"/>
          <w:u w:val="none" w:color="auto"/>
          <w:lang w:eastAsia="zh-CN"/>
        </w:rPr>
        <w:t>3.1 配套设施的设置及规模：主要有社区管理用房、物业管理用房、商业服务、居 民健身设施、便民设施等配套设施。公共服务配套设施设计指标要求按《西安市规划管理技术规定》对应人口密度指标进行拆分设计。</w:t>
      </w:r>
    </w:p>
    <w:p w14:paraId="51A0A05C">
      <w:pPr>
        <w:ind w:firstLine="371" w:firstLineChars="177"/>
        <w:rPr>
          <w:color w:val="auto"/>
          <w:highlight w:val="none"/>
          <w:u w:val="none" w:color="auto"/>
          <w:lang w:eastAsia="zh-CN"/>
        </w:rPr>
      </w:pPr>
      <w:r>
        <w:rPr>
          <w:color w:val="auto"/>
          <w:highlight w:val="none"/>
          <w:u w:val="none" w:color="auto"/>
          <w:lang w:eastAsia="zh-CN"/>
        </w:rPr>
        <w:t>3.2 配套设施定位：配套服务设施设计上应充分体现人文风情的设计理念，用品质 细节体现关怀服务，提倡关爱儿童，关怀老人的理念态度。</w:t>
      </w:r>
    </w:p>
    <w:p w14:paraId="42796CC9">
      <w:pPr>
        <w:pStyle w:val="3"/>
        <w:ind w:firstLine="569" w:firstLineChars="177"/>
        <w:rPr>
          <w:color w:val="auto"/>
          <w:highlight w:val="none"/>
          <w:u w:val="none" w:color="auto"/>
          <w:lang w:eastAsia="zh-CN"/>
        </w:rPr>
      </w:pPr>
      <w:r>
        <w:rPr>
          <w:color w:val="auto"/>
          <w:highlight w:val="none"/>
          <w:u w:val="none" w:color="auto"/>
          <w:lang w:eastAsia="zh-CN"/>
        </w:rPr>
        <w:t>六、建筑立面</w:t>
      </w:r>
    </w:p>
    <w:p w14:paraId="7D23152E">
      <w:pPr>
        <w:ind w:firstLine="371" w:firstLineChars="177"/>
        <w:rPr>
          <w:color w:val="auto"/>
          <w:highlight w:val="none"/>
          <w:u w:val="none" w:color="auto"/>
          <w:lang w:eastAsia="zh-CN"/>
        </w:rPr>
      </w:pPr>
      <w:r>
        <w:rPr>
          <w:color w:val="auto"/>
          <w:highlight w:val="none"/>
          <w:u w:val="none" w:color="auto"/>
          <w:lang w:eastAsia="zh-CN"/>
        </w:rPr>
        <w:t>建筑立面应具有较强的风格化。可采用公建化外立面，追求现代简约的立面效果配套商业结合主体建筑设计建筑色彩按规划条件色彩要求设计。外墙可选用真石漆重点部位可采用有价值感材料提升项目品质，立面色彩搭配按规划效果图，分色应有可明确定位的分色控制线，便于后期施工设计。</w:t>
      </w:r>
    </w:p>
    <w:p w14:paraId="695B5432">
      <w:pPr>
        <w:pStyle w:val="3"/>
        <w:ind w:firstLine="569" w:firstLineChars="177"/>
        <w:rPr>
          <w:color w:val="auto"/>
          <w:highlight w:val="none"/>
          <w:u w:val="none" w:color="auto"/>
          <w:lang w:eastAsia="zh-CN"/>
        </w:rPr>
      </w:pPr>
      <w:r>
        <w:rPr>
          <w:color w:val="auto"/>
          <w:highlight w:val="none"/>
          <w:u w:val="none" w:color="auto"/>
          <w:lang w:eastAsia="zh-CN"/>
        </w:rPr>
        <w:t>七、绿化景观设计</w:t>
      </w:r>
    </w:p>
    <w:p w14:paraId="0D19520D">
      <w:pPr>
        <w:ind w:firstLine="371" w:firstLineChars="177"/>
        <w:rPr>
          <w:color w:val="auto"/>
          <w:highlight w:val="none"/>
          <w:u w:val="none" w:color="auto"/>
          <w:lang w:eastAsia="zh-CN"/>
        </w:rPr>
      </w:pPr>
      <w:r>
        <w:rPr>
          <w:color w:val="auto"/>
          <w:highlight w:val="none"/>
          <w:u w:val="none" w:color="auto"/>
          <w:lang w:eastAsia="zh-CN"/>
        </w:rPr>
        <w:t>1.应满足规划经济指标≧35%的要求，诸如绿地率、地面车位等。</w:t>
      </w:r>
    </w:p>
    <w:p w14:paraId="207552C1">
      <w:pPr>
        <w:ind w:firstLine="371" w:firstLineChars="177"/>
        <w:rPr>
          <w:color w:val="auto"/>
          <w:highlight w:val="none"/>
          <w:u w:val="none" w:color="auto"/>
          <w:lang w:eastAsia="zh-CN"/>
        </w:rPr>
      </w:pPr>
      <w:r>
        <w:rPr>
          <w:color w:val="auto"/>
          <w:highlight w:val="none"/>
          <w:u w:val="none" w:color="auto"/>
          <w:lang w:eastAsia="zh-CN"/>
        </w:rPr>
        <w:t>2.应满足园林报建的相关审批要求。</w:t>
      </w:r>
    </w:p>
    <w:p w14:paraId="3A08F2EC">
      <w:pPr>
        <w:ind w:firstLine="371" w:firstLineChars="177"/>
        <w:rPr>
          <w:color w:val="auto"/>
          <w:highlight w:val="none"/>
          <w:u w:val="none" w:color="auto"/>
          <w:lang w:eastAsia="zh-CN"/>
        </w:rPr>
      </w:pPr>
      <w:r>
        <w:rPr>
          <w:color w:val="auto"/>
          <w:highlight w:val="none"/>
          <w:u w:val="none" w:color="auto"/>
          <w:lang w:eastAsia="zh-CN"/>
        </w:rPr>
        <w:t>3.景观设计风格要与规划、建筑风格协调统一，应体现较强的品质感、设计感和富于新颖创意，景观布局应功能合理，节点应体现对空间的设计。</w:t>
      </w:r>
    </w:p>
    <w:p w14:paraId="3104928C">
      <w:pPr>
        <w:pStyle w:val="3"/>
        <w:ind w:firstLine="569" w:firstLineChars="177"/>
        <w:rPr>
          <w:color w:val="auto"/>
          <w:highlight w:val="none"/>
          <w:u w:val="none" w:color="auto"/>
          <w:lang w:eastAsia="zh-CN"/>
        </w:rPr>
      </w:pPr>
      <w:r>
        <w:rPr>
          <w:color w:val="auto"/>
          <w:highlight w:val="none"/>
          <w:u w:val="none" w:color="auto"/>
          <w:lang w:eastAsia="zh-CN"/>
        </w:rPr>
        <w:t>八、绿色环保</w:t>
      </w:r>
    </w:p>
    <w:p w14:paraId="76CE4D3A">
      <w:pPr>
        <w:ind w:firstLine="371" w:firstLineChars="177"/>
        <w:rPr>
          <w:color w:val="auto"/>
          <w:highlight w:val="none"/>
          <w:u w:val="none" w:color="auto"/>
          <w:lang w:eastAsia="zh-CN"/>
        </w:rPr>
      </w:pPr>
      <w:r>
        <w:rPr>
          <w:color w:val="auto"/>
          <w:highlight w:val="none"/>
          <w:u w:val="none" w:color="auto"/>
          <w:lang w:eastAsia="zh-CN"/>
        </w:rPr>
        <w:t>设计以应以“创新、环保、节能、人文”为关注重点， 打造绿色、安全的健康社区，做好产品的通风、采光和降噪处理， 绿色建筑的设计积极采用平台绿化和垂直绿化技术。通过采用无辐射、无污染的建筑材料的使用； 通过使用低能耗和高效率的设备， 隔热和 低辐射玻璃等手段； 通过建筑设计解决好自然通风采光、布局的合理性等，达到建筑的节能、节水、空气洁净、智能及可生态持续发展的目的。</w:t>
      </w:r>
    </w:p>
    <w:p w14:paraId="289FD77D">
      <w:pPr>
        <w:pStyle w:val="3"/>
        <w:ind w:firstLine="569" w:firstLineChars="177"/>
        <w:rPr>
          <w:color w:val="auto"/>
          <w:highlight w:val="none"/>
          <w:u w:val="none" w:color="auto"/>
          <w:lang w:eastAsia="zh-CN"/>
        </w:rPr>
      </w:pPr>
      <w:r>
        <w:rPr>
          <w:color w:val="auto"/>
          <w:highlight w:val="none"/>
          <w:u w:val="none" w:color="auto"/>
          <w:lang w:eastAsia="zh-CN"/>
        </w:rPr>
        <w:t>九、智能科技及智能化系统的应用</w:t>
      </w:r>
    </w:p>
    <w:p w14:paraId="12AF7174">
      <w:pPr>
        <w:ind w:firstLine="371" w:firstLineChars="177"/>
        <w:rPr>
          <w:color w:val="auto"/>
          <w:highlight w:val="none"/>
          <w:u w:val="none" w:color="auto"/>
          <w:lang w:eastAsia="zh-CN"/>
        </w:rPr>
      </w:pPr>
      <w:r>
        <w:rPr>
          <w:color w:val="auto"/>
          <w:highlight w:val="none"/>
          <w:u w:val="none" w:color="auto"/>
          <w:lang w:eastAsia="zh-CN"/>
        </w:rPr>
        <w:t>1.打造绿色、安全、健康社区，做好产品的通风、采光和降噪处理，积极采用平台绿化和垂直绿化技术。</w:t>
      </w:r>
    </w:p>
    <w:p w14:paraId="53988940">
      <w:pPr>
        <w:ind w:firstLine="371" w:firstLineChars="177"/>
        <w:rPr>
          <w:color w:val="auto"/>
          <w:highlight w:val="yellow"/>
          <w:u w:val="none" w:color="auto"/>
          <w:lang w:eastAsia="zh-CN"/>
        </w:rPr>
      </w:pPr>
      <w:r>
        <w:rPr>
          <w:color w:val="auto"/>
          <w:highlight w:val="yellow"/>
          <w:u w:val="none" w:color="auto"/>
          <w:lang w:eastAsia="zh-CN"/>
        </w:rPr>
        <w:t>2.在安防系统上，</w:t>
      </w:r>
      <w:r>
        <w:rPr>
          <w:rFonts w:hint="eastAsia"/>
          <w:color w:val="auto"/>
          <w:highlight w:val="yellow"/>
          <w:u w:val="none" w:color="auto"/>
          <w:lang w:eastAsia="zh"/>
        </w:rPr>
        <w:t>构建安防一体智慧社区，统一管理平台，实现功能包括楼宇对讲系统、视频监控系统、智能停车场管理系统、周界防范系统、电子巡更系统.</w:t>
      </w:r>
      <w:r>
        <w:rPr>
          <w:color w:val="auto"/>
          <w:highlight w:val="yellow"/>
          <w:u w:val="none" w:color="auto"/>
          <w:lang w:eastAsia="zh-CN"/>
        </w:rPr>
        <w:t>。</w:t>
      </w:r>
    </w:p>
    <w:p w14:paraId="43A89802">
      <w:pPr>
        <w:pStyle w:val="3"/>
        <w:ind w:firstLine="569" w:firstLineChars="177"/>
        <w:rPr>
          <w:color w:val="auto"/>
          <w:highlight w:val="none"/>
          <w:u w:val="none" w:color="auto"/>
          <w:lang w:eastAsia="zh-CN"/>
        </w:rPr>
      </w:pPr>
      <w:r>
        <w:rPr>
          <w:color w:val="auto"/>
          <w:highlight w:val="none"/>
          <w:u w:val="none" w:color="auto"/>
          <w:lang w:eastAsia="zh-CN"/>
        </w:rPr>
        <w:t>十、方案深化设计成果</w:t>
      </w:r>
    </w:p>
    <w:p w14:paraId="4183B6CA">
      <w:pPr>
        <w:ind w:firstLine="371" w:firstLineChars="177"/>
        <w:rPr>
          <w:color w:val="auto"/>
          <w:highlight w:val="none"/>
          <w:u w:val="none" w:color="auto"/>
          <w:lang w:eastAsia="zh-CN"/>
        </w:rPr>
      </w:pPr>
      <w:r>
        <w:rPr>
          <w:color w:val="auto"/>
          <w:highlight w:val="none"/>
          <w:u w:val="none" w:color="auto"/>
          <w:lang w:eastAsia="zh-CN"/>
        </w:rPr>
        <w:t>1.文本设计内容：（A3 文本图册</w:t>
      </w:r>
      <w:r>
        <w:rPr>
          <w:rFonts w:hint="eastAsia"/>
          <w:color w:val="auto"/>
          <w:highlight w:val="none"/>
          <w:u w:val="none" w:color="auto"/>
          <w:lang w:eastAsia="zh-CN"/>
        </w:rPr>
        <w:t>五</w:t>
      </w:r>
      <w:r>
        <w:rPr>
          <w:color w:val="auto"/>
          <w:highlight w:val="none"/>
          <w:u w:val="none" w:color="auto"/>
          <w:lang w:eastAsia="zh-CN"/>
        </w:rPr>
        <w:t>份，</w:t>
      </w:r>
      <w:r>
        <w:rPr>
          <w:rFonts w:hint="eastAsia"/>
          <w:color w:val="auto"/>
          <w:highlight w:val="none"/>
          <w:u w:val="none" w:color="auto"/>
          <w:lang w:val="en-US" w:eastAsia="zh-CN"/>
        </w:rPr>
        <w:t>U</w:t>
      </w:r>
      <w:r>
        <w:rPr>
          <w:color w:val="auto"/>
          <w:highlight w:val="none"/>
          <w:u w:val="none" w:color="auto"/>
          <w:lang w:eastAsia="zh-CN"/>
        </w:rPr>
        <w:t>盘</w:t>
      </w:r>
      <w:r>
        <w:rPr>
          <w:rFonts w:hint="eastAsia"/>
          <w:color w:val="auto"/>
          <w:highlight w:val="none"/>
          <w:u w:val="none" w:color="auto"/>
          <w:lang w:eastAsia="zh-CN"/>
        </w:rPr>
        <w:t>一</w:t>
      </w:r>
      <w:r>
        <w:rPr>
          <w:color w:val="auto"/>
          <w:highlight w:val="none"/>
          <w:u w:val="none" w:color="auto"/>
          <w:lang w:eastAsia="zh-CN"/>
        </w:rPr>
        <w:t>份）</w:t>
      </w:r>
    </w:p>
    <w:tbl>
      <w:tblPr>
        <w:tblStyle w:val="924"/>
        <w:tblW w:w="9771"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45"/>
        <w:gridCol w:w="723"/>
        <w:gridCol w:w="2666"/>
        <w:gridCol w:w="1301"/>
        <w:gridCol w:w="4136"/>
      </w:tblGrid>
      <w:tr w14:paraId="1F83B2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1" w:hRule="atLeast"/>
        </w:trPr>
        <w:tc>
          <w:tcPr>
            <w:tcW w:w="945" w:type="dxa"/>
          </w:tcPr>
          <w:p w14:paraId="15EA2CE2">
            <w:pPr>
              <w:rPr>
                <w:snapToGrid w:val="0"/>
                <w:color w:val="auto"/>
                <w:sz w:val="21"/>
                <w:highlight w:val="none"/>
                <w:u w:val="none" w:color="auto"/>
              </w:rPr>
            </w:pPr>
            <w:r>
              <w:rPr>
                <w:snapToGrid w:val="0"/>
                <w:color w:val="auto"/>
                <w:sz w:val="21"/>
                <w:highlight w:val="none"/>
                <w:u w:val="none" w:color="auto"/>
              </w:rPr>
              <w:t>分类</w:t>
            </w:r>
          </w:p>
        </w:tc>
        <w:tc>
          <w:tcPr>
            <w:tcW w:w="723" w:type="dxa"/>
          </w:tcPr>
          <w:p w14:paraId="71B0B646">
            <w:pPr>
              <w:rPr>
                <w:snapToGrid w:val="0"/>
                <w:color w:val="auto"/>
                <w:sz w:val="21"/>
                <w:highlight w:val="none"/>
                <w:u w:val="none" w:color="auto"/>
              </w:rPr>
            </w:pPr>
            <w:r>
              <w:rPr>
                <w:snapToGrid w:val="0"/>
                <w:color w:val="auto"/>
                <w:sz w:val="21"/>
                <w:highlight w:val="none"/>
                <w:u w:val="none" w:color="auto"/>
              </w:rPr>
              <w:t>序号</w:t>
            </w:r>
          </w:p>
        </w:tc>
        <w:tc>
          <w:tcPr>
            <w:tcW w:w="2666" w:type="dxa"/>
          </w:tcPr>
          <w:p w14:paraId="6B6AAEBF">
            <w:pPr>
              <w:rPr>
                <w:snapToGrid w:val="0"/>
                <w:color w:val="auto"/>
                <w:sz w:val="21"/>
                <w:highlight w:val="none"/>
                <w:u w:val="none" w:color="auto"/>
              </w:rPr>
            </w:pPr>
            <w:r>
              <w:rPr>
                <w:snapToGrid w:val="0"/>
                <w:color w:val="auto"/>
                <w:sz w:val="21"/>
                <w:highlight w:val="none"/>
                <w:u w:val="none" w:color="auto"/>
              </w:rPr>
              <w:t>图纸名称</w:t>
            </w:r>
          </w:p>
        </w:tc>
        <w:tc>
          <w:tcPr>
            <w:tcW w:w="1301" w:type="dxa"/>
          </w:tcPr>
          <w:p w14:paraId="193D6915">
            <w:pPr>
              <w:rPr>
                <w:snapToGrid w:val="0"/>
                <w:color w:val="auto"/>
                <w:sz w:val="21"/>
                <w:highlight w:val="none"/>
                <w:u w:val="none" w:color="auto"/>
              </w:rPr>
            </w:pPr>
            <w:r>
              <w:rPr>
                <w:snapToGrid w:val="0"/>
                <w:color w:val="auto"/>
                <w:sz w:val="21"/>
                <w:highlight w:val="none"/>
                <w:u w:val="none" w:color="auto"/>
              </w:rPr>
              <w:t>内容选项</w:t>
            </w:r>
          </w:p>
        </w:tc>
        <w:tc>
          <w:tcPr>
            <w:tcW w:w="4136" w:type="dxa"/>
          </w:tcPr>
          <w:p w14:paraId="34EC6FE7">
            <w:pPr>
              <w:rPr>
                <w:snapToGrid w:val="0"/>
                <w:color w:val="auto"/>
                <w:sz w:val="21"/>
                <w:highlight w:val="none"/>
                <w:u w:val="none" w:color="auto"/>
              </w:rPr>
            </w:pPr>
            <w:r>
              <w:rPr>
                <w:snapToGrid w:val="0"/>
                <w:color w:val="auto"/>
                <w:sz w:val="21"/>
                <w:highlight w:val="none"/>
                <w:u w:val="none" w:color="auto"/>
              </w:rPr>
              <w:t>设计表达要点</w:t>
            </w:r>
          </w:p>
        </w:tc>
      </w:tr>
      <w:tr w14:paraId="2E1ECC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0" w:hRule="atLeast"/>
        </w:trPr>
        <w:tc>
          <w:tcPr>
            <w:tcW w:w="945" w:type="dxa"/>
            <w:vMerge w:val="restart"/>
            <w:tcBorders>
              <w:bottom w:val="nil"/>
            </w:tcBorders>
            <w:vAlign w:val="center"/>
          </w:tcPr>
          <w:p w14:paraId="2A1C702E">
            <w:pPr>
              <w:jc w:val="center"/>
              <w:rPr>
                <w:snapToGrid w:val="0"/>
                <w:color w:val="auto"/>
                <w:sz w:val="21"/>
                <w:highlight w:val="none"/>
                <w:u w:val="none" w:color="auto"/>
              </w:rPr>
            </w:pPr>
            <w:r>
              <w:rPr>
                <w:snapToGrid w:val="0"/>
                <w:color w:val="auto"/>
                <w:sz w:val="21"/>
                <w:highlight w:val="none"/>
                <w:u w:val="none" w:color="auto"/>
              </w:rPr>
              <w:t>总说明</w:t>
            </w:r>
          </w:p>
        </w:tc>
        <w:tc>
          <w:tcPr>
            <w:tcW w:w="723" w:type="dxa"/>
            <w:vAlign w:val="center"/>
          </w:tcPr>
          <w:p w14:paraId="1039616C">
            <w:pPr>
              <w:jc w:val="center"/>
              <w:rPr>
                <w:snapToGrid w:val="0"/>
                <w:color w:val="auto"/>
                <w:sz w:val="21"/>
                <w:highlight w:val="none"/>
                <w:u w:val="none" w:color="auto"/>
              </w:rPr>
            </w:pPr>
            <w:r>
              <w:rPr>
                <w:snapToGrid w:val="0"/>
                <w:color w:val="auto"/>
                <w:sz w:val="21"/>
                <w:highlight w:val="none"/>
                <w:u w:val="none" w:color="auto"/>
              </w:rPr>
              <w:t>1</w:t>
            </w:r>
          </w:p>
        </w:tc>
        <w:tc>
          <w:tcPr>
            <w:tcW w:w="2666" w:type="dxa"/>
            <w:vAlign w:val="center"/>
          </w:tcPr>
          <w:p w14:paraId="521874D8">
            <w:pPr>
              <w:jc w:val="center"/>
              <w:rPr>
                <w:snapToGrid w:val="0"/>
                <w:color w:val="auto"/>
                <w:sz w:val="21"/>
                <w:highlight w:val="none"/>
                <w:u w:val="none" w:color="auto"/>
              </w:rPr>
            </w:pPr>
            <w:r>
              <w:rPr>
                <w:snapToGrid w:val="0"/>
                <w:color w:val="auto"/>
                <w:sz w:val="21"/>
                <w:highlight w:val="none"/>
                <w:u w:val="none" w:color="auto"/>
              </w:rPr>
              <w:t>各专业设计说明</w:t>
            </w:r>
          </w:p>
        </w:tc>
        <w:tc>
          <w:tcPr>
            <w:tcW w:w="1301" w:type="dxa"/>
            <w:vAlign w:val="center"/>
          </w:tcPr>
          <w:p w14:paraId="111446A6">
            <w:pPr>
              <w:jc w:val="center"/>
              <w:rPr>
                <w:snapToGrid w:val="0"/>
                <w:color w:val="auto"/>
                <w:sz w:val="21"/>
                <w:highlight w:val="none"/>
                <w:u w:val="none" w:color="auto"/>
              </w:rPr>
            </w:pPr>
            <w:r>
              <w:rPr>
                <w:snapToGrid w:val="0"/>
                <w:color w:val="auto"/>
                <w:sz w:val="21"/>
                <w:highlight w:val="none"/>
                <w:u w:val="none" w:color="auto"/>
              </w:rPr>
              <w:t>设计说明</w:t>
            </w:r>
          </w:p>
        </w:tc>
        <w:tc>
          <w:tcPr>
            <w:tcW w:w="4136" w:type="dxa"/>
            <w:vAlign w:val="center"/>
          </w:tcPr>
          <w:p w14:paraId="1C99C004">
            <w:pPr>
              <w:jc w:val="center"/>
              <w:rPr>
                <w:snapToGrid w:val="0"/>
                <w:color w:val="auto"/>
                <w:sz w:val="21"/>
                <w:highlight w:val="none"/>
                <w:u w:val="none" w:color="auto"/>
              </w:rPr>
            </w:pPr>
          </w:p>
        </w:tc>
      </w:tr>
      <w:tr w14:paraId="3F93D8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1" w:hRule="atLeast"/>
        </w:trPr>
        <w:tc>
          <w:tcPr>
            <w:tcW w:w="945" w:type="dxa"/>
            <w:vMerge w:val="continue"/>
            <w:tcBorders>
              <w:top w:val="nil"/>
            </w:tcBorders>
            <w:vAlign w:val="center"/>
          </w:tcPr>
          <w:p w14:paraId="5FD2DD06">
            <w:pPr>
              <w:jc w:val="center"/>
              <w:rPr>
                <w:snapToGrid w:val="0"/>
                <w:color w:val="auto"/>
                <w:sz w:val="21"/>
                <w:highlight w:val="none"/>
                <w:u w:val="none" w:color="auto"/>
              </w:rPr>
            </w:pPr>
          </w:p>
        </w:tc>
        <w:tc>
          <w:tcPr>
            <w:tcW w:w="723" w:type="dxa"/>
            <w:vAlign w:val="center"/>
          </w:tcPr>
          <w:p w14:paraId="6B04A7C2">
            <w:pPr>
              <w:jc w:val="center"/>
              <w:rPr>
                <w:snapToGrid w:val="0"/>
                <w:color w:val="auto"/>
                <w:sz w:val="21"/>
                <w:highlight w:val="none"/>
                <w:u w:val="none" w:color="auto"/>
              </w:rPr>
            </w:pPr>
            <w:r>
              <w:rPr>
                <w:snapToGrid w:val="0"/>
                <w:color w:val="auto"/>
                <w:sz w:val="21"/>
                <w:highlight w:val="none"/>
                <w:u w:val="none" w:color="auto"/>
              </w:rPr>
              <w:t>2</w:t>
            </w:r>
          </w:p>
        </w:tc>
        <w:tc>
          <w:tcPr>
            <w:tcW w:w="2666" w:type="dxa"/>
            <w:vAlign w:val="center"/>
          </w:tcPr>
          <w:p w14:paraId="01B3632B">
            <w:pPr>
              <w:jc w:val="center"/>
              <w:rPr>
                <w:snapToGrid w:val="0"/>
                <w:color w:val="auto"/>
                <w:sz w:val="21"/>
                <w:highlight w:val="none"/>
                <w:u w:val="none" w:color="auto"/>
              </w:rPr>
            </w:pPr>
            <w:r>
              <w:rPr>
                <w:snapToGrid w:val="0"/>
                <w:color w:val="auto"/>
                <w:sz w:val="21"/>
                <w:highlight w:val="none"/>
                <w:u w:val="none" w:color="auto"/>
              </w:rPr>
              <w:t>经济技术指标</w:t>
            </w:r>
          </w:p>
        </w:tc>
        <w:tc>
          <w:tcPr>
            <w:tcW w:w="1301" w:type="dxa"/>
            <w:vAlign w:val="center"/>
          </w:tcPr>
          <w:p w14:paraId="0289908C">
            <w:pPr>
              <w:jc w:val="center"/>
              <w:rPr>
                <w:snapToGrid w:val="0"/>
                <w:color w:val="auto"/>
                <w:sz w:val="21"/>
                <w:highlight w:val="none"/>
                <w:u w:val="none" w:color="auto"/>
              </w:rPr>
            </w:pPr>
            <w:r>
              <w:rPr>
                <w:snapToGrid w:val="0"/>
                <w:color w:val="auto"/>
                <w:sz w:val="21"/>
                <w:highlight w:val="none"/>
                <w:u w:val="none" w:color="auto"/>
              </w:rPr>
              <w:t>设计说明</w:t>
            </w:r>
          </w:p>
        </w:tc>
        <w:tc>
          <w:tcPr>
            <w:tcW w:w="4136" w:type="dxa"/>
            <w:vAlign w:val="center"/>
          </w:tcPr>
          <w:p w14:paraId="7F537ACD">
            <w:pPr>
              <w:jc w:val="center"/>
              <w:rPr>
                <w:snapToGrid w:val="0"/>
                <w:color w:val="auto"/>
                <w:sz w:val="21"/>
                <w:highlight w:val="none"/>
                <w:u w:val="none" w:color="auto"/>
              </w:rPr>
            </w:pPr>
            <w:r>
              <w:rPr>
                <w:snapToGrid w:val="0"/>
                <w:color w:val="auto"/>
                <w:sz w:val="21"/>
                <w:highlight w:val="none"/>
                <w:u w:val="none" w:color="auto"/>
              </w:rPr>
              <w:t>经济技术指标表</w:t>
            </w:r>
          </w:p>
        </w:tc>
      </w:tr>
      <w:tr w14:paraId="66231B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92" w:hRule="atLeast"/>
        </w:trPr>
        <w:tc>
          <w:tcPr>
            <w:tcW w:w="945" w:type="dxa"/>
            <w:vMerge w:val="restart"/>
            <w:tcBorders>
              <w:bottom w:val="nil"/>
            </w:tcBorders>
            <w:vAlign w:val="center"/>
          </w:tcPr>
          <w:p w14:paraId="5B709E82">
            <w:pPr>
              <w:jc w:val="center"/>
              <w:rPr>
                <w:snapToGrid w:val="0"/>
                <w:color w:val="auto"/>
                <w:sz w:val="21"/>
                <w:highlight w:val="none"/>
                <w:u w:val="none" w:color="auto"/>
              </w:rPr>
            </w:pPr>
            <w:r>
              <w:rPr>
                <w:snapToGrid w:val="0"/>
                <w:color w:val="auto"/>
                <w:sz w:val="21"/>
                <w:highlight w:val="none"/>
                <w:u w:val="none" w:color="auto"/>
              </w:rPr>
              <w:t>总体</w:t>
            </w:r>
          </w:p>
        </w:tc>
        <w:tc>
          <w:tcPr>
            <w:tcW w:w="723" w:type="dxa"/>
            <w:vAlign w:val="center"/>
          </w:tcPr>
          <w:p w14:paraId="30BD5ACD">
            <w:pPr>
              <w:jc w:val="center"/>
              <w:rPr>
                <w:snapToGrid w:val="0"/>
                <w:color w:val="auto"/>
                <w:sz w:val="21"/>
                <w:highlight w:val="none"/>
                <w:u w:val="none" w:color="auto"/>
              </w:rPr>
            </w:pPr>
            <w:r>
              <w:rPr>
                <w:snapToGrid w:val="0"/>
                <w:color w:val="auto"/>
                <w:sz w:val="21"/>
                <w:highlight w:val="none"/>
                <w:u w:val="none" w:color="auto"/>
              </w:rPr>
              <w:t>1</w:t>
            </w:r>
          </w:p>
        </w:tc>
        <w:tc>
          <w:tcPr>
            <w:tcW w:w="2666" w:type="dxa"/>
            <w:vAlign w:val="center"/>
          </w:tcPr>
          <w:p w14:paraId="7DE1A0DC">
            <w:pPr>
              <w:jc w:val="center"/>
              <w:rPr>
                <w:snapToGrid w:val="0"/>
                <w:color w:val="auto"/>
                <w:sz w:val="21"/>
                <w:highlight w:val="none"/>
                <w:u w:val="none" w:color="auto"/>
              </w:rPr>
            </w:pPr>
            <w:r>
              <w:rPr>
                <w:snapToGrid w:val="0"/>
                <w:color w:val="auto"/>
                <w:sz w:val="21"/>
                <w:highlight w:val="none"/>
                <w:u w:val="none" w:color="auto"/>
              </w:rPr>
              <w:t>彩色规划总平面图</w:t>
            </w:r>
          </w:p>
        </w:tc>
        <w:tc>
          <w:tcPr>
            <w:tcW w:w="1301" w:type="dxa"/>
            <w:vAlign w:val="center"/>
          </w:tcPr>
          <w:p w14:paraId="583B9523">
            <w:pPr>
              <w:jc w:val="center"/>
              <w:rPr>
                <w:snapToGrid w:val="0"/>
                <w:color w:val="auto"/>
                <w:sz w:val="21"/>
                <w:highlight w:val="none"/>
                <w:u w:val="none" w:color="auto"/>
              </w:rPr>
            </w:pPr>
            <w:r>
              <w:rPr>
                <w:snapToGrid w:val="0"/>
                <w:color w:val="auto"/>
                <w:sz w:val="21"/>
                <w:highlight w:val="none"/>
                <w:u w:val="none" w:color="auto"/>
              </w:rPr>
              <w:t>提供图纸</w:t>
            </w:r>
          </w:p>
        </w:tc>
        <w:tc>
          <w:tcPr>
            <w:tcW w:w="4136" w:type="dxa"/>
            <w:vAlign w:val="center"/>
          </w:tcPr>
          <w:p w14:paraId="10F45EB0">
            <w:pPr>
              <w:jc w:val="center"/>
              <w:rPr>
                <w:snapToGrid w:val="0"/>
                <w:color w:val="auto"/>
                <w:sz w:val="21"/>
                <w:highlight w:val="none"/>
                <w:u w:val="none" w:color="auto"/>
                <w:lang w:eastAsia="zh-CN"/>
              </w:rPr>
            </w:pPr>
            <w:r>
              <w:rPr>
                <w:snapToGrid w:val="0"/>
                <w:color w:val="auto"/>
                <w:sz w:val="21"/>
                <w:highlight w:val="none"/>
                <w:u w:val="none" w:color="auto"/>
                <w:lang w:eastAsia="zh-CN"/>
              </w:rPr>
              <w:t>标明建筑排布楼号及交通路网关系（可不含经济指标）</w:t>
            </w:r>
          </w:p>
        </w:tc>
      </w:tr>
      <w:tr w14:paraId="6254E0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1" w:hRule="atLeast"/>
        </w:trPr>
        <w:tc>
          <w:tcPr>
            <w:tcW w:w="945" w:type="dxa"/>
            <w:vMerge w:val="continue"/>
            <w:tcBorders>
              <w:top w:val="nil"/>
              <w:bottom w:val="nil"/>
            </w:tcBorders>
            <w:vAlign w:val="center"/>
          </w:tcPr>
          <w:p w14:paraId="5A5DA7EA">
            <w:pPr>
              <w:jc w:val="center"/>
              <w:rPr>
                <w:snapToGrid w:val="0"/>
                <w:color w:val="auto"/>
                <w:sz w:val="21"/>
                <w:highlight w:val="none"/>
                <w:u w:val="none" w:color="auto"/>
                <w:lang w:eastAsia="zh-CN"/>
              </w:rPr>
            </w:pPr>
          </w:p>
        </w:tc>
        <w:tc>
          <w:tcPr>
            <w:tcW w:w="723" w:type="dxa"/>
            <w:vAlign w:val="center"/>
          </w:tcPr>
          <w:p w14:paraId="7C87C1A7">
            <w:pPr>
              <w:jc w:val="center"/>
              <w:rPr>
                <w:snapToGrid w:val="0"/>
                <w:color w:val="auto"/>
                <w:sz w:val="21"/>
                <w:highlight w:val="none"/>
                <w:u w:val="none" w:color="auto"/>
              </w:rPr>
            </w:pPr>
            <w:r>
              <w:rPr>
                <w:snapToGrid w:val="0"/>
                <w:color w:val="auto"/>
                <w:sz w:val="21"/>
                <w:highlight w:val="none"/>
                <w:u w:val="none" w:color="auto"/>
              </w:rPr>
              <w:t>2</w:t>
            </w:r>
          </w:p>
        </w:tc>
        <w:tc>
          <w:tcPr>
            <w:tcW w:w="2666" w:type="dxa"/>
            <w:vAlign w:val="center"/>
          </w:tcPr>
          <w:p w14:paraId="108ED226">
            <w:pPr>
              <w:jc w:val="center"/>
              <w:rPr>
                <w:snapToGrid w:val="0"/>
                <w:color w:val="auto"/>
                <w:sz w:val="21"/>
                <w:highlight w:val="none"/>
                <w:u w:val="none" w:color="auto"/>
              </w:rPr>
            </w:pPr>
            <w:r>
              <w:rPr>
                <w:snapToGrid w:val="0"/>
                <w:color w:val="auto"/>
                <w:sz w:val="21"/>
                <w:highlight w:val="none"/>
                <w:u w:val="none" w:color="auto"/>
              </w:rPr>
              <w:t>效果图或模型照片</w:t>
            </w:r>
          </w:p>
        </w:tc>
        <w:tc>
          <w:tcPr>
            <w:tcW w:w="1301" w:type="dxa"/>
            <w:vAlign w:val="center"/>
          </w:tcPr>
          <w:p w14:paraId="05BE03F8">
            <w:pPr>
              <w:jc w:val="center"/>
              <w:rPr>
                <w:snapToGrid w:val="0"/>
                <w:color w:val="auto"/>
                <w:sz w:val="21"/>
                <w:highlight w:val="none"/>
                <w:u w:val="none" w:color="auto"/>
              </w:rPr>
            </w:pPr>
            <w:r>
              <w:rPr>
                <w:snapToGrid w:val="0"/>
                <w:color w:val="auto"/>
                <w:sz w:val="21"/>
                <w:highlight w:val="none"/>
                <w:u w:val="none" w:color="auto"/>
              </w:rPr>
              <w:t>提供图纸</w:t>
            </w:r>
          </w:p>
        </w:tc>
        <w:tc>
          <w:tcPr>
            <w:tcW w:w="4136" w:type="dxa"/>
            <w:vAlign w:val="center"/>
          </w:tcPr>
          <w:p w14:paraId="17B25BA1">
            <w:pPr>
              <w:jc w:val="center"/>
              <w:rPr>
                <w:snapToGrid w:val="0"/>
                <w:color w:val="auto"/>
                <w:sz w:val="21"/>
                <w:highlight w:val="none"/>
                <w:u w:val="none" w:color="auto"/>
                <w:lang w:eastAsia="zh-CN"/>
              </w:rPr>
            </w:pPr>
            <w:r>
              <w:rPr>
                <w:snapToGrid w:val="0"/>
                <w:color w:val="auto"/>
                <w:sz w:val="21"/>
                <w:highlight w:val="none"/>
                <w:u w:val="none" w:color="auto"/>
                <w:lang w:eastAsia="zh-CN"/>
              </w:rPr>
              <w:t>建筑群体白天及夜景效果，有代表性的建 筑风格表现图含整体鸟瞰图、规划路侧效果图、商业效果图</w:t>
            </w:r>
          </w:p>
        </w:tc>
      </w:tr>
      <w:tr w14:paraId="2C3AD5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5" w:hRule="atLeast"/>
        </w:trPr>
        <w:tc>
          <w:tcPr>
            <w:tcW w:w="945" w:type="dxa"/>
            <w:vMerge w:val="continue"/>
            <w:tcBorders>
              <w:top w:val="nil"/>
              <w:bottom w:val="nil"/>
            </w:tcBorders>
            <w:vAlign w:val="center"/>
          </w:tcPr>
          <w:p w14:paraId="7EBC4E1F">
            <w:pPr>
              <w:jc w:val="center"/>
              <w:rPr>
                <w:snapToGrid w:val="0"/>
                <w:color w:val="auto"/>
                <w:sz w:val="21"/>
                <w:highlight w:val="none"/>
                <w:u w:val="none" w:color="auto"/>
                <w:lang w:eastAsia="zh-CN"/>
              </w:rPr>
            </w:pPr>
          </w:p>
        </w:tc>
        <w:tc>
          <w:tcPr>
            <w:tcW w:w="723" w:type="dxa"/>
            <w:vAlign w:val="center"/>
          </w:tcPr>
          <w:p w14:paraId="50DBC5DC">
            <w:pPr>
              <w:jc w:val="center"/>
              <w:rPr>
                <w:snapToGrid w:val="0"/>
                <w:color w:val="auto"/>
                <w:sz w:val="21"/>
                <w:highlight w:val="none"/>
                <w:u w:val="none" w:color="auto"/>
              </w:rPr>
            </w:pPr>
            <w:r>
              <w:rPr>
                <w:snapToGrid w:val="0"/>
                <w:color w:val="auto"/>
                <w:sz w:val="21"/>
                <w:highlight w:val="none"/>
                <w:u w:val="none" w:color="auto"/>
              </w:rPr>
              <w:t>3</w:t>
            </w:r>
          </w:p>
        </w:tc>
        <w:tc>
          <w:tcPr>
            <w:tcW w:w="2666" w:type="dxa"/>
            <w:vAlign w:val="center"/>
          </w:tcPr>
          <w:p w14:paraId="016D9186">
            <w:pPr>
              <w:jc w:val="center"/>
              <w:rPr>
                <w:snapToGrid w:val="0"/>
                <w:color w:val="auto"/>
                <w:sz w:val="21"/>
                <w:highlight w:val="none"/>
                <w:u w:val="none" w:color="auto"/>
              </w:rPr>
            </w:pPr>
            <w:r>
              <w:rPr>
                <w:snapToGrid w:val="0"/>
                <w:color w:val="auto"/>
                <w:sz w:val="21"/>
                <w:highlight w:val="none"/>
                <w:u w:val="none" w:color="auto"/>
              </w:rPr>
              <w:t>总平面蓝图</w:t>
            </w:r>
          </w:p>
        </w:tc>
        <w:tc>
          <w:tcPr>
            <w:tcW w:w="1301" w:type="dxa"/>
            <w:vAlign w:val="center"/>
          </w:tcPr>
          <w:p w14:paraId="60D88267">
            <w:pPr>
              <w:jc w:val="center"/>
              <w:rPr>
                <w:snapToGrid w:val="0"/>
                <w:color w:val="auto"/>
                <w:sz w:val="21"/>
                <w:highlight w:val="none"/>
                <w:u w:val="none" w:color="auto"/>
              </w:rPr>
            </w:pPr>
            <w:r>
              <w:rPr>
                <w:snapToGrid w:val="0"/>
                <w:color w:val="auto"/>
                <w:sz w:val="21"/>
                <w:highlight w:val="none"/>
                <w:u w:val="none" w:color="auto"/>
              </w:rPr>
              <w:t>提供图纸</w:t>
            </w:r>
          </w:p>
        </w:tc>
        <w:tc>
          <w:tcPr>
            <w:tcW w:w="4136" w:type="dxa"/>
            <w:vAlign w:val="center"/>
          </w:tcPr>
          <w:p w14:paraId="4FF1D77B">
            <w:pPr>
              <w:jc w:val="center"/>
              <w:rPr>
                <w:snapToGrid w:val="0"/>
                <w:color w:val="auto"/>
                <w:sz w:val="21"/>
                <w:highlight w:val="none"/>
                <w:u w:val="none" w:color="auto"/>
                <w:lang w:eastAsia="zh-CN"/>
              </w:rPr>
            </w:pPr>
            <w:r>
              <w:rPr>
                <w:snapToGrid w:val="0"/>
                <w:color w:val="auto"/>
                <w:sz w:val="21"/>
                <w:highlight w:val="none"/>
                <w:u w:val="none" w:color="auto"/>
                <w:lang w:eastAsia="zh-CN"/>
              </w:rPr>
              <w:t>体现经济综合指标按报建要求比例提供各单体建筑定位点、尺寸和场地定位尺寸</w:t>
            </w:r>
          </w:p>
        </w:tc>
      </w:tr>
      <w:tr w14:paraId="7F34C2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945" w:type="dxa"/>
            <w:vMerge w:val="continue"/>
            <w:tcBorders>
              <w:top w:val="nil"/>
            </w:tcBorders>
            <w:vAlign w:val="center"/>
          </w:tcPr>
          <w:p w14:paraId="6F94689C">
            <w:pPr>
              <w:jc w:val="center"/>
              <w:rPr>
                <w:snapToGrid w:val="0"/>
                <w:color w:val="auto"/>
                <w:sz w:val="21"/>
                <w:highlight w:val="none"/>
                <w:u w:val="none" w:color="auto"/>
                <w:lang w:eastAsia="zh-CN"/>
              </w:rPr>
            </w:pPr>
          </w:p>
        </w:tc>
        <w:tc>
          <w:tcPr>
            <w:tcW w:w="723" w:type="dxa"/>
            <w:vAlign w:val="center"/>
          </w:tcPr>
          <w:p w14:paraId="750F0F0C">
            <w:pPr>
              <w:jc w:val="center"/>
              <w:rPr>
                <w:snapToGrid w:val="0"/>
                <w:color w:val="auto"/>
                <w:sz w:val="21"/>
                <w:highlight w:val="none"/>
                <w:u w:val="none" w:color="auto"/>
              </w:rPr>
            </w:pPr>
            <w:r>
              <w:rPr>
                <w:snapToGrid w:val="0"/>
                <w:color w:val="auto"/>
                <w:sz w:val="21"/>
                <w:highlight w:val="none"/>
                <w:u w:val="none" w:color="auto"/>
              </w:rPr>
              <w:t>5</w:t>
            </w:r>
          </w:p>
        </w:tc>
        <w:tc>
          <w:tcPr>
            <w:tcW w:w="2666" w:type="dxa"/>
            <w:vAlign w:val="center"/>
          </w:tcPr>
          <w:p w14:paraId="14EBF3CE">
            <w:pPr>
              <w:jc w:val="center"/>
              <w:rPr>
                <w:snapToGrid w:val="0"/>
                <w:color w:val="auto"/>
                <w:sz w:val="21"/>
                <w:highlight w:val="none"/>
                <w:u w:val="none" w:color="auto"/>
              </w:rPr>
            </w:pPr>
            <w:r>
              <w:rPr>
                <w:snapToGrid w:val="0"/>
                <w:color w:val="auto"/>
                <w:sz w:val="21"/>
                <w:highlight w:val="none"/>
                <w:u w:val="none" w:color="auto"/>
              </w:rPr>
              <w:t>消防扑救面图</w:t>
            </w:r>
          </w:p>
        </w:tc>
        <w:tc>
          <w:tcPr>
            <w:tcW w:w="1301" w:type="dxa"/>
            <w:vAlign w:val="center"/>
          </w:tcPr>
          <w:p w14:paraId="092976D2">
            <w:pPr>
              <w:jc w:val="center"/>
              <w:rPr>
                <w:snapToGrid w:val="0"/>
                <w:color w:val="auto"/>
                <w:sz w:val="21"/>
                <w:highlight w:val="none"/>
                <w:u w:val="none" w:color="auto"/>
              </w:rPr>
            </w:pPr>
            <w:r>
              <w:rPr>
                <w:snapToGrid w:val="0"/>
                <w:color w:val="auto"/>
                <w:sz w:val="21"/>
                <w:highlight w:val="none"/>
                <w:u w:val="none" w:color="auto"/>
              </w:rPr>
              <w:t>提供图纸</w:t>
            </w:r>
          </w:p>
        </w:tc>
        <w:tc>
          <w:tcPr>
            <w:tcW w:w="4136" w:type="dxa"/>
            <w:vAlign w:val="center"/>
          </w:tcPr>
          <w:p w14:paraId="4C226313">
            <w:pPr>
              <w:jc w:val="center"/>
              <w:rPr>
                <w:snapToGrid w:val="0"/>
                <w:color w:val="auto"/>
                <w:sz w:val="21"/>
                <w:highlight w:val="none"/>
                <w:u w:val="none" w:color="auto"/>
                <w:lang w:eastAsia="zh-CN"/>
              </w:rPr>
            </w:pPr>
            <w:r>
              <w:rPr>
                <w:snapToGrid w:val="0"/>
                <w:color w:val="auto"/>
                <w:sz w:val="21"/>
                <w:highlight w:val="none"/>
                <w:u w:val="none" w:color="auto"/>
                <w:lang w:eastAsia="zh-CN"/>
              </w:rPr>
              <w:t>各楼宇消防扑救面区域设计</w:t>
            </w:r>
          </w:p>
        </w:tc>
      </w:tr>
    </w:tbl>
    <w:p w14:paraId="2F6B7236">
      <w:pPr>
        <w:rPr>
          <w:color w:val="auto"/>
          <w:highlight w:val="none"/>
          <w:u w:val="none" w:color="auto"/>
          <w:lang w:eastAsia="zh-CN"/>
        </w:rPr>
      </w:pPr>
    </w:p>
    <w:tbl>
      <w:tblPr>
        <w:tblStyle w:val="924"/>
        <w:tblW w:w="9771"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45"/>
        <w:gridCol w:w="723"/>
        <w:gridCol w:w="2666"/>
        <w:gridCol w:w="1301"/>
        <w:gridCol w:w="4136"/>
      </w:tblGrid>
      <w:tr w14:paraId="58003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0" w:hRule="atLeast"/>
        </w:trPr>
        <w:tc>
          <w:tcPr>
            <w:tcW w:w="945" w:type="dxa"/>
            <w:vMerge w:val="restart"/>
            <w:vAlign w:val="center"/>
          </w:tcPr>
          <w:p w14:paraId="03D72A38">
            <w:pPr>
              <w:jc w:val="center"/>
              <w:rPr>
                <w:snapToGrid w:val="0"/>
                <w:color w:val="auto"/>
                <w:sz w:val="21"/>
                <w:highlight w:val="none"/>
                <w:u w:val="none" w:color="auto"/>
                <w:lang w:eastAsia="zh-CN"/>
              </w:rPr>
            </w:pPr>
          </w:p>
        </w:tc>
        <w:tc>
          <w:tcPr>
            <w:tcW w:w="723" w:type="dxa"/>
            <w:vAlign w:val="center"/>
          </w:tcPr>
          <w:p w14:paraId="5B39BB95">
            <w:pPr>
              <w:jc w:val="center"/>
              <w:rPr>
                <w:snapToGrid w:val="0"/>
                <w:color w:val="auto"/>
                <w:sz w:val="21"/>
                <w:highlight w:val="none"/>
                <w:u w:val="none" w:color="auto"/>
              </w:rPr>
            </w:pPr>
            <w:r>
              <w:rPr>
                <w:snapToGrid w:val="0"/>
                <w:color w:val="auto"/>
                <w:sz w:val="21"/>
                <w:highlight w:val="none"/>
                <w:u w:val="none" w:color="auto"/>
              </w:rPr>
              <w:t>6</w:t>
            </w:r>
          </w:p>
        </w:tc>
        <w:tc>
          <w:tcPr>
            <w:tcW w:w="2666" w:type="dxa"/>
            <w:vAlign w:val="center"/>
          </w:tcPr>
          <w:p w14:paraId="50CF5AD2">
            <w:pPr>
              <w:jc w:val="center"/>
              <w:rPr>
                <w:snapToGrid w:val="0"/>
                <w:color w:val="auto"/>
                <w:sz w:val="21"/>
                <w:highlight w:val="none"/>
                <w:u w:val="none" w:color="auto"/>
              </w:rPr>
            </w:pPr>
            <w:r>
              <w:rPr>
                <w:snapToGrid w:val="0"/>
                <w:color w:val="auto"/>
                <w:sz w:val="21"/>
                <w:highlight w:val="none"/>
                <w:u w:val="none" w:color="auto"/>
              </w:rPr>
              <w:t>日照分析图</w:t>
            </w:r>
          </w:p>
        </w:tc>
        <w:tc>
          <w:tcPr>
            <w:tcW w:w="1301" w:type="dxa"/>
            <w:vAlign w:val="center"/>
          </w:tcPr>
          <w:p w14:paraId="5649B5CA">
            <w:pPr>
              <w:jc w:val="center"/>
              <w:rPr>
                <w:snapToGrid w:val="0"/>
                <w:color w:val="auto"/>
                <w:sz w:val="21"/>
                <w:highlight w:val="none"/>
                <w:u w:val="none" w:color="auto"/>
              </w:rPr>
            </w:pPr>
            <w:r>
              <w:rPr>
                <w:snapToGrid w:val="0"/>
                <w:color w:val="auto"/>
                <w:sz w:val="21"/>
                <w:highlight w:val="none"/>
                <w:u w:val="none" w:color="auto"/>
              </w:rPr>
              <w:t>提供图纸</w:t>
            </w:r>
          </w:p>
        </w:tc>
        <w:tc>
          <w:tcPr>
            <w:tcW w:w="4136" w:type="dxa"/>
            <w:vAlign w:val="center"/>
          </w:tcPr>
          <w:p w14:paraId="0381A2AB">
            <w:pPr>
              <w:jc w:val="center"/>
              <w:rPr>
                <w:snapToGrid w:val="0"/>
                <w:color w:val="auto"/>
                <w:sz w:val="21"/>
                <w:highlight w:val="none"/>
                <w:u w:val="none" w:color="auto"/>
                <w:lang w:eastAsia="zh-CN"/>
              </w:rPr>
            </w:pPr>
            <w:r>
              <w:rPr>
                <w:snapToGrid w:val="0"/>
                <w:color w:val="auto"/>
                <w:sz w:val="21"/>
                <w:highlight w:val="none"/>
                <w:u w:val="none" w:color="auto"/>
                <w:lang w:eastAsia="zh-CN"/>
              </w:rPr>
              <w:t>（用规划局认可的专用 sun 软件计算）</w:t>
            </w:r>
          </w:p>
        </w:tc>
      </w:tr>
      <w:tr w14:paraId="2DE4B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3" w:hRule="atLeast"/>
        </w:trPr>
        <w:tc>
          <w:tcPr>
            <w:tcW w:w="945" w:type="dxa"/>
            <w:vMerge w:val="continue"/>
            <w:vAlign w:val="center"/>
          </w:tcPr>
          <w:p w14:paraId="41B79705">
            <w:pPr>
              <w:jc w:val="center"/>
              <w:rPr>
                <w:snapToGrid w:val="0"/>
                <w:color w:val="auto"/>
                <w:sz w:val="21"/>
                <w:highlight w:val="none"/>
                <w:u w:val="none" w:color="auto"/>
                <w:lang w:eastAsia="zh-CN"/>
              </w:rPr>
            </w:pPr>
          </w:p>
        </w:tc>
        <w:tc>
          <w:tcPr>
            <w:tcW w:w="723" w:type="dxa"/>
            <w:vMerge w:val="restart"/>
            <w:vAlign w:val="center"/>
          </w:tcPr>
          <w:p w14:paraId="18B9D4AB">
            <w:pPr>
              <w:jc w:val="center"/>
              <w:rPr>
                <w:snapToGrid w:val="0"/>
                <w:color w:val="auto"/>
                <w:sz w:val="21"/>
                <w:highlight w:val="none"/>
                <w:u w:val="none" w:color="auto"/>
              </w:rPr>
            </w:pPr>
            <w:r>
              <w:rPr>
                <w:snapToGrid w:val="0"/>
                <w:color w:val="auto"/>
                <w:sz w:val="21"/>
                <w:highlight w:val="none"/>
                <w:u w:val="none" w:color="auto"/>
              </w:rPr>
              <w:t>7</w:t>
            </w:r>
          </w:p>
        </w:tc>
        <w:tc>
          <w:tcPr>
            <w:tcW w:w="2666" w:type="dxa"/>
            <w:vMerge w:val="restart"/>
            <w:vAlign w:val="center"/>
          </w:tcPr>
          <w:p w14:paraId="76AA1D0C">
            <w:pPr>
              <w:jc w:val="center"/>
              <w:rPr>
                <w:snapToGrid w:val="0"/>
                <w:color w:val="auto"/>
                <w:sz w:val="21"/>
                <w:highlight w:val="none"/>
                <w:u w:val="none" w:color="auto"/>
                <w:lang w:eastAsia="zh-CN"/>
              </w:rPr>
            </w:pPr>
            <w:r>
              <w:rPr>
                <w:snapToGrid w:val="0"/>
                <w:color w:val="auto"/>
                <w:sz w:val="21"/>
                <w:highlight w:val="none"/>
                <w:u w:val="none" w:color="auto"/>
                <w:lang w:eastAsia="zh-CN"/>
              </w:rPr>
              <w:t>竖向设计平面和剖面分</w:t>
            </w:r>
          </w:p>
          <w:p w14:paraId="3B08ADEC">
            <w:pPr>
              <w:jc w:val="center"/>
              <w:rPr>
                <w:snapToGrid w:val="0"/>
                <w:color w:val="auto"/>
                <w:sz w:val="21"/>
                <w:highlight w:val="none"/>
                <w:u w:val="none" w:color="auto"/>
                <w:lang w:eastAsia="zh-CN"/>
              </w:rPr>
            </w:pPr>
            <w:r>
              <w:rPr>
                <w:snapToGrid w:val="0"/>
                <w:color w:val="auto"/>
                <w:sz w:val="21"/>
                <w:highlight w:val="none"/>
                <w:u w:val="none" w:color="auto"/>
                <w:lang w:eastAsia="zh-CN"/>
              </w:rPr>
              <w:t>析图</w:t>
            </w:r>
          </w:p>
        </w:tc>
        <w:tc>
          <w:tcPr>
            <w:tcW w:w="1301" w:type="dxa"/>
            <w:vAlign w:val="center"/>
          </w:tcPr>
          <w:p w14:paraId="44F56BC5">
            <w:pPr>
              <w:jc w:val="center"/>
              <w:rPr>
                <w:snapToGrid w:val="0"/>
                <w:color w:val="auto"/>
                <w:sz w:val="21"/>
                <w:highlight w:val="none"/>
                <w:u w:val="none" w:color="auto"/>
              </w:rPr>
            </w:pPr>
            <w:r>
              <w:rPr>
                <w:snapToGrid w:val="0"/>
                <w:color w:val="auto"/>
                <w:sz w:val="21"/>
                <w:highlight w:val="none"/>
                <w:u w:val="none" w:color="auto"/>
              </w:rPr>
              <w:t>提供图纸</w:t>
            </w:r>
          </w:p>
        </w:tc>
        <w:tc>
          <w:tcPr>
            <w:tcW w:w="4136" w:type="dxa"/>
            <w:vMerge w:val="restart"/>
            <w:vAlign w:val="center"/>
          </w:tcPr>
          <w:p w14:paraId="429111CA">
            <w:pPr>
              <w:jc w:val="center"/>
              <w:rPr>
                <w:snapToGrid w:val="0"/>
                <w:color w:val="auto"/>
                <w:sz w:val="21"/>
                <w:highlight w:val="none"/>
                <w:u w:val="none" w:color="auto"/>
                <w:lang w:eastAsia="zh-CN"/>
              </w:rPr>
            </w:pPr>
            <w:r>
              <w:rPr>
                <w:snapToGrid w:val="0"/>
                <w:color w:val="auto"/>
                <w:sz w:val="21"/>
                <w:highlight w:val="none"/>
                <w:u w:val="none" w:color="auto"/>
                <w:lang w:eastAsia="zh-CN"/>
              </w:rPr>
              <w:t>场地与建筑、建筑与城市道路高程关系定</w:t>
            </w:r>
          </w:p>
          <w:p w14:paraId="194C1423">
            <w:pPr>
              <w:jc w:val="center"/>
              <w:rPr>
                <w:snapToGrid w:val="0"/>
                <w:color w:val="auto"/>
                <w:sz w:val="21"/>
                <w:highlight w:val="none"/>
                <w:u w:val="none" w:color="auto"/>
              </w:rPr>
            </w:pPr>
            <w:r>
              <w:rPr>
                <w:snapToGrid w:val="0"/>
                <w:color w:val="auto"/>
                <w:sz w:val="21"/>
                <w:highlight w:val="none"/>
                <w:u w:val="none" w:color="auto"/>
              </w:rPr>
              <w:t>位图</w:t>
            </w:r>
          </w:p>
        </w:tc>
      </w:tr>
      <w:tr w14:paraId="142C3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0" w:hRule="atLeast"/>
        </w:trPr>
        <w:tc>
          <w:tcPr>
            <w:tcW w:w="945" w:type="dxa"/>
            <w:vMerge w:val="continue"/>
            <w:vAlign w:val="center"/>
          </w:tcPr>
          <w:p w14:paraId="7D2CC176">
            <w:pPr>
              <w:jc w:val="center"/>
              <w:rPr>
                <w:snapToGrid w:val="0"/>
                <w:color w:val="auto"/>
                <w:sz w:val="21"/>
                <w:highlight w:val="none"/>
                <w:u w:val="none" w:color="auto"/>
              </w:rPr>
            </w:pPr>
          </w:p>
        </w:tc>
        <w:tc>
          <w:tcPr>
            <w:tcW w:w="723" w:type="dxa"/>
            <w:vMerge w:val="continue"/>
            <w:vAlign w:val="center"/>
          </w:tcPr>
          <w:p w14:paraId="473BC990">
            <w:pPr>
              <w:jc w:val="center"/>
              <w:rPr>
                <w:snapToGrid w:val="0"/>
                <w:color w:val="auto"/>
                <w:sz w:val="21"/>
                <w:highlight w:val="none"/>
                <w:u w:val="none" w:color="auto"/>
              </w:rPr>
            </w:pPr>
          </w:p>
        </w:tc>
        <w:tc>
          <w:tcPr>
            <w:tcW w:w="2666" w:type="dxa"/>
            <w:vMerge w:val="continue"/>
            <w:vAlign w:val="center"/>
          </w:tcPr>
          <w:p w14:paraId="28AF7224">
            <w:pPr>
              <w:jc w:val="center"/>
              <w:rPr>
                <w:snapToGrid w:val="0"/>
                <w:color w:val="auto"/>
                <w:sz w:val="21"/>
                <w:highlight w:val="none"/>
                <w:u w:val="none" w:color="auto"/>
              </w:rPr>
            </w:pPr>
          </w:p>
        </w:tc>
        <w:tc>
          <w:tcPr>
            <w:tcW w:w="1301" w:type="dxa"/>
            <w:vAlign w:val="center"/>
          </w:tcPr>
          <w:p w14:paraId="4D77F19A">
            <w:pPr>
              <w:jc w:val="center"/>
              <w:rPr>
                <w:snapToGrid w:val="0"/>
                <w:color w:val="auto"/>
                <w:sz w:val="21"/>
                <w:highlight w:val="none"/>
                <w:u w:val="none" w:color="auto"/>
              </w:rPr>
            </w:pPr>
          </w:p>
        </w:tc>
        <w:tc>
          <w:tcPr>
            <w:tcW w:w="4136" w:type="dxa"/>
            <w:vMerge w:val="continue"/>
            <w:vAlign w:val="center"/>
          </w:tcPr>
          <w:p w14:paraId="2C89AE09">
            <w:pPr>
              <w:jc w:val="center"/>
              <w:rPr>
                <w:snapToGrid w:val="0"/>
                <w:color w:val="auto"/>
                <w:sz w:val="21"/>
                <w:highlight w:val="none"/>
                <w:u w:val="none" w:color="auto"/>
              </w:rPr>
            </w:pPr>
          </w:p>
        </w:tc>
      </w:tr>
      <w:tr w14:paraId="24933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7" w:hRule="atLeast"/>
        </w:trPr>
        <w:tc>
          <w:tcPr>
            <w:tcW w:w="945" w:type="dxa"/>
            <w:vMerge w:val="continue"/>
            <w:vAlign w:val="center"/>
          </w:tcPr>
          <w:p w14:paraId="3D4FFE6D">
            <w:pPr>
              <w:jc w:val="center"/>
              <w:rPr>
                <w:snapToGrid w:val="0"/>
                <w:color w:val="auto"/>
                <w:sz w:val="21"/>
                <w:highlight w:val="none"/>
                <w:u w:val="none" w:color="auto"/>
              </w:rPr>
            </w:pPr>
          </w:p>
        </w:tc>
        <w:tc>
          <w:tcPr>
            <w:tcW w:w="723" w:type="dxa"/>
            <w:vAlign w:val="center"/>
          </w:tcPr>
          <w:p w14:paraId="0367D6AD">
            <w:pPr>
              <w:jc w:val="center"/>
              <w:rPr>
                <w:snapToGrid w:val="0"/>
                <w:color w:val="auto"/>
                <w:sz w:val="21"/>
                <w:highlight w:val="none"/>
                <w:u w:val="none" w:color="auto"/>
              </w:rPr>
            </w:pPr>
            <w:r>
              <w:rPr>
                <w:snapToGrid w:val="0"/>
                <w:color w:val="auto"/>
                <w:sz w:val="21"/>
                <w:highlight w:val="none"/>
                <w:u w:val="none" w:color="auto"/>
              </w:rPr>
              <w:t>8</w:t>
            </w:r>
          </w:p>
        </w:tc>
        <w:tc>
          <w:tcPr>
            <w:tcW w:w="2666" w:type="dxa"/>
            <w:vAlign w:val="center"/>
          </w:tcPr>
          <w:p w14:paraId="53119B38">
            <w:pPr>
              <w:jc w:val="center"/>
              <w:rPr>
                <w:snapToGrid w:val="0"/>
                <w:color w:val="auto"/>
                <w:sz w:val="21"/>
                <w:highlight w:val="none"/>
                <w:u w:val="none" w:color="auto"/>
              </w:rPr>
            </w:pPr>
            <w:r>
              <w:rPr>
                <w:snapToGrid w:val="0"/>
                <w:color w:val="auto"/>
                <w:sz w:val="21"/>
                <w:highlight w:val="none"/>
                <w:u w:val="none" w:color="auto"/>
              </w:rPr>
              <w:t>项目分期开发示意图</w:t>
            </w:r>
          </w:p>
        </w:tc>
        <w:tc>
          <w:tcPr>
            <w:tcW w:w="1301" w:type="dxa"/>
            <w:vAlign w:val="center"/>
          </w:tcPr>
          <w:p w14:paraId="79F2620F">
            <w:pPr>
              <w:jc w:val="center"/>
              <w:rPr>
                <w:snapToGrid w:val="0"/>
                <w:color w:val="auto"/>
                <w:sz w:val="21"/>
                <w:highlight w:val="none"/>
                <w:u w:val="none" w:color="auto"/>
              </w:rPr>
            </w:pPr>
            <w:r>
              <w:rPr>
                <w:snapToGrid w:val="0"/>
                <w:color w:val="auto"/>
                <w:sz w:val="21"/>
                <w:highlight w:val="none"/>
                <w:u w:val="none" w:color="auto"/>
              </w:rPr>
              <w:t>提供图纸</w:t>
            </w:r>
          </w:p>
        </w:tc>
        <w:tc>
          <w:tcPr>
            <w:tcW w:w="4136" w:type="dxa"/>
            <w:vAlign w:val="center"/>
          </w:tcPr>
          <w:p w14:paraId="74EFE42E">
            <w:pPr>
              <w:jc w:val="center"/>
              <w:rPr>
                <w:snapToGrid w:val="0"/>
                <w:color w:val="auto"/>
                <w:sz w:val="21"/>
                <w:highlight w:val="none"/>
                <w:u w:val="none" w:color="auto"/>
                <w:lang w:eastAsia="zh-CN"/>
              </w:rPr>
            </w:pPr>
            <w:r>
              <w:rPr>
                <w:snapToGrid w:val="0"/>
                <w:color w:val="auto"/>
                <w:sz w:val="21"/>
                <w:highlight w:val="none"/>
                <w:u w:val="none" w:color="auto"/>
                <w:lang w:eastAsia="zh-CN"/>
              </w:rPr>
              <w:t>应划分不同分期开发的分地块的边界，每</w:t>
            </w:r>
          </w:p>
          <w:p w14:paraId="654600B6">
            <w:pPr>
              <w:jc w:val="center"/>
              <w:rPr>
                <w:snapToGrid w:val="0"/>
                <w:color w:val="auto"/>
                <w:sz w:val="21"/>
                <w:highlight w:val="none"/>
                <w:u w:val="none" w:color="auto"/>
                <w:lang w:eastAsia="zh-CN"/>
              </w:rPr>
            </w:pPr>
            <w:r>
              <w:rPr>
                <w:snapToGrid w:val="0"/>
                <w:color w:val="auto"/>
                <w:sz w:val="21"/>
                <w:highlight w:val="none"/>
                <w:u w:val="none" w:color="auto"/>
                <w:lang w:eastAsia="zh-CN"/>
              </w:rPr>
              <w:t>期的开发规模和物业构成类型</w:t>
            </w:r>
          </w:p>
        </w:tc>
      </w:tr>
      <w:tr w14:paraId="48F50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2" w:hRule="atLeast"/>
        </w:trPr>
        <w:tc>
          <w:tcPr>
            <w:tcW w:w="945" w:type="dxa"/>
            <w:vMerge w:val="restart"/>
            <w:vAlign w:val="center"/>
          </w:tcPr>
          <w:p w14:paraId="6C8E9C10">
            <w:pPr>
              <w:jc w:val="center"/>
              <w:rPr>
                <w:snapToGrid w:val="0"/>
                <w:color w:val="auto"/>
                <w:sz w:val="21"/>
                <w:highlight w:val="none"/>
                <w:u w:val="none" w:color="auto"/>
              </w:rPr>
            </w:pPr>
            <w:r>
              <w:rPr>
                <w:snapToGrid w:val="0"/>
                <w:color w:val="auto"/>
                <w:sz w:val="21"/>
                <w:highlight w:val="none"/>
                <w:u w:val="none" w:color="auto"/>
              </w:rPr>
              <w:t>建筑</w:t>
            </w:r>
          </w:p>
        </w:tc>
        <w:tc>
          <w:tcPr>
            <w:tcW w:w="723" w:type="dxa"/>
            <w:vMerge w:val="restart"/>
            <w:vAlign w:val="center"/>
          </w:tcPr>
          <w:p w14:paraId="6ABD86D4">
            <w:pPr>
              <w:jc w:val="center"/>
              <w:rPr>
                <w:snapToGrid w:val="0"/>
                <w:color w:val="auto"/>
                <w:sz w:val="21"/>
                <w:highlight w:val="none"/>
                <w:u w:val="none" w:color="auto"/>
              </w:rPr>
            </w:pPr>
            <w:r>
              <w:rPr>
                <w:snapToGrid w:val="0"/>
                <w:color w:val="auto"/>
                <w:sz w:val="21"/>
                <w:highlight w:val="none"/>
                <w:u w:val="none" w:color="auto"/>
              </w:rPr>
              <w:t>1</w:t>
            </w:r>
          </w:p>
        </w:tc>
        <w:tc>
          <w:tcPr>
            <w:tcW w:w="2666" w:type="dxa"/>
            <w:vMerge w:val="restart"/>
            <w:vAlign w:val="center"/>
          </w:tcPr>
          <w:p w14:paraId="3DEF811F">
            <w:pPr>
              <w:jc w:val="center"/>
              <w:rPr>
                <w:snapToGrid w:val="0"/>
                <w:color w:val="auto"/>
                <w:sz w:val="21"/>
                <w:highlight w:val="none"/>
                <w:u w:val="none" w:color="auto"/>
              </w:rPr>
            </w:pPr>
            <w:r>
              <w:rPr>
                <w:snapToGrid w:val="0"/>
                <w:color w:val="auto"/>
                <w:sz w:val="21"/>
                <w:highlight w:val="none"/>
                <w:u w:val="none" w:color="auto"/>
              </w:rPr>
              <w:t>单体建筑平面图</w:t>
            </w:r>
          </w:p>
        </w:tc>
        <w:tc>
          <w:tcPr>
            <w:tcW w:w="1301" w:type="dxa"/>
            <w:vAlign w:val="center"/>
          </w:tcPr>
          <w:p w14:paraId="1334A31B">
            <w:pPr>
              <w:jc w:val="center"/>
              <w:rPr>
                <w:snapToGrid w:val="0"/>
                <w:color w:val="auto"/>
                <w:sz w:val="21"/>
                <w:highlight w:val="none"/>
                <w:u w:val="none" w:color="auto"/>
              </w:rPr>
            </w:pPr>
            <w:r>
              <w:rPr>
                <w:snapToGrid w:val="0"/>
                <w:color w:val="auto"/>
                <w:sz w:val="21"/>
                <w:highlight w:val="none"/>
                <w:u w:val="none" w:color="auto"/>
              </w:rPr>
              <w:t>提供图纸</w:t>
            </w:r>
          </w:p>
        </w:tc>
        <w:tc>
          <w:tcPr>
            <w:tcW w:w="4136" w:type="dxa"/>
            <w:vMerge w:val="restart"/>
            <w:vAlign w:val="center"/>
          </w:tcPr>
          <w:p w14:paraId="187752CF">
            <w:pPr>
              <w:jc w:val="center"/>
              <w:rPr>
                <w:snapToGrid w:val="0"/>
                <w:color w:val="auto"/>
                <w:sz w:val="21"/>
                <w:highlight w:val="none"/>
                <w:u w:val="none" w:color="auto"/>
                <w:lang w:eastAsia="zh-CN"/>
              </w:rPr>
            </w:pPr>
            <w:r>
              <w:rPr>
                <w:snapToGrid w:val="0"/>
                <w:color w:val="auto"/>
                <w:sz w:val="21"/>
                <w:highlight w:val="none"/>
                <w:u w:val="none" w:color="auto"/>
                <w:lang w:eastAsia="zh-CN"/>
              </w:rPr>
              <w:t>所有建筑各层平面图（为各专业介入配合后的建筑专业深化图纸，应满足国家及地方的法律法规，包含人防设计示意，设备用房位置示意，地下室结合物流出入口考虑设置垃圾间）</w:t>
            </w:r>
          </w:p>
        </w:tc>
      </w:tr>
      <w:tr w14:paraId="19490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22" w:hRule="atLeast"/>
        </w:trPr>
        <w:tc>
          <w:tcPr>
            <w:tcW w:w="945" w:type="dxa"/>
            <w:vMerge w:val="continue"/>
            <w:vAlign w:val="center"/>
          </w:tcPr>
          <w:p w14:paraId="3A0341AD">
            <w:pPr>
              <w:jc w:val="center"/>
              <w:rPr>
                <w:snapToGrid w:val="0"/>
                <w:color w:val="auto"/>
                <w:sz w:val="21"/>
                <w:highlight w:val="none"/>
                <w:u w:val="none" w:color="auto"/>
                <w:lang w:eastAsia="zh-CN"/>
              </w:rPr>
            </w:pPr>
          </w:p>
        </w:tc>
        <w:tc>
          <w:tcPr>
            <w:tcW w:w="723" w:type="dxa"/>
            <w:vMerge w:val="continue"/>
            <w:vAlign w:val="center"/>
          </w:tcPr>
          <w:p w14:paraId="27D4E46F">
            <w:pPr>
              <w:jc w:val="center"/>
              <w:rPr>
                <w:snapToGrid w:val="0"/>
                <w:color w:val="auto"/>
                <w:sz w:val="21"/>
                <w:highlight w:val="none"/>
                <w:u w:val="none" w:color="auto"/>
                <w:lang w:eastAsia="zh-CN"/>
              </w:rPr>
            </w:pPr>
          </w:p>
        </w:tc>
        <w:tc>
          <w:tcPr>
            <w:tcW w:w="2666" w:type="dxa"/>
            <w:vMerge w:val="continue"/>
            <w:vAlign w:val="center"/>
          </w:tcPr>
          <w:p w14:paraId="64626810">
            <w:pPr>
              <w:jc w:val="center"/>
              <w:rPr>
                <w:snapToGrid w:val="0"/>
                <w:color w:val="auto"/>
                <w:sz w:val="21"/>
                <w:highlight w:val="none"/>
                <w:u w:val="none" w:color="auto"/>
                <w:lang w:eastAsia="zh-CN"/>
              </w:rPr>
            </w:pPr>
          </w:p>
        </w:tc>
        <w:tc>
          <w:tcPr>
            <w:tcW w:w="1301" w:type="dxa"/>
            <w:vAlign w:val="center"/>
          </w:tcPr>
          <w:p w14:paraId="374A62C4">
            <w:pPr>
              <w:jc w:val="center"/>
              <w:rPr>
                <w:snapToGrid w:val="0"/>
                <w:color w:val="auto"/>
                <w:sz w:val="21"/>
                <w:highlight w:val="none"/>
                <w:u w:val="none" w:color="auto"/>
                <w:lang w:eastAsia="zh-CN"/>
              </w:rPr>
            </w:pPr>
          </w:p>
        </w:tc>
        <w:tc>
          <w:tcPr>
            <w:tcW w:w="4136" w:type="dxa"/>
            <w:vMerge w:val="continue"/>
            <w:vAlign w:val="center"/>
          </w:tcPr>
          <w:p w14:paraId="36D41D88">
            <w:pPr>
              <w:jc w:val="center"/>
              <w:rPr>
                <w:snapToGrid w:val="0"/>
                <w:color w:val="auto"/>
                <w:sz w:val="21"/>
                <w:highlight w:val="none"/>
                <w:u w:val="none" w:color="auto"/>
                <w:lang w:eastAsia="zh-CN"/>
              </w:rPr>
            </w:pPr>
          </w:p>
        </w:tc>
      </w:tr>
      <w:tr w14:paraId="207A0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32" w:hRule="atLeast"/>
        </w:trPr>
        <w:tc>
          <w:tcPr>
            <w:tcW w:w="945" w:type="dxa"/>
            <w:vMerge w:val="continue"/>
            <w:vAlign w:val="center"/>
          </w:tcPr>
          <w:p w14:paraId="3FFCB45D">
            <w:pPr>
              <w:jc w:val="center"/>
              <w:rPr>
                <w:snapToGrid w:val="0"/>
                <w:color w:val="auto"/>
                <w:sz w:val="21"/>
                <w:highlight w:val="none"/>
                <w:u w:val="none" w:color="auto"/>
                <w:lang w:eastAsia="zh-CN"/>
              </w:rPr>
            </w:pPr>
          </w:p>
        </w:tc>
        <w:tc>
          <w:tcPr>
            <w:tcW w:w="723" w:type="dxa"/>
            <w:vMerge w:val="restart"/>
            <w:vAlign w:val="center"/>
          </w:tcPr>
          <w:p w14:paraId="616B58A9">
            <w:pPr>
              <w:jc w:val="center"/>
              <w:rPr>
                <w:snapToGrid w:val="0"/>
                <w:color w:val="auto"/>
                <w:sz w:val="21"/>
                <w:highlight w:val="none"/>
                <w:u w:val="none" w:color="auto"/>
              </w:rPr>
            </w:pPr>
            <w:r>
              <w:rPr>
                <w:snapToGrid w:val="0"/>
                <w:color w:val="auto"/>
                <w:sz w:val="21"/>
                <w:highlight w:val="none"/>
                <w:u w:val="none" w:color="auto"/>
              </w:rPr>
              <w:t>2</w:t>
            </w:r>
          </w:p>
        </w:tc>
        <w:tc>
          <w:tcPr>
            <w:tcW w:w="2666" w:type="dxa"/>
            <w:vMerge w:val="restart"/>
            <w:vAlign w:val="center"/>
          </w:tcPr>
          <w:p w14:paraId="56786158">
            <w:pPr>
              <w:jc w:val="center"/>
              <w:rPr>
                <w:snapToGrid w:val="0"/>
                <w:color w:val="auto"/>
                <w:sz w:val="21"/>
                <w:highlight w:val="none"/>
                <w:u w:val="none" w:color="auto"/>
              </w:rPr>
            </w:pPr>
            <w:r>
              <w:rPr>
                <w:snapToGrid w:val="0"/>
                <w:color w:val="auto"/>
                <w:sz w:val="21"/>
                <w:highlight w:val="none"/>
                <w:u w:val="none" w:color="auto"/>
              </w:rPr>
              <w:t>单体建筑立面图</w:t>
            </w:r>
          </w:p>
        </w:tc>
        <w:tc>
          <w:tcPr>
            <w:tcW w:w="1301" w:type="dxa"/>
            <w:vAlign w:val="center"/>
          </w:tcPr>
          <w:p w14:paraId="6EE858BC">
            <w:pPr>
              <w:jc w:val="center"/>
              <w:rPr>
                <w:snapToGrid w:val="0"/>
                <w:color w:val="auto"/>
                <w:sz w:val="21"/>
                <w:highlight w:val="none"/>
                <w:u w:val="none" w:color="auto"/>
              </w:rPr>
            </w:pPr>
            <w:r>
              <w:rPr>
                <w:snapToGrid w:val="0"/>
                <w:color w:val="auto"/>
                <w:sz w:val="21"/>
                <w:highlight w:val="none"/>
                <w:u w:val="none" w:color="auto"/>
              </w:rPr>
              <w:t>提供图纸</w:t>
            </w:r>
          </w:p>
        </w:tc>
        <w:tc>
          <w:tcPr>
            <w:tcW w:w="4136" w:type="dxa"/>
            <w:vMerge w:val="restart"/>
            <w:vAlign w:val="center"/>
          </w:tcPr>
          <w:p w14:paraId="57FCAD95">
            <w:pPr>
              <w:jc w:val="center"/>
              <w:rPr>
                <w:snapToGrid w:val="0"/>
                <w:color w:val="auto"/>
                <w:sz w:val="21"/>
                <w:highlight w:val="none"/>
                <w:u w:val="none" w:color="auto"/>
                <w:lang w:eastAsia="zh-CN"/>
              </w:rPr>
            </w:pPr>
            <w:r>
              <w:rPr>
                <w:snapToGrid w:val="0"/>
                <w:color w:val="auto"/>
                <w:sz w:val="21"/>
                <w:highlight w:val="none"/>
                <w:u w:val="none" w:color="auto"/>
                <w:lang w:eastAsia="zh-CN"/>
              </w:rPr>
              <w:t>各单体建筑不同方向表达立面造型的展开  图及定位尺寸； 注意空调机位的细节设计。 后期施工中需提供能控制立面效果的各立</w:t>
            </w:r>
          </w:p>
          <w:p w14:paraId="0B167A98">
            <w:pPr>
              <w:jc w:val="center"/>
              <w:rPr>
                <w:snapToGrid w:val="0"/>
                <w:color w:val="auto"/>
                <w:sz w:val="21"/>
                <w:highlight w:val="none"/>
                <w:u w:val="none" w:color="auto"/>
                <w:lang w:eastAsia="zh-CN"/>
              </w:rPr>
            </w:pPr>
            <w:r>
              <w:rPr>
                <w:snapToGrid w:val="0"/>
                <w:color w:val="auto"/>
                <w:sz w:val="21"/>
                <w:highlight w:val="none"/>
                <w:u w:val="none" w:color="auto"/>
                <w:lang w:eastAsia="zh-CN"/>
              </w:rPr>
              <w:t>面分色分格图须注明相应材质、规格尺寸。</w:t>
            </w:r>
          </w:p>
        </w:tc>
      </w:tr>
      <w:tr w14:paraId="5BA05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7" w:hRule="atLeast"/>
        </w:trPr>
        <w:tc>
          <w:tcPr>
            <w:tcW w:w="945" w:type="dxa"/>
            <w:vMerge w:val="continue"/>
            <w:vAlign w:val="center"/>
          </w:tcPr>
          <w:p w14:paraId="07D6DA45">
            <w:pPr>
              <w:jc w:val="center"/>
              <w:rPr>
                <w:snapToGrid w:val="0"/>
                <w:color w:val="auto"/>
                <w:sz w:val="21"/>
                <w:highlight w:val="none"/>
                <w:u w:val="none" w:color="auto"/>
                <w:lang w:eastAsia="zh-CN"/>
              </w:rPr>
            </w:pPr>
          </w:p>
        </w:tc>
        <w:tc>
          <w:tcPr>
            <w:tcW w:w="723" w:type="dxa"/>
            <w:vMerge w:val="continue"/>
            <w:vAlign w:val="center"/>
          </w:tcPr>
          <w:p w14:paraId="68AD6E34">
            <w:pPr>
              <w:jc w:val="center"/>
              <w:rPr>
                <w:snapToGrid w:val="0"/>
                <w:color w:val="auto"/>
                <w:sz w:val="21"/>
                <w:highlight w:val="none"/>
                <w:u w:val="none" w:color="auto"/>
                <w:lang w:eastAsia="zh-CN"/>
              </w:rPr>
            </w:pPr>
          </w:p>
        </w:tc>
        <w:tc>
          <w:tcPr>
            <w:tcW w:w="2666" w:type="dxa"/>
            <w:vMerge w:val="continue"/>
            <w:vAlign w:val="center"/>
          </w:tcPr>
          <w:p w14:paraId="0A04E34C">
            <w:pPr>
              <w:jc w:val="center"/>
              <w:rPr>
                <w:snapToGrid w:val="0"/>
                <w:color w:val="auto"/>
                <w:sz w:val="21"/>
                <w:highlight w:val="none"/>
                <w:u w:val="none" w:color="auto"/>
                <w:lang w:eastAsia="zh-CN"/>
              </w:rPr>
            </w:pPr>
          </w:p>
        </w:tc>
        <w:tc>
          <w:tcPr>
            <w:tcW w:w="1301" w:type="dxa"/>
            <w:vAlign w:val="center"/>
          </w:tcPr>
          <w:p w14:paraId="0B7A4D32">
            <w:pPr>
              <w:jc w:val="center"/>
              <w:rPr>
                <w:snapToGrid w:val="0"/>
                <w:color w:val="auto"/>
                <w:sz w:val="21"/>
                <w:highlight w:val="none"/>
                <w:u w:val="none" w:color="auto"/>
                <w:lang w:eastAsia="zh-CN"/>
              </w:rPr>
            </w:pPr>
          </w:p>
        </w:tc>
        <w:tc>
          <w:tcPr>
            <w:tcW w:w="4136" w:type="dxa"/>
            <w:vMerge w:val="continue"/>
            <w:vAlign w:val="center"/>
          </w:tcPr>
          <w:p w14:paraId="5703B623">
            <w:pPr>
              <w:jc w:val="center"/>
              <w:rPr>
                <w:snapToGrid w:val="0"/>
                <w:color w:val="auto"/>
                <w:sz w:val="21"/>
                <w:highlight w:val="none"/>
                <w:u w:val="none" w:color="auto"/>
                <w:lang w:eastAsia="zh-CN"/>
              </w:rPr>
            </w:pPr>
          </w:p>
        </w:tc>
      </w:tr>
      <w:tr w14:paraId="67FA5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18" w:hRule="atLeast"/>
        </w:trPr>
        <w:tc>
          <w:tcPr>
            <w:tcW w:w="945" w:type="dxa"/>
            <w:vMerge w:val="continue"/>
            <w:vAlign w:val="center"/>
          </w:tcPr>
          <w:p w14:paraId="3B13FE71">
            <w:pPr>
              <w:jc w:val="center"/>
              <w:rPr>
                <w:snapToGrid w:val="0"/>
                <w:color w:val="auto"/>
                <w:sz w:val="21"/>
                <w:highlight w:val="none"/>
                <w:u w:val="none" w:color="auto"/>
                <w:lang w:eastAsia="zh-CN"/>
              </w:rPr>
            </w:pPr>
          </w:p>
        </w:tc>
        <w:tc>
          <w:tcPr>
            <w:tcW w:w="723" w:type="dxa"/>
            <w:vMerge w:val="restart"/>
            <w:vAlign w:val="center"/>
          </w:tcPr>
          <w:p w14:paraId="1AF88046">
            <w:pPr>
              <w:jc w:val="center"/>
              <w:rPr>
                <w:snapToGrid w:val="0"/>
                <w:color w:val="auto"/>
                <w:sz w:val="21"/>
                <w:highlight w:val="none"/>
                <w:u w:val="none" w:color="auto"/>
              </w:rPr>
            </w:pPr>
            <w:r>
              <w:rPr>
                <w:snapToGrid w:val="0"/>
                <w:color w:val="auto"/>
                <w:sz w:val="21"/>
                <w:highlight w:val="none"/>
                <w:u w:val="none" w:color="auto"/>
              </w:rPr>
              <w:t>3</w:t>
            </w:r>
          </w:p>
        </w:tc>
        <w:tc>
          <w:tcPr>
            <w:tcW w:w="2666" w:type="dxa"/>
            <w:vMerge w:val="restart"/>
            <w:vAlign w:val="center"/>
          </w:tcPr>
          <w:p w14:paraId="5F07D941">
            <w:pPr>
              <w:jc w:val="center"/>
              <w:rPr>
                <w:snapToGrid w:val="0"/>
                <w:color w:val="auto"/>
                <w:sz w:val="21"/>
                <w:highlight w:val="none"/>
                <w:u w:val="none" w:color="auto"/>
              </w:rPr>
            </w:pPr>
            <w:r>
              <w:rPr>
                <w:snapToGrid w:val="0"/>
                <w:color w:val="auto"/>
                <w:sz w:val="21"/>
                <w:highlight w:val="none"/>
                <w:u w:val="none" w:color="auto"/>
              </w:rPr>
              <w:t>单体建筑主要剖面图</w:t>
            </w:r>
          </w:p>
        </w:tc>
        <w:tc>
          <w:tcPr>
            <w:tcW w:w="1301" w:type="dxa"/>
            <w:vAlign w:val="center"/>
          </w:tcPr>
          <w:p w14:paraId="47C692CC">
            <w:pPr>
              <w:jc w:val="center"/>
              <w:rPr>
                <w:snapToGrid w:val="0"/>
                <w:color w:val="auto"/>
                <w:sz w:val="21"/>
                <w:highlight w:val="none"/>
                <w:u w:val="none" w:color="auto"/>
              </w:rPr>
            </w:pPr>
            <w:r>
              <w:rPr>
                <w:snapToGrid w:val="0"/>
                <w:color w:val="auto"/>
                <w:sz w:val="21"/>
                <w:highlight w:val="none"/>
                <w:u w:val="none" w:color="auto"/>
              </w:rPr>
              <w:t>提供图纸</w:t>
            </w:r>
          </w:p>
        </w:tc>
        <w:tc>
          <w:tcPr>
            <w:tcW w:w="4136" w:type="dxa"/>
            <w:vMerge w:val="restart"/>
            <w:vAlign w:val="center"/>
          </w:tcPr>
          <w:p w14:paraId="5CDF754B">
            <w:pPr>
              <w:jc w:val="center"/>
              <w:rPr>
                <w:snapToGrid w:val="0"/>
                <w:color w:val="auto"/>
                <w:sz w:val="21"/>
                <w:highlight w:val="none"/>
                <w:u w:val="none" w:color="auto"/>
                <w:lang w:eastAsia="zh-CN"/>
              </w:rPr>
            </w:pPr>
            <w:r>
              <w:rPr>
                <w:snapToGrid w:val="0"/>
                <w:color w:val="auto"/>
                <w:sz w:val="21"/>
                <w:highlight w:val="none"/>
                <w:u w:val="none" w:color="auto"/>
                <w:lang w:eastAsia="zh-CN"/>
              </w:rPr>
              <w:t>建筑物纵横方向及有高差空间的层高设计，使建筑物内部各种管线既能满足设计 要求， 提供地下室剖面图,地下室层高应满 足车位的停车需要，行车道应满足≧2.3m 的需要。墙身剖面详图。</w:t>
            </w:r>
          </w:p>
        </w:tc>
      </w:tr>
      <w:tr w14:paraId="250F8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1" w:hRule="atLeast"/>
        </w:trPr>
        <w:tc>
          <w:tcPr>
            <w:tcW w:w="945" w:type="dxa"/>
            <w:vMerge w:val="continue"/>
            <w:vAlign w:val="center"/>
          </w:tcPr>
          <w:p w14:paraId="4F611365">
            <w:pPr>
              <w:jc w:val="center"/>
              <w:rPr>
                <w:snapToGrid w:val="0"/>
                <w:color w:val="auto"/>
                <w:sz w:val="21"/>
                <w:highlight w:val="none"/>
                <w:u w:val="none" w:color="auto"/>
                <w:lang w:eastAsia="zh-CN"/>
              </w:rPr>
            </w:pPr>
          </w:p>
        </w:tc>
        <w:tc>
          <w:tcPr>
            <w:tcW w:w="723" w:type="dxa"/>
            <w:vMerge w:val="continue"/>
            <w:vAlign w:val="center"/>
          </w:tcPr>
          <w:p w14:paraId="4D8ADD5D">
            <w:pPr>
              <w:jc w:val="center"/>
              <w:rPr>
                <w:snapToGrid w:val="0"/>
                <w:color w:val="auto"/>
                <w:sz w:val="21"/>
                <w:highlight w:val="none"/>
                <w:u w:val="none" w:color="auto"/>
                <w:lang w:eastAsia="zh-CN"/>
              </w:rPr>
            </w:pPr>
          </w:p>
        </w:tc>
        <w:tc>
          <w:tcPr>
            <w:tcW w:w="2666" w:type="dxa"/>
            <w:vMerge w:val="continue"/>
            <w:vAlign w:val="center"/>
          </w:tcPr>
          <w:p w14:paraId="7C6B4A69">
            <w:pPr>
              <w:jc w:val="center"/>
              <w:rPr>
                <w:snapToGrid w:val="0"/>
                <w:color w:val="auto"/>
                <w:sz w:val="21"/>
                <w:highlight w:val="none"/>
                <w:u w:val="none" w:color="auto"/>
                <w:lang w:eastAsia="zh-CN"/>
              </w:rPr>
            </w:pPr>
          </w:p>
        </w:tc>
        <w:tc>
          <w:tcPr>
            <w:tcW w:w="1301" w:type="dxa"/>
            <w:vAlign w:val="center"/>
          </w:tcPr>
          <w:p w14:paraId="141190D9">
            <w:pPr>
              <w:jc w:val="center"/>
              <w:rPr>
                <w:snapToGrid w:val="0"/>
                <w:color w:val="auto"/>
                <w:sz w:val="21"/>
                <w:highlight w:val="none"/>
                <w:u w:val="none" w:color="auto"/>
                <w:lang w:eastAsia="zh-CN"/>
              </w:rPr>
            </w:pPr>
          </w:p>
        </w:tc>
        <w:tc>
          <w:tcPr>
            <w:tcW w:w="4136" w:type="dxa"/>
            <w:vMerge w:val="continue"/>
            <w:vAlign w:val="center"/>
          </w:tcPr>
          <w:p w14:paraId="0497F1DA">
            <w:pPr>
              <w:jc w:val="center"/>
              <w:rPr>
                <w:snapToGrid w:val="0"/>
                <w:color w:val="auto"/>
                <w:sz w:val="21"/>
                <w:highlight w:val="none"/>
                <w:u w:val="none" w:color="auto"/>
                <w:lang w:eastAsia="zh-CN"/>
              </w:rPr>
            </w:pPr>
          </w:p>
        </w:tc>
      </w:tr>
      <w:tr w14:paraId="68FDD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945" w:type="dxa"/>
            <w:vMerge w:val="continue"/>
            <w:vAlign w:val="center"/>
          </w:tcPr>
          <w:p w14:paraId="7A8D9384">
            <w:pPr>
              <w:jc w:val="center"/>
              <w:rPr>
                <w:snapToGrid w:val="0"/>
                <w:color w:val="auto"/>
                <w:sz w:val="21"/>
                <w:highlight w:val="none"/>
                <w:u w:val="none" w:color="auto"/>
                <w:lang w:eastAsia="zh-CN"/>
              </w:rPr>
            </w:pPr>
          </w:p>
        </w:tc>
        <w:tc>
          <w:tcPr>
            <w:tcW w:w="723" w:type="dxa"/>
            <w:vMerge w:val="restart"/>
            <w:vAlign w:val="center"/>
          </w:tcPr>
          <w:p w14:paraId="1ADE1F69">
            <w:pPr>
              <w:jc w:val="center"/>
              <w:rPr>
                <w:snapToGrid w:val="0"/>
                <w:color w:val="auto"/>
                <w:sz w:val="21"/>
                <w:highlight w:val="none"/>
                <w:u w:val="none" w:color="auto"/>
              </w:rPr>
            </w:pPr>
            <w:r>
              <w:rPr>
                <w:snapToGrid w:val="0"/>
                <w:color w:val="auto"/>
                <w:sz w:val="21"/>
                <w:highlight w:val="none"/>
                <w:u w:val="none" w:color="auto"/>
              </w:rPr>
              <w:t>4</w:t>
            </w:r>
          </w:p>
        </w:tc>
        <w:tc>
          <w:tcPr>
            <w:tcW w:w="2666" w:type="dxa"/>
            <w:vMerge w:val="restart"/>
            <w:vAlign w:val="center"/>
          </w:tcPr>
          <w:p w14:paraId="3B59DA64">
            <w:pPr>
              <w:jc w:val="center"/>
              <w:rPr>
                <w:snapToGrid w:val="0"/>
                <w:color w:val="auto"/>
                <w:sz w:val="21"/>
                <w:highlight w:val="none"/>
                <w:u w:val="none" w:color="auto"/>
              </w:rPr>
            </w:pPr>
            <w:r>
              <w:rPr>
                <w:snapToGrid w:val="0"/>
                <w:color w:val="auto"/>
                <w:sz w:val="21"/>
                <w:highlight w:val="none"/>
                <w:u w:val="none" w:color="auto"/>
              </w:rPr>
              <w:t>立面造型节点图</w:t>
            </w:r>
          </w:p>
        </w:tc>
        <w:tc>
          <w:tcPr>
            <w:tcW w:w="1301" w:type="dxa"/>
            <w:vAlign w:val="center"/>
          </w:tcPr>
          <w:p w14:paraId="4043F818">
            <w:pPr>
              <w:jc w:val="center"/>
              <w:rPr>
                <w:snapToGrid w:val="0"/>
                <w:color w:val="auto"/>
                <w:sz w:val="21"/>
                <w:highlight w:val="none"/>
                <w:u w:val="none" w:color="auto"/>
              </w:rPr>
            </w:pPr>
            <w:r>
              <w:rPr>
                <w:snapToGrid w:val="0"/>
                <w:color w:val="auto"/>
                <w:sz w:val="21"/>
                <w:highlight w:val="none"/>
                <w:u w:val="none" w:color="auto"/>
              </w:rPr>
              <w:t>提供图纸</w:t>
            </w:r>
          </w:p>
        </w:tc>
        <w:tc>
          <w:tcPr>
            <w:tcW w:w="4136" w:type="dxa"/>
            <w:vMerge w:val="restart"/>
            <w:vAlign w:val="center"/>
          </w:tcPr>
          <w:p w14:paraId="3DC226C4">
            <w:pPr>
              <w:jc w:val="center"/>
              <w:rPr>
                <w:snapToGrid w:val="0"/>
                <w:color w:val="auto"/>
                <w:sz w:val="21"/>
                <w:highlight w:val="none"/>
                <w:u w:val="none" w:color="auto"/>
                <w:lang w:eastAsia="zh-CN"/>
              </w:rPr>
            </w:pPr>
            <w:r>
              <w:rPr>
                <w:snapToGrid w:val="0"/>
                <w:color w:val="auto"/>
                <w:sz w:val="21"/>
                <w:highlight w:val="none"/>
                <w:u w:val="none" w:color="auto"/>
                <w:lang w:eastAsia="zh-CN"/>
              </w:rPr>
              <w:t>立面造型特殊构造部位的详细节点图，包括,节能保温、门头店招等部位的控制尺寸。型外墙栏杆式样图例。型外门窗分隔 放大图。</w:t>
            </w:r>
          </w:p>
        </w:tc>
      </w:tr>
      <w:tr w14:paraId="3E1C7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945" w:type="dxa"/>
            <w:vMerge w:val="continue"/>
          </w:tcPr>
          <w:p w14:paraId="201887FF">
            <w:pPr>
              <w:rPr>
                <w:snapToGrid w:val="0"/>
                <w:color w:val="auto"/>
                <w:sz w:val="21"/>
                <w:highlight w:val="none"/>
                <w:u w:val="none" w:color="auto"/>
                <w:lang w:eastAsia="zh-CN"/>
              </w:rPr>
            </w:pPr>
          </w:p>
        </w:tc>
        <w:tc>
          <w:tcPr>
            <w:tcW w:w="723" w:type="dxa"/>
            <w:vMerge w:val="continue"/>
          </w:tcPr>
          <w:p w14:paraId="592F9E4F">
            <w:pPr>
              <w:rPr>
                <w:snapToGrid w:val="0"/>
                <w:color w:val="auto"/>
                <w:sz w:val="21"/>
                <w:highlight w:val="none"/>
                <w:u w:val="none" w:color="auto"/>
                <w:lang w:eastAsia="zh-CN"/>
              </w:rPr>
            </w:pPr>
          </w:p>
        </w:tc>
        <w:tc>
          <w:tcPr>
            <w:tcW w:w="2666" w:type="dxa"/>
            <w:vMerge w:val="continue"/>
          </w:tcPr>
          <w:p w14:paraId="6C8C3FE7">
            <w:pPr>
              <w:rPr>
                <w:snapToGrid w:val="0"/>
                <w:color w:val="auto"/>
                <w:sz w:val="21"/>
                <w:highlight w:val="none"/>
                <w:u w:val="none" w:color="auto"/>
                <w:lang w:eastAsia="zh-CN"/>
              </w:rPr>
            </w:pPr>
          </w:p>
        </w:tc>
        <w:tc>
          <w:tcPr>
            <w:tcW w:w="1301" w:type="dxa"/>
          </w:tcPr>
          <w:p w14:paraId="24966771">
            <w:pPr>
              <w:rPr>
                <w:snapToGrid w:val="0"/>
                <w:color w:val="auto"/>
                <w:sz w:val="21"/>
                <w:highlight w:val="none"/>
                <w:u w:val="none" w:color="auto"/>
                <w:lang w:eastAsia="zh-CN"/>
              </w:rPr>
            </w:pPr>
          </w:p>
        </w:tc>
        <w:tc>
          <w:tcPr>
            <w:tcW w:w="4136" w:type="dxa"/>
            <w:vMerge w:val="continue"/>
          </w:tcPr>
          <w:p w14:paraId="1B8C4A58">
            <w:pPr>
              <w:rPr>
                <w:snapToGrid w:val="0"/>
                <w:color w:val="auto"/>
                <w:sz w:val="21"/>
                <w:highlight w:val="none"/>
                <w:u w:val="none" w:color="auto"/>
                <w:lang w:eastAsia="zh-CN"/>
              </w:rPr>
            </w:pPr>
          </w:p>
        </w:tc>
      </w:tr>
    </w:tbl>
    <w:p w14:paraId="6912B10B">
      <w:pPr>
        <w:ind w:firstLine="371" w:firstLineChars="177"/>
        <w:rPr>
          <w:color w:val="auto"/>
          <w:highlight w:val="none"/>
          <w:u w:val="none" w:color="auto"/>
          <w:lang w:eastAsia="zh-CN"/>
        </w:rPr>
      </w:pPr>
      <w:r>
        <w:rPr>
          <w:color w:val="auto"/>
          <w:highlight w:val="none"/>
          <w:u w:val="none" w:color="auto"/>
          <w:lang w:eastAsia="zh-CN"/>
        </w:rPr>
        <w:t>2. 设计进度</w:t>
      </w:r>
    </w:p>
    <w:p w14:paraId="15B414CF">
      <w:pPr>
        <w:ind w:firstLine="371" w:firstLineChars="177"/>
        <w:rPr>
          <w:color w:val="auto"/>
          <w:highlight w:val="none"/>
          <w:u w:val="none" w:color="auto"/>
          <w:lang w:eastAsia="zh-CN"/>
        </w:rPr>
      </w:pPr>
      <w:r>
        <w:rPr>
          <w:color w:val="auto"/>
          <w:highlight w:val="none"/>
          <w:u w:val="none" w:color="auto"/>
          <w:lang w:eastAsia="zh-CN"/>
        </w:rPr>
        <w:t>2.1 收到中标通知后</w:t>
      </w:r>
      <w:r>
        <w:rPr>
          <w:rFonts w:hint="eastAsia"/>
          <w:color w:val="auto"/>
          <w:highlight w:val="none"/>
          <w:u w:val="none" w:color="auto"/>
          <w:lang w:val="en-US" w:eastAsia="zh-CN"/>
        </w:rPr>
        <w:t>30</w:t>
      </w:r>
      <w:r>
        <w:rPr>
          <w:color w:val="auto"/>
          <w:highlight w:val="none"/>
          <w:u w:val="none" w:color="auto"/>
          <w:lang w:eastAsia="zh-CN"/>
        </w:rPr>
        <w:t>天内提供方案深化阶段要求的设计内容。如有需要，乙方应根据要求提供设计文本。</w:t>
      </w:r>
    </w:p>
    <w:p w14:paraId="79ADB98F">
      <w:pPr>
        <w:ind w:firstLine="371" w:firstLineChars="177"/>
        <w:rPr>
          <w:color w:val="auto"/>
          <w:highlight w:val="none"/>
          <w:u w:val="none" w:color="auto"/>
          <w:lang w:eastAsia="zh-CN"/>
        </w:rPr>
      </w:pPr>
      <w:r>
        <w:rPr>
          <w:color w:val="auto"/>
          <w:highlight w:val="none"/>
          <w:u w:val="none" w:color="auto"/>
          <w:lang w:eastAsia="zh-CN"/>
        </w:rPr>
        <w:t>2.2 全设计过程中针对设计成果，乙方需进行现场汇报、调整修改，直至方案通过为止。</w:t>
      </w:r>
    </w:p>
    <w:p w14:paraId="0EBB0730">
      <w:pPr>
        <w:pStyle w:val="3"/>
        <w:ind w:firstLine="569" w:firstLineChars="177"/>
        <w:rPr>
          <w:color w:val="auto"/>
          <w:highlight w:val="none"/>
          <w:u w:val="none" w:color="auto"/>
          <w:lang w:eastAsia="zh-CN"/>
        </w:rPr>
      </w:pPr>
      <w:r>
        <w:rPr>
          <w:color w:val="auto"/>
          <w:highlight w:val="none"/>
          <w:u w:val="none" w:color="auto"/>
          <w:lang w:eastAsia="zh-CN"/>
        </w:rPr>
        <w:t>十一、后续配合设计成果</w:t>
      </w:r>
    </w:p>
    <w:p w14:paraId="05187EE1">
      <w:pPr>
        <w:ind w:firstLine="371" w:firstLineChars="177"/>
        <w:rPr>
          <w:color w:val="auto"/>
          <w:highlight w:val="none"/>
          <w:u w:val="none" w:color="auto"/>
          <w:lang w:eastAsia="zh-CN"/>
        </w:rPr>
      </w:pPr>
      <w:r>
        <w:rPr>
          <w:color w:val="auto"/>
          <w:highlight w:val="none"/>
          <w:u w:val="none" w:color="auto"/>
          <w:lang w:eastAsia="zh-CN"/>
        </w:rPr>
        <w:t>1.主要材料清单；</w:t>
      </w:r>
    </w:p>
    <w:p w14:paraId="063967D2">
      <w:pPr>
        <w:ind w:firstLine="371" w:firstLineChars="177"/>
        <w:rPr>
          <w:color w:val="auto"/>
          <w:highlight w:val="none"/>
          <w:u w:val="none" w:color="auto"/>
          <w:lang w:eastAsia="zh-CN"/>
        </w:rPr>
      </w:pPr>
      <w:r>
        <w:rPr>
          <w:color w:val="auto"/>
          <w:highlight w:val="none"/>
          <w:u w:val="none" w:color="auto"/>
          <w:lang w:eastAsia="zh-CN"/>
        </w:rPr>
        <w:t>2.材料样板；</w:t>
      </w:r>
    </w:p>
    <w:p w14:paraId="3E762855">
      <w:pPr>
        <w:ind w:firstLine="371" w:firstLineChars="177"/>
        <w:rPr>
          <w:color w:val="auto"/>
          <w:highlight w:val="none"/>
          <w:u w:val="none" w:color="auto"/>
          <w:lang w:eastAsia="zh-CN"/>
        </w:rPr>
      </w:pPr>
      <w:r>
        <w:rPr>
          <w:color w:val="auto"/>
          <w:highlight w:val="none"/>
          <w:u w:val="none" w:color="auto"/>
          <w:lang w:eastAsia="zh-CN"/>
        </w:rPr>
        <w:t>3.立面分格、分色图；</w:t>
      </w:r>
    </w:p>
    <w:p w14:paraId="27C4ED0F">
      <w:pPr>
        <w:ind w:firstLine="371" w:firstLineChars="177"/>
        <w:rPr>
          <w:color w:val="auto"/>
          <w:highlight w:val="none"/>
          <w:u w:val="none" w:color="auto"/>
          <w:lang w:eastAsia="zh-CN"/>
        </w:rPr>
      </w:pPr>
      <w:r>
        <w:rPr>
          <w:color w:val="auto"/>
          <w:highlight w:val="none"/>
          <w:u w:val="none" w:color="auto"/>
          <w:lang w:eastAsia="zh-CN"/>
        </w:rPr>
        <w:t>4.其他设计及施工单位的技术配合。</w:t>
      </w:r>
    </w:p>
    <w:p w14:paraId="3CBCD605">
      <w:pPr>
        <w:kinsoku/>
        <w:autoSpaceDE/>
        <w:autoSpaceDN/>
        <w:adjustRightInd/>
        <w:snapToGrid/>
        <w:spacing w:line="240" w:lineRule="auto"/>
        <w:textAlignment w:val="auto"/>
        <w:rPr>
          <w:color w:val="auto"/>
          <w:highlight w:val="none"/>
          <w:u w:val="none" w:color="auto"/>
          <w:lang w:eastAsia="zh-CN"/>
        </w:rPr>
      </w:pPr>
    </w:p>
    <w:p w14:paraId="0A137C34">
      <w:pPr>
        <w:pStyle w:val="22"/>
        <w:rPr>
          <w:color w:val="auto"/>
          <w:highlight w:val="none"/>
          <w:u w:val="none" w:color="auto"/>
          <w:lang w:eastAsia="zh-CN"/>
        </w:rPr>
      </w:pPr>
    </w:p>
    <w:p w14:paraId="39E49BD1">
      <w:pPr>
        <w:rPr>
          <w:color w:val="auto"/>
          <w:highlight w:val="none"/>
          <w:u w:val="none" w:color="auto"/>
          <w:lang w:eastAsia="zh-CN"/>
        </w:rPr>
      </w:pPr>
    </w:p>
    <w:p w14:paraId="06656874">
      <w:pPr>
        <w:pStyle w:val="22"/>
        <w:rPr>
          <w:u w:val="none" w:color="auto"/>
          <w:lang w:eastAsia="zh-CN"/>
        </w:rPr>
      </w:pPr>
    </w:p>
    <w:p w14:paraId="36E814DD">
      <w:pPr>
        <w:rPr>
          <w:u w:val="none" w:color="auto"/>
          <w:lang w:eastAsia="zh-CN"/>
        </w:rPr>
      </w:pPr>
    </w:p>
    <w:p w14:paraId="452AC2B6">
      <w:pPr>
        <w:rPr>
          <w:u w:val="none" w:color="auto"/>
          <w:lang w:eastAsia="zh-CN"/>
        </w:rPr>
      </w:pPr>
    </w:p>
    <w:p w14:paraId="251A4DD6">
      <w:pPr>
        <w:rPr>
          <w:u w:val="none" w:color="auto"/>
          <w:lang w:eastAsia="zh-CN"/>
        </w:rPr>
      </w:pPr>
    </w:p>
    <w:p w14:paraId="14AAB56E">
      <w:pPr>
        <w:pStyle w:val="52"/>
        <w:rPr>
          <w:color w:val="auto"/>
          <w:highlight w:val="none"/>
          <w:u w:val="none" w:color="auto"/>
          <w:lang w:eastAsia="zh-CN"/>
        </w:rPr>
      </w:pPr>
      <w:r>
        <w:rPr>
          <w:rFonts w:hint="eastAsia"/>
          <w:u w:val="none" w:color="auto"/>
          <w:lang w:eastAsia="zh-CN"/>
        </w:rPr>
        <w:t>白桦林观澜、白桦林泊岸</w:t>
      </w:r>
      <w:r>
        <w:rPr>
          <w:color w:val="auto"/>
          <w:highlight w:val="none"/>
          <w:u w:val="none" w:color="auto"/>
          <w:lang w:eastAsia="zh-CN"/>
        </w:rPr>
        <w:t>项目施工图设计部分任务书</w:t>
      </w:r>
    </w:p>
    <w:p w14:paraId="534492CB">
      <w:pPr>
        <w:pStyle w:val="22"/>
        <w:spacing w:line="387" w:lineRule="auto"/>
        <w:rPr>
          <w:color w:val="auto"/>
          <w:highlight w:val="none"/>
          <w:u w:val="none" w:color="auto"/>
          <w:lang w:eastAsia="zh-CN"/>
        </w:rPr>
      </w:pPr>
    </w:p>
    <w:p w14:paraId="2DD4182F">
      <w:pPr>
        <w:jc w:val="center"/>
        <w:rPr>
          <w:color w:val="auto"/>
          <w:highlight w:val="none"/>
          <w:u w:val="none" w:color="auto"/>
          <w:lang w:eastAsia="zh-CN"/>
        </w:rPr>
      </w:pPr>
      <w:r>
        <w:rPr>
          <w:color w:val="auto"/>
          <w:highlight w:val="none"/>
          <w:u w:val="none" w:color="auto"/>
          <w:lang w:eastAsia="zh-CN"/>
        </w:rPr>
        <w:t>目录</w:t>
      </w:r>
    </w:p>
    <w:p w14:paraId="37AD719F">
      <w:pPr>
        <w:rPr>
          <w:color w:val="auto"/>
          <w:highlight w:val="none"/>
          <w:u w:val="none" w:color="auto"/>
          <w:lang w:eastAsia="zh-CN"/>
        </w:rPr>
      </w:pPr>
    </w:p>
    <w:p w14:paraId="3785ECD0">
      <w:pPr>
        <w:rPr>
          <w:color w:val="auto"/>
          <w:highlight w:val="none"/>
          <w:u w:val="none" w:color="auto"/>
          <w:lang w:eastAsia="zh-CN"/>
        </w:rPr>
      </w:pPr>
      <w:r>
        <w:rPr>
          <w:rFonts w:hint="eastAsia"/>
          <w:color w:val="auto"/>
          <w:highlight w:val="none"/>
          <w:u w:val="none" w:color="auto"/>
          <w:lang w:eastAsia="zh-CN"/>
        </w:rPr>
        <w:t>第一部分</w:t>
      </w:r>
      <w:r>
        <w:rPr>
          <w:color w:val="auto"/>
          <w:highlight w:val="none"/>
          <w:u w:val="none" w:color="auto"/>
          <w:lang w:eastAsia="zh-CN"/>
        </w:rPr>
        <w:tab/>
      </w:r>
      <w:r>
        <w:rPr>
          <w:color w:val="auto"/>
          <w:highlight w:val="none"/>
          <w:u w:val="none" w:color="auto"/>
          <w:lang w:eastAsia="zh-CN"/>
        </w:rPr>
        <w:t>总则</w:t>
      </w:r>
    </w:p>
    <w:p w14:paraId="403C2768">
      <w:pPr>
        <w:rPr>
          <w:color w:val="auto"/>
          <w:highlight w:val="none"/>
          <w:u w:val="none" w:color="auto"/>
          <w:lang w:eastAsia="zh-CN"/>
        </w:rPr>
      </w:pPr>
      <w:r>
        <w:rPr>
          <w:rFonts w:hint="eastAsia"/>
          <w:color w:val="auto"/>
          <w:highlight w:val="none"/>
          <w:u w:val="none" w:color="auto"/>
          <w:lang w:eastAsia="zh-CN"/>
        </w:rPr>
        <w:t>第二部分</w:t>
      </w:r>
      <w:r>
        <w:rPr>
          <w:color w:val="auto"/>
          <w:highlight w:val="none"/>
          <w:u w:val="none" w:color="auto"/>
          <w:lang w:eastAsia="zh-CN"/>
        </w:rPr>
        <w:tab/>
      </w:r>
      <w:r>
        <w:rPr>
          <w:color w:val="auto"/>
          <w:highlight w:val="none"/>
          <w:u w:val="none" w:color="auto"/>
          <w:lang w:eastAsia="zh-CN"/>
        </w:rPr>
        <w:t>建筑专业</w:t>
      </w:r>
    </w:p>
    <w:p w14:paraId="7692C110">
      <w:pPr>
        <w:rPr>
          <w:color w:val="auto"/>
          <w:highlight w:val="none"/>
          <w:u w:val="none" w:color="auto"/>
          <w:lang w:eastAsia="zh-CN"/>
        </w:rPr>
      </w:pPr>
      <w:r>
        <w:rPr>
          <w:rFonts w:hint="eastAsia"/>
          <w:color w:val="auto"/>
          <w:highlight w:val="none"/>
          <w:u w:val="none" w:color="auto"/>
          <w:lang w:eastAsia="zh-CN"/>
        </w:rPr>
        <w:t>第三部分</w:t>
      </w:r>
      <w:r>
        <w:rPr>
          <w:color w:val="auto"/>
          <w:highlight w:val="none"/>
          <w:u w:val="none" w:color="auto"/>
          <w:lang w:eastAsia="zh-CN"/>
        </w:rPr>
        <w:tab/>
      </w:r>
      <w:r>
        <w:rPr>
          <w:color w:val="auto"/>
          <w:highlight w:val="none"/>
          <w:u w:val="none" w:color="auto"/>
          <w:lang w:eastAsia="zh-CN"/>
        </w:rPr>
        <w:t>结构专业</w:t>
      </w:r>
    </w:p>
    <w:p w14:paraId="6F679122">
      <w:pPr>
        <w:rPr>
          <w:color w:val="auto"/>
          <w:highlight w:val="none"/>
          <w:u w:val="none" w:color="auto"/>
          <w:lang w:eastAsia="zh-CN"/>
        </w:rPr>
      </w:pPr>
      <w:r>
        <w:rPr>
          <w:rFonts w:hint="eastAsia"/>
          <w:color w:val="auto"/>
          <w:highlight w:val="none"/>
          <w:u w:val="none" w:color="auto"/>
          <w:lang w:eastAsia="zh-CN"/>
        </w:rPr>
        <w:t>第四部分</w:t>
      </w:r>
      <w:r>
        <w:rPr>
          <w:color w:val="auto"/>
          <w:highlight w:val="none"/>
          <w:u w:val="none" w:color="auto"/>
          <w:lang w:eastAsia="zh-CN"/>
        </w:rPr>
        <w:tab/>
      </w:r>
      <w:r>
        <w:rPr>
          <w:color w:val="auto"/>
          <w:highlight w:val="none"/>
          <w:u w:val="none" w:color="auto"/>
          <w:lang w:eastAsia="zh-CN"/>
        </w:rPr>
        <w:t>设备安装专业</w:t>
      </w:r>
    </w:p>
    <w:p w14:paraId="62B525CB">
      <w:pPr>
        <w:rPr>
          <w:color w:val="auto"/>
          <w:highlight w:val="none"/>
          <w:u w:val="none" w:color="auto"/>
          <w:lang w:eastAsia="zh-CN"/>
        </w:rPr>
      </w:pPr>
      <w:r>
        <w:rPr>
          <w:rFonts w:hint="eastAsia"/>
          <w:color w:val="auto"/>
          <w:highlight w:val="none"/>
          <w:u w:val="none" w:color="auto"/>
          <w:lang w:eastAsia="zh-CN"/>
        </w:rPr>
        <w:t>第五部分</w:t>
      </w:r>
      <w:r>
        <w:rPr>
          <w:color w:val="auto"/>
          <w:highlight w:val="none"/>
          <w:u w:val="none" w:color="auto"/>
          <w:lang w:eastAsia="zh-CN"/>
        </w:rPr>
        <w:tab/>
      </w:r>
      <w:r>
        <w:rPr>
          <w:color w:val="auto"/>
          <w:highlight w:val="none"/>
          <w:u w:val="none" w:color="auto"/>
          <w:lang w:eastAsia="zh-CN"/>
        </w:rPr>
        <w:t>装配式部分</w:t>
      </w:r>
    </w:p>
    <w:p w14:paraId="6254AA02">
      <w:pPr>
        <w:rPr>
          <w:color w:val="auto"/>
          <w:highlight w:val="none"/>
          <w:u w:val="none" w:color="auto"/>
          <w:lang w:eastAsia="zh-CN"/>
        </w:rPr>
      </w:pPr>
      <w:r>
        <w:rPr>
          <w:rFonts w:hint="eastAsia"/>
          <w:color w:val="auto"/>
          <w:highlight w:val="none"/>
          <w:u w:val="none" w:color="auto"/>
          <w:lang w:eastAsia="zh-CN"/>
        </w:rPr>
        <w:t>第六部分</w:t>
      </w:r>
      <w:r>
        <w:rPr>
          <w:color w:val="auto"/>
          <w:highlight w:val="none"/>
          <w:u w:val="none" w:color="auto"/>
          <w:lang w:eastAsia="zh-CN"/>
        </w:rPr>
        <w:tab/>
      </w:r>
      <w:r>
        <w:rPr>
          <w:color w:val="auto"/>
          <w:highlight w:val="none"/>
          <w:u w:val="none" w:color="auto"/>
          <w:lang w:eastAsia="zh-CN"/>
        </w:rPr>
        <w:t>其他</w:t>
      </w:r>
    </w:p>
    <w:p w14:paraId="3DEBE701">
      <w:pPr>
        <w:rPr>
          <w:color w:val="auto"/>
          <w:highlight w:val="none"/>
          <w:u w:val="none" w:color="auto"/>
          <w:lang w:eastAsia="zh-CN"/>
        </w:rPr>
      </w:pPr>
    </w:p>
    <w:p w14:paraId="211CA6E9">
      <w:pPr>
        <w:pStyle w:val="22"/>
        <w:spacing w:line="242" w:lineRule="auto"/>
        <w:rPr>
          <w:color w:val="auto"/>
          <w:highlight w:val="none"/>
          <w:u w:val="none" w:color="auto"/>
          <w:lang w:eastAsia="zh-CN"/>
        </w:rPr>
      </w:pPr>
    </w:p>
    <w:p w14:paraId="0FF73E54">
      <w:pPr>
        <w:pStyle w:val="22"/>
        <w:spacing w:line="242" w:lineRule="auto"/>
        <w:rPr>
          <w:color w:val="auto"/>
          <w:highlight w:val="none"/>
          <w:u w:val="none" w:color="auto"/>
          <w:lang w:eastAsia="zh-CN"/>
        </w:rPr>
      </w:pPr>
    </w:p>
    <w:p w14:paraId="7FE03CB2">
      <w:pPr>
        <w:pStyle w:val="22"/>
        <w:spacing w:line="242" w:lineRule="auto"/>
        <w:rPr>
          <w:color w:val="auto"/>
          <w:highlight w:val="none"/>
          <w:u w:val="none" w:color="auto"/>
          <w:lang w:eastAsia="zh-CN"/>
        </w:rPr>
      </w:pPr>
    </w:p>
    <w:p w14:paraId="1B5FBD6F">
      <w:pPr>
        <w:pStyle w:val="22"/>
        <w:spacing w:line="242" w:lineRule="auto"/>
        <w:rPr>
          <w:color w:val="auto"/>
          <w:highlight w:val="none"/>
          <w:u w:val="none" w:color="auto"/>
          <w:lang w:eastAsia="zh-CN"/>
        </w:rPr>
      </w:pPr>
    </w:p>
    <w:p w14:paraId="55CF7CE2">
      <w:pPr>
        <w:pStyle w:val="22"/>
        <w:spacing w:line="242" w:lineRule="auto"/>
        <w:rPr>
          <w:color w:val="auto"/>
          <w:highlight w:val="none"/>
          <w:u w:val="none" w:color="auto"/>
          <w:lang w:eastAsia="zh-CN"/>
        </w:rPr>
      </w:pPr>
    </w:p>
    <w:p w14:paraId="3F559650">
      <w:pPr>
        <w:pStyle w:val="22"/>
        <w:spacing w:line="243" w:lineRule="auto"/>
        <w:rPr>
          <w:color w:val="auto"/>
          <w:highlight w:val="none"/>
          <w:u w:val="none" w:color="auto"/>
          <w:lang w:eastAsia="zh-CN"/>
        </w:rPr>
      </w:pPr>
    </w:p>
    <w:p w14:paraId="0F084A4C">
      <w:pPr>
        <w:pStyle w:val="22"/>
        <w:spacing w:line="243" w:lineRule="auto"/>
        <w:rPr>
          <w:color w:val="auto"/>
          <w:highlight w:val="none"/>
          <w:u w:val="none" w:color="auto"/>
          <w:lang w:eastAsia="zh-CN"/>
        </w:rPr>
      </w:pPr>
    </w:p>
    <w:p w14:paraId="4C136F9A">
      <w:pPr>
        <w:pStyle w:val="22"/>
        <w:spacing w:line="243" w:lineRule="auto"/>
        <w:rPr>
          <w:color w:val="auto"/>
          <w:highlight w:val="none"/>
          <w:u w:val="none" w:color="auto"/>
          <w:lang w:eastAsia="zh-CN"/>
        </w:rPr>
      </w:pPr>
    </w:p>
    <w:p w14:paraId="73CBC5FB">
      <w:pPr>
        <w:pStyle w:val="22"/>
        <w:spacing w:line="243" w:lineRule="auto"/>
        <w:rPr>
          <w:color w:val="auto"/>
          <w:highlight w:val="none"/>
          <w:u w:val="none" w:color="auto"/>
          <w:lang w:eastAsia="zh-CN"/>
        </w:rPr>
      </w:pPr>
    </w:p>
    <w:p w14:paraId="4F4A68D7">
      <w:pPr>
        <w:pStyle w:val="22"/>
        <w:spacing w:line="243" w:lineRule="auto"/>
        <w:rPr>
          <w:color w:val="auto"/>
          <w:highlight w:val="none"/>
          <w:u w:val="none" w:color="auto"/>
          <w:lang w:eastAsia="zh-CN"/>
        </w:rPr>
      </w:pPr>
    </w:p>
    <w:p w14:paraId="5EBCF402">
      <w:pPr>
        <w:pStyle w:val="22"/>
        <w:spacing w:line="243" w:lineRule="auto"/>
        <w:rPr>
          <w:color w:val="auto"/>
          <w:highlight w:val="none"/>
          <w:u w:val="none" w:color="auto"/>
          <w:lang w:eastAsia="zh-CN"/>
        </w:rPr>
      </w:pPr>
    </w:p>
    <w:p w14:paraId="5AE69BF6">
      <w:pPr>
        <w:pStyle w:val="22"/>
        <w:spacing w:line="243" w:lineRule="auto"/>
        <w:rPr>
          <w:color w:val="auto"/>
          <w:highlight w:val="none"/>
          <w:u w:val="none" w:color="auto"/>
          <w:lang w:eastAsia="zh-CN"/>
        </w:rPr>
      </w:pPr>
    </w:p>
    <w:p w14:paraId="33855AF5">
      <w:pPr>
        <w:pStyle w:val="22"/>
        <w:spacing w:line="243" w:lineRule="auto"/>
        <w:rPr>
          <w:color w:val="auto"/>
          <w:highlight w:val="none"/>
          <w:u w:val="none" w:color="auto"/>
          <w:lang w:eastAsia="zh-CN"/>
        </w:rPr>
      </w:pPr>
    </w:p>
    <w:p w14:paraId="0074B5C7">
      <w:pPr>
        <w:pStyle w:val="22"/>
        <w:spacing w:line="243" w:lineRule="auto"/>
        <w:rPr>
          <w:color w:val="auto"/>
          <w:highlight w:val="none"/>
          <w:u w:val="none" w:color="auto"/>
          <w:lang w:eastAsia="zh-CN"/>
        </w:rPr>
      </w:pPr>
    </w:p>
    <w:p w14:paraId="2022344D">
      <w:pPr>
        <w:pStyle w:val="22"/>
        <w:spacing w:line="243" w:lineRule="auto"/>
        <w:rPr>
          <w:color w:val="auto"/>
          <w:highlight w:val="none"/>
          <w:u w:val="none" w:color="auto"/>
          <w:lang w:eastAsia="zh-CN"/>
        </w:rPr>
      </w:pPr>
    </w:p>
    <w:p w14:paraId="6ED60FE8">
      <w:pPr>
        <w:pStyle w:val="22"/>
        <w:spacing w:line="243" w:lineRule="auto"/>
        <w:rPr>
          <w:color w:val="auto"/>
          <w:highlight w:val="none"/>
          <w:u w:val="none" w:color="auto"/>
          <w:lang w:eastAsia="zh-CN"/>
        </w:rPr>
      </w:pPr>
    </w:p>
    <w:p w14:paraId="5B2EA3A7">
      <w:pPr>
        <w:pStyle w:val="22"/>
        <w:spacing w:line="243" w:lineRule="auto"/>
        <w:rPr>
          <w:color w:val="auto"/>
          <w:highlight w:val="none"/>
          <w:u w:val="none" w:color="auto"/>
          <w:lang w:eastAsia="zh-CN"/>
        </w:rPr>
      </w:pPr>
    </w:p>
    <w:p w14:paraId="72BA1D7D">
      <w:pPr>
        <w:pStyle w:val="22"/>
        <w:spacing w:line="243" w:lineRule="auto"/>
        <w:rPr>
          <w:color w:val="auto"/>
          <w:highlight w:val="none"/>
          <w:u w:val="none" w:color="auto"/>
          <w:lang w:eastAsia="zh-CN"/>
        </w:rPr>
      </w:pPr>
    </w:p>
    <w:p w14:paraId="6EF79A66">
      <w:pPr>
        <w:pStyle w:val="22"/>
        <w:spacing w:line="243" w:lineRule="auto"/>
        <w:rPr>
          <w:color w:val="auto"/>
          <w:highlight w:val="none"/>
          <w:u w:val="none" w:color="auto"/>
          <w:lang w:eastAsia="zh-CN"/>
        </w:rPr>
      </w:pPr>
    </w:p>
    <w:p w14:paraId="60071961">
      <w:pPr>
        <w:pStyle w:val="22"/>
        <w:spacing w:line="243" w:lineRule="auto"/>
        <w:rPr>
          <w:color w:val="auto"/>
          <w:highlight w:val="none"/>
          <w:u w:val="none" w:color="auto"/>
          <w:lang w:eastAsia="zh-CN"/>
        </w:rPr>
      </w:pPr>
    </w:p>
    <w:p w14:paraId="4C53B56D">
      <w:pPr>
        <w:pStyle w:val="22"/>
        <w:spacing w:line="243" w:lineRule="auto"/>
        <w:rPr>
          <w:color w:val="auto"/>
          <w:highlight w:val="none"/>
          <w:u w:val="none" w:color="auto"/>
          <w:lang w:eastAsia="zh-CN"/>
        </w:rPr>
      </w:pPr>
    </w:p>
    <w:p w14:paraId="6AC3522C">
      <w:pPr>
        <w:pStyle w:val="22"/>
        <w:spacing w:line="243" w:lineRule="auto"/>
        <w:rPr>
          <w:color w:val="auto"/>
          <w:highlight w:val="none"/>
          <w:u w:val="none" w:color="auto"/>
          <w:lang w:eastAsia="zh-CN"/>
        </w:rPr>
      </w:pPr>
    </w:p>
    <w:p w14:paraId="404B17F3">
      <w:pPr>
        <w:pStyle w:val="22"/>
        <w:spacing w:line="243" w:lineRule="auto"/>
        <w:rPr>
          <w:color w:val="auto"/>
          <w:highlight w:val="none"/>
          <w:u w:val="none" w:color="auto"/>
          <w:lang w:eastAsia="zh-CN"/>
        </w:rPr>
      </w:pPr>
    </w:p>
    <w:p w14:paraId="13C5B7CF">
      <w:pPr>
        <w:pStyle w:val="22"/>
        <w:spacing w:line="287" w:lineRule="auto"/>
        <w:rPr>
          <w:color w:val="auto"/>
          <w:highlight w:val="none"/>
          <w:u w:val="none" w:color="auto"/>
          <w:lang w:eastAsia="zh-CN"/>
        </w:rPr>
      </w:pPr>
    </w:p>
    <w:p w14:paraId="1B8116AF">
      <w:pPr>
        <w:pStyle w:val="22"/>
        <w:spacing w:line="288" w:lineRule="auto"/>
        <w:rPr>
          <w:color w:val="auto"/>
          <w:highlight w:val="none"/>
          <w:u w:val="none" w:color="auto"/>
          <w:lang w:eastAsia="zh-CN"/>
        </w:rPr>
      </w:pPr>
    </w:p>
    <w:p w14:paraId="629B5C70">
      <w:pPr>
        <w:kinsoku/>
        <w:autoSpaceDE/>
        <w:autoSpaceDN/>
        <w:adjustRightInd/>
        <w:snapToGrid/>
        <w:spacing w:line="240" w:lineRule="auto"/>
        <w:textAlignment w:val="auto"/>
        <w:rPr>
          <w:rFonts w:ascii="Arial" w:hAnsi="Arial" w:eastAsia="Arial"/>
          <w:color w:val="auto"/>
          <w:sz w:val="21"/>
          <w:highlight w:val="none"/>
          <w:u w:val="none" w:color="auto"/>
          <w:lang w:eastAsia="zh-CN"/>
        </w:rPr>
      </w:pPr>
      <w:r>
        <w:rPr>
          <w:color w:val="auto"/>
          <w:highlight w:val="none"/>
          <w:u w:val="none" w:color="auto"/>
          <w:lang w:eastAsia="zh-CN"/>
        </w:rPr>
        <w:br w:type="page"/>
      </w:r>
    </w:p>
    <w:p w14:paraId="12994075">
      <w:pPr>
        <w:pStyle w:val="2"/>
        <w:rPr>
          <w:color w:val="auto"/>
          <w:highlight w:val="none"/>
          <w:u w:val="none" w:color="auto"/>
          <w:lang w:eastAsia="zh-CN"/>
        </w:rPr>
      </w:pPr>
      <w:r>
        <w:rPr>
          <w:color w:val="auto"/>
          <w:highlight w:val="none"/>
          <w:u w:val="none" w:color="auto"/>
          <w:lang w:eastAsia="zh-CN"/>
        </w:rPr>
        <w:t>第一部分总则</w:t>
      </w:r>
    </w:p>
    <w:p w14:paraId="354A56A1">
      <w:pPr>
        <w:pStyle w:val="3"/>
        <w:ind w:firstLine="565" w:firstLineChars="176"/>
        <w:rPr>
          <w:color w:val="auto"/>
          <w:highlight w:val="none"/>
          <w:u w:val="none" w:color="auto"/>
          <w:lang w:eastAsia="zh-CN"/>
        </w:rPr>
      </w:pPr>
      <w:r>
        <w:rPr>
          <w:color w:val="auto"/>
          <w:highlight w:val="none"/>
          <w:u w:val="none" w:color="auto"/>
          <w:lang w:eastAsia="zh-CN"/>
        </w:rPr>
        <w:t>一、目的</w:t>
      </w:r>
    </w:p>
    <w:p w14:paraId="617376CE">
      <w:pPr>
        <w:ind w:firstLine="369" w:firstLineChars="176"/>
        <w:rPr>
          <w:color w:val="auto"/>
          <w:highlight w:val="none"/>
          <w:u w:val="none" w:color="auto"/>
          <w:lang w:eastAsia="zh-CN"/>
        </w:rPr>
      </w:pPr>
      <w:r>
        <w:rPr>
          <w:color w:val="auto"/>
          <w:highlight w:val="none"/>
          <w:u w:val="none" w:color="auto"/>
          <w:lang w:eastAsia="zh-CN"/>
        </w:rPr>
        <w:t>本任务书作为施工图设计指导和审查的依据。预防住宅设计中常见问题， 满足我司通常工程做法，提高住宅设计质量，降低后期投诉风险。</w:t>
      </w:r>
    </w:p>
    <w:p w14:paraId="01C3C23C">
      <w:pPr>
        <w:pStyle w:val="3"/>
        <w:ind w:firstLine="565" w:firstLineChars="176"/>
        <w:rPr>
          <w:color w:val="auto"/>
          <w:highlight w:val="none"/>
          <w:u w:val="none" w:color="auto"/>
          <w:lang w:eastAsia="zh-CN"/>
        </w:rPr>
      </w:pPr>
      <w:r>
        <w:rPr>
          <w:color w:val="auto"/>
          <w:highlight w:val="none"/>
          <w:u w:val="none" w:color="auto"/>
          <w:lang w:eastAsia="zh-CN"/>
        </w:rPr>
        <w:t>二、依据</w:t>
      </w:r>
    </w:p>
    <w:p w14:paraId="3B000E6D">
      <w:pPr>
        <w:ind w:firstLine="369" w:firstLineChars="176"/>
        <w:rPr>
          <w:color w:val="auto"/>
          <w:highlight w:val="none"/>
          <w:u w:val="none" w:color="auto"/>
          <w:lang w:eastAsia="zh-CN"/>
        </w:rPr>
      </w:pPr>
      <w:r>
        <w:rPr>
          <w:color w:val="auto"/>
          <w:highlight w:val="none"/>
          <w:u w:val="none" w:color="auto"/>
          <w:lang w:eastAsia="zh-CN"/>
        </w:rPr>
        <w:t>本任务书是在国家相应标准及规范的基础之上， 结合本公司前期住宅开发的实践经 验并参考行业普遍做法， 针对【</w:t>
      </w:r>
      <w:r>
        <w:rPr>
          <w:rFonts w:hint="eastAsia"/>
          <w:u w:val="none" w:color="auto"/>
          <w:lang w:eastAsia="zh-CN"/>
        </w:rPr>
        <w:t>白桦林观澜、白桦林泊岸</w:t>
      </w:r>
      <w:r>
        <w:rPr>
          <w:color w:val="auto"/>
          <w:highlight w:val="none"/>
          <w:u w:val="none" w:color="auto"/>
          <w:lang w:eastAsia="zh-CN"/>
        </w:rPr>
        <w:t>】项目加以明确、补充和完善。本任务书内容 如与国家规范、标准或有关政府文件冲突时，应以国家规范、标准或政府文件为准。</w:t>
      </w:r>
    </w:p>
    <w:p w14:paraId="6DC9093D">
      <w:pPr>
        <w:pStyle w:val="3"/>
        <w:ind w:firstLine="565" w:firstLineChars="176"/>
        <w:rPr>
          <w:color w:val="auto"/>
          <w:highlight w:val="none"/>
          <w:u w:val="none" w:color="auto"/>
          <w:lang w:eastAsia="zh-CN"/>
        </w:rPr>
      </w:pPr>
      <w:r>
        <w:rPr>
          <w:color w:val="auto"/>
          <w:highlight w:val="none"/>
          <w:u w:val="none" w:color="auto"/>
          <w:lang w:eastAsia="zh-CN"/>
        </w:rPr>
        <w:t>三、使用范围</w:t>
      </w:r>
    </w:p>
    <w:p w14:paraId="630D9CAC">
      <w:pPr>
        <w:ind w:firstLine="369" w:firstLineChars="176"/>
        <w:rPr>
          <w:color w:val="auto"/>
          <w:highlight w:val="none"/>
          <w:u w:val="none" w:color="auto"/>
          <w:lang w:eastAsia="zh-CN"/>
        </w:rPr>
      </w:pPr>
      <w:r>
        <w:rPr>
          <w:color w:val="auto"/>
          <w:highlight w:val="none"/>
          <w:u w:val="none" w:color="auto"/>
          <w:lang w:eastAsia="zh-CN"/>
        </w:rPr>
        <w:t>本任务书适用于【</w:t>
      </w:r>
      <w:r>
        <w:rPr>
          <w:rFonts w:hint="eastAsia"/>
          <w:color w:val="auto"/>
          <w:highlight w:val="none"/>
          <w:u w:val="none" w:color="auto"/>
          <w:lang w:eastAsia="zh-CN"/>
        </w:rPr>
        <w:t>白桦林观澜、白桦林泊岸</w:t>
      </w:r>
      <w:r>
        <w:rPr>
          <w:color w:val="auto"/>
          <w:highlight w:val="none"/>
          <w:u w:val="none" w:color="auto"/>
          <w:lang w:eastAsia="zh-CN"/>
        </w:rPr>
        <w:t>项目】项目住宅单体及室外总体部分的全部设计内容， 设计单位应采取必要措施，使设计成果充分满足本任务书要求。</w:t>
      </w:r>
    </w:p>
    <w:p w14:paraId="500C8A32">
      <w:pPr>
        <w:pStyle w:val="3"/>
        <w:ind w:firstLine="565" w:firstLineChars="176"/>
        <w:rPr>
          <w:color w:val="auto"/>
          <w:highlight w:val="none"/>
          <w:u w:val="none" w:color="auto"/>
          <w:lang w:eastAsia="zh-CN"/>
        </w:rPr>
      </w:pPr>
      <w:r>
        <w:rPr>
          <w:color w:val="auto"/>
          <w:highlight w:val="none"/>
          <w:u w:val="none" w:color="auto"/>
          <w:lang w:eastAsia="zh-CN"/>
        </w:rPr>
        <w:t>四、图纸要求</w:t>
      </w:r>
    </w:p>
    <w:p w14:paraId="3C57DA49">
      <w:pPr>
        <w:ind w:firstLine="369" w:firstLineChars="176"/>
        <w:rPr>
          <w:color w:val="auto"/>
          <w:highlight w:val="none"/>
          <w:u w:val="none" w:color="auto"/>
          <w:lang w:eastAsia="zh-CN"/>
        </w:rPr>
      </w:pPr>
      <w:r>
        <w:rPr>
          <w:color w:val="auto"/>
          <w:highlight w:val="none"/>
          <w:u w:val="none" w:color="auto"/>
          <w:lang w:eastAsia="zh-CN"/>
        </w:rPr>
        <w:t>1. 工程名称：【</w:t>
      </w:r>
      <w:r>
        <w:rPr>
          <w:rFonts w:hint="eastAsia"/>
          <w:color w:val="auto"/>
          <w:highlight w:val="none"/>
          <w:u w:val="none" w:color="auto"/>
          <w:lang w:eastAsia="zh-CN"/>
        </w:rPr>
        <w:t>白桦林观澜、白桦林泊岸</w:t>
      </w:r>
      <w:r>
        <w:rPr>
          <w:color w:val="auto"/>
          <w:highlight w:val="none"/>
          <w:u w:val="none" w:color="auto"/>
          <w:lang w:eastAsia="zh-CN"/>
        </w:rPr>
        <w:t>项目】项目</w:t>
      </w:r>
    </w:p>
    <w:p w14:paraId="58D800A7">
      <w:pPr>
        <w:ind w:firstLine="369" w:firstLineChars="176"/>
        <w:rPr>
          <w:color w:val="auto"/>
          <w:highlight w:val="none"/>
          <w:u w:val="none" w:color="auto"/>
          <w:lang w:eastAsia="zh-CN"/>
        </w:rPr>
      </w:pPr>
      <w:r>
        <w:rPr>
          <w:color w:val="auto"/>
          <w:highlight w:val="none"/>
          <w:u w:val="none" w:color="auto"/>
          <w:lang w:eastAsia="zh-CN"/>
        </w:rPr>
        <w:t>2. 图纸规格： 各专业图纸规格需尽量做到统一,不得超过3种，应避免0号及以上图纸出现。</w:t>
      </w:r>
    </w:p>
    <w:p w14:paraId="40C5AA1F">
      <w:pPr>
        <w:ind w:firstLine="369" w:firstLineChars="176"/>
        <w:rPr>
          <w:color w:val="auto"/>
          <w:highlight w:val="none"/>
          <w:u w:val="none" w:color="auto"/>
          <w:lang w:eastAsia="zh-CN"/>
        </w:rPr>
      </w:pPr>
      <w:r>
        <w:rPr>
          <w:color w:val="auto"/>
          <w:highlight w:val="none"/>
          <w:u w:val="none" w:color="auto"/>
          <w:lang w:eastAsia="zh-CN"/>
        </w:rPr>
        <w:t>3. 图面要求：各专业图纸均应严格按照相关制图规范及深度要求。</w:t>
      </w:r>
    </w:p>
    <w:p w14:paraId="0BC7CC12">
      <w:pPr>
        <w:ind w:firstLine="369" w:firstLineChars="176"/>
        <w:rPr>
          <w:color w:val="auto"/>
          <w:highlight w:val="none"/>
          <w:u w:val="none" w:color="auto"/>
          <w:lang w:eastAsia="zh-CN"/>
        </w:rPr>
      </w:pPr>
      <w:r>
        <w:rPr>
          <w:color w:val="auto"/>
          <w:highlight w:val="none"/>
          <w:u w:val="none" w:color="auto"/>
          <w:lang w:eastAsia="zh-CN"/>
        </w:rPr>
        <w:t>4. 各栋不同户型单元应有相应单元放大平面图，需详细标注细部尺寸及做法。各栋若 有完全对称的单元，也应在各栋施工图平面中全部表达。</w:t>
      </w:r>
    </w:p>
    <w:p w14:paraId="713A8ED0">
      <w:pPr>
        <w:ind w:firstLine="369" w:firstLineChars="176"/>
        <w:rPr>
          <w:color w:val="auto"/>
          <w:highlight w:val="none"/>
          <w:u w:val="none" w:color="auto"/>
          <w:lang w:eastAsia="zh-CN"/>
        </w:rPr>
      </w:pPr>
      <w:r>
        <w:rPr>
          <w:color w:val="auto"/>
          <w:highlight w:val="none"/>
          <w:u w:val="none" w:color="auto"/>
          <w:lang w:eastAsia="zh-CN"/>
        </w:rPr>
        <w:t>5. 设计成果应以每个单体为一个完整的设计子项及出图单元，各子项间不得互相参考索引。</w:t>
      </w:r>
    </w:p>
    <w:p w14:paraId="5D8DB750">
      <w:pPr>
        <w:ind w:firstLine="369" w:firstLineChars="176"/>
        <w:rPr>
          <w:color w:val="auto"/>
          <w:highlight w:val="none"/>
          <w:u w:val="none" w:color="auto"/>
          <w:lang w:eastAsia="zh-CN"/>
        </w:rPr>
      </w:pPr>
      <w:r>
        <w:rPr>
          <w:color w:val="auto"/>
          <w:highlight w:val="none"/>
          <w:u w:val="none" w:color="auto"/>
          <w:lang w:eastAsia="zh-CN"/>
        </w:rPr>
        <w:t>6. 设计成果应提供所有户型各专业综合平面放大详图。</w:t>
      </w:r>
    </w:p>
    <w:p w14:paraId="3E5E8383">
      <w:pPr>
        <w:ind w:firstLine="369" w:firstLineChars="176"/>
        <w:rPr>
          <w:rFonts w:hint="default"/>
          <w:color w:val="auto"/>
          <w:highlight w:val="none"/>
          <w:u w:val="none" w:color="auto"/>
          <w:lang w:val="en-US" w:eastAsia="zh-CN"/>
        </w:rPr>
      </w:pPr>
      <w:r>
        <w:rPr>
          <w:rFonts w:hint="eastAsia"/>
          <w:color w:val="auto"/>
          <w:highlight w:val="none"/>
          <w:u w:val="none" w:color="auto"/>
          <w:lang w:val="en-US" w:eastAsia="zh-CN"/>
        </w:rPr>
        <w:t>7. 周期要求：自方案深化设计经业主确认后并同意开展施工图设计之日起50个日内。</w:t>
      </w:r>
    </w:p>
    <w:p w14:paraId="3E666E7B">
      <w:pPr>
        <w:pStyle w:val="3"/>
        <w:ind w:firstLine="565" w:firstLineChars="176"/>
        <w:rPr>
          <w:color w:val="auto"/>
          <w:highlight w:val="none"/>
          <w:u w:val="none" w:color="auto"/>
          <w:lang w:eastAsia="zh-CN"/>
        </w:rPr>
      </w:pPr>
      <w:r>
        <w:rPr>
          <w:rFonts w:hint="eastAsia"/>
          <w:color w:val="auto"/>
          <w:highlight w:val="none"/>
          <w:u w:val="none" w:color="auto"/>
          <w:lang w:eastAsia="zh-CN"/>
        </w:rPr>
        <w:t>五、主要设计内容</w:t>
      </w:r>
    </w:p>
    <w:p w14:paraId="62E2B493">
      <w:pPr>
        <w:widowControl w:val="0"/>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1. 负责完成建筑、结构、电气、给排水、通风空调各专业的施工图设计；</w:t>
      </w:r>
    </w:p>
    <w:p w14:paraId="19D2B3FA">
      <w:pPr>
        <w:widowControl w:val="0"/>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2. 负责建筑节能设计并通过设计管理部门审查；</w:t>
      </w:r>
    </w:p>
    <w:p w14:paraId="3EF9D6FD">
      <w:pPr>
        <w:widowControl w:val="0"/>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3. 负责红线内室外场地综合管线设计（电气、给排水、燃气、</w:t>
      </w:r>
      <w:r>
        <w:rPr>
          <w:rFonts w:hint="eastAsia" w:cs="宋体"/>
          <w:color w:val="auto"/>
          <w:highlight w:val="yellow"/>
          <w:u w:val="none" w:color="auto"/>
          <w:lang w:eastAsia="zh"/>
        </w:rPr>
        <w:t>热力、</w:t>
      </w:r>
      <w:r>
        <w:rPr>
          <w:rFonts w:hint="eastAsia" w:cs="宋体"/>
          <w:color w:val="auto"/>
          <w:highlight w:val="none"/>
          <w:u w:val="none" w:color="auto"/>
          <w:lang w:eastAsia="zh-CN"/>
        </w:rPr>
        <w:t>垃圾收集管道等），注明各管线与建筑物、构筑物、绿化之间的距离和管线间距，管线密集地段宜适当增加断面图，注明主要交叉点上下管线的标高或间距；</w:t>
      </w:r>
    </w:p>
    <w:p w14:paraId="1CAA1F12">
      <w:pPr>
        <w:widowControl w:val="0"/>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4. 负责整合红线内设施井盖布置图并注明标高（其中园林设施井盖布置图由园林设计单位提供，乙方负责整合）；</w:t>
      </w:r>
    </w:p>
    <w:p w14:paraId="00F3377A">
      <w:pPr>
        <w:widowControl w:val="0"/>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5. 负责整合园林深化设计方案到施工图中，包括建筑出入口、种植屋面、地下室顶板等；</w:t>
      </w:r>
    </w:p>
    <w:p w14:paraId="3D4839E6">
      <w:pPr>
        <w:widowControl w:val="0"/>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6. 负责将人防设计院提供的建筑图整合完善到土建建筑图中，并负责人防地下室外侧壁及人防顶、底板的设计；</w:t>
      </w:r>
    </w:p>
    <w:p w14:paraId="4DCBC219">
      <w:pPr>
        <w:widowControl w:val="0"/>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7. 负责地下室、设备/结构转换层与重要公共空间的综合管线设计（电气、给排水、燃气、</w:t>
      </w:r>
      <w:r>
        <w:rPr>
          <w:rFonts w:hint="eastAsia" w:cs="宋体"/>
          <w:color w:val="auto"/>
          <w:highlight w:val="yellow"/>
          <w:u w:val="none" w:color="auto"/>
          <w:lang w:eastAsia="zh"/>
        </w:rPr>
        <w:t>通风防排烟管道、热力管道、</w:t>
      </w:r>
      <w:r>
        <w:rPr>
          <w:rFonts w:hint="eastAsia" w:cs="宋体"/>
          <w:color w:val="auto"/>
          <w:highlight w:val="none"/>
          <w:u w:val="none" w:color="auto"/>
          <w:lang w:eastAsia="zh-CN"/>
        </w:rPr>
        <w:t>垃圾收集管道等），注明各管线与建筑物、构筑物的距离和管线间距。管线密集地段，地下车库大堂出口处设备布置应绘制空间断面图，注明主要交叉点上下管线的标高或间距；</w:t>
      </w:r>
    </w:p>
    <w:p w14:paraId="2FBD52A7">
      <w:pPr>
        <w:widowControl w:val="0"/>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8. 在提交各专业施工图的同时提交各户型单元、住户大堂、电梯厅、地下车库电梯大堂的放大平面，并以室内设计单位提交的精装修图纸作为依据，进行水电设备（开关、插座、配电箱、龙头等）、预留洞口定位及燃气设备定位（煤气管线和煤气表）的定位，定位应为准确的三维定位；并应配合相关专业的设计工作。各户型内的设备平台、工作阳台需提交设备布置的立面图；</w:t>
      </w:r>
    </w:p>
    <w:p w14:paraId="72857104">
      <w:pPr>
        <w:widowControl w:val="0"/>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9. 负责配合幕墙设计单位完成节点详图的深化设计；</w:t>
      </w:r>
    </w:p>
    <w:p w14:paraId="6BDC0DD9">
      <w:pPr>
        <w:widowControl w:val="0"/>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10. 根据甲方提供的各设备专业公司的施工技术资料（包括电梯、小型中央空调、橱柜、洁具、户门、户内配电箱、可视对讲等）完成相关施工图设计；</w:t>
      </w:r>
    </w:p>
    <w:p w14:paraId="0F0F7B3A">
      <w:pPr>
        <w:widowControl w:val="0"/>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11. 外立面施工控制手册内容包括最终定稿的外立面效果图、立面分色图、立面开线图、立面构造详图、墙面分格缝大样、如墙面贴外墙砖应包括窗台、檐口等细部面砖的铺贴详图、部件详细尺寸及材料说明等内容，作为今后与外立面装饰工程施工单位交底的依据；</w:t>
      </w:r>
    </w:p>
    <w:p w14:paraId="1B80BABB">
      <w:pPr>
        <w:widowControl w:val="0"/>
        <w:numPr>
          <w:ilvl w:val="0"/>
          <w:numId w:val="51"/>
        </w:numPr>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负责红线内挡土墙、构筑物等的设计；</w:t>
      </w:r>
    </w:p>
    <w:p w14:paraId="4E2D4F59">
      <w:pPr>
        <w:widowControl w:val="0"/>
        <w:numPr>
          <w:ilvl w:val="0"/>
          <w:numId w:val="51"/>
        </w:numPr>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负责水、电、空调等设备（水泵、冷却塔、不锈钢水箱等）的基础设计；</w:t>
      </w:r>
    </w:p>
    <w:p w14:paraId="2B355B07">
      <w:pPr>
        <w:widowControl w:val="0"/>
        <w:numPr>
          <w:ilvl w:val="0"/>
          <w:numId w:val="51"/>
        </w:numPr>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负责进行外装饰工程（含幕墙）对主体结构影响的结构验算，给出建议并根据外装饰工程要求完善结构设计；</w:t>
      </w:r>
    </w:p>
    <w:p w14:paraId="6BACB896">
      <w:pPr>
        <w:widowControl w:val="0"/>
        <w:numPr>
          <w:ilvl w:val="0"/>
          <w:numId w:val="51"/>
        </w:numPr>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根据销售进度需要绘制销售户型图及合同附图；</w:t>
      </w:r>
    </w:p>
    <w:p w14:paraId="0D4E2122">
      <w:pPr>
        <w:widowControl w:val="0"/>
        <w:numPr>
          <w:ilvl w:val="0"/>
          <w:numId w:val="51"/>
        </w:numPr>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负责建筑专业竣工图绘制和验收通电子文件的制作，并配合其他专业竣工图的审核和盖章；</w:t>
      </w:r>
    </w:p>
    <w:p w14:paraId="79870FD9">
      <w:pPr>
        <w:widowControl w:val="0"/>
        <w:numPr>
          <w:ilvl w:val="0"/>
          <w:numId w:val="51"/>
        </w:numPr>
        <w:kinsoku/>
        <w:autoSpaceDE/>
        <w:autoSpaceDN/>
        <w:adjustRightInd/>
        <w:snapToGrid/>
        <w:ind w:firstLine="420" w:firstLineChars="200"/>
        <w:textAlignment w:val="auto"/>
        <w:rPr>
          <w:rFonts w:cs="宋体"/>
          <w:color w:val="auto"/>
          <w:highlight w:val="none"/>
          <w:u w:val="none" w:color="auto"/>
          <w:lang w:eastAsia="zh-CN"/>
        </w:rPr>
      </w:pPr>
      <w:r>
        <w:rPr>
          <w:rFonts w:hint="eastAsia" w:cs="宋体"/>
          <w:color w:val="auto"/>
          <w:highlight w:val="none"/>
          <w:u w:val="none" w:color="auto"/>
          <w:lang w:eastAsia="zh-CN"/>
        </w:rPr>
        <w:t>乙方在工程竣工验收前一个月，向甲方移交一份本项目由项目设计技术负责人签署的，关于乙方施工文件设计变更修改通知、图纸误差表和技术文件的材料目录，同时提供一份完整最终的电子数据文件，该电子数据文件应根据施工阶段发生的修改进行整理并做好归类，与建筑最终实施的情况必须一致。</w:t>
      </w:r>
    </w:p>
    <w:p w14:paraId="674C4808">
      <w:pPr>
        <w:ind w:firstLine="369" w:firstLineChars="176"/>
        <w:rPr>
          <w:color w:val="auto"/>
          <w:highlight w:val="none"/>
          <w:u w:val="none" w:color="auto"/>
          <w:lang w:eastAsia="zh-CN"/>
        </w:rPr>
      </w:pPr>
    </w:p>
    <w:p w14:paraId="63683635">
      <w:pPr>
        <w:pStyle w:val="3"/>
        <w:ind w:firstLine="565" w:firstLineChars="176"/>
        <w:rPr>
          <w:color w:val="auto"/>
          <w:highlight w:val="none"/>
          <w:u w:val="none" w:color="auto"/>
          <w:lang w:eastAsia="zh-CN"/>
        </w:rPr>
      </w:pPr>
      <w:r>
        <w:rPr>
          <w:rFonts w:hint="eastAsia"/>
          <w:color w:val="auto"/>
          <w:highlight w:val="none"/>
          <w:u w:val="none" w:color="auto"/>
          <w:lang w:eastAsia="zh-CN"/>
        </w:rPr>
        <w:t>六</w:t>
      </w:r>
      <w:r>
        <w:rPr>
          <w:color w:val="auto"/>
          <w:highlight w:val="none"/>
          <w:u w:val="none" w:color="auto"/>
          <w:lang w:eastAsia="zh-CN"/>
        </w:rPr>
        <w:t>、其他说明</w:t>
      </w:r>
    </w:p>
    <w:p w14:paraId="4812296E">
      <w:pPr>
        <w:ind w:firstLine="369" w:firstLineChars="176"/>
        <w:rPr>
          <w:color w:val="auto"/>
          <w:highlight w:val="none"/>
          <w:u w:val="none" w:color="auto"/>
          <w:lang w:eastAsia="zh-CN"/>
        </w:rPr>
      </w:pPr>
      <w:r>
        <w:rPr>
          <w:color w:val="auto"/>
          <w:highlight w:val="none"/>
          <w:u w:val="none" w:color="auto"/>
          <w:lang w:eastAsia="zh-CN"/>
        </w:rPr>
        <w:t>1. 本任务书规定了【</w:t>
      </w:r>
      <w:r>
        <w:rPr>
          <w:rFonts w:hint="eastAsia"/>
          <w:color w:val="auto"/>
          <w:highlight w:val="none"/>
          <w:u w:val="none" w:color="auto"/>
          <w:lang w:eastAsia="zh-CN"/>
        </w:rPr>
        <w:t>白桦林观澜、白桦林泊岸</w:t>
      </w:r>
      <w:r>
        <w:rPr>
          <w:color w:val="auto"/>
          <w:highlight w:val="none"/>
          <w:u w:val="none" w:color="auto"/>
          <w:lang w:eastAsia="zh-CN"/>
        </w:rPr>
        <w:t>项目】项目施工图设计的具体要求，设计单位及各专业 设计人员应全面了解本任务书的所有内容。设计单位各专业应配合本项目相关后续 设计及审图工作，包含但不限于幕墙设计、精装修。</w:t>
      </w:r>
    </w:p>
    <w:p w14:paraId="108D0DCC">
      <w:pPr>
        <w:ind w:firstLine="369" w:firstLineChars="176"/>
        <w:rPr>
          <w:color w:val="auto"/>
          <w:highlight w:val="none"/>
          <w:u w:val="none" w:color="auto"/>
          <w:lang w:eastAsia="zh-CN"/>
        </w:rPr>
      </w:pPr>
      <w:r>
        <w:rPr>
          <w:color w:val="auto"/>
          <w:highlight w:val="none"/>
          <w:u w:val="none" w:color="auto"/>
          <w:lang w:eastAsia="zh-CN"/>
        </w:rPr>
        <w:t>2. 本任务书所述各专业（建筑、结构、水、暖、电等）发生矛盾时，应以建筑专业为 依据，其它各专业进行相应调整，并以首先满足功能为前提，综合考虑美观性、经 济性等要求。</w:t>
      </w:r>
    </w:p>
    <w:p w14:paraId="50ED6C36">
      <w:pPr>
        <w:ind w:firstLine="369" w:firstLineChars="176"/>
        <w:rPr>
          <w:color w:val="auto"/>
          <w:highlight w:val="none"/>
          <w:u w:val="none" w:color="auto"/>
          <w:lang w:eastAsia="zh-CN"/>
        </w:rPr>
      </w:pPr>
      <w:r>
        <w:rPr>
          <w:color w:val="auto"/>
          <w:highlight w:val="none"/>
          <w:u w:val="none" w:color="auto"/>
          <w:lang w:eastAsia="zh-CN"/>
        </w:rPr>
        <w:t>3. 本任务书中所示尺寸，未标明单位均为毫米。</w:t>
      </w:r>
    </w:p>
    <w:p w14:paraId="03D214B7">
      <w:pPr>
        <w:ind w:firstLine="369" w:firstLineChars="176"/>
        <w:rPr>
          <w:color w:val="auto"/>
          <w:highlight w:val="none"/>
          <w:u w:val="none" w:color="auto"/>
          <w:lang w:eastAsia="zh-CN"/>
        </w:rPr>
      </w:pPr>
      <w:r>
        <w:rPr>
          <w:color w:val="auto"/>
          <w:highlight w:val="none"/>
          <w:u w:val="none" w:color="auto"/>
          <w:lang w:eastAsia="zh-CN"/>
        </w:rPr>
        <w:t>4. 施工图设计期间会不定期举行例会，讨论相应阶段的设计问题。我司将提前 3 天通知设计单位应在会前准备相关资料及图纸，并整理罗列需讨论确定的问题。</w:t>
      </w:r>
    </w:p>
    <w:p w14:paraId="5FA575C5">
      <w:pPr>
        <w:ind w:firstLine="369" w:firstLineChars="176"/>
        <w:rPr>
          <w:color w:val="auto"/>
          <w:highlight w:val="none"/>
          <w:u w:val="none" w:color="auto"/>
          <w:lang w:eastAsia="zh-CN"/>
        </w:rPr>
      </w:pPr>
      <w:r>
        <w:rPr>
          <w:color w:val="auto"/>
          <w:highlight w:val="none"/>
          <w:u w:val="none" w:color="auto"/>
          <w:lang w:eastAsia="zh-CN"/>
        </w:rPr>
        <w:t>5. 本任务书解释权归</w:t>
      </w:r>
      <w:r>
        <w:rPr>
          <w:rFonts w:hint="eastAsia"/>
          <w:color w:val="auto"/>
          <w:highlight w:val="none"/>
          <w:u w:val="none" w:color="auto"/>
          <w:lang w:eastAsia="zh-CN"/>
        </w:rPr>
        <w:t>业主方</w:t>
      </w:r>
      <w:r>
        <w:rPr>
          <w:color w:val="auto"/>
          <w:highlight w:val="none"/>
          <w:u w:val="none" w:color="auto"/>
          <w:lang w:eastAsia="zh-CN"/>
        </w:rPr>
        <w:t>。</w:t>
      </w:r>
    </w:p>
    <w:p w14:paraId="03FC1473">
      <w:pPr>
        <w:pStyle w:val="22"/>
        <w:ind w:firstLine="480" w:firstLineChars="200"/>
        <w:rPr>
          <w:rFonts w:ascii="宋体" w:hAnsi="宋体" w:eastAsia="宋体"/>
          <w:color w:val="auto"/>
          <w:sz w:val="24"/>
          <w:highlight w:val="none"/>
          <w:u w:val="none" w:color="auto"/>
          <w:lang w:eastAsia="zh-CN"/>
        </w:rPr>
      </w:pPr>
      <w:r>
        <w:rPr>
          <w:rFonts w:ascii="宋体" w:hAnsi="宋体" w:eastAsia="宋体" w:cs="Arial"/>
          <w:snapToGrid w:val="0"/>
          <w:color w:val="auto"/>
          <w:sz w:val="24"/>
          <w:szCs w:val="21"/>
          <w:highlight w:val="none"/>
          <w:u w:val="none" w:color="auto"/>
          <w:lang w:val="en-US" w:eastAsia="zh-CN" w:bidi="ar-SA"/>
        </w:rPr>
        <w:t>6.</w:t>
      </w:r>
      <w:r>
        <w:rPr>
          <w:rFonts w:hint="eastAsia" w:ascii="宋体" w:hAnsi="宋体" w:eastAsia="宋体" w:cs="Arial"/>
          <w:snapToGrid w:val="0"/>
          <w:color w:val="auto"/>
          <w:sz w:val="24"/>
          <w:szCs w:val="21"/>
          <w:highlight w:val="none"/>
          <w:u w:val="none" w:color="auto"/>
          <w:lang w:val="en-US" w:eastAsia="zh-CN" w:bidi="ar-SA"/>
        </w:rPr>
        <w:t xml:space="preserve"> </w:t>
      </w:r>
      <w:r>
        <w:rPr>
          <w:rFonts w:hint="eastAsia" w:ascii="宋体" w:hAnsi="宋体" w:eastAsia="宋体"/>
          <w:color w:val="auto"/>
          <w:sz w:val="24"/>
          <w:highlight w:val="none"/>
          <w:u w:val="none" w:color="auto"/>
          <w:lang w:eastAsia="zh-CN"/>
        </w:rPr>
        <w:t>正式施工图需进行各专业图纸会签核对，并保留相关文件。</w:t>
      </w:r>
    </w:p>
    <w:p w14:paraId="4DDE9D17">
      <w:pPr>
        <w:ind w:firstLine="420" w:firstLineChars="200"/>
        <w:rPr>
          <w:rFonts w:hint="eastAsia"/>
          <w:color w:val="auto"/>
          <w:highlight w:val="none"/>
          <w:u w:val="none" w:color="auto"/>
          <w:lang w:eastAsia="zh-CN"/>
        </w:rPr>
      </w:pPr>
      <w:r>
        <w:rPr>
          <w:rFonts w:cs="Arial"/>
          <w:color w:val="auto"/>
          <w:highlight w:val="none"/>
          <w:u w:val="none" w:color="auto"/>
          <w:lang w:eastAsia="zh-CN"/>
        </w:rPr>
        <w:t>7.</w:t>
      </w:r>
      <w:r>
        <w:rPr>
          <w:rFonts w:hint="eastAsia" w:cs="Arial"/>
          <w:color w:val="auto"/>
          <w:highlight w:val="none"/>
          <w:u w:val="none" w:color="auto"/>
          <w:lang w:val="en-US" w:eastAsia="zh-CN"/>
        </w:rPr>
        <w:t xml:space="preserve"> </w:t>
      </w:r>
      <w:r>
        <w:rPr>
          <w:rFonts w:hint="eastAsia"/>
          <w:color w:val="auto"/>
          <w:highlight w:val="none"/>
          <w:u w:val="none" w:color="auto"/>
          <w:lang w:eastAsia="zh-CN"/>
        </w:rPr>
        <w:t>在项目全周期配合我司核查各专业审图要点。</w:t>
      </w:r>
    </w:p>
    <w:p w14:paraId="38E46931">
      <w:pPr>
        <w:pStyle w:val="2"/>
        <w:rPr>
          <w:color w:val="auto"/>
          <w:highlight w:val="none"/>
          <w:u w:val="none" w:color="auto"/>
          <w:lang w:eastAsia="zh-CN"/>
        </w:rPr>
      </w:pPr>
      <w:r>
        <w:rPr>
          <w:color w:val="auto"/>
          <w:highlight w:val="none"/>
          <w:u w:val="none" w:color="auto"/>
          <w:lang w:eastAsia="zh-CN"/>
        </w:rPr>
        <w:t>第二部分 建筑专业</w:t>
      </w:r>
    </w:p>
    <w:p w14:paraId="77A9A8EF">
      <w:pPr>
        <w:pStyle w:val="3"/>
        <w:ind w:firstLine="565" w:firstLineChars="176"/>
        <w:rPr>
          <w:color w:val="auto"/>
          <w:highlight w:val="none"/>
          <w:u w:val="none" w:color="auto"/>
          <w:lang w:eastAsia="zh-CN"/>
        </w:rPr>
      </w:pPr>
      <w:r>
        <w:rPr>
          <w:color w:val="auto"/>
          <w:highlight w:val="none"/>
          <w:u w:val="none" w:color="auto"/>
          <w:lang w:eastAsia="zh-CN"/>
        </w:rPr>
        <w:t>一、设计说明</w:t>
      </w:r>
    </w:p>
    <w:p w14:paraId="578C5497">
      <w:pPr>
        <w:ind w:firstLine="369" w:firstLineChars="176"/>
        <w:rPr>
          <w:color w:val="auto"/>
          <w:highlight w:val="none"/>
          <w:u w:val="none" w:color="auto"/>
          <w:lang w:eastAsia="zh-CN"/>
        </w:rPr>
      </w:pPr>
      <w:r>
        <w:rPr>
          <w:color w:val="auto"/>
          <w:highlight w:val="none"/>
          <w:u w:val="none" w:color="auto"/>
          <w:lang w:eastAsia="zh-CN"/>
        </w:rPr>
        <w:t>1. 施工图设计中容积率不得低于</w:t>
      </w:r>
      <w:r>
        <w:rPr>
          <w:rFonts w:hint="eastAsia"/>
          <w:color w:val="auto"/>
          <w:highlight w:val="none"/>
          <w:u w:val="none" w:color="auto"/>
          <w:lang w:eastAsia="zh-CN"/>
        </w:rPr>
        <w:t>规划条件书</w:t>
      </w:r>
      <w:r>
        <w:rPr>
          <w:color w:val="auto"/>
          <w:highlight w:val="none"/>
          <w:u w:val="none" w:color="auto"/>
          <w:lang w:eastAsia="zh-CN"/>
        </w:rPr>
        <w:t>中数值且计容面积不应超过 3%，单栋楼计容面积不应超过 3%。公建配套面积不得高于标准数值既确保数字准确。</w:t>
      </w:r>
    </w:p>
    <w:p w14:paraId="264DEAE0">
      <w:pPr>
        <w:ind w:firstLine="369" w:firstLineChars="176"/>
        <w:rPr>
          <w:color w:val="auto"/>
          <w:highlight w:val="none"/>
          <w:u w:val="none" w:color="auto"/>
          <w:lang w:eastAsia="zh-CN"/>
        </w:rPr>
      </w:pPr>
      <w:r>
        <w:rPr>
          <w:color w:val="auto"/>
          <w:highlight w:val="none"/>
          <w:u w:val="none" w:color="auto"/>
          <w:lang w:eastAsia="zh-CN"/>
        </w:rPr>
        <w:t>2. 若规划设计条件发生变化，以甲方修改和政府相关部门的要求为准。</w:t>
      </w:r>
    </w:p>
    <w:p w14:paraId="4186F1E2">
      <w:pPr>
        <w:ind w:firstLine="369" w:firstLineChars="176"/>
        <w:rPr>
          <w:color w:val="auto"/>
          <w:highlight w:val="none"/>
          <w:u w:val="none" w:color="auto"/>
          <w:lang w:eastAsia="zh-CN"/>
        </w:rPr>
      </w:pPr>
      <w:r>
        <w:rPr>
          <w:color w:val="auto"/>
          <w:highlight w:val="none"/>
          <w:u w:val="none" w:color="auto"/>
          <w:lang w:eastAsia="zh-CN"/>
        </w:rPr>
        <w:t xml:space="preserve">3. </w:t>
      </w:r>
      <w:r>
        <w:rPr>
          <w:rFonts w:hint="eastAsia"/>
          <w:color w:val="auto"/>
          <w:highlight w:val="none"/>
          <w:u w:val="none" w:color="auto"/>
          <w:lang w:eastAsia="zh-CN"/>
        </w:rPr>
        <w:t>施</w:t>
      </w:r>
      <w:r>
        <w:rPr>
          <w:color w:val="auto"/>
          <w:highlight w:val="none"/>
          <w:u w:val="none" w:color="auto"/>
          <w:lang w:eastAsia="zh-CN"/>
        </w:rPr>
        <w:t>工图设计阶段应对所有报建指标进行核算并满足政府相关部门的要求。</w:t>
      </w:r>
    </w:p>
    <w:p w14:paraId="77C69C68">
      <w:pPr>
        <w:ind w:firstLine="369" w:firstLineChars="176"/>
        <w:rPr>
          <w:color w:val="auto"/>
          <w:highlight w:val="none"/>
          <w:u w:val="none" w:color="auto"/>
          <w:lang w:eastAsia="zh-CN"/>
        </w:rPr>
      </w:pPr>
      <w:r>
        <w:rPr>
          <w:color w:val="auto"/>
          <w:highlight w:val="none"/>
          <w:u w:val="none" w:color="auto"/>
          <w:lang w:eastAsia="zh-CN"/>
        </w:rPr>
        <w:t>4. 层高：住宅： 3.</w:t>
      </w:r>
      <w:r>
        <w:rPr>
          <w:rFonts w:hint="eastAsia"/>
          <w:color w:val="auto"/>
          <w:highlight w:val="none"/>
          <w:u w:val="none" w:color="auto"/>
          <w:lang w:val="en-US" w:eastAsia="zh-CN"/>
        </w:rPr>
        <w:t>15</w:t>
      </w:r>
      <w:r>
        <w:rPr>
          <w:color w:val="auto"/>
          <w:highlight w:val="none"/>
          <w:u w:val="none" w:color="auto"/>
          <w:lang w:eastAsia="zh-CN"/>
        </w:rPr>
        <w:t>米</w:t>
      </w:r>
      <w:r>
        <w:rPr>
          <w:rFonts w:hint="eastAsia"/>
          <w:color w:val="auto"/>
          <w:highlight w:val="none"/>
          <w:u w:val="none" w:color="auto"/>
          <w:lang w:val="en-US" w:eastAsia="zh-CN"/>
        </w:rPr>
        <w:t>-3.3米</w:t>
      </w:r>
      <w:r>
        <w:rPr>
          <w:color w:val="auto"/>
          <w:highlight w:val="none"/>
          <w:u w:val="none" w:color="auto"/>
          <w:lang w:eastAsia="zh-CN"/>
        </w:rPr>
        <w:t xml:space="preserve">，商业 </w:t>
      </w:r>
      <w:r>
        <w:rPr>
          <w:rFonts w:hint="eastAsia"/>
          <w:color w:val="auto"/>
          <w:highlight w:val="none"/>
          <w:u w:val="none" w:color="auto"/>
          <w:lang w:eastAsia="zh-CN"/>
        </w:rPr>
        <w:t>3.8</w:t>
      </w:r>
      <w:r>
        <w:rPr>
          <w:color w:val="auto"/>
          <w:highlight w:val="none"/>
          <w:u w:val="none" w:color="auto"/>
          <w:lang w:eastAsia="zh-CN"/>
        </w:rPr>
        <w:t>~6 米。</w:t>
      </w:r>
    </w:p>
    <w:p w14:paraId="477E4BDF">
      <w:pPr>
        <w:ind w:firstLine="369" w:firstLineChars="176"/>
        <w:rPr>
          <w:rFonts w:hint="eastAsia"/>
          <w:color w:val="auto"/>
          <w:highlight w:val="none"/>
          <w:u w:val="none" w:color="auto"/>
          <w:lang w:eastAsia="zh-CN"/>
        </w:rPr>
      </w:pPr>
      <w:r>
        <w:rPr>
          <w:rFonts w:hint="eastAsia"/>
          <w:color w:val="auto"/>
          <w:highlight w:val="none"/>
          <w:u w:val="none" w:color="auto"/>
          <w:lang w:eastAsia="zh-CN"/>
        </w:rPr>
        <w:t>5.建筑节能说明中的材料与厚度应同节能结算书保持一致。</w:t>
      </w:r>
    </w:p>
    <w:p w14:paraId="1D8837D7">
      <w:pPr>
        <w:pStyle w:val="3"/>
        <w:ind w:firstLine="565" w:firstLineChars="176"/>
        <w:rPr>
          <w:color w:val="auto"/>
          <w:highlight w:val="none"/>
          <w:u w:val="none" w:color="auto"/>
          <w:lang w:eastAsia="zh-CN"/>
        </w:rPr>
      </w:pPr>
      <w:r>
        <w:rPr>
          <w:color w:val="auto"/>
          <w:highlight w:val="none"/>
          <w:u w:val="none" w:color="auto"/>
          <w:lang w:eastAsia="zh-CN"/>
        </w:rPr>
        <w:t>二、统一做法</w:t>
      </w:r>
    </w:p>
    <w:p w14:paraId="01673566">
      <w:pPr>
        <w:ind w:firstLine="369" w:firstLineChars="176"/>
        <w:rPr>
          <w:color w:val="auto"/>
          <w:highlight w:val="none"/>
          <w:u w:val="none" w:color="auto"/>
          <w:lang w:eastAsia="zh-CN"/>
        </w:rPr>
      </w:pPr>
      <w:r>
        <w:rPr>
          <w:color w:val="auto"/>
          <w:highlight w:val="none"/>
          <w:u w:val="none" w:color="auto"/>
          <w:lang w:eastAsia="zh-CN"/>
        </w:rPr>
        <w:t>1. 墙体</w:t>
      </w:r>
    </w:p>
    <w:p w14:paraId="3EDDA419">
      <w:pPr>
        <w:ind w:firstLine="369" w:firstLineChars="176"/>
        <w:rPr>
          <w:color w:val="auto"/>
          <w:highlight w:val="none"/>
          <w:u w:val="none" w:color="auto"/>
          <w:lang w:eastAsia="zh-CN"/>
        </w:rPr>
      </w:pPr>
      <w:r>
        <w:rPr>
          <w:color w:val="auto"/>
          <w:highlight w:val="none"/>
          <w:u w:val="none" w:color="auto"/>
          <w:lang w:eastAsia="zh-CN"/>
        </w:rPr>
        <w:t>1.1、±0.000 以上外围护填充墙、卫生间隔墙、管井隔墙考虑采用蒸压加气混凝土砌块；卫生间隔墙下做 300 高 C20 砼反槛，厚度同墙体。</w:t>
      </w:r>
    </w:p>
    <w:p w14:paraId="57E014FC">
      <w:pPr>
        <w:ind w:firstLine="369" w:firstLineChars="176"/>
        <w:rPr>
          <w:color w:val="auto"/>
          <w:highlight w:val="none"/>
          <w:u w:val="none" w:color="auto"/>
          <w:lang w:eastAsia="zh-CN"/>
        </w:rPr>
      </w:pPr>
      <w:r>
        <w:rPr>
          <w:color w:val="auto"/>
          <w:highlight w:val="none"/>
          <w:u w:val="none" w:color="auto"/>
          <w:lang w:eastAsia="zh-CN"/>
        </w:rPr>
        <w:t>1.2、填充墙砌筑砂浆应标明标号（或配分比）。</w:t>
      </w:r>
    </w:p>
    <w:p w14:paraId="3CEF29BC">
      <w:pPr>
        <w:ind w:firstLine="369" w:firstLineChars="176"/>
        <w:rPr>
          <w:color w:val="auto"/>
          <w:highlight w:val="none"/>
          <w:u w:val="none" w:color="auto"/>
          <w:lang w:eastAsia="zh-CN"/>
        </w:rPr>
      </w:pPr>
      <w:r>
        <w:rPr>
          <w:color w:val="auto"/>
          <w:highlight w:val="none"/>
          <w:u w:val="none" w:color="auto"/>
          <w:lang w:eastAsia="zh-CN"/>
        </w:rPr>
        <w:t>1.4、所有墙体留洞均应有水平和竖向定位，各专业留洞表应详细完整</w:t>
      </w:r>
      <w:r>
        <w:rPr>
          <w:rFonts w:hint="eastAsia"/>
          <w:color w:val="auto"/>
          <w:highlight w:val="none"/>
          <w:u w:val="none" w:color="auto"/>
          <w:lang w:eastAsia="zh-CN"/>
        </w:rPr>
        <w:t>，建筑专业应对各专业留洞表进行汇总整理，并在图纸中表达；建筑专业应在平面中插入结构专业最终墙柱图</w:t>
      </w:r>
      <w:r>
        <w:rPr>
          <w:color w:val="auto"/>
          <w:highlight w:val="none"/>
          <w:u w:val="none" w:color="auto"/>
          <w:lang w:eastAsia="zh-CN"/>
        </w:rPr>
        <w:t>。</w:t>
      </w:r>
    </w:p>
    <w:p w14:paraId="0EE6D25B">
      <w:pPr>
        <w:ind w:firstLine="369" w:firstLineChars="176"/>
        <w:rPr>
          <w:color w:val="auto"/>
          <w:highlight w:val="none"/>
          <w:u w:val="none" w:color="auto"/>
          <w:lang w:eastAsia="zh-CN"/>
        </w:rPr>
      </w:pPr>
      <w:r>
        <w:rPr>
          <w:color w:val="auto"/>
          <w:highlight w:val="none"/>
          <w:u w:val="none" w:color="auto"/>
          <w:lang w:eastAsia="zh-CN"/>
        </w:rPr>
        <w:t>1.5、墙与柱、梁平齐原则：起居厅与主卧室间保证主卧室墙面平整；起居厅与次卧室或卫生间等其他辅助房间保证起居厅墙面平整； 主卧室与次卧室或卫生间等 其他辅助房间保证主卧室墙面平整； 次卧室与卫生间等其它房间保证次卧室平整。（主卧室＞起居室＞次卧室＞卫生间等辅助房间）</w:t>
      </w:r>
    </w:p>
    <w:p w14:paraId="341BD608">
      <w:pPr>
        <w:ind w:firstLine="369" w:firstLineChars="176"/>
        <w:rPr>
          <w:color w:val="auto"/>
          <w:highlight w:val="none"/>
          <w:u w:val="none" w:color="auto"/>
          <w:lang w:eastAsia="zh-CN"/>
        </w:rPr>
      </w:pPr>
      <w:r>
        <w:rPr>
          <w:color w:val="auto"/>
          <w:highlight w:val="none"/>
          <w:u w:val="none" w:color="auto"/>
          <w:lang w:eastAsia="zh-CN"/>
        </w:rPr>
        <w:t>1.6、外墙体及维护结构设计在满足节能要求的前提下，应综合考虑本地材料、施工、成本及效果等因素，提出具体方案经与我司沟通后确定。</w:t>
      </w:r>
    </w:p>
    <w:p w14:paraId="05249C59">
      <w:pPr>
        <w:ind w:firstLine="369" w:firstLineChars="176"/>
        <w:rPr>
          <w:color w:val="auto"/>
          <w:highlight w:val="none"/>
          <w:u w:val="none" w:color="auto"/>
          <w:lang w:eastAsia="zh-CN"/>
        </w:rPr>
      </w:pPr>
      <w:r>
        <w:rPr>
          <w:color w:val="auto"/>
          <w:highlight w:val="none"/>
          <w:u w:val="none" w:color="auto"/>
          <w:lang w:eastAsia="zh-CN"/>
        </w:rPr>
        <w:t>2. 结构降板</w:t>
      </w:r>
    </w:p>
    <w:p w14:paraId="43AC54C5">
      <w:pPr>
        <w:ind w:firstLine="369" w:firstLineChars="176"/>
        <w:rPr>
          <w:color w:val="auto"/>
          <w:highlight w:val="none"/>
          <w:u w:val="none" w:color="auto"/>
          <w:lang w:eastAsia="zh-CN"/>
        </w:rPr>
      </w:pPr>
      <w:r>
        <w:rPr>
          <w:color w:val="auto"/>
          <w:highlight w:val="none"/>
          <w:u w:val="none" w:color="auto"/>
          <w:lang w:eastAsia="zh-CN"/>
        </w:rPr>
        <w:t>结构降板以本层建筑楼面标高计算。</w:t>
      </w:r>
    </w:p>
    <w:p w14:paraId="0869C599">
      <w:pPr>
        <w:ind w:firstLine="369" w:firstLineChars="176"/>
        <w:rPr>
          <w:color w:val="auto"/>
          <w:highlight w:val="none"/>
          <w:u w:val="none" w:color="auto"/>
          <w:lang w:eastAsia="zh-CN"/>
        </w:rPr>
      </w:pPr>
      <w:r>
        <w:rPr>
          <w:color w:val="auto"/>
          <w:highlight w:val="none"/>
          <w:u w:val="none" w:color="auto"/>
          <w:lang w:eastAsia="zh-CN"/>
        </w:rPr>
        <w:t>室内部分</w:t>
      </w:r>
    </w:p>
    <w:p w14:paraId="13B59958">
      <w:pPr>
        <w:ind w:firstLine="369" w:firstLineChars="176"/>
        <w:rPr>
          <w:color w:val="auto"/>
          <w:highlight w:val="none"/>
          <w:u w:val="none" w:color="auto"/>
          <w:lang w:eastAsia="zh-CN"/>
        </w:rPr>
      </w:pPr>
      <w:r>
        <w:rPr>
          <w:color w:val="auto"/>
          <w:highlight w:val="none"/>
          <w:u w:val="none" w:color="auto"/>
          <w:lang w:eastAsia="zh-CN"/>
        </w:rPr>
        <w:t>2.1、厅室、厨房为 1</w:t>
      </w:r>
      <w:r>
        <w:rPr>
          <w:rFonts w:hint="eastAsia"/>
          <w:color w:val="auto"/>
          <w:highlight w:val="none"/>
          <w:u w:val="none" w:color="auto"/>
          <w:lang w:val="en-US" w:eastAsia="zh-CN"/>
        </w:rPr>
        <w:t>1</w:t>
      </w:r>
      <w:r>
        <w:rPr>
          <w:color w:val="auto"/>
          <w:highlight w:val="none"/>
          <w:u w:val="none" w:color="auto"/>
          <w:lang w:eastAsia="zh-CN"/>
        </w:rPr>
        <w:t>0 厚工程做法</w:t>
      </w:r>
      <w:r>
        <w:rPr>
          <w:rFonts w:hint="eastAsia"/>
          <w:color w:val="auto"/>
          <w:highlight w:val="none"/>
          <w:u w:val="none" w:color="auto"/>
          <w:lang w:eastAsia="zh-CN"/>
        </w:rPr>
        <w:t>，具体参照我司标准做法</w:t>
      </w:r>
      <w:r>
        <w:rPr>
          <w:color w:val="auto"/>
          <w:highlight w:val="none"/>
          <w:u w:val="none" w:color="auto"/>
          <w:lang w:eastAsia="zh-CN"/>
        </w:rPr>
        <w:t>；</w:t>
      </w:r>
    </w:p>
    <w:p w14:paraId="3DD0F45D">
      <w:pPr>
        <w:ind w:firstLine="369" w:firstLineChars="176"/>
        <w:rPr>
          <w:color w:val="auto"/>
          <w:highlight w:val="none"/>
          <w:u w:val="none" w:color="auto"/>
          <w:lang w:eastAsia="zh-CN"/>
        </w:rPr>
      </w:pPr>
      <w:r>
        <w:rPr>
          <w:color w:val="auto"/>
          <w:highlight w:val="none"/>
          <w:u w:val="none" w:color="auto"/>
          <w:lang w:eastAsia="zh-CN"/>
        </w:rPr>
        <w:t>2.2、走道预留为 1</w:t>
      </w:r>
      <w:r>
        <w:rPr>
          <w:rFonts w:hint="eastAsia"/>
          <w:color w:val="auto"/>
          <w:highlight w:val="none"/>
          <w:u w:val="none" w:color="auto"/>
          <w:lang w:val="en-US" w:eastAsia="zh-CN"/>
        </w:rPr>
        <w:t>1</w:t>
      </w:r>
      <w:r>
        <w:rPr>
          <w:color w:val="auto"/>
          <w:highlight w:val="none"/>
          <w:u w:val="none" w:color="auto"/>
          <w:lang w:eastAsia="zh-CN"/>
        </w:rPr>
        <w:t>0 厚工程做法</w:t>
      </w:r>
      <w:r>
        <w:rPr>
          <w:rFonts w:hint="eastAsia"/>
          <w:color w:val="auto"/>
          <w:highlight w:val="none"/>
          <w:u w:val="none" w:color="auto"/>
          <w:lang w:eastAsia="zh-CN"/>
        </w:rPr>
        <w:t>，具体参照我司标准做法</w:t>
      </w:r>
      <w:r>
        <w:rPr>
          <w:color w:val="auto"/>
          <w:highlight w:val="none"/>
          <w:u w:val="none" w:color="auto"/>
          <w:lang w:eastAsia="zh-CN"/>
        </w:rPr>
        <w:t>；</w:t>
      </w:r>
    </w:p>
    <w:p w14:paraId="4D415EA2">
      <w:pPr>
        <w:ind w:firstLine="369" w:firstLineChars="176"/>
        <w:rPr>
          <w:color w:val="auto"/>
          <w:highlight w:val="none"/>
          <w:u w:val="none" w:color="auto"/>
          <w:lang w:eastAsia="zh-CN"/>
        </w:rPr>
      </w:pPr>
      <w:r>
        <w:rPr>
          <w:color w:val="auto"/>
          <w:highlight w:val="none"/>
          <w:u w:val="none" w:color="auto"/>
          <w:lang w:eastAsia="zh-CN"/>
        </w:rPr>
        <w:t>2.3、卫生间结构降板 150，卫生间为 130 厚工程做法（内外高差 20）</w:t>
      </w:r>
      <w:r>
        <w:rPr>
          <w:rFonts w:hint="eastAsia"/>
          <w:color w:val="auto"/>
          <w:highlight w:val="none"/>
          <w:u w:val="none" w:color="auto"/>
          <w:lang w:eastAsia="zh-CN"/>
        </w:rPr>
        <w:t>，具体参照我司标准做法</w:t>
      </w:r>
      <w:r>
        <w:rPr>
          <w:color w:val="auto"/>
          <w:highlight w:val="none"/>
          <w:u w:val="none" w:color="auto"/>
          <w:lang w:eastAsia="zh-CN"/>
        </w:rPr>
        <w:t>；</w:t>
      </w:r>
    </w:p>
    <w:p w14:paraId="1AB35F03">
      <w:pPr>
        <w:ind w:firstLine="369" w:firstLineChars="176"/>
        <w:rPr>
          <w:color w:val="auto"/>
          <w:highlight w:val="none"/>
          <w:u w:val="none" w:color="auto"/>
          <w:lang w:eastAsia="zh-CN"/>
        </w:rPr>
      </w:pPr>
      <w:r>
        <w:rPr>
          <w:color w:val="auto"/>
          <w:highlight w:val="none"/>
          <w:u w:val="none" w:color="auto"/>
          <w:lang w:eastAsia="zh-CN"/>
        </w:rPr>
        <w:t>公共部分</w:t>
      </w:r>
    </w:p>
    <w:p w14:paraId="080CDA02">
      <w:pPr>
        <w:ind w:firstLine="369" w:firstLineChars="176"/>
        <w:rPr>
          <w:color w:val="auto"/>
          <w:highlight w:val="none"/>
          <w:u w:val="none" w:color="auto"/>
          <w:lang w:eastAsia="zh-CN"/>
        </w:rPr>
      </w:pPr>
      <w:r>
        <w:rPr>
          <w:color w:val="auto"/>
          <w:highlight w:val="none"/>
          <w:u w:val="none" w:color="auto"/>
          <w:lang w:eastAsia="zh-CN"/>
        </w:rPr>
        <w:t xml:space="preserve">2.4、电梯厅为 </w:t>
      </w:r>
      <w:r>
        <w:rPr>
          <w:rFonts w:hint="eastAsia"/>
          <w:color w:val="auto"/>
          <w:highlight w:val="none"/>
          <w:u w:val="none" w:color="auto"/>
          <w:lang w:eastAsia="zh-CN"/>
        </w:rPr>
        <w:t>1</w:t>
      </w:r>
      <w:r>
        <w:rPr>
          <w:rFonts w:hint="eastAsia"/>
          <w:color w:val="auto"/>
          <w:highlight w:val="none"/>
          <w:u w:val="none" w:color="auto"/>
          <w:lang w:val="en-US" w:eastAsia="zh-CN"/>
        </w:rPr>
        <w:t>1</w:t>
      </w:r>
      <w:r>
        <w:rPr>
          <w:rFonts w:hint="eastAsia"/>
          <w:color w:val="auto"/>
          <w:highlight w:val="none"/>
          <w:u w:val="none" w:color="auto"/>
          <w:lang w:eastAsia="zh-CN"/>
        </w:rPr>
        <w:t>0</w:t>
      </w:r>
      <w:r>
        <w:rPr>
          <w:color w:val="auto"/>
          <w:highlight w:val="none"/>
          <w:u w:val="none" w:color="auto"/>
          <w:lang w:eastAsia="zh-CN"/>
        </w:rPr>
        <w:t>厚工程做法（入户门带门槛）</w:t>
      </w:r>
      <w:r>
        <w:rPr>
          <w:rFonts w:hint="eastAsia"/>
          <w:color w:val="auto"/>
          <w:highlight w:val="none"/>
          <w:u w:val="none" w:color="auto"/>
          <w:lang w:eastAsia="zh-CN"/>
        </w:rPr>
        <w:t>，具体参照我司标准做法</w:t>
      </w:r>
      <w:r>
        <w:rPr>
          <w:color w:val="auto"/>
          <w:highlight w:val="none"/>
          <w:u w:val="none" w:color="auto"/>
          <w:lang w:eastAsia="zh-CN"/>
        </w:rPr>
        <w:t>；</w:t>
      </w:r>
    </w:p>
    <w:p w14:paraId="6E6FB88D">
      <w:pPr>
        <w:ind w:firstLine="369" w:firstLineChars="176"/>
        <w:rPr>
          <w:color w:val="auto"/>
          <w:highlight w:val="none"/>
          <w:u w:val="none" w:color="auto"/>
          <w:lang w:eastAsia="zh-CN"/>
        </w:rPr>
      </w:pPr>
      <w:r>
        <w:rPr>
          <w:color w:val="auto"/>
          <w:highlight w:val="none"/>
          <w:u w:val="none" w:color="auto"/>
          <w:lang w:eastAsia="zh-CN"/>
        </w:rPr>
        <w:t xml:space="preserve">2.5、独立入户走廊结构面标高同室内，独立入户走廊为 </w:t>
      </w:r>
      <w:r>
        <w:rPr>
          <w:rFonts w:hint="eastAsia"/>
          <w:color w:val="auto"/>
          <w:highlight w:val="none"/>
          <w:u w:val="none" w:color="auto"/>
          <w:lang w:eastAsia="zh-CN"/>
        </w:rPr>
        <w:t>1</w:t>
      </w:r>
      <w:r>
        <w:rPr>
          <w:rFonts w:hint="eastAsia"/>
          <w:color w:val="auto"/>
          <w:highlight w:val="none"/>
          <w:u w:val="none" w:color="auto"/>
          <w:lang w:val="en-US" w:eastAsia="zh-CN"/>
        </w:rPr>
        <w:t>1</w:t>
      </w:r>
      <w:r>
        <w:rPr>
          <w:rFonts w:hint="eastAsia"/>
          <w:color w:val="auto"/>
          <w:highlight w:val="none"/>
          <w:u w:val="none" w:color="auto"/>
          <w:lang w:eastAsia="zh-CN"/>
        </w:rPr>
        <w:t>0</w:t>
      </w:r>
      <w:r>
        <w:rPr>
          <w:color w:val="auto"/>
          <w:highlight w:val="none"/>
          <w:u w:val="none" w:color="auto"/>
          <w:lang w:eastAsia="zh-CN"/>
        </w:rPr>
        <w:t xml:space="preserve"> 厚工程做法（入户门带 门槛）</w:t>
      </w:r>
      <w:r>
        <w:rPr>
          <w:rFonts w:hint="eastAsia"/>
          <w:color w:val="auto"/>
          <w:highlight w:val="none"/>
          <w:u w:val="none" w:color="auto"/>
          <w:lang w:eastAsia="zh-CN"/>
        </w:rPr>
        <w:t>，具体参照我司标准做法</w:t>
      </w:r>
      <w:r>
        <w:rPr>
          <w:color w:val="auto"/>
          <w:highlight w:val="none"/>
          <w:u w:val="none" w:color="auto"/>
          <w:lang w:eastAsia="zh-CN"/>
        </w:rPr>
        <w:t>；</w:t>
      </w:r>
    </w:p>
    <w:p w14:paraId="3B13C2A8">
      <w:pPr>
        <w:ind w:firstLine="369" w:firstLineChars="176"/>
        <w:rPr>
          <w:color w:val="auto"/>
          <w:highlight w:val="none"/>
          <w:u w:val="none" w:color="auto"/>
          <w:lang w:eastAsia="zh-CN"/>
        </w:rPr>
      </w:pPr>
      <w:r>
        <w:rPr>
          <w:color w:val="auto"/>
          <w:highlight w:val="none"/>
          <w:u w:val="none" w:color="auto"/>
          <w:lang w:eastAsia="zh-CN"/>
        </w:rPr>
        <w:t>2.6、封闭楼梯间及休息平台为 30 厚工程做法</w:t>
      </w:r>
      <w:r>
        <w:rPr>
          <w:rFonts w:hint="eastAsia"/>
          <w:color w:val="auto"/>
          <w:highlight w:val="none"/>
          <w:u w:val="none" w:color="auto"/>
          <w:lang w:eastAsia="zh-CN"/>
        </w:rPr>
        <w:t>，，具体参照我司标准做法</w:t>
      </w:r>
      <w:r>
        <w:rPr>
          <w:color w:val="auto"/>
          <w:highlight w:val="none"/>
          <w:u w:val="none" w:color="auto"/>
          <w:lang w:eastAsia="zh-CN"/>
        </w:rPr>
        <w:t>；</w:t>
      </w:r>
    </w:p>
    <w:p w14:paraId="28F9566E">
      <w:pPr>
        <w:ind w:firstLine="369" w:firstLineChars="176"/>
        <w:rPr>
          <w:color w:val="auto"/>
          <w:highlight w:val="none"/>
          <w:u w:val="none" w:color="auto"/>
          <w:lang w:eastAsia="zh-CN"/>
        </w:rPr>
      </w:pPr>
      <w:r>
        <w:rPr>
          <w:color w:val="auto"/>
          <w:highlight w:val="none"/>
          <w:u w:val="none" w:color="auto"/>
          <w:lang w:eastAsia="zh-CN"/>
        </w:rPr>
        <w:t>2.7、设备间及电梯机房为 50 厚工程做法</w:t>
      </w:r>
      <w:r>
        <w:rPr>
          <w:rFonts w:hint="eastAsia"/>
          <w:color w:val="auto"/>
          <w:highlight w:val="none"/>
          <w:u w:val="none" w:color="auto"/>
          <w:lang w:eastAsia="zh-CN"/>
        </w:rPr>
        <w:t>，，具体参照我司标准做法</w:t>
      </w:r>
      <w:r>
        <w:rPr>
          <w:color w:val="auto"/>
          <w:highlight w:val="none"/>
          <w:u w:val="none" w:color="auto"/>
          <w:lang w:eastAsia="zh-CN"/>
        </w:rPr>
        <w:t>；</w:t>
      </w:r>
    </w:p>
    <w:p w14:paraId="466C6093">
      <w:pPr>
        <w:ind w:firstLine="369" w:firstLineChars="176"/>
        <w:rPr>
          <w:color w:val="auto"/>
          <w:highlight w:val="none"/>
          <w:u w:val="none" w:color="auto"/>
          <w:lang w:eastAsia="zh-CN"/>
        </w:rPr>
      </w:pPr>
      <w:r>
        <w:rPr>
          <w:color w:val="auto"/>
          <w:highlight w:val="none"/>
          <w:u w:val="none" w:color="auto"/>
          <w:lang w:eastAsia="zh-CN"/>
        </w:rPr>
        <w:t>3．楼地面</w:t>
      </w:r>
    </w:p>
    <w:p w14:paraId="186608A2">
      <w:pPr>
        <w:ind w:firstLine="369" w:firstLineChars="176"/>
        <w:rPr>
          <w:color w:val="auto"/>
          <w:highlight w:val="none"/>
          <w:u w:val="none" w:color="auto"/>
          <w:lang w:eastAsia="zh-CN"/>
        </w:rPr>
      </w:pPr>
      <w:r>
        <w:rPr>
          <w:color w:val="auto"/>
          <w:highlight w:val="none"/>
          <w:u w:val="none" w:color="auto"/>
          <w:lang w:eastAsia="zh-CN"/>
        </w:rPr>
        <w:t>4．立面及外墙饰面</w:t>
      </w:r>
    </w:p>
    <w:p w14:paraId="2B48435F">
      <w:pPr>
        <w:ind w:firstLine="369" w:firstLineChars="176"/>
        <w:rPr>
          <w:color w:val="auto"/>
          <w:highlight w:val="none"/>
          <w:u w:val="none" w:color="auto"/>
          <w:lang w:eastAsia="zh-CN"/>
        </w:rPr>
      </w:pPr>
      <w:r>
        <w:rPr>
          <w:color w:val="auto"/>
          <w:highlight w:val="none"/>
          <w:u w:val="none" w:color="auto"/>
          <w:lang w:eastAsia="zh-CN"/>
        </w:rPr>
        <w:t>4.1、建筑立面图需按建筑施工图制图规范绘制。</w:t>
      </w:r>
    </w:p>
    <w:p w14:paraId="23FF9554">
      <w:pPr>
        <w:ind w:firstLine="369" w:firstLineChars="176"/>
        <w:rPr>
          <w:color w:val="auto"/>
          <w:highlight w:val="none"/>
          <w:u w:val="none" w:color="auto"/>
          <w:lang w:eastAsia="zh-CN"/>
        </w:rPr>
      </w:pPr>
      <w:r>
        <w:rPr>
          <w:color w:val="auto"/>
          <w:highlight w:val="none"/>
          <w:u w:val="none" w:color="auto"/>
          <w:lang w:eastAsia="zh-CN"/>
        </w:rPr>
        <w:t>4.2、立面方案设有空调机位、线角、构架、单元门头等部位， 施工图设计应对防盗、 翻越等问题进行调整，并出具相应方案报于我司沟通确定解决方案。</w:t>
      </w:r>
    </w:p>
    <w:p w14:paraId="39C45ABA">
      <w:pPr>
        <w:ind w:firstLine="369" w:firstLineChars="176"/>
        <w:rPr>
          <w:color w:val="auto"/>
          <w:highlight w:val="none"/>
          <w:u w:val="none" w:color="auto"/>
          <w:lang w:eastAsia="zh-CN"/>
        </w:rPr>
      </w:pPr>
      <w:r>
        <w:rPr>
          <w:color w:val="auto"/>
          <w:highlight w:val="none"/>
          <w:u w:val="none" w:color="auto"/>
          <w:lang w:eastAsia="zh-CN"/>
        </w:rPr>
        <w:t>4.3、建筑外立面效果与结构梁设计应首先保证外立面方案设计效果， 如与结构设计冲突，或与室内使用功能矛盾时，则应与我司及时沟通解决。</w:t>
      </w:r>
    </w:p>
    <w:p w14:paraId="12C9D485">
      <w:pPr>
        <w:ind w:firstLine="369" w:firstLineChars="176"/>
        <w:rPr>
          <w:color w:val="auto"/>
          <w:highlight w:val="none"/>
          <w:u w:val="none" w:color="auto"/>
          <w:lang w:eastAsia="zh-CN"/>
        </w:rPr>
      </w:pPr>
      <w:r>
        <w:rPr>
          <w:color w:val="auto"/>
          <w:highlight w:val="none"/>
          <w:u w:val="none" w:color="auto"/>
          <w:lang w:eastAsia="zh-CN"/>
        </w:rPr>
        <w:t>4.4、所有不同墙身位置均应绘制墙身大样（特别是转角阳台）。</w:t>
      </w:r>
    </w:p>
    <w:p w14:paraId="7083F203">
      <w:pPr>
        <w:ind w:firstLine="369" w:firstLineChars="176"/>
        <w:rPr>
          <w:color w:val="auto"/>
          <w:highlight w:val="none"/>
          <w:u w:val="none" w:color="auto"/>
          <w:lang w:eastAsia="zh-CN"/>
        </w:rPr>
      </w:pPr>
      <w:r>
        <w:rPr>
          <w:color w:val="auto"/>
          <w:highlight w:val="none"/>
          <w:u w:val="none" w:color="auto"/>
          <w:lang w:eastAsia="zh-CN"/>
        </w:rPr>
        <w:t>5．门窗</w:t>
      </w:r>
    </w:p>
    <w:p w14:paraId="4B87492F">
      <w:pPr>
        <w:ind w:firstLine="369" w:firstLineChars="176"/>
        <w:rPr>
          <w:color w:val="auto"/>
          <w:highlight w:val="none"/>
          <w:u w:val="none" w:color="auto"/>
          <w:lang w:eastAsia="zh-CN"/>
        </w:rPr>
      </w:pPr>
      <w:r>
        <w:rPr>
          <w:color w:val="auto"/>
          <w:highlight w:val="none"/>
          <w:u w:val="none" w:color="auto"/>
          <w:lang w:eastAsia="zh-CN"/>
        </w:rPr>
        <w:t>5.1、所有门窗需统一编制门窗表， 进行编号并注明框材及其玻璃等选料， 门窗表中应统计单体及楼号的门窗数量， 特种门窗编号需易于识别。注意入户门开启方向，相邻户门不得碰撞。</w:t>
      </w:r>
    </w:p>
    <w:p w14:paraId="2F9C8372">
      <w:pPr>
        <w:ind w:firstLine="369" w:firstLineChars="176"/>
        <w:rPr>
          <w:color w:val="auto"/>
          <w:highlight w:val="none"/>
          <w:u w:val="none" w:color="auto"/>
          <w:lang w:eastAsia="zh-CN"/>
        </w:rPr>
      </w:pPr>
      <w:r>
        <w:rPr>
          <w:color w:val="auto"/>
          <w:highlight w:val="none"/>
          <w:u w:val="none" w:color="auto"/>
          <w:lang w:eastAsia="zh-CN"/>
        </w:rPr>
        <w:t>5.2、门窗尺寸（留洞尺寸）：</w:t>
      </w:r>
    </w:p>
    <w:p w14:paraId="6F24F3E4">
      <w:pPr>
        <w:ind w:firstLine="369" w:firstLineChars="176"/>
        <w:rPr>
          <w:color w:val="auto"/>
          <w:highlight w:val="none"/>
          <w:u w:val="none" w:color="auto"/>
          <w:lang w:eastAsia="zh-CN"/>
        </w:rPr>
      </w:pPr>
      <w:r>
        <w:rPr>
          <w:color w:val="auto"/>
          <w:highlight w:val="none"/>
          <w:u w:val="none" w:color="auto"/>
          <w:lang w:eastAsia="zh-CN"/>
        </w:rPr>
        <w:t>高层入户门是单扇门或</w:t>
      </w:r>
      <w:r>
        <w:rPr>
          <w:rFonts w:hint="eastAsia"/>
          <w:color w:val="auto"/>
          <w:highlight w:val="none"/>
          <w:u w:val="none" w:color="auto"/>
          <w:lang w:eastAsia="zh-CN"/>
        </w:rPr>
        <w:t>子</w:t>
      </w:r>
      <w:r>
        <w:rPr>
          <w:color w:val="auto"/>
          <w:highlight w:val="none"/>
          <w:u w:val="none" w:color="auto"/>
          <w:lang w:eastAsia="zh-CN"/>
        </w:rPr>
        <w:t>母门应以具体户型设计方案为准。</w:t>
      </w:r>
    </w:p>
    <w:p w14:paraId="077F6643">
      <w:pPr>
        <w:ind w:firstLine="369" w:firstLineChars="176"/>
        <w:rPr>
          <w:color w:val="auto"/>
          <w:highlight w:val="none"/>
          <w:u w:val="none" w:color="auto"/>
          <w:lang w:eastAsia="zh-CN"/>
        </w:rPr>
      </w:pPr>
      <w:r>
        <w:rPr>
          <w:color w:val="auto"/>
          <w:highlight w:val="none"/>
          <w:u w:val="none" w:color="auto"/>
          <w:lang w:eastAsia="zh-CN"/>
        </w:rPr>
        <w:t>5.3、户内门垛尺寸尽量统一为 100，最小不得小于 50，以满足装修做门套要求； 小于 100 的门垛采用素混凝土一体浇注，可考虑构造配筋。</w:t>
      </w:r>
    </w:p>
    <w:p w14:paraId="38849550">
      <w:pPr>
        <w:ind w:firstLine="369" w:firstLineChars="176"/>
        <w:rPr>
          <w:color w:val="auto"/>
          <w:highlight w:val="none"/>
          <w:u w:val="none" w:color="auto"/>
          <w:lang w:eastAsia="zh-CN"/>
        </w:rPr>
      </w:pPr>
      <w:r>
        <w:rPr>
          <w:color w:val="auto"/>
          <w:highlight w:val="none"/>
          <w:u w:val="none" w:color="auto"/>
          <w:lang w:eastAsia="zh-CN"/>
        </w:rPr>
        <w:t>5.4、卧室、书房外窗采用内平开窗；厨房外窗</w:t>
      </w:r>
      <w:r>
        <w:rPr>
          <w:rFonts w:hint="eastAsia"/>
          <w:color w:val="auto"/>
          <w:highlight w:val="none"/>
          <w:u w:val="none" w:color="auto"/>
          <w:lang w:eastAsia="zh-CN"/>
        </w:rPr>
        <w:t>宜</w:t>
      </w:r>
      <w:r>
        <w:rPr>
          <w:color w:val="auto"/>
          <w:highlight w:val="none"/>
          <w:u w:val="none" w:color="auto"/>
          <w:lang w:eastAsia="zh-CN"/>
        </w:rPr>
        <w:t>采用外上悬窗</w:t>
      </w:r>
      <w:r>
        <w:rPr>
          <w:rFonts w:hint="eastAsia"/>
          <w:color w:val="auto"/>
          <w:highlight w:val="none"/>
          <w:u w:val="none" w:color="auto"/>
          <w:lang w:eastAsia="zh-CN"/>
        </w:rPr>
        <w:t>（如外墙设有室外空调机位，此窗为内平开窗）</w:t>
      </w:r>
      <w:r>
        <w:rPr>
          <w:color w:val="auto"/>
          <w:highlight w:val="none"/>
          <w:u w:val="none" w:color="auto"/>
          <w:lang w:eastAsia="zh-CN"/>
        </w:rPr>
        <w:t>； 卫生间外窗</w:t>
      </w:r>
      <w:r>
        <w:rPr>
          <w:rFonts w:hint="eastAsia"/>
          <w:color w:val="auto"/>
          <w:highlight w:val="none"/>
          <w:u w:val="none" w:color="auto"/>
          <w:lang w:eastAsia="zh-CN"/>
        </w:rPr>
        <w:t>宜</w:t>
      </w:r>
      <w:r>
        <w:rPr>
          <w:color w:val="auto"/>
          <w:highlight w:val="none"/>
          <w:u w:val="none" w:color="auto"/>
          <w:lang w:eastAsia="zh-CN"/>
        </w:rPr>
        <w:t>采用外上悬窗（如外墙设有室外空调机位， 此窗应为内平开窗）</w:t>
      </w:r>
      <w:r>
        <w:rPr>
          <w:rFonts w:hint="eastAsia"/>
          <w:color w:val="auto"/>
          <w:highlight w:val="none"/>
          <w:u w:val="none" w:color="auto"/>
          <w:lang w:eastAsia="zh-CN"/>
        </w:rPr>
        <w:t>，设置需满足相关规范要求</w:t>
      </w:r>
      <w:r>
        <w:rPr>
          <w:color w:val="auto"/>
          <w:highlight w:val="none"/>
          <w:u w:val="none" w:color="auto"/>
          <w:lang w:eastAsia="zh-CN"/>
        </w:rPr>
        <w:t xml:space="preserve"> ；公共部位外窗的开启 方式应满足相关规范中通风、安全的要求进行设计。景观窗视线高度范围内避 免出现分格遮挡视线，考虑适当的开启扇面积及数量，保证良好的通风条件。 窗开启扇与护窗栏杆不应出现干扰， 护窗栏杆应设置于室内， 栏杆高度应符合 相关规范要求。</w:t>
      </w:r>
    </w:p>
    <w:p w14:paraId="1EAA56C8">
      <w:pPr>
        <w:ind w:firstLine="369" w:firstLineChars="176"/>
        <w:rPr>
          <w:color w:val="auto"/>
          <w:highlight w:val="none"/>
          <w:u w:val="none" w:color="auto"/>
          <w:lang w:eastAsia="zh-CN"/>
        </w:rPr>
      </w:pPr>
      <w:r>
        <w:rPr>
          <w:color w:val="auto"/>
          <w:highlight w:val="none"/>
          <w:u w:val="none" w:color="auto"/>
          <w:lang w:eastAsia="zh-CN"/>
        </w:rPr>
        <w:t>5.5、住宅外窗选用</w:t>
      </w:r>
      <w:r>
        <w:rPr>
          <w:rFonts w:hint="eastAsia"/>
          <w:color w:val="auto"/>
          <w:highlight w:val="none"/>
          <w:u w:val="none" w:color="auto"/>
          <w:lang w:eastAsia="zh-CN"/>
        </w:rPr>
        <w:t>三玻两腔断桥铝合金窗</w:t>
      </w:r>
      <w:r>
        <w:rPr>
          <w:color w:val="auto"/>
          <w:highlight w:val="none"/>
          <w:u w:val="none" w:color="auto"/>
          <w:lang w:eastAsia="zh-CN"/>
        </w:rPr>
        <w:t>，根据建筑节能计算考虑是否使用 LOW-E 涂膜（原则上尽量不使用 LOW-E 涂膜）。</w:t>
      </w:r>
    </w:p>
    <w:p w14:paraId="29102BBB">
      <w:pPr>
        <w:ind w:firstLine="369" w:firstLineChars="176"/>
        <w:rPr>
          <w:color w:val="auto"/>
          <w:highlight w:val="none"/>
          <w:u w:val="none" w:color="auto"/>
          <w:lang w:eastAsia="zh-CN"/>
        </w:rPr>
      </w:pPr>
      <w:r>
        <w:rPr>
          <w:color w:val="auto"/>
          <w:highlight w:val="none"/>
          <w:u w:val="none" w:color="auto"/>
          <w:lang w:eastAsia="zh-CN"/>
        </w:rPr>
        <w:t>5.6、在保证外立面方案设计效果的前提下， 控制户型的窗地比（外立面门窗面积与 所在楼层面积之比）满足节能设计要求。</w:t>
      </w:r>
    </w:p>
    <w:p w14:paraId="050C7D65">
      <w:pPr>
        <w:ind w:firstLine="369" w:firstLineChars="176"/>
        <w:rPr>
          <w:color w:val="auto"/>
          <w:highlight w:val="none"/>
          <w:u w:val="none" w:color="auto"/>
          <w:lang w:eastAsia="zh-CN"/>
        </w:rPr>
      </w:pPr>
      <w:r>
        <w:rPr>
          <w:color w:val="auto"/>
          <w:highlight w:val="none"/>
          <w:u w:val="none" w:color="auto"/>
          <w:lang w:eastAsia="zh-CN"/>
        </w:rPr>
        <w:t>5.7、卫生间开窗满足采光通风条件， 但应同时注意窗顶高度， 应保证留足换气扇预 留洞、上层管道弯头底标高及吊顶高度要求。外墙阴角处的门窗， 要预留外保 温收口墙垛。</w:t>
      </w:r>
    </w:p>
    <w:p w14:paraId="700FEE80">
      <w:pPr>
        <w:ind w:firstLine="369" w:firstLineChars="176"/>
        <w:rPr>
          <w:color w:val="auto"/>
          <w:highlight w:val="none"/>
          <w:u w:val="none" w:color="auto"/>
          <w:lang w:eastAsia="zh-CN"/>
        </w:rPr>
      </w:pPr>
      <w:r>
        <w:rPr>
          <w:color w:val="auto"/>
          <w:highlight w:val="none"/>
          <w:u w:val="none" w:color="auto"/>
          <w:lang w:eastAsia="zh-CN"/>
        </w:rPr>
        <w:t>5.8、非飘窗及落地窗时窗台高 900、设有飘窗时窗台高度为</w:t>
      </w:r>
      <w:r>
        <w:rPr>
          <w:rFonts w:hint="eastAsia"/>
          <w:color w:val="auto"/>
          <w:highlight w:val="none"/>
          <w:u w:val="none" w:color="auto"/>
          <w:lang w:val="en-US" w:eastAsia="zh-CN"/>
        </w:rPr>
        <w:t>60</w:t>
      </w:r>
      <w:r>
        <w:rPr>
          <w:color w:val="auto"/>
          <w:highlight w:val="none"/>
          <w:u w:val="none" w:color="auto"/>
          <w:lang w:eastAsia="zh-CN"/>
        </w:rPr>
        <w:t xml:space="preserve">0mm、设有落地窗时预留 </w:t>
      </w:r>
      <w:r>
        <w:rPr>
          <w:rFonts w:hint="eastAsia"/>
          <w:color w:val="auto"/>
          <w:highlight w:val="none"/>
          <w:u w:val="none" w:color="auto"/>
          <w:lang w:eastAsia="zh-CN"/>
        </w:rPr>
        <w:t>10</w:t>
      </w:r>
      <w:r>
        <w:rPr>
          <w:color w:val="auto"/>
          <w:highlight w:val="none"/>
          <w:u w:val="none" w:color="auto"/>
          <w:lang w:eastAsia="zh-CN"/>
        </w:rPr>
        <w:t>0mm 窗台， 外门窗安装进出位统一取（门窗外皮） 距外墙（大面， 不含 线脚）外保温完成面 100mm。</w:t>
      </w:r>
    </w:p>
    <w:p w14:paraId="2B524871">
      <w:pPr>
        <w:ind w:firstLine="369" w:firstLineChars="176"/>
        <w:rPr>
          <w:color w:val="auto"/>
          <w:highlight w:val="none"/>
          <w:u w:val="none" w:color="auto"/>
          <w:lang w:eastAsia="zh-CN"/>
        </w:rPr>
      </w:pPr>
      <w:r>
        <w:rPr>
          <w:color w:val="auto"/>
          <w:highlight w:val="none"/>
          <w:u w:val="none" w:color="auto"/>
          <w:lang w:eastAsia="zh-CN"/>
        </w:rPr>
        <w:t>5.9、卫生间窗应根据与室外空调机位关系选用外开上悬窗或内平开窗， 窗台高度均为 900，设下亮。一般宜采用外开上悬窗，如卫生间窗外侧设有空调室外机位，则一律采用内平开窗，开启扇净宽应保证搁置空调外机通过的最小宽度；</w:t>
      </w:r>
    </w:p>
    <w:p w14:paraId="14240DE7">
      <w:pPr>
        <w:ind w:firstLine="369" w:firstLineChars="176"/>
        <w:rPr>
          <w:color w:val="auto"/>
          <w:highlight w:val="none"/>
          <w:u w:val="none" w:color="auto"/>
          <w:lang w:eastAsia="zh-CN"/>
        </w:rPr>
      </w:pPr>
      <w:r>
        <w:rPr>
          <w:color w:val="auto"/>
          <w:highlight w:val="none"/>
          <w:u w:val="none" w:color="auto"/>
          <w:lang w:eastAsia="zh-CN"/>
        </w:rPr>
        <w:t>5.10、厨房和其他房间通生活阳台门洞口宽度≥900（确保生活阳台门开启扇净宽≥ 650，满足洗衣机通过需要）。注意避免生活阳台门开启后与卫生间外窗打架的情况。</w:t>
      </w:r>
    </w:p>
    <w:p w14:paraId="096B22C9">
      <w:pPr>
        <w:ind w:firstLine="369" w:firstLineChars="176"/>
        <w:rPr>
          <w:color w:val="auto"/>
          <w:highlight w:val="none"/>
          <w:u w:val="none" w:color="auto"/>
          <w:lang w:eastAsia="zh-CN"/>
        </w:rPr>
      </w:pPr>
      <w:r>
        <w:rPr>
          <w:color w:val="auto"/>
          <w:highlight w:val="none"/>
          <w:u w:val="none" w:color="auto"/>
          <w:lang w:eastAsia="zh-CN"/>
        </w:rPr>
        <w:t>5.11、相同类型房间窗洞口尺寸应统一。</w:t>
      </w:r>
    </w:p>
    <w:p w14:paraId="7BD42EDF">
      <w:pPr>
        <w:ind w:firstLine="369" w:firstLineChars="176"/>
        <w:rPr>
          <w:color w:val="auto"/>
          <w:highlight w:val="none"/>
          <w:u w:val="none" w:color="auto"/>
          <w:lang w:eastAsia="zh-CN"/>
        </w:rPr>
      </w:pPr>
      <w:r>
        <w:rPr>
          <w:color w:val="auto"/>
          <w:highlight w:val="none"/>
          <w:u w:val="none" w:color="auto"/>
          <w:lang w:eastAsia="zh-CN"/>
        </w:rPr>
        <w:t>5.12、外墙面所有门、窗均应统一高度，且门、窗顶标高应保持一致（卫生间窗及厨房至生活阳台门窗高度应满足管线安装需要，且≥2100）。</w:t>
      </w:r>
    </w:p>
    <w:p w14:paraId="0043191D">
      <w:pPr>
        <w:ind w:firstLine="369" w:firstLineChars="176"/>
        <w:rPr>
          <w:color w:val="auto"/>
          <w:highlight w:val="none"/>
          <w:u w:val="none" w:color="auto"/>
          <w:lang w:eastAsia="zh-CN"/>
        </w:rPr>
      </w:pPr>
      <w:r>
        <w:rPr>
          <w:color w:val="auto"/>
          <w:highlight w:val="none"/>
          <w:u w:val="none" w:color="auto"/>
          <w:lang w:eastAsia="zh-CN"/>
        </w:rPr>
        <w:t>5.13、应按国家强制性规范在相应位置设置安全玻璃。</w:t>
      </w:r>
    </w:p>
    <w:p w14:paraId="4594F049">
      <w:pPr>
        <w:ind w:firstLine="369" w:firstLineChars="176"/>
        <w:rPr>
          <w:color w:val="auto"/>
          <w:highlight w:val="none"/>
          <w:u w:val="none" w:color="auto"/>
          <w:lang w:eastAsia="zh-CN"/>
        </w:rPr>
      </w:pPr>
      <w:r>
        <w:rPr>
          <w:color w:val="auto"/>
          <w:highlight w:val="none"/>
          <w:u w:val="none" w:color="auto"/>
          <w:lang w:eastAsia="zh-CN"/>
        </w:rPr>
        <w:t>5.14、公共区域各类门洞尺寸见下表：</w:t>
      </w:r>
    </w:p>
    <w:p w14:paraId="694EEF85">
      <w:pPr>
        <w:spacing w:line="93" w:lineRule="exact"/>
        <w:rPr>
          <w:color w:val="auto"/>
          <w:highlight w:val="none"/>
          <w:u w:val="none" w:color="auto"/>
          <w:lang w:eastAsia="zh-CN"/>
        </w:rPr>
      </w:pPr>
    </w:p>
    <w:tbl>
      <w:tblPr>
        <w:tblStyle w:val="924"/>
        <w:tblW w:w="924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96"/>
        <w:gridCol w:w="2474"/>
        <w:gridCol w:w="1156"/>
        <w:gridCol w:w="4221"/>
      </w:tblGrid>
      <w:tr w14:paraId="07374B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2" w:hRule="atLeast"/>
        </w:trPr>
        <w:tc>
          <w:tcPr>
            <w:tcW w:w="1396" w:type="dxa"/>
            <w:vAlign w:val="center"/>
          </w:tcPr>
          <w:p w14:paraId="35D84125">
            <w:pPr>
              <w:jc w:val="center"/>
              <w:rPr>
                <w:snapToGrid w:val="0"/>
                <w:color w:val="auto"/>
                <w:highlight w:val="none"/>
                <w:u w:val="none" w:color="auto"/>
              </w:rPr>
            </w:pPr>
            <w:r>
              <w:rPr>
                <w:snapToGrid w:val="0"/>
                <w:color w:val="auto"/>
                <w:highlight w:val="none"/>
                <w:u w:val="none" w:color="auto"/>
              </w:rPr>
              <w:t>设备防火门</w:t>
            </w:r>
          </w:p>
        </w:tc>
        <w:tc>
          <w:tcPr>
            <w:tcW w:w="2474" w:type="dxa"/>
            <w:vAlign w:val="center"/>
          </w:tcPr>
          <w:p w14:paraId="18849595">
            <w:pPr>
              <w:jc w:val="center"/>
              <w:rPr>
                <w:snapToGrid w:val="0"/>
                <w:color w:val="auto"/>
                <w:highlight w:val="none"/>
                <w:u w:val="none" w:color="auto"/>
                <w:lang w:eastAsia="zh-CN"/>
              </w:rPr>
            </w:pPr>
            <w:r>
              <w:rPr>
                <w:snapToGrid w:val="0"/>
                <w:color w:val="auto"/>
                <w:highlight w:val="none"/>
                <w:u w:val="none" w:color="auto"/>
                <w:lang w:eastAsia="zh-CN"/>
              </w:rPr>
              <w:t>根据管道井尺寸确定，保证检修时无死角</w:t>
            </w:r>
          </w:p>
        </w:tc>
        <w:tc>
          <w:tcPr>
            <w:tcW w:w="1156" w:type="dxa"/>
            <w:vAlign w:val="center"/>
          </w:tcPr>
          <w:p w14:paraId="0E8D74BC">
            <w:pPr>
              <w:jc w:val="center"/>
              <w:rPr>
                <w:snapToGrid w:val="0"/>
                <w:color w:val="auto"/>
                <w:highlight w:val="none"/>
                <w:u w:val="none" w:color="auto"/>
              </w:rPr>
            </w:pPr>
            <w:r>
              <w:rPr>
                <w:snapToGrid w:val="0"/>
                <w:color w:val="auto"/>
                <w:highlight w:val="none"/>
                <w:u w:val="none" w:color="auto"/>
              </w:rPr>
              <w:t>上口高度2200</w:t>
            </w:r>
            <w:r>
              <w:rPr>
                <w:rFonts w:hint="eastAsia"/>
                <w:snapToGrid w:val="0"/>
                <w:color w:val="auto"/>
                <w:highlight w:val="none"/>
                <w:u w:val="none" w:color="auto"/>
                <w:lang w:eastAsia="zh-CN"/>
              </w:rPr>
              <w:t>/2300</w:t>
            </w:r>
            <w:r>
              <w:rPr>
                <w:snapToGrid w:val="0"/>
                <w:color w:val="auto"/>
                <w:highlight w:val="none"/>
                <w:u w:val="none" w:color="auto"/>
              </w:rPr>
              <w:t>mm</w:t>
            </w:r>
          </w:p>
        </w:tc>
        <w:tc>
          <w:tcPr>
            <w:tcW w:w="4221" w:type="dxa"/>
            <w:vAlign w:val="center"/>
          </w:tcPr>
          <w:p w14:paraId="0CF79EE1">
            <w:pPr>
              <w:jc w:val="center"/>
              <w:rPr>
                <w:snapToGrid w:val="0"/>
                <w:color w:val="auto"/>
                <w:highlight w:val="none"/>
                <w:u w:val="none" w:color="auto"/>
                <w:lang w:eastAsia="zh-CN"/>
              </w:rPr>
            </w:pPr>
            <w:r>
              <w:rPr>
                <w:snapToGrid w:val="0"/>
                <w:color w:val="auto"/>
                <w:highlight w:val="none"/>
                <w:u w:val="none" w:color="auto"/>
                <w:lang w:eastAsia="zh-CN"/>
              </w:rPr>
              <w:t>管道井门槛高度 200mm。</w:t>
            </w:r>
          </w:p>
        </w:tc>
      </w:tr>
      <w:tr w14:paraId="4E96FB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2" w:hRule="atLeast"/>
        </w:trPr>
        <w:tc>
          <w:tcPr>
            <w:tcW w:w="1396" w:type="dxa"/>
            <w:vAlign w:val="center"/>
          </w:tcPr>
          <w:p w14:paraId="4A4BCB4E">
            <w:pPr>
              <w:jc w:val="center"/>
              <w:rPr>
                <w:snapToGrid w:val="0"/>
                <w:color w:val="auto"/>
                <w:highlight w:val="none"/>
                <w:u w:val="none" w:color="auto"/>
              </w:rPr>
            </w:pPr>
            <w:r>
              <w:rPr>
                <w:snapToGrid w:val="0"/>
                <w:color w:val="auto"/>
                <w:highlight w:val="none"/>
                <w:u w:val="none" w:color="auto"/>
              </w:rPr>
              <w:t>疏散防火</w:t>
            </w:r>
          </w:p>
          <w:p w14:paraId="3C42C791">
            <w:pPr>
              <w:jc w:val="center"/>
              <w:rPr>
                <w:snapToGrid w:val="0"/>
                <w:color w:val="auto"/>
                <w:highlight w:val="none"/>
                <w:u w:val="none" w:color="auto"/>
              </w:rPr>
            </w:pPr>
            <w:r>
              <w:rPr>
                <w:snapToGrid w:val="0"/>
                <w:color w:val="auto"/>
                <w:highlight w:val="none"/>
                <w:u w:val="none" w:color="auto"/>
              </w:rPr>
              <w:t>门</w:t>
            </w:r>
          </w:p>
        </w:tc>
        <w:tc>
          <w:tcPr>
            <w:tcW w:w="2474" w:type="dxa"/>
            <w:vAlign w:val="center"/>
          </w:tcPr>
          <w:p w14:paraId="4CEC0B9F">
            <w:pPr>
              <w:jc w:val="center"/>
              <w:rPr>
                <w:snapToGrid w:val="0"/>
                <w:color w:val="auto"/>
                <w:highlight w:val="none"/>
                <w:u w:val="none" w:color="auto"/>
              </w:rPr>
            </w:pPr>
          </w:p>
        </w:tc>
        <w:tc>
          <w:tcPr>
            <w:tcW w:w="1156" w:type="dxa"/>
            <w:vAlign w:val="center"/>
          </w:tcPr>
          <w:p w14:paraId="2C360349">
            <w:pPr>
              <w:jc w:val="center"/>
              <w:rPr>
                <w:snapToGrid w:val="0"/>
                <w:color w:val="auto"/>
                <w:highlight w:val="none"/>
                <w:u w:val="none" w:color="auto"/>
              </w:rPr>
            </w:pPr>
            <w:r>
              <w:rPr>
                <w:snapToGrid w:val="0"/>
                <w:color w:val="auto"/>
                <w:highlight w:val="none"/>
                <w:u w:val="none" w:color="auto"/>
              </w:rPr>
              <w:t>上口高度2</w:t>
            </w:r>
            <w:r>
              <w:rPr>
                <w:rFonts w:hint="eastAsia"/>
                <w:snapToGrid w:val="0"/>
                <w:color w:val="auto"/>
                <w:highlight w:val="none"/>
                <w:u w:val="none" w:color="auto"/>
                <w:lang w:eastAsia="zh-CN"/>
              </w:rPr>
              <w:t>2</w:t>
            </w:r>
            <w:r>
              <w:rPr>
                <w:snapToGrid w:val="0"/>
                <w:color w:val="auto"/>
                <w:highlight w:val="none"/>
                <w:u w:val="none" w:color="auto"/>
              </w:rPr>
              <w:t>00</w:t>
            </w:r>
            <w:r>
              <w:rPr>
                <w:rFonts w:hint="eastAsia"/>
                <w:snapToGrid w:val="0"/>
                <w:color w:val="auto"/>
                <w:highlight w:val="none"/>
                <w:u w:val="none" w:color="auto"/>
                <w:lang w:eastAsia="zh-CN"/>
              </w:rPr>
              <w:t>/2300</w:t>
            </w:r>
            <w:r>
              <w:rPr>
                <w:snapToGrid w:val="0"/>
                <w:color w:val="auto"/>
                <w:highlight w:val="none"/>
                <w:u w:val="none" w:color="auto"/>
              </w:rPr>
              <w:t>mm</w:t>
            </w:r>
          </w:p>
        </w:tc>
        <w:tc>
          <w:tcPr>
            <w:tcW w:w="4221" w:type="dxa"/>
            <w:vAlign w:val="center"/>
          </w:tcPr>
          <w:p w14:paraId="3A3B4E07">
            <w:pPr>
              <w:jc w:val="center"/>
              <w:rPr>
                <w:snapToGrid w:val="0"/>
                <w:color w:val="auto"/>
                <w:highlight w:val="none"/>
                <w:u w:val="none" w:color="auto"/>
                <w:lang w:eastAsia="zh-CN"/>
              </w:rPr>
            </w:pPr>
            <w:r>
              <w:rPr>
                <w:snapToGrid w:val="0"/>
                <w:color w:val="auto"/>
                <w:highlight w:val="none"/>
                <w:u w:val="none" w:color="auto"/>
                <w:lang w:eastAsia="zh-CN"/>
              </w:rPr>
              <w:t>疏散防火门宽度详建筑图纸， 直接对 向室外的防火门及电梯机房、变配电 室、消防水泵房等重要设备用房采用 钢制防火门。</w:t>
            </w:r>
          </w:p>
        </w:tc>
      </w:tr>
    </w:tbl>
    <w:p w14:paraId="1B9A5FE1">
      <w:pPr>
        <w:pStyle w:val="22"/>
        <w:spacing w:line="460" w:lineRule="auto"/>
        <w:rPr>
          <w:color w:val="auto"/>
          <w:highlight w:val="none"/>
          <w:u w:val="none" w:color="auto"/>
          <w:lang w:eastAsia="zh-CN"/>
        </w:rPr>
      </w:pPr>
    </w:p>
    <w:p w14:paraId="525BBF2A">
      <w:pPr>
        <w:ind w:firstLine="371" w:firstLineChars="177"/>
        <w:rPr>
          <w:color w:val="auto"/>
          <w:highlight w:val="none"/>
          <w:u w:val="none" w:color="auto"/>
          <w:lang w:eastAsia="zh-CN"/>
        </w:rPr>
      </w:pPr>
      <w:r>
        <w:rPr>
          <w:color w:val="auto"/>
          <w:highlight w:val="none"/>
          <w:u w:val="none" w:color="auto"/>
          <w:lang w:eastAsia="zh-CN"/>
        </w:rPr>
        <w:t>6、厨卫及辅助阳台</w:t>
      </w:r>
    </w:p>
    <w:p w14:paraId="25CB4B2E">
      <w:pPr>
        <w:ind w:firstLine="371" w:firstLineChars="177"/>
        <w:rPr>
          <w:color w:val="auto"/>
          <w:highlight w:val="none"/>
          <w:u w:val="none" w:color="auto"/>
          <w:lang w:eastAsia="zh-CN"/>
        </w:rPr>
      </w:pPr>
      <w:r>
        <w:rPr>
          <w:color w:val="auto"/>
          <w:highlight w:val="none"/>
          <w:u w:val="none" w:color="auto"/>
          <w:lang w:eastAsia="zh-CN"/>
        </w:rPr>
        <w:t>6.1、设橱柜处的墙垛最小宽度不小于650；设吊柜处的墙垛最小宽度不小于 400。</w:t>
      </w:r>
    </w:p>
    <w:p w14:paraId="471E820B">
      <w:pPr>
        <w:ind w:firstLine="371" w:firstLineChars="177"/>
        <w:rPr>
          <w:color w:val="auto"/>
          <w:highlight w:val="none"/>
          <w:u w:val="none" w:color="auto"/>
          <w:lang w:eastAsia="zh-CN"/>
        </w:rPr>
      </w:pPr>
      <w:r>
        <w:rPr>
          <w:color w:val="auto"/>
          <w:highlight w:val="none"/>
          <w:u w:val="none" w:color="auto"/>
          <w:lang w:eastAsia="zh-CN"/>
        </w:rPr>
        <w:t>6.2、地暖集分水器设置在厨房内洗涤盆下方靠墙位置。</w:t>
      </w:r>
    </w:p>
    <w:p w14:paraId="0587FCF5">
      <w:pPr>
        <w:ind w:firstLine="371" w:firstLineChars="177"/>
        <w:rPr>
          <w:color w:val="auto"/>
          <w:highlight w:val="none"/>
          <w:u w:val="none" w:color="auto"/>
          <w:lang w:eastAsia="zh-CN"/>
        </w:rPr>
      </w:pPr>
      <w:r>
        <w:rPr>
          <w:color w:val="auto"/>
          <w:highlight w:val="none"/>
          <w:u w:val="none" w:color="auto"/>
          <w:lang w:eastAsia="zh-CN"/>
        </w:rPr>
        <w:t>6.3、注意各种管道不发生冲突（如给排水</w:t>
      </w:r>
      <w:r>
        <w:rPr>
          <w:rFonts w:hint="eastAsia"/>
          <w:color w:val="auto"/>
          <w:highlight w:val="none"/>
          <w:u w:val="none" w:color="auto"/>
          <w:lang w:eastAsia="zh-CN"/>
        </w:rPr>
        <w:t>管与</w:t>
      </w:r>
      <w:r>
        <w:rPr>
          <w:color w:val="auto"/>
          <w:highlight w:val="none"/>
          <w:u w:val="none" w:color="auto"/>
          <w:lang w:eastAsia="zh-CN"/>
        </w:rPr>
        <w:t>天然气管</w:t>
      </w:r>
      <w:r>
        <w:rPr>
          <w:rFonts w:hint="eastAsia"/>
          <w:color w:val="auto"/>
          <w:highlight w:val="none"/>
          <w:u w:val="none" w:color="auto"/>
          <w:lang w:eastAsia="zh-CN"/>
        </w:rPr>
        <w:t>、分集水器等</w:t>
      </w:r>
      <w:r>
        <w:rPr>
          <w:color w:val="auto"/>
          <w:highlight w:val="none"/>
          <w:u w:val="none" w:color="auto"/>
          <w:lang w:eastAsia="zh-CN"/>
        </w:rPr>
        <w:t>），立管靠墙布置，不应影响开门和开窗，管道不得低于窗顶高。</w:t>
      </w:r>
    </w:p>
    <w:p w14:paraId="3D0588B3">
      <w:pPr>
        <w:ind w:firstLine="371" w:firstLineChars="177"/>
        <w:rPr>
          <w:color w:val="auto"/>
          <w:highlight w:val="none"/>
          <w:u w:val="none" w:color="auto"/>
          <w:lang w:eastAsia="zh-CN"/>
        </w:rPr>
      </w:pPr>
      <w:r>
        <w:rPr>
          <w:color w:val="auto"/>
          <w:highlight w:val="none"/>
          <w:u w:val="none" w:color="auto"/>
          <w:lang w:eastAsia="zh-CN"/>
        </w:rPr>
        <w:t>6.4、厨具布置考虑天然气管走向， 尽量减少天然气管道在户内的长度。同时充分考虑燃气表、燃气立管、燃气热水器的位置合理性（建筑图中标明预留燃气套管的高度，管径和详细尺寸，天然气入户不影响生活阳台空间及橱柜使用。套管位置不应与外立面线脚发生冲突。</w:t>
      </w:r>
      <w:r>
        <w:rPr>
          <w:rFonts w:hint="eastAsia"/>
          <w:color w:val="auto"/>
          <w:highlight w:val="none"/>
          <w:u w:val="none" w:color="auto"/>
          <w:lang w:eastAsia="zh-CN"/>
        </w:rPr>
        <w:t>）</w:t>
      </w:r>
    </w:p>
    <w:p w14:paraId="65E0D6A1">
      <w:pPr>
        <w:ind w:firstLine="371" w:firstLineChars="177"/>
        <w:rPr>
          <w:color w:val="auto"/>
          <w:highlight w:val="none"/>
          <w:u w:val="none" w:color="auto"/>
          <w:lang w:eastAsia="zh-CN"/>
        </w:rPr>
      </w:pPr>
      <w:r>
        <w:rPr>
          <w:color w:val="auto"/>
          <w:highlight w:val="none"/>
          <w:u w:val="none" w:color="auto"/>
          <w:lang w:eastAsia="zh-CN"/>
        </w:rPr>
        <w:t>6.5、卫生间按淋浴间设计；</w:t>
      </w:r>
    </w:p>
    <w:p w14:paraId="5420C071">
      <w:pPr>
        <w:ind w:firstLine="371" w:firstLineChars="177"/>
        <w:rPr>
          <w:color w:val="auto"/>
          <w:highlight w:val="none"/>
          <w:u w:val="none" w:color="auto"/>
          <w:lang w:eastAsia="zh-CN"/>
        </w:rPr>
      </w:pPr>
      <w:r>
        <w:rPr>
          <w:color w:val="auto"/>
          <w:highlight w:val="none"/>
          <w:u w:val="none" w:color="auto"/>
          <w:lang w:eastAsia="zh-CN"/>
        </w:rPr>
        <w:t>6.6、卫生间的地漏及排水坡度情况需在详图中表达清楚， 有上下水的洁具应考虑噪音对卧室的影响（如马桶），尽量避开卧室墙面布置。</w:t>
      </w:r>
    </w:p>
    <w:p w14:paraId="0AEBCE55">
      <w:pPr>
        <w:ind w:firstLine="371" w:firstLineChars="177"/>
        <w:rPr>
          <w:color w:val="auto"/>
          <w:highlight w:val="none"/>
          <w:u w:val="none" w:color="auto"/>
          <w:lang w:eastAsia="zh-CN"/>
        </w:rPr>
      </w:pPr>
      <w:r>
        <w:rPr>
          <w:color w:val="auto"/>
          <w:highlight w:val="none"/>
          <w:u w:val="none" w:color="auto"/>
          <w:lang w:eastAsia="zh-CN"/>
        </w:rPr>
        <w:t>6.7、卫生间</w:t>
      </w:r>
      <w:r>
        <w:rPr>
          <w:rFonts w:hint="eastAsia"/>
          <w:color w:val="auto"/>
          <w:highlight w:val="none"/>
          <w:u w:val="none" w:color="auto"/>
          <w:lang w:eastAsia="zh-CN"/>
        </w:rPr>
        <w:t>外墙设置排气道，</w:t>
      </w:r>
      <w:r>
        <w:rPr>
          <w:color w:val="auto"/>
          <w:highlight w:val="none"/>
          <w:u w:val="none" w:color="auto"/>
          <w:lang w:eastAsia="zh-CN"/>
        </w:rPr>
        <w:t>预留 D100 的卫生间排气孔。排气洞口选用成品风帽。</w:t>
      </w:r>
    </w:p>
    <w:p w14:paraId="6E752251">
      <w:pPr>
        <w:ind w:firstLine="371" w:firstLineChars="177"/>
        <w:rPr>
          <w:color w:val="auto"/>
          <w:highlight w:val="none"/>
          <w:u w:val="none" w:color="auto"/>
          <w:lang w:eastAsia="zh-CN"/>
        </w:rPr>
      </w:pPr>
      <w:r>
        <w:rPr>
          <w:color w:val="auto"/>
          <w:highlight w:val="none"/>
          <w:u w:val="none" w:color="auto"/>
          <w:lang w:eastAsia="zh-CN"/>
        </w:rPr>
        <w:t>6.8、各种管线之间不发生冲突，立管及排水支管等应不遮挡排气口。外窗应注意业主今后装修封堵问题， 管道安装完成其底标高不得低于窗顶高。</w:t>
      </w:r>
    </w:p>
    <w:p w14:paraId="11ACD0A4">
      <w:pPr>
        <w:ind w:firstLine="371" w:firstLineChars="177"/>
        <w:rPr>
          <w:color w:val="auto"/>
          <w:highlight w:val="none"/>
          <w:u w:val="none" w:color="auto"/>
          <w:lang w:eastAsia="zh-CN"/>
        </w:rPr>
      </w:pPr>
      <w:r>
        <w:rPr>
          <w:color w:val="auto"/>
          <w:highlight w:val="none"/>
          <w:u w:val="none" w:color="auto"/>
          <w:lang w:eastAsia="zh-CN"/>
        </w:rPr>
        <w:t>7、阳台（包括生活阳台、景观阳台、设备平台）</w:t>
      </w:r>
    </w:p>
    <w:p w14:paraId="06B526F9">
      <w:pPr>
        <w:ind w:firstLine="371" w:firstLineChars="177"/>
        <w:rPr>
          <w:color w:val="auto"/>
          <w:highlight w:val="none"/>
          <w:u w:val="none" w:color="auto"/>
          <w:lang w:eastAsia="zh-CN"/>
        </w:rPr>
      </w:pPr>
      <w:r>
        <w:rPr>
          <w:color w:val="auto"/>
          <w:highlight w:val="none"/>
          <w:u w:val="none" w:color="auto"/>
          <w:lang w:eastAsia="zh-CN"/>
        </w:rPr>
        <w:t>7.1、两户间阳台间距离较近的， 应标识防止相互翻越的安全防范措施， 并同时兼顾 美观要求。</w:t>
      </w:r>
    </w:p>
    <w:p w14:paraId="59B08983">
      <w:pPr>
        <w:ind w:firstLine="371" w:firstLineChars="177"/>
        <w:rPr>
          <w:color w:val="auto"/>
          <w:highlight w:val="none"/>
          <w:u w:val="none" w:color="auto"/>
          <w:lang w:eastAsia="zh-CN"/>
        </w:rPr>
      </w:pPr>
      <w:r>
        <w:rPr>
          <w:color w:val="auto"/>
          <w:highlight w:val="none"/>
          <w:u w:val="none" w:color="auto"/>
          <w:lang w:eastAsia="zh-CN"/>
        </w:rPr>
        <w:t>7.2、洗衣机位不小于 700X700，</w:t>
      </w:r>
      <w:r>
        <w:rPr>
          <w:rFonts w:hint="eastAsia"/>
          <w:color w:val="auto"/>
          <w:highlight w:val="none"/>
          <w:u w:val="none" w:color="auto"/>
          <w:lang w:eastAsia="zh-CN"/>
        </w:rPr>
        <w:t>需设置防水层</w:t>
      </w:r>
      <w:r>
        <w:rPr>
          <w:color w:val="auto"/>
          <w:highlight w:val="none"/>
          <w:u w:val="none" w:color="auto"/>
          <w:lang w:eastAsia="zh-CN"/>
        </w:rPr>
        <w:t>；设置排水管时考虑对洗衣机位净尺寸的影响。</w:t>
      </w:r>
    </w:p>
    <w:p w14:paraId="41239123">
      <w:pPr>
        <w:ind w:firstLine="371" w:firstLineChars="177"/>
        <w:rPr>
          <w:color w:val="auto"/>
          <w:highlight w:val="none"/>
          <w:u w:val="none" w:color="auto"/>
          <w:lang w:eastAsia="zh-CN"/>
        </w:rPr>
      </w:pPr>
      <w:r>
        <w:rPr>
          <w:color w:val="auto"/>
          <w:highlight w:val="none"/>
          <w:u w:val="none" w:color="auto"/>
          <w:lang w:eastAsia="zh-CN"/>
        </w:rPr>
        <w:t>7.3、阳台防护栏杆净高应高于相关规范要求， 且不应低于 1.1m，栏杆离楼面或屋面 0.2m 高度内须设混凝土挡槛</w:t>
      </w:r>
      <w:r>
        <w:rPr>
          <w:rFonts w:hint="eastAsia"/>
          <w:color w:val="auto"/>
          <w:highlight w:val="none"/>
          <w:u w:val="none" w:color="auto"/>
          <w:lang w:eastAsia="zh-CN"/>
        </w:rPr>
        <w:t>。</w:t>
      </w:r>
    </w:p>
    <w:p w14:paraId="6D7EC344">
      <w:pPr>
        <w:ind w:firstLine="371" w:firstLineChars="177"/>
        <w:rPr>
          <w:color w:val="auto"/>
          <w:highlight w:val="none"/>
          <w:u w:val="none" w:color="auto"/>
          <w:lang w:eastAsia="zh-CN"/>
        </w:rPr>
      </w:pPr>
      <w:r>
        <w:rPr>
          <w:color w:val="auto"/>
          <w:highlight w:val="none"/>
          <w:u w:val="none" w:color="auto"/>
          <w:lang w:eastAsia="zh-CN"/>
        </w:rPr>
        <w:t>7.4、</w:t>
      </w:r>
      <w:r>
        <w:rPr>
          <w:rFonts w:hint="eastAsia"/>
          <w:color w:val="auto"/>
          <w:highlight w:val="none"/>
          <w:u w:val="none" w:color="auto"/>
          <w:lang w:eastAsia="zh-CN"/>
        </w:rPr>
        <w:t>阳台、北侧装饰结构板</w:t>
      </w:r>
      <w:r>
        <w:rPr>
          <w:color w:val="auto"/>
          <w:highlight w:val="none"/>
          <w:u w:val="none" w:color="auto"/>
          <w:lang w:eastAsia="zh-CN"/>
        </w:rPr>
        <w:t>地漏位置宜靠内墙角，并考虑避开外保温厚度设置。</w:t>
      </w:r>
    </w:p>
    <w:p w14:paraId="697746FA">
      <w:pPr>
        <w:pStyle w:val="22"/>
        <w:ind w:firstLine="480" w:firstLineChars="200"/>
        <w:rPr>
          <w:rFonts w:hint="eastAsia" w:ascii="宋体" w:hAnsi="宋体" w:eastAsia="宋体"/>
          <w:color w:val="auto"/>
          <w:sz w:val="24"/>
          <w:highlight w:val="none"/>
          <w:u w:val="none" w:color="auto"/>
          <w:lang w:eastAsia="zh-CN"/>
        </w:rPr>
      </w:pPr>
      <w:r>
        <w:rPr>
          <w:rFonts w:ascii="宋体" w:hAnsi="宋体" w:eastAsia="宋体"/>
          <w:color w:val="auto"/>
          <w:sz w:val="24"/>
          <w:highlight w:val="none"/>
          <w:u w:val="none" w:color="auto"/>
          <w:lang w:eastAsia="zh-CN"/>
        </w:rPr>
        <w:t>7.5</w:t>
      </w:r>
      <w:r>
        <w:rPr>
          <w:rFonts w:hint="eastAsia" w:ascii="宋体" w:hAnsi="宋体" w:eastAsia="宋体"/>
          <w:color w:val="auto"/>
          <w:sz w:val="24"/>
          <w:highlight w:val="none"/>
          <w:u w:val="none" w:color="auto"/>
          <w:lang w:eastAsia="zh-CN"/>
        </w:rPr>
        <w:t>、露台排水按线性沟考虑。</w:t>
      </w:r>
    </w:p>
    <w:p w14:paraId="382DB58F">
      <w:pPr>
        <w:ind w:firstLine="371" w:firstLineChars="177"/>
        <w:rPr>
          <w:color w:val="auto"/>
          <w:highlight w:val="none"/>
          <w:u w:val="none" w:color="auto"/>
          <w:lang w:eastAsia="zh-CN"/>
        </w:rPr>
      </w:pPr>
      <w:r>
        <w:rPr>
          <w:color w:val="auto"/>
          <w:highlight w:val="none"/>
          <w:u w:val="none" w:color="auto"/>
          <w:lang w:eastAsia="zh-CN"/>
        </w:rPr>
        <w:t>8、屋面</w:t>
      </w:r>
    </w:p>
    <w:p w14:paraId="5F2348D6">
      <w:pPr>
        <w:ind w:firstLine="371" w:firstLineChars="177"/>
        <w:rPr>
          <w:color w:val="auto"/>
          <w:highlight w:val="none"/>
          <w:u w:val="none" w:color="auto"/>
          <w:lang w:eastAsia="zh-CN"/>
        </w:rPr>
      </w:pPr>
      <w:r>
        <w:rPr>
          <w:color w:val="auto"/>
          <w:highlight w:val="none"/>
          <w:u w:val="none" w:color="auto"/>
          <w:lang w:eastAsia="zh-CN"/>
        </w:rPr>
        <w:t>8.1、屋面雨落水管的布置尽量考虑隐蔽设置，减少对立面的影响。</w:t>
      </w:r>
    </w:p>
    <w:p w14:paraId="24FE5D79">
      <w:pPr>
        <w:ind w:firstLine="371" w:firstLineChars="177"/>
        <w:rPr>
          <w:color w:val="auto"/>
          <w:highlight w:val="none"/>
          <w:u w:val="none" w:color="auto"/>
          <w:lang w:eastAsia="zh-CN"/>
        </w:rPr>
      </w:pPr>
      <w:r>
        <w:rPr>
          <w:color w:val="auto"/>
          <w:highlight w:val="none"/>
          <w:u w:val="none" w:color="auto"/>
          <w:lang w:eastAsia="zh-CN"/>
        </w:rPr>
        <w:t>8.2、屋面需做好各种管口穿板防水设计。屋面排水到底层应有组织排入雨水井，不可散排。</w:t>
      </w:r>
    </w:p>
    <w:p w14:paraId="438D6423">
      <w:pPr>
        <w:ind w:firstLine="371" w:firstLineChars="177"/>
        <w:rPr>
          <w:color w:val="auto"/>
          <w:highlight w:val="none"/>
          <w:u w:val="none" w:color="auto"/>
          <w:lang w:eastAsia="zh-CN"/>
        </w:rPr>
      </w:pPr>
      <w:r>
        <w:rPr>
          <w:color w:val="auto"/>
          <w:highlight w:val="none"/>
          <w:u w:val="none" w:color="auto"/>
          <w:lang w:eastAsia="zh-CN"/>
        </w:rPr>
        <w:t>8.3、屋面女儿墙高度应注意是否满足屋面保温找坡后的防水上翻高度要求。</w:t>
      </w:r>
    </w:p>
    <w:p w14:paraId="4AECD337">
      <w:pPr>
        <w:ind w:firstLine="371" w:firstLineChars="177"/>
        <w:rPr>
          <w:color w:val="auto"/>
          <w:highlight w:val="none"/>
          <w:u w:val="none" w:color="auto"/>
          <w:lang w:eastAsia="zh-CN"/>
        </w:rPr>
      </w:pPr>
      <w:r>
        <w:rPr>
          <w:color w:val="auto"/>
          <w:highlight w:val="none"/>
          <w:u w:val="none" w:color="auto"/>
          <w:lang w:eastAsia="zh-CN"/>
        </w:rPr>
        <w:t>9、空调位</w:t>
      </w:r>
    </w:p>
    <w:p w14:paraId="617059BD">
      <w:pPr>
        <w:ind w:firstLine="371" w:firstLineChars="177"/>
        <w:rPr>
          <w:color w:val="auto"/>
          <w:highlight w:val="none"/>
          <w:u w:val="none" w:color="auto"/>
          <w:lang w:eastAsia="zh-CN"/>
        </w:rPr>
      </w:pPr>
      <w:r>
        <w:rPr>
          <w:color w:val="auto"/>
          <w:highlight w:val="none"/>
          <w:u w:val="none" w:color="auto"/>
          <w:lang w:eastAsia="zh-CN"/>
        </w:rPr>
        <w:t>9.1、空调室外机位应靠近窗洞口设置，窗开启扇离空调室外机位一侧不大于 1.2m， 尽量避免设在山墙面且旁边无外窗处， 不便于空调机的安装。应充分考虑每层住户均应有空调搁板，应避免室内空调管线穿越相邻房间到达室外机位的情况。</w:t>
      </w:r>
    </w:p>
    <w:p w14:paraId="7150885B">
      <w:pPr>
        <w:ind w:firstLine="371" w:firstLineChars="177"/>
        <w:rPr>
          <w:color w:val="auto"/>
          <w:highlight w:val="none"/>
          <w:u w:val="none" w:color="auto"/>
          <w:lang w:eastAsia="zh-CN"/>
        </w:rPr>
      </w:pPr>
      <w:r>
        <w:rPr>
          <w:color w:val="auto"/>
          <w:highlight w:val="none"/>
          <w:u w:val="none" w:color="auto"/>
          <w:lang w:eastAsia="zh-CN"/>
        </w:rPr>
        <w:t>9.2、空调柜机及挂机设置应以方案图为准。雨水立管、冷凝水管及外保温设置不应 对上述净尺寸产生影响。若因外立面设计需要而出现特殊尺寸需与我司沟通确定。</w:t>
      </w:r>
    </w:p>
    <w:p w14:paraId="7E62831E">
      <w:pPr>
        <w:ind w:firstLine="371" w:firstLineChars="177"/>
        <w:rPr>
          <w:color w:val="auto"/>
          <w:highlight w:val="none"/>
          <w:u w:val="none" w:color="auto"/>
          <w:lang w:eastAsia="zh-CN"/>
        </w:rPr>
      </w:pPr>
      <w:r>
        <w:rPr>
          <w:color w:val="auto"/>
          <w:highlight w:val="none"/>
          <w:u w:val="none" w:color="auto"/>
          <w:lang w:eastAsia="zh-CN"/>
        </w:rPr>
        <w:t>9.3、外墙除建筑凹槽处以外的空调位均应做装饰处理，空调位周边设格栅或铝合金 百叶进行装饰，封闭机位应设有活动扇以便于安装外机</w:t>
      </w:r>
      <w:r>
        <w:rPr>
          <w:rFonts w:hint="eastAsia"/>
          <w:color w:val="auto"/>
          <w:highlight w:val="none"/>
          <w:u w:val="none" w:color="auto"/>
          <w:lang w:eastAsia="zh-CN"/>
        </w:rPr>
        <w:t>，具体以方案为准</w:t>
      </w:r>
      <w:r>
        <w:rPr>
          <w:color w:val="auto"/>
          <w:highlight w:val="none"/>
          <w:u w:val="none" w:color="auto"/>
          <w:lang w:eastAsia="zh-CN"/>
        </w:rPr>
        <w:t>。</w:t>
      </w:r>
    </w:p>
    <w:p w14:paraId="19FB3ED0">
      <w:pPr>
        <w:ind w:firstLine="371" w:firstLineChars="177"/>
        <w:rPr>
          <w:color w:val="auto"/>
          <w:highlight w:val="none"/>
          <w:u w:val="none" w:color="auto"/>
          <w:lang w:eastAsia="zh-CN"/>
        </w:rPr>
      </w:pPr>
      <w:r>
        <w:rPr>
          <w:color w:val="auto"/>
          <w:highlight w:val="none"/>
          <w:u w:val="none" w:color="auto"/>
          <w:lang w:eastAsia="zh-CN"/>
        </w:rPr>
        <w:t>9.4、空调室内机的位置应与家具位置统一考虑，出风口避免直接吹向床头或沙发。</w:t>
      </w:r>
    </w:p>
    <w:p w14:paraId="4BA33AD6">
      <w:pPr>
        <w:ind w:firstLine="371" w:firstLineChars="177"/>
        <w:rPr>
          <w:color w:val="auto"/>
          <w:highlight w:val="none"/>
          <w:u w:val="none" w:color="auto"/>
          <w:lang w:eastAsia="zh-CN"/>
        </w:rPr>
      </w:pPr>
      <w:r>
        <w:rPr>
          <w:color w:val="auto"/>
          <w:highlight w:val="none"/>
          <w:u w:val="none" w:color="auto"/>
          <w:lang w:eastAsia="zh-CN"/>
        </w:rPr>
        <w:t>9.5、</w:t>
      </w:r>
      <w:r>
        <w:rPr>
          <w:rFonts w:hint="eastAsia"/>
          <w:color w:val="auto"/>
          <w:highlight w:val="none"/>
          <w:u w:val="none" w:color="auto"/>
          <w:lang w:eastAsia="zh-CN"/>
        </w:rPr>
        <w:t>住宅多联机由设计院根据冷负荷预留合适规格的套管</w:t>
      </w:r>
      <w:r>
        <w:rPr>
          <w:color w:val="auto"/>
          <w:highlight w:val="none"/>
          <w:u w:val="none" w:color="auto"/>
          <w:lang w:eastAsia="zh-CN"/>
        </w:rPr>
        <w:t>，管中距地标高</w:t>
      </w:r>
      <w:r>
        <w:rPr>
          <w:rFonts w:hint="eastAsia"/>
          <w:color w:val="auto"/>
          <w:highlight w:val="none"/>
          <w:u w:val="none" w:color="auto"/>
          <w:lang w:eastAsia="zh-CN"/>
        </w:rPr>
        <w:t>不小于</w:t>
      </w:r>
      <w:r>
        <w:rPr>
          <w:color w:val="auto"/>
          <w:highlight w:val="none"/>
          <w:u w:val="none" w:color="auto"/>
          <w:lang w:eastAsia="zh-CN"/>
        </w:rPr>
        <w:t xml:space="preserve"> 2300，向外倾斜 10°,并尽量减少内外墙面暴露较长段空调管。平面图中应详细标明留洞定位，妥善考虑洞口与窗台板高度关系及雨水管的关系，避免发生碰撞。</w:t>
      </w:r>
    </w:p>
    <w:p w14:paraId="545B76AA">
      <w:pPr>
        <w:ind w:firstLine="371" w:firstLineChars="177"/>
        <w:rPr>
          <w:color w:val="auto"/>
          <w:highlight w:val="none"/>
          <w:u w:val="none" w:color="auto"/>
          <w:lang w:eastAsia="zh-CN"/>
        </w:rPr>
      </w:pPr>
      <w:r>
        <w:rPr>
          <w:color w:val="auto"/>
          <w:highlight w:val="none"/>
          <w:u w:val="none" w:color="auto"/>
          <w:lang w:eastAsia="zh-CN"/>
        </w:rPr>
        <w:t>9.6、应详细考虑首层空调室外机的安装位置（与地下室采光井等的关系）。</w:t>
      </w:r>
    </w:p>
    <w:p w14:paraId="01B231CE">
      <w:pPr>
        <w:ind w:firstLine="371" w:firstLineChars="177"/>
        <w:rPr>
          <w:color w:val="auto"/>
          <w:highlight w:val="none"/>
          <w:u w:val="none" w:color="auto"/>
          <w:lang w:eastAsia="zh-CN"/>
        </w:rPr>
      </w:pPr>
      <w:r>
        <w:rPr>
          <w:color w:val="auto"/>
          <w:highlight w:val="none"/>
          <w:u w:val="none" w:color="auto"/>
          <w:lang w:eastAsia="zh-CN"/>
        </w:rPr>
        <w:t>9.7、应详细考虑空调机位与立面线条的关系。</w:t>
      </w:r>
    </w:p>
    <w:p w14:paraId="735D79E7">
      <w:pPr>
        <w:ind w:firstLine="371" w:firstLineChars="177"/>
        <w:rPr>
          <w:color w:val="auto"/>
          <w:highlight w:val="none"/>
          <w:u w:val="none" w:color="auto"/>
          <w:lang w:eastAsia="zh-CN"/>
        </w:rPr>
      </w:pPr>
      <w:r>
        <w:rPr>
          <w:color w:val="auto"/>
          <w:highlight w:val="none"/>
          <w:u w:val="none" w:color="auto"/>
          <w:lang w:eastAsia="zh-CN"/>
        </w:rPr>
        <w:t>9.8、空调冷凝水应有组织排放，不可散排。所有空调机位应有防水做法。</w:t>
      </w:r>
    </w:p>
    <w:p w14:paraId="48D6EC37">
      <w:pPr>
        <w:ind w:firstLine="371" w:firstLineChars="177"/>
        <w:rPr>
          <w:color w:val="auto"/>
          <w:highlight w:val="none"/>
          <w:u w:val="none" w:color="auto"/>
          <w:lang w:eastAsia="zh-CN"/>
        </w:rPr>
      </w:pPr>
      <w:r>
        <w:rPr>
          <w:color w:val="auto"/>
          <w:highlight w:val="none"/>
          <w:u w:val="none" w:color="auto"/>
          <w:lang w:eastAsia="zh-CN"/>
        </w:rPr>
        <w:t>9.</w:t>
      </w:r>
      <w:r>
        <w:rPr>
          <w:rFonts w:hint="eastAsia"/>
          <w:color w:val="auto"/>
          <w:highlight w:val="none"/>
          <w:u w:val="none" w:color="auto"/>
          <w:lang w:val="en-US" w:eastAsia="zh-CN"/>
        </w:rPr>
        <w:t>9</w:t>
      </w:r>
      <w:r>
        <w:rPr>
          <w:color w:val="auto"/>
          <w:highlight w:val="none"/>
          <w:u w:val="none" w:color="auto"/>
          <w:lang w:eastAsia="zh-CN"/>
        </w:rPr>
        <w:t>、所有空调板处设置地漏；</w:t>
      </w:r>
    </w:p>
    <w:p w14:paraId="1E120DA8">
      <w:pPr>
        <w:ind w:firstLine="371" w:firstLineChars="177"/>
        <w:rPr>
          <w:color w:val="auto"/>
          <w:highlight w:val="none"/>
          <w:u w:val="none" w:color="auto"/>
          <w:lang w:eastAsia="zh-CN"/>
        </w:rPr>
      </w:pPr>
      <w:r>
        <w:rPr>
          <w:color w:val="auto"/>
          <w:highlight w:val="none"/>
          <w:u w:val="none" w:color="auto"/>
          <w:lang w:eastAsia="zh-CN"/>
        </w:rPr>
        <w:t>10、电梯厅及楼梯间</w:t>
      </w:r>
    </w:p>
    <w:p w14:paraId="58342332">
      <w:pPr>
        <w:ind w:firstLine="371" w:firstLineChars="177"/>
        <w:rPr>
          <w:color w:val="auto"/>
          <w:highlight w:val="none"/>
          <w:u w:val="none" w:color="auto"/>
          <w:lang w:eastAsia="zh-CN"/>
        </w:rPr>
      </w:pPr>
      <w:r>
        <w:rPr>
          <w:color w:val="auto"/>
          <w:highlight w:val="none"/>
          <w:u w:val="none" w:color="auto"/>
          <w:lang w:eastAsia="zh-CN"/>
        </w:rPr>
        <w:t>10.1、住宅部分的消火栓应尽可能采用内嵌式， 箱门完成面与砖墙（涂料墙）齐平，不应设于厅、卧室等住户墙面处，且宜避免正对户门设置及电梯门正对的墙面设置。</w:t>
      </w:r>
    </w:p>
    <w:p w14:paraId="551ED9E1">
      <w:pPr>
        <w:ind w:firstLine="371" w:firstLineChars="177"/>
        <w:rPr>
          <w:color w:val="auto"/>
          <w:highlight w:val="none"/>
          <w:u w:val="none" w:color="auto"/>
          <w:lang w:eastAsia="zh-CN"/>
        </w:rPr>
      </w:pPr>
      <w:r>
        <w:rPr>
          <w:color w:val="auto"/>
          <w:highlight w:val="none"/>
          <w:u w:val="none" w:color="auto"/>
          <w:lang w:eastAsia="zh-CN"/>
        </w:rPr>
        <w:t>10.2、单元大堂入口处门高结合立面设计高度,大堂应尽量保证自然通风采光， 且单 元大堂出入口应设门禁系统。</w:t>
      </w:r>
    </w:p>
    <w:p w14:paraId="2AB015A8">
      <w:pPr>
        <w:ind w:firstLine="371" w:firstLineChars="177"/>
        <w:rPr>
          <w:color w:val="auto"/>
          <w:highlight w:val="none"/>
          <w:u w:val="none" w:color="auto"/>
          <w:lang w:eastAsia="zh-CN"/>
        </w:rPr>
      </w:pPr>
      <w:r>
        <w:rPr>
          <w:color w:val="auto"/>
          <w:highlight w:val="none"/>
          <w:u w:val="none" w:color="auto"/>
          <w:lang w:eastAsia="zh-CN"/>
        </w:rPr>
        <w:t>10.3、水暖管井内设置地漏；管井门处下口距建筑完成面 200。</w:t>
      </w:r>
    </w:p>
    <w:p w14:paraId="79E45585">
      <w:pPr>
        <w:ind w:firstLine="371" w:firstLineChars="177"/>
        <w:rPr>
          <w:color w:val="auto"/>
          <w:highlight w:val="none"/>
          <w:u w:val="none" w:color="auto"/>
          <w:lang w:eastAsia="zh-CN"/>
        </w:rPr>
      </w:pPr>
      <w:r>
        <w:rPr>
          <w:color w:val="auto"/>
          <w:highlight w:val="none"/>
          <w:u w:val="none" w:color="auto"/>
          <w:lang w:eastAsia="zh-CN"/>
        </w:rPr>
        <w:t>10.4、混凝土墙面与砖墙面交界处应考虑防裂措施做法。</w:t>
      </w:r>
    </w:p>
    <w:p w14:paraId="43D913E2">
      <w:pPr>
        <w:ind w:firstLine="371" w:firstLineChars="177"/>
        <w:rPr>
          <w:color w:val="auto"/>
          <w:highlight w:val="none"/>
          <w:u w:val="none" w:color="auto"/>
          <w:lang w:eastAsia="zh-CN"/>
        </w:rPr>
      </w:pPr>
      <w:r>
        <w:rPr>
          <w:color w:val="auto"/>
          <w:highlight w:val="none"/>
          <w:u w:val="none" w:color="auto"/>
          <w:lang w:eastAsia="zh-CN"/>
        </w:rPr>
        <w:t>10.5、电梯井道应避免设在卧室、起居（客、餐） 厅旁。当不可避免时应采取隔声防</w:t>
      </w:r>
    </w:p>
    <w:p w14:paraId="00B0C90E">
      <w:pPr>
        <w:ind w:firstLine="371" w:firstLineChars="177"/>
        <w:rPr>
          <w:color w:val="auto"/>
          <w:highlight w:val="none"/>
          <w:u w:val="none" w:color="auto"/>
          <w:lang w:eastAsia="zh-CN"/>
        </w:rPr>
      </w:pPr>
      <w:r>
        <w:rPr>
          <w:color w:val="auto"/>
          <w:highlight w:val="none"/>
          <w:u w:val="none" w:color="auto"/>
          <w:lang w:eastAsia="zh-CN"/>
        </w:rPr>
        <w:t>振措施， 一般采用电梯井道内吸声或电梯井道旁双墙等处理手法。</w:t>
      </w:r>
    </w:p>
    <w:p w14:paraId="722CE80C">
      <w:pPr>
        <w:ind w:firstLine="371" w:firstLineChars="177"/>
        <w:rPr>
          <w:color w:val="auto"/>
          <w:highlight w:val="none"/>
          <w:u w:val="none" w:color="auto"/>
          <w:lang w:eastAsia="zh-CN"/>
        </w:rPr>
      </w:pPr>
      <w:r>
        <w:rPr>
          <w:color w:val="auto"/>
          <w:highlight w:val="none"/>
          <w:u w:val="none" w:color="auto"/>
          <w:lang w:eastAsia="zh-CN"/>
        </w:rPr>
        <w:t>10.6、应至少有一部电梯能到达地下车库地下大堂空间。</w:t>
      </w:r>
    </w:p>
    <w:p w14:paraId="377A5D3B">
      <w:pPr>
        <w:ind w:firstLine="371" w:firstLineChars="177"/>
        <w:rPr>
          <w:color w:val="auto"/>
          <w:highlight w:val="none"/>
          <w:u w:val="none" w:color="auto"/>
          <w:lang w:eastAsia="zh-CN"/>
        </w:rPr>
      </w:pPr>
      <w:r>
        <w:rPr>
          <w:color w:val="auto"/>
          <w:highlight w:val="none"/>
          <w:u w:val="none" w:color="auto"/>
          <w:lang w:eastAsia="zh-CN"/>
        </w:rPr>
        <w:t>10.7、电梯机房考虑</w:t>
      </w:r>
      <w:r>
        <w:rPr>
          <w:rFonts w:hint="eastAsia"/>
          <w:color w:val="auto"/>
          <w:highlight w:val="none"/>
          <w:u w:val="none" w:color="auto"/>
          <w:lang w:eastAsia="zh-CN"/>
        </w:rPr>
        <w:t>预留</w:t>
      </w:r>
      <w:r>
        <w:rPr>
          <w:color w:val="auto"/>
          <w:highlight w:val="none"/>
          <w:u w:val="none" w:color="auto"/>
          <w:lang w:eastAsia="zh-CN"/>
        </w:rPr>
        <w:t>设置空调位，电气及暖工种配合完善。</w:t>
      </w:r>
    </w:p>
    <w:p w14:paraId="0D4DA86B">
      <w:pPr>
        <w:ind w:firstLine="371" w:firstLineChars="177"/>
        <w:rPr>
          <w:color w:val="auto"/>
          <w:highlight w:val="none"/>
          <w:u w:val="none" w:color="auto"/>
          <w:lang w:eastAsia="zh-CN"/>
        </w:rPr>
      </w:pPr>
      <w:r>
        <w:rPr>
          <w:color w:val="auto"/>
          <w:highlight w:val="none"/>
          <w:u w:val="none" w:color="auto"/>
          <w:lang w:eastAsia="zh-CN"/>
        </w:rPr>
        <w:t>10.8、公区走道装修完成后净宽≥1200.</w:t>
      </w:r>
    </w:p>
    <w:p w14:paraId="06A99FD5">
      <w:pPr>
        <w:ind w:firstLine="371" w:firstLineChars="177"/>
        <w:rPr>
          <w:color w:val="auto"/>
          <w:highlight w:val="none"/>
          <w:u w:val="none" w:color="auto"/>
          <w:lang w:eastAsia="zh-CN"/>
        </w:rPr>
      </w:pPr>
      <w:r>
        <w:rPr>
          <w:color w:val="auto"/>
          <w:highlight w:val="none"/>
          <w:u w:val="none" w:color="auto"/>
          <w:lang w:eastAsia="zh-CN"/>
        </w:rPr>
        <w:t>11、地下室</w:t>
      </w:r>
    </w:p>
    <w:p w14:paraId="3810D349">
      <w:pPr>
        <w:ind w:firstLine="371" w:firstLineChars="177"/>
        <w:rPr>
          <w:color w:val="auto"/>
          <w:highlight w:val="none"/>
          <w:u w:val="none" w:color="auto"/>
          <w:lang w:eastAsia="zh-CN"/>
        </w:rPr>
      </w:pPr>
      <w:r>
        <w:rPr>
          <w:color w:val="auto"/>
          <w:highlight w:val="none"/>
          <w:u w:val="none" w:color="auto"/>
          <w:lang w:eastAsia="zh-CN"/>
        </w:rPr>
        <w:t>11.1、地下车库净高在满足规范要求下考虑合理安排设备管线与结构梁板柱关系，尽量用足层高以节省造价。停车位完成面净高不应低于2.2米</w:t>
      </w:r>
      <w:r>
        <w:rPr>
          <w:rFonts w:hint="eastAsia"/>
          <w:color w:val="auto"/>
          <w:highlight w:val="none"/>
          <w:u w:val="none" w:color="auto"/>
          <w:lang w:eastAsia="zh-CN"/>
        </w:rPr>
        <w:t>，</w:t>
      </w:r>
      <w:r>
        <w:rPr>
          <w:color w:val="auto"/>
          <w:highlight w:val="none"/>
          <w:u w:val="none" w:color="auto"/>
          <w:lang w:eastAsia="zh-CN"/>
        </w:rPr>
        <w:t>车道完成面净高不应低于2.4 米。机械式停车位的净高设计应以专业厂家技术文件作为设计依据，空间预留充分。</w:t>
      </w:r>
    </w:p>
    <w:p w14:paraId="269C21D5">
      <w:pPr>
        <w:ind w:firstLine="371" w:firstLineChars="177"/>
        <w:rPr>
          <w:color w:val="auto"/>
          <w:highlight w:val="none"/>
          <w:u w:val="none" w:color="auto"/>
          <w:lang w:eastAsia="zh-CN"/>
        </w:rPr>
      </w:pPr>
      <w:r>
        <w:rPr>
          <w:color w:val="auto"/>
          <w:highlight w:val="none"/>
          <w:u w:val="none" w:color="auto"/>
          <w:lang w:eastAsia="zh-CN"/>
        </w:rPr>
        <w:t>11.2、合理布置地下车库至电梯厅流线，应按地下车库直通各单元设计，且地库单元出入口处应设门禁系统。</w:t>
      </w:r>
    </w:p>
    <w:p w14:paraId="75347DE6">
      <w:pPr>
        <w:ind w:firstLine="371" w:firstLineChars="177"/>
        <w:rPr>
          <w:color w:val="auto"/>
          <w:highlight w:val="none"/>
          <w:u w:val="none" w:color="auto"/>
          <w:lang w:eastAsia="zh-CN"/>
        </w:rPr>
      </w:pPr>
      <w:r>
        <w:rPr>
          <w:color w:val="auto"/>
          <w:highlight w:val="none"/>
          <w:u w:val="none" w:color="auto"/>
          <w:lang w:eastAsia="zh-CN"/>
        </w:rPr>
        <w:t>11.3、地下车库合理设计与住宅的连接关系。</w:t>
      </w:r>
    </w:p>
    <w:p w14:paraId="5C418A6E">
      <w:pPr>
        <w:ind w:firstLine="371" w:firstLineChars="177"/>
        <w:rPr>
          <w:color w:val="auto"/>
          <w:highlight w:val="none"/>
          <w:u w:val="none" w:color="auto"/>
          <w:lang w:eastAsia="zh-CN"/>
        </w:rPr>
      </w:pPr>
      <w:r>
        <w:rPr>
          <w:color w:val="auto"/>
          <w:highlight w:val="none"/>
          <w:u w:val="none" w:color="auto"/>
          <w:lang w:eastAsia="zh-CN"/>
        </w:rPr>
        <w:t>11.4、地下车库消火栓的管道与阀门安装宜靠主楼或外墙设置，且应避开停车位及车位上方，立柱上消火栓箱布置应平行车道方向，并不影响上下车。</w:t>
      </w:r>
    </w:p>
    <w:p w14:paraId="2FDDDEBA">
      <w:pPr>
        <w:ind w:firstLine="371" w:firstLineChars="177"/>
        <w:rPr>
          <w:color w:val="auto"/>
          <w:highlight w:val="none"/>
          <w:u w:val="none" w:color="auto"/>
          <w:lang w:eastAsia="zh-CN"/>
        </w:rPr>
      </w:pPr>
      <w:r>
        <w:rPr>
          <w:color w:val="auto"/>
          <w:highlight w:val="none"/>
          <w:u w:val="none" w:color="auto"/>
          <w:lang w:eastAsia="zh-CN"/>
        </w:rPr>
        <w:t>11.5、地下室的柱网设计应做到合理、经济，并同时兼顾停车的舒适度。需合理布置地库的交通流线。</w:t>
      </w:r>
    </w:p>
    <w:p w14:paraId="062602F0">
      <w:pPr>
        <w:ind w:firstLine="371" w:firstLineChars="177"/>
        <w:rPr>
          <w:color w:val="auto"/>
          <w:highlight w:val="none"/>
          <w:u w:val="none" w:color="auto"/>
          <w:lang w:eastAsia="zh-CN"/>
        </w:rPr>
      </w:pPr>
      <w:r>
        <w:rPr>
          <w:color w:val="auto"/>
          <w:highlight w:val="none"/>
          <w:u w:val="none" w:color="auto"/>
          <w:lang w:eastAsia="zh-CN"/>
        </w:rPr>
        <w:t>11.6、地下车库的柱距应满足三个标准停车位，考虑到一般车门水平开启的空间需要，要求车位前边线与车前侧立柱下皮间距需保持在 1.2m 范围之内。</w:t>
      </w:r>
    </w:p>
    <w:p w14:paraId="6A0E1698">
      <w:pPr>
        <w:ind w:firstLine="371" w:firstLineChars="177"/>
        <w:rPr>
          <w:color w:val="auto"/>
          <w:highlight w:val="none"/>
          <w:u w:val="none" w:color="auto"/>
          <w:lang w:eastAsia="zh-CN"/>
        </w:rPr>
      </w:pPr>
      <w:r>
        <w:rPr>
          <w:color w:val="auto"/>
          <w:highlight w:val="none"/>
          <w:u w:val="none" w:color="auto"/>
          <w:lang w:eastAsia="zh-CN"/>
        </w:rPr>
        <w:t>11.7、非人防地下室的使用功能房间名称标注需经过我司同意，方可出图。避免标注名称对可售面积造成较大影响。</w:t>
      </w:r>
    </w:p>
    <w:p w14:paraId="1D8D2239">
      <w:pPr>
        <w:ind w:firstLine="371" w:firstLineChars="177"/>
        <w:rPr>
          <w:color w:val="auto"/>
          <w:highlight w:val="none"/>
          <w:u w:val="none" w:color="auto"/>
          <w:lang w:eastAsia="zh-CN"/>
        </w:rPr>
      </w:pPr>
      <w:r>
        <w:rPr>
          <w:color w:val="auto"/>
          <w:highlight w:val="none"/>
          <w:u w:val="none" w:color="auto"/>
          <w:lang w:eastAsia="zh-CN"/>
        </w:rPr>
        <w:t>11.8、车库或住宅地下室采光窗井、通风井等应尽量隐蔽设置，不宜设置在主入口及人流量大的地方； 窗井内需考虑防雨、安全防护与排水措施， 且应考虑安装 顶篷后对周围住户的影响，避免业主投诉。</w:t>
      </w:r>
    </w:p>
    <w:p w14:paraId="743AECF2">
      <w:pPr>
        <w:ind w:firstLine="371" w:firstLineChars="177"/>
        <w:rPr>
          <w:color w:val="auto"/>
          <w:highlight w:val="none"/>
          <w:u w:val="none" w:color="auto"/>
          <w:lang w:eastAsia="zh-CN"/>
        </w:rPr>
      </w:pPr>
      <w:r>
        <w:rPr>
          <w:color w:val="auto"/>
          <w:highlight w:val="none"/>
          <w:u w:val="none" w:color="auto"/>
          <w:lang w:eastAsia="zh-CN"/>
        </w:rPr>
        <w:t>11.9、防火卷帘的设置高度应满足地库规范的净高要求，并应高于净高要求 100mm， 且门洞上方需满足 400mm 以上的卷帘盒安装净空。</w:t>
      </w:r>
    </w:p>
    <w:p w14:paraId="544518D2">
      <w:pPr>
        <w:ind w:firstLine="371" w:firstLineChars="177"/>
        <w:rPr>
          <w:color w:val="auto"/>
          <w:highlight w:val="none"/>
          <w:u w:val="none" w:color="auto"/>
          <w:lang w:eastAsia="zh-CN"/>
        </w:rPr>
      </w:pPr>
      <w:r>
        <w:rPr>
          <w:color w:val="auto"/>
          <w:highlight w:val="none"/>
          <w:u w:val="none" w:color="auto"/>
          <w:lang w:eastAsia="zh-CN"/>
        </w:rPr>
        <w:t>11.10、地下自行车库坡道或其它室外出入地下室的楼梯、坡道， 均应设置收水及排 水系统，且不得在住宅南向设置。</w:t>
      </w:r>
    </w:p>
    <w:p w14:paraId="3D0DCEDD">
      <w:pPr>
        <w:ind w:firstLine="371" w:firstLineChars="177"/>
        <w:rPr>
          <w:color w:val="auto"/>
          <w:highlight w:val="none"/>
          <w:u w:val="none" w:color="auto"/>
          <w:lang w:eastAsia="zh-CN"/>
        </w:rPr>
      </w:pPr>
      <w:r>
        <w:rPr>
          <w:color w:val="auto"/>
          <w:highlight w:val="none"/>
          <w:u w:val="none" w:color="auto"/>
          <w:lang w:eastAsia="zh-CN"/>
        </w:rPr>
        <w:t>11.11、地下车库顶板应按有组织排水设计， 找坡方向应经济合理，并设置集水点，明确集水点做法，</w:t>
      </w:r>
      <w:r>
        <w:rPr>
          <w:rFonts w:hint="eastAsia"/>
          <w:color w:val="auto"/>
          <w:highlight w:val="none"/>
          <w:u w:val="none" w:color="auto"/>
          <w:lang w:eastAsia="zh-CN"/>
        </w:rPr>
        <w:t>具体以我司标准做法为准</w:t>
      </w:r>
      <w:r>
        <w:rPr>
          <w:color w:val="auto"/>
          <w:highlight w:val="none"/>
          <w:u w:val="none" w:color="auto"/>
          <w:lang w:eastAsia="zh-CN"/>
        </w:rPr>
        <w:t>。</w:t>
      </w:r>
    </w:p>
    <w:p w14:paraId="53B11DD7">
      <w:pPr>
        <w:ind w:firstLine="371" w:firstLineChars="177"/>
        <w:rPr>
          <w:color w:val="auto"/>
          <w:highlight w:val="none"/>
          <w:u w:val="none" w:color="auto"/>
          <w:lang w:eastAsia="zh-CN"/>
        </w:rPr>
      </w:pPr>
      <w:r>
        <w:rPr>
          <w:color w:val="auto"/>
          <w:highlight w:val="none"/>
          <w:u w:val="none" w:color="auto"/>
          <w:lang w:eastAsia="zh-CN"/>
        </w:rPr>
        <w:t>11.12、地下车库配电室地面标高应高于地库标高，防止进水。当配电室与相邻房间地坪有高差时， 应注意围护墙体下部高差部分的防水设计， 避免相邻房间有水时渗透进入配电室明沟，影响配电室安全。</w:t>
      </w:r>
    </w:p>
    <w:p w14:paraId="3007F340">
      <w:pPr>
        <w:ind w:firstLine="371" w:firstLineChars="177"/>
        <w:rPr>
          <w:color w:val="auto"/>
          <w:highlight w:val="none"/>
          <w:u w:val="none" w:color="auto"/>
          <w:lang w:eastAsia="zh-CN"/>
        </w:rPr>
      </w:pPr>
      <w:r>
        <w:rPr>
          <w:color w:val="auto"/>
          <w:highlight w:val="none"/>
          <w:u w:val="none" w:color="auto"/>
          <w:lang w:eastAsia="zh-CN"/>
        </w:rPr>
        <w:t>11.13、车库内集水坑应尽量靠墙设置，且避免对车位的设置造成影响。位于车位范围内的集水坑可采用钢盖板</w:t>
      </w:r>
      <w:r>
        <w:rPr>
          <w:rFonts w:hint="eastAsia"/>
          <w:color w:val="auto"/>
          <w:highlight w:val="none"/>
          <w:u w:val="none" w:color="auto"/>
          <w:lang w:eastAsia="zh-CN"/>
        </w:rPr>
        <w:t>（不设置排水沟，地面集水设置地漏）</w:t>
      </w:r>
      <w:r>
        <w:rPr>
          <w:color w:val="auto"/>
          <w:highlight w:val="none"/>
          <w:u w:val="none" w:color="auto"/>
          <w:lang w:eastAsia="zh-CN"/>
        </w:rPr>
        <w:t>。</w:t>
      </w:r>
    </w:p>
    <w:p w14:paraId="463B8515">
      <w:pPr>
        <w:ind w:firstLine="371" w:firstLineChars="177"/>
        <w:rPr>
          <w:color w:val="auto"/>
          <w:highlight w:val="none"/>
          <w:u w:val="none" w:color="auto"/>
          <w:lang w:eastAsia="zh-CN"/>
        </w:rPr>
      </w:pPr>
      <w:r>
        <w:rPr>
          <w:color w:val="auto"/>
          <w:highlight w:val="none"/>
          <w:u w:val="none" w:color="auto"/>
          <w:lang w:eastAsia="zh-CN"/>
        </w:rPr>
        <w:t>11.14、出主楼进地库的各类管线应避免设置在单元入口、大堂及通道内。设置时尽量集中在一处布置，避免对地下其他用途房间造成影响。</w:t>
      </w:r>
    </w:p>
    <w:p w14:paraId="29C30BB5">
      <w:pPr>
        <w:ind w:firstLine="371" w:firstLineChars="177"/>
        <w:rPr>
          <w:color w:val="auto"/>
          <w:highlight w:val="none"/>
          <w:u w:val="none" w:color="auto"/>
          <w:lang w:eastAsia="zh-CN"/>
        </w:rPr>
      </w:pPr>
      <w:r>
        <w:rPr>
          <w:color w:val="auto"/>
          <w:highlight w:val="none"/>
          <w:u w:val="none" w:color="auto"/>
          <w:lang w:eastAsia="zh-CN"/>
        </w:rPr>
        <w:t>11.15、地库储藏室、工具间门应根据设计、防火规范等要求使用钢制门或钢制防火门。</w:t>
      </w:r>
    </w:p>
    <w:p w14:paraId="04E51997">
      <w:pPr>
        <w:ind w:firstLine="371" w:firstLineChars="177"/>
        <w:rPr>
          <w:color w:val="auto"/>
          <w:highlight w:val="none"/>
          <w:u w:val="none" w:color="auto"/>
          <w:lang w:eastAsia="zh-CN"/>
        </w:rPr>
      </w:pPr>
      <w:r>
        <w:rPr>
          <w:color w:val="auto"/>
          <w:highlight w:val="none"/>
          <w:u w:val="none" w:color="auto"/>
          <w:lang w:eastAsia="zh-CN"/>
        </w:rPr>
        <w:t>11.16、地下室所有设备安装及集水坑不得影响业主车位正常使用</w:t>
      </w:r>
      <w:r>
        <w:rPr>
          <w:rFonts w:hint="eastAsia"/>
          <w:color w:val="auto"/>
          <w:highlight w:val="none"/>
          <w:u w:val="none" w:color="auto"/>
          <w:lang w:eastAsia="zh-CN"/>
        </w:rPr>
        <w:t>，不得设置在业主归家动线上</w:t>
      </w:r>
      <w:r>
        <w:rPr>
          <w:color w:val="auto"/>
          <w:highlight w:val="none"/>
          <w:u w:val="none" w:color="auto"/>
          <w:lang w:eastAsia="zh-CN"/>
        </w:rPr>
        <w:t>。</w:t>
      </w:r>
    </w:p>
    <w:p w14:paraId="7EA01FB9">
      <w:pPr>
        <w:ind w:firstLine="371" w:firstLineChars="177"/>
        <w:rPr>
          <w:color w:val="auto"/>
          <w:highlight w:val="none"/>
          <w:u w:val="none" w:color="auto"/>
          <w:lang w:eastAsia="zh-CN"/>
        </w:rPr>
      </w:pPr>
      <w:r>
        <w:rPr>
          <w:color w:val="auto"/>
          <w:highlight w:val="none"/>
          <w:u w:val="none" w:color="auto"/>
          <w:lang w:eastAsia="zh-CN"/>
        </w:rPr>
        <w:t>12、商业</w:t>
      </w:r>
    </w:p>
    <w:p w14:paraId="6A7DDAE1">
      <w:pPr>
        <w:ind w:firstLine="371" w:firstLineChars="177"/>
        <w:rPr>
          <w:color w:val="auto"/>
          <w:highlight w:val="none"/>
          <w:u w:val="none" w:color="auto"/>
          <w:lang w:eastAsia="zh-CN"/>
        </w:rPr>
      </w:pPr>
      <w:r>
        <w:rPr>
          <w:color w:val="auto"/>
          <w:highlight w:val="none"/>
          <w:u w:val="none" w:color="auto"/>
          <w:lang w:eastAsia="zh-CN"/>
        </w:rPr>
        <w:t>12.1、商铺应预留卫生间上下水点位、水表及强弱电箱，电量需考虑冷暖空调的用电需求；住宅管线穿商业需要综合考虑其位置；商业合理分隔单独计量。</w:t>
      </w:r>
    </w:p>
    <w:p w14:paraId="34482735">
      <w:pPr>
        <w:ind w:firstLine="371" w:firstLineChars="177"/>
        <w:rPr>
          <w:color w:val="auto"/>
          <w:highlight w:val="none"/>
          <w:u w:val="none" w:color="auto"/>
          <w:lang w:eastAsia="zh-CN"/>
        </w:rPr>
      </w:pPr>
      <w:r>
        <w:rPr>
          <w:color w:val="auto"/>
          <w:highlight w:val="none"/>
          <w:u w:val="none" w:color="auto"/>
          <w:lang w:eastAsia="zh-CN"/>
        </w:rPr>
        <w:t>12.2、做餐饮考虑的商铺应设置油烟井，出口位置应避免对住宅等易引起投诉用房的影响；并应预留餐饮上下水点位。</w:t>
      </w:r>
    </w:p>
    <w:p w14:paraId="1BC4B35E">
      <w:pPr>
        <w:ind w:firstLine="371" w:firstLineChars="177"/>
        <w:rPr>
          <w:color w:val="auto"/>
          <w:highlight w:val="none"/>
          <w:u w:val="none" w:color="auto"/>
          <w:lang w:eastAsia="zh-CN"/>
        </w:rPr>
      </w:pPr>
      <w:r>
        <w:rPr>
          <w:color w:val="auto"/>
          <w:highlight w:val="none"/>
          <w:u w:val="none" w:color="auto"/>
          <w:lang w:eastAsia="zh-CN"/>
        </w:rPr>
        <w:t>12.3、商铺内与室外尽量保证 20mm 高差，并不得大于450mm；对于特殊地形，应专项设计。</w:t>
      </w:r>
    </w:p>
    <w:p w14:paraId="2FA85D56">
      <w:pPr>
        <w:ind w:firstLine="371" w:firstLineChars="177"/>
        <w:rPr>
          <w:color w:val="auto"/>
          <w:highlight w:val="none"/>
          <w:u w:val="none" w:color="auto"/>
          <w:lang w:eastAsia="zh-CN"/>
        </w:rPr>
      </w:pPr>
      <w:r>
        <w:rPr>
          <w:color w:val="auto"/>
          <w:highlight w:val="none"/>
          <w:u w:val="none" w:color="auto"/>
          <w:lang w:eastAsia="zh-CN"/>
        </w:rPr>
        <w:t>12.4、商铺平面、层高按方案设计执行，如因不满足规范要求而需要调整需与我司沟通明确。</w:t>
      </w:r>
    </w:p>
    <w:p w14:paraId="36E19EA7">
      <w:pPr>
        <w:ind w:firstLine="371" w:firstLineChars="177"/>
        <w:jc w:val="both"/>
        <w:rPr>
          <w:color w:val="auto"/>
          <w:highlight w:val="none"/>
          <w:u w:val="none" w:color="auto"/>
          <w:lang w:eastAsia="zh-CN"/>
        </w:rPr>
      </w:pPr>
      <w:r>
        <w:rPr>
          <w:color w:val="auto"/>
          <w:highlight w:val="none"/>
          <w:u w:val="none" w:color="auto"/>
          <w:lang w:eastAsia="zh-CN"/>
        </w:rPr>
        <w:t>12.5、商业的空调室外机位除应满足设备的正常使用外，还应避免对周围住户的影响，特殊位置可适当调整机位方案，预留所需的</w:t>
      </w:r>
      <w:r>
        <w:rPr>
          <w:rFonts w:hint="eastAsia"/>
          <w:color w:val="auto"/>
          <w:highlight w:val="none"/>
          <w:u w:val="none" w:color="auto"/>
          <w:lang w:eastAsia="zh-CN"/>
        </w:rPr>
        <w:t>孔</w:t>
      </w:r>
      <w:r>
        <w:rPr>
          <w:color w:val="auto"/>
          <w:highlight w:val="none"/>
          <w:u w:val="none" w:color="auto"/>
          <w:lang w:eastAsia="zh-CN"/>
        </w:rPr>
        <w:t>洞位置、尺寸等， 但应提前与我司沟通确定，商铺空调板考虑设置地漏</w:t>
      </w:r>
      <w:r>
        <w:rPr>
          <w:rFonts w:hint="eastAsia"/>
          <w:color w:val="auto"/>
          <w:highlight w:val="none"/>
          <w:u w:val="none" w:color="auto"/>
          <w:lang w:eastAsia="zh-CN"/>
        </w:rPr>
        <w:t>，图中应预留空调室外机电量，标明空调外机服务的商铺号</w:t>
      </w:r>
      <w:r>
        <w:rPr>
          <w:color w:val="auto"/>
          <w:highlight w:val="none"/>
          <w:u w:val="none" w:color="auto"/>
          <w:lang w:eastAsia="zh-CN"/>
        </w:rPr>
        <w:t>。</w:t>
      </w:r>
    </w:p>
    <w:p w14:paraId="5DB4931C">
      <w:pPr>
        <w:ind w:firstLine="371" w:firstLineChars="177"/>
        <w:rPr>
          <w:color w:val="auto"/>
          <w:highlight w:val="none"/>
          <w:u w:val="none" w:color="auto"/>
          <w:lang w:eastAsia="zh-CN"/>
        </w:rPr>
      </w:pPr>
      <w:r>
        <w:rPr>
          <w:color w:val="auto"/>
          <w:highlight w:val="none"/>
          <w:u w:val="none" w:color="auto"/>
          <w:lang w:eastAsia="zh-CN"/>
        </w:rPr>
        <w:t>12.6、考虑与商业相邻的住宅因与商业相接导致的特殊节点的设计。</w:t>
      </w:r>
    </w:p>
    <w:p w14:paraId="0E4E818F">
      <w:pPr>
        <w:ind w:firstLine="371" w:firstLineChars="177"/>
        <w:rPr>
          <w:color w:val="auto"/>
          <w:highlight w:val="none"/>
          <w:u w:val="none" w:color="auto"/>
          <w:lang w:eastAsia="zh-CN"/>
        </w:rPr>
      </w:pPr>
      <w:r>
        <w:rPr>
          <w:color w:val="auto"/>
          <w:highlight w:val="none"/>
          <w:u w:val="none" w:color="auto"/>
          <w:lang w:eastAsia="zh-CN"/>
        </w:rPr>
        <w:t>12.7、商业屋面雨水立管</w:t>
      </w:r>
      <w:r>
        <w:rPr>
          <w:rFonts w:hint="eastAsia"/>
          <w:color w:val="auto"/>
          <w:highlight w:val="none"/>
          <w:u w:val="none" w:color="auto"/>
          <w:lang w:eastAsia="zh-CN"/>
        </w:rPr>
        <w:t>尽量结合空调机位设计，</w:t>
      </w:r>
      <w:r>
        <w:rPr>
          <w:color w:val="auto"/>
          <w:highlight w:val="none"/>
          <w:u w:val="none" w:color="auto"/>
          <w:lang w:eastAsia="zh-CN"/>
        </w:rPr>
        <w:t>如需附于沿街外墙设置，应考虑立面美观，同时考虑有组织排放。</w:t>
      </w:r>
    </w:p>
    <w:p w14:paraId="3148AB74">
      <w:pPr>
        <w:ind w:firstLine="371" w:firstLineChars="177"/>
        <w:rPr>
          <w:color w:val="auto"/>
          <w:highlight w:val="none"/>
          <w:u w:val="none" w:color="auto"/>
          <w:lang w:eastAsia="zh-CN"/>
        </w:rPr>
      </w:pPr>
      <w:r>
        <w:rPr>
          <w:color w:val="auto"/>
          <w:highlight w:val="none"/>
          <w:u w:val="none" w:color="auto"/>
          <w:lang w:eastAsia="zh-CN"/>
        </w:rPr>
        <w:t>12.8、商铺内应预留店招电源接口。</w:t>
      </w:r>
    </w:p>
    <w:p w14:paraId="280052B7">
      <w:pPr>
        <w:ind w:firstLine="371" w:firstLineChars="177"/>
        <w:rPr>
          <w:color w:val="auto"/>
          <w:highlight w:val="none"/>
          <w:u w:val="none" w:color="auto"/>
          <w:lang w:eastAsia="zh-CN"/>
        </w:rPr>
      </w:pPr>
      <w:r>
        <w:rPr>
          <w:color w:val="auto"/>
          <w:highlight w:val="none"/>
          <w:u w:val="none" w:color="auto"/>
          <w:lang w:eastAsia="zh-CN"/>
        </w:rPr>
        <w:t>13、小区出入口大门及岗亭</w:t>
      </w:r>
    </w:p>
    <w:p w14:paraId="49DA5423">
      <w:pPr>
        <w:ind w:firstLine="371" w:firstLineChars="177"/>
        <w:rPr>
          <w:color w:val="auto"/>
          <w:highlight w:val="none"/>
          <w:u w:val="none" w:color="auto"/>
          <w:lang w:eastAsia="zh-CN"/>
        </w:rPr>
      </w:pPr>
      <w:r>
        <w:rPr>
          <w:color w:val="auto"/>
          <w:highlight w:val="none"/>
          <w:u w:val="none" w:color="auto"/>
          <w:lang w:eastAsia="zh-CN"/>
        </w:rPr>
        <w:t>13.1、小区出入口大门及岗亭若结构与地下车库相连，则应与地下车库施工图设计时一并考虑</w:t>
      </w:r>
      <w:r>
        <w:rPr>
          <w:rFonts w:hint="eastAsia"/>
          <w:color w:val="auto"/>
          <w:highlight w:val="none"/>
          <w:u w:val="none" w:color="auto"/>
          <w:lang w:eastAsia="zh-CN"/>
        </w:rPr>
        <w:t>，</w:t>
      </w:r>
      <w:r>
        <w:rPr>
          <w:color w:val="auto"/>
          <w:highlight w:val="none"/>
          <w:u w:val="none" w:color="auto"/>
          <w:lang w:eastAsia="zh-CN"/>
        </w:rPr>
        <w:t>且出图时间一致。</w:t>
      </w:r>
    </w:p>
    <w:p w14:paraId="4F46FD47">
      <w:pPr>
        <w:ind w:firstLine="371" w:firstLineChars="177"/>
        <w:rPr>
          <w:color w:val="auto"/>
          <w:highlight w:val="none"/>
          <w:u w:val="none" w:color="auto"/>
          <w:lang w:eastAsia="zh-CN"/>
        </w:rPr>
      </w:pPr>
      <w:r>
        <w:rPr>
          <w:color w:val="auto"/>
          <w:highlight w:val="none"/>
          <w:u w:val="none" w:color="auto"/>
          <w:lang w:eastAsia="zh-CN"/>
        </w:rPr>
        <w:t>13.2、施工图设计单位需按方案设计单位提供的方案对大门及岗亭方案进行深化，同时考虑给排水、电气，大门口泛光照明，道闸，道闸光纤联网，保安值班室强弱电等的设计。</w:t>
      </w:r>
    </w:p>
    <w:p w14:paraId="49348043">
      <w:pPr>
        <w:ind w:firstLine="371" w:firstLineChars="177"/>
        <w:rPr>
          <w:color w:val="auto"/>
          <w:highlight w:val="none"/>
          <w:u w:val="none" w:color="auto"/>
          <w:lang w:eastAsia="zh-CN"/>
        </w:rPr>
      </w:pPr>
      <w:r>
        <w:rPr>
          <w:color w:val="auto"/>
          <w:highlight w:val="none"/>
          <w:u w:val="none" w:color="auto"/>
          <w:lang w:eastAsia="zh-CN"/>
        </w:rPr>
        <w:t>14、装修标准</w:t>
      </w:r>
    </w:p>
    <w:p w14:paraId="33340D39">
      <w:pPr>
        <w:ind w:firstLine="371" w:firstLineChars="177"/>
        <w:rPr>
          <w:color w:val="auto"/>
          <w:highlight w:val="none"/>
          <w:u w:val="none" w:color="auto"/>
          <w:lang w:eastAsia="zh-CN"/>
        </w:rPr>
      </w:pPr>
      <w:r>
        <w:rPr>
          <w:color w:val="auto"/>
          <w:highlight w:val="none"/>
          <w:u w:val="none" w:color="auto"/>
          <w:lang w:eastAsia="zh-CN"/>
        </w:rPr>
        <w:t>14.1、内门：毛坯交楼不做内门，平面表达、但门窗编号应详细齐全。前室、楼梯间及管井门为成品钢制防火门。</w:t>
      </w:r>
    </w:p>
    <w:p w14:paraId="4F9635C9">
      <w:pPr>
        <w:ind w:firstLine="371" w:firstLineChars="177"/>
        <w:rPr>
          <w:color w:val="auto"/>
          <w:highlight w:val="none"/>
          <w:u w:val="none" w:color="auto"/>
          <w:lang w:eastAsia="zh-CN"/>
        </w:rPr>
      </w:pPr>
      <w:r>
        <w:rPr>
          <w:color w:val="auto"/>
          <w:highlight w:val="none"/>
          <w:u w:val="none" w:color="auto"/>
          <w:lang w:eastAsia="zh-CN"/>
        </w:rPr>
        <w:t>14.2、所有外露构件(包括立管，开关)均应严格控制满足美观要求。</w:t>
      </w:r>
    </w:p>
    <w:p w14:paraId="4D820944">
      <w:pPr>
        <w:ind w:firstLine="371" w:firstLineChars="177"/>
        <w:rPr>
          <w:color w:val="auto"/>
          <w:highlight w:val="none"/>
          <w:u w:val="none" w:color="auto"/>
          <w:lang w:eastAsia="zh-CN"/>
        </w:rPr>
      </w:pPr>
      <w:r>
        <w:rPr>
          <w:color w:val="auto"/>
          <w:highlight w:val="none"/>
          <w:u w:val="none" w:color="auto"/>
          <w:lang w:eastAsia="zh-CN"/>
        </w:rPr>
        <w:t>14.3、首层大堂空间处理好消火栓箱、电表箱等水电设备，应避免设在首层大堂的主要视线范围内。</w:t>
      </w:r>
    </w:p>
    <w:p w14:paraId="734BD2D6">
      <w:pPr>
        <w:ind w:firstLine="371" w:firstLineChars="177"/>
        <w:rPr>
          <w:color w:val="auto"/>
          <w:highlight w:val="none"/>
          <w:u w:val="none" w:color="auto"/>
          <w:lang w:eastAsia="zh-CN"/>
        </w:rPr>
      </w:pPr>
      <w:r>
        <w:rPr>
          <w:color w:val="auto"/>
          <w:highlight w:val="none"/>
          <w:u w:val="none" w:color="auto"/>
          <w:lang w:eastAsia="zh-CN"/>
        </w:rPr>
        <w:t>14.4、屋面电梯机房应</w:t>
      </w:r>
      <w:r>
        <w:rPr>
          <w:rFonts w:hint="eastAsia"/>
          <w:color w:val="auto"/>
          <w:highlight w:val="none"/>
          <w:u w:val="none" w:color="auto"/>
          <w:lang w:eastAsia="zh-CN"/>
        </w:rPr>
        <w:t>预留</w:t>
      </w:r>
      <w:r>
        <w:rPr>
          <w:color w:val="auto"/>
          <w:highlight w:val="none"/>
          <w:u w:val="none" w:color="auto"/>
          <w:lang w:eastAsia="zh-CN"/>
        </w:rPr>
        <w:t>空调点位，机房门不应设计为普通木门。</w:t>
      </w:r>
    </w:p>
    <w:p w14:paraId="784909BE">
      <w:pPr>
        <w:ind w:firstLine="371" w:firstLineChars="177"/>
        <w:rPr>
          <w:color w:val="auto"/>
          <w:highlight w:val="none"/>
          <w:u w:val="none" w:color="auto"/>
          <w:lang w:eastAsia="zh-CN"/>
        </w:rPr>
      </w:pPr>
      <w:r>
        <w:rPr>
          <w:color w:val="auto"/>
          <w:highlight w:val="none"/>
          <w:u w:val="none" w:color="auto"/>
          <w:lang w:eastAsia="zh-CN"/>
        </w:rPr>
        <w:t>14.5、公共装修：首层大堂地面考虑地砖，墙面考虑墙砖，电梯门套考虑石材或墙砖门套；标准层电梯厅地面考虑地砖，墙面考虑墙砖或内墙涂料， 电梯门套考虑墙砖门套；入户走廊地面考虑地砖，墙面考虑涂料。</w:t>
      </w:r>
    </w:p>
    <w:p w14:paraId="386C111B">
      <w:pPr>
        <w:ind w:firstLine="371" w:firstLineChars="177"/>
        <w:rPr>
          <w:color w:val="auto"/>
          <w:highlight w:val="none"/>
          <w:u w:val="none" w:color="auto"/>
          <w:lang w:eastAsia="zh-CN"/>
        </w:rPr>
      </w:pPr>
      <w:r>
        <w:rPr>
          <w:color w:val="auto"/>
          <w:highlight w:val="none"/>
          <w:u w:val="none" w:color="auto"/>
          <w:lang w:eastAsia="zh-CN"/>
        </w:rPr>
        <w:t>1</w:t>
      </w:r>
      <w:r>
        <w:rPr>
          <w:rFonts w:hint="eastAsia"/>
          <w:color w:val="auto"/>
          <w:highlight w:val="none"/>
          <w:u w:val="none" w:color="auto"/>
          <w:lang w:val="en-US" w:eastAsia="zh-CN"/>
        </w:rPr>
        <w:t>5</w:t>
      </w:r>
      <w:r>
        <w:rPr>
          <w:color w:val="auto"/>
          <w:highlight w:val="none"/>
          <w:u w:val="none" w:color="auto"/>
          <w:lang w:eastAsia="zh-CN"/>
        </w:rPr>
        <w:t>、园林景观</w:t>
      </w:r>
    </w:p>
    <w:p w14:paraId="4B28EEBA">
      <w:pPr>
        <w:ind w:firstLine="371" w:firstLineChars="177"/>
        <w:rPr>
          <w:color w:val="auto"/>
          <w:highlight w:val="none"/>
          <w:u w:val="none" w:color="auto"/>
          <w:lang w:eastAsia="zh-CN"/>
        </w:rPr>
      </w:pPr>
      <w:r>
        <w:rPr>
          <w:color w:val="auto"/>
          <w:highlight w:val="none"/>
          <w:u w:val="none" w:color="auto"/>
          <w:lang w:eastAsia="zh-CN"/>
        </w:rPr>
        <w:t>建筑施工图设计单位需提供总平面图、竖向图、带首层平面的总平面图等给园林景观设计单位作为条件图；由我司会同建筑施工图设计单位对景观扩初方案图进行评估，评估完成后由建筑施工图设计单位在景观扩初方案图的基础上进行优化设计，</w:t>
      </w:r>
      <w:r>
        <w:rPr>
          <w:rFonts w:hint="eastAsia"/>
          <w:color w:val="auto"/>
          <w:highlight w:val="none"/>
          <w:u w:val="none" w:color="auto"/>
          <w:lang w:eastAsia="zh-CN"/>
        </w:rPr>
        <w:t>需与景观施工图叠图后，</w:t>
      </w:r>
      <w:r>
        <w:rPr>
          <w:color w:val="auto"/>
          <w:highlight w:val="none"/>
          <w:u w:val="none" w:color="auto"/>
          <w:lang w:eastAsia="zh-CN"/>
        </w:rPr>
        <w:t>出总体施工图，并进行景观施工图设计的配合工作。</w:t>
      </w:r>
    </w:p>
    <w:p w14:paraId="7B29ED28">
      <w:pPr>
        <w:ind w:firstLine="371" w:firstLineChars="177"/>
        <w:rPr>
          <w:color w:val="auto"/>
          <w:highlight w:val="none"/>
          <w:u w:val="none" w:color="auto"/>
          <w:lang w:eastAsia="zh-CN"/>
        </w:rPr>
      </w:pPr>
      <w:r>
        <w:rPr>
          <w:color w:val="auto"/>
          <w:highlight w:val="none"/>
          <w:u w:val="none" w:color="auto"/>
          <w:lang w:eastAsia="zh-CN"/>
        </w:rPr>
        <w:t>1</w:t>
      </w:r>
      <w:r>
        <w:rPr>
          <w:rFonts w:hint="eastAsia"/>
          <w:color w:val="auto"/>
          <w:highlight w:val="none"/>
          <w:u w:val="none" w:color="auto"/>
          <w:lang w:val="en-US" w:eastAsia="zh-CN"/>
        </w:rPr>
        <w:t>6</w:t>
      </w:r>
      <w:r>
        <w:rPr>
          <w:color w:val="auto"/>
          <w:highlight w:val="none"/>
          <w:u w:val="none" w:color="auto"/>
          <w:lang w:eastAsia="zh-CN"/>
        </w:rPr>
        <w:t>、配套要求</w:t>
      </w:r>
    </w:p>
    <w:p w14:paraId="35567005">
      <w:pPr>
        <w:ind w:firstLine="371" w:firstLineChars="177"/>
        <w:rPr>
          <w:color w:val="auto"/>
          <w:highlight w:val="none"/>
          <w:u w:val="none" w:color="auto"/>
          <w:lang w:eastAsia="zh-CN"/>
        </w:rPr>
      </w:pPr>
      <w:r>
        <w:rPr>
          <w:color w:val="auto"/>
          <w:highlight w:val="none"/>
          <w:u w:val="none" w:color="auto"/>
          <w:lang w:eastAsia="zh-CN"/>
        </w:rPr>
        <w:t>1</w:t>
      </w:r>
      <w:r>
        <w:rPr>
          <w:rFonts w:hint="eastAsia"/>
          <w:color w:val="auto"/>
          <w:highlight w:val="none"/>
          <w:u w:val="none" w:color="auto"/>
          <w:lang w:val="en-US" w:eastAsia="zh-CN"/>
        </w:rPr>
        <w:t>6</w:t>
      </w:r>
      <w:r>
        <w:rPr>
          <w:color w:val="auto"/>
          <w:highlight w:val="none"/>
          <w:u w:val="none" w:color="auto"/>
          <w:lang w:eastAsia="zh-CN"/>
        </w:rPr>
        <w:t>.1、项目用地内设置物业用房，物业用房若设在地下需考虑采光、通风、采暖、 电气及上下水等设计，确保使用功能和高度。</w:t>
      </w:r>
    </w:p>
    <w:p w14:paraId="7497788A">
      <w:pPr>
        <w:ind w:firstLine="371" w:firstLineChars="177"/>
        <w:rPr>
          <w:color w:val="auto"/>
          <w:highlight w:val="none"/>
          <w:u w:val="none" w:color="auto"/>
          <w:lang w:eastAsia="zh-CN"/>
        </w:rPr>
      </w:pPr>
      <w:r>
        <w:rPr>
          <w:color w:val="auto"/>
          <w:highlight w:val="none"/>
          <w:u w:val="none" w:color="auto"/>
          <w:lang w:eastAsia="zh-CN"/>
        </w:rPr>
        <w:t>1</w:t>
      </w:r>
      <w:r>
        <w:rPr>
          <w:rFonts w:hint="eastAsia"/>
          <w:color w:val="auto"/>
          <w:highlight w:val="none"/>
          <w:u w:val="none" w:color="auto"/>
          <w:lang w:val="en-US" w:eastAsia="zh-CN"/>
        </w:rPr>
        <w:t>6</w:t>
      </w:r>
      <w:r>
        <w:rPr>
          <w:color w:val="auto"/>
          <w:highlight w:val="none"/>
          <w:u w:val="none" w:color="auto"/>
          <w:lang w:eastAsia="zh-CN"/>
        </w:rPr>
        <w:t>.2、总图应标注有小区垃圾中转站及各生活垃圾筒</w:t>
      </w:r>
      <w:r>
        <w:rPr>
          <w:rFonts w:hint="eastAsia"/>
          <w:color w:val="auto"/>
          <w:highlight w:val="none"/>
          <w:u w:val="none" w:color="auto"/>
          <w:lang w:eastAsia="zh-CN"/>
        </w:rPr>
        <w:t>收集点</w:t>
      </w:r>
      <w:r>
        <w:rPr>
          <w:color w:val="auto"/>
          <w:highlight w:val="none"/>
          <w:u w:val="none" w:color="auto"/>
          <w:lang w:eastAsia="zh-CN"/>
        </w:rPr>
        <w:t>位置。</w:t>
      </w:r>
    </w:p>
    <w:p w14:paraId="328DA5B5">
      <w:pPr>
        <w:ind w:firstLine="371" w:firstLineChars="177"/>
        <w:rPr>
          <w:color w:val="auto"/>
          <w:highlight w:val="none"/>
          <w:u w:val="none" w:color="auto"/>
          <w:lang w:eastAsia="zh-CN"/>
        </w:rPr>
      </w:pPr>
      <w:r>
        <w:rPr>
          <w:color w:val="auto"/>
          <w:highlight w:val="none"/>
          <w:u w:val="none" w:color="auto"/>
          <w:lang w:eastAsia="zh-CN"/>
        </w:rPr>
        <w:t>1</w:t>
      </w:r>
      <w:r>
        <w:rPr>
          <w:rFonts w:hint="eastAsia"/>
          <w:color w:val="auto"/>
          <w:highlight w:val="none"/>
          <w:u w:val="none" w:color="auto"/>
          <w:lang w:val="en-US" w:eastAsia="zh-CN"/>
        </w:rPr>
        <w:t>6</w:t>
      </w:r>
      <w:r>
        <w:rPr>
          <w:color w:val="auto"/>
          <w:highlight w:val="none"/>
          <w:u w:val="none" w:color="auto"/>
          <w:lang w:eastAsia="zh-CN"/>
        </w:rPr>
        <w:t>.3、配套用房需考虑采暖，预留相关机电点位。</w:t>
      </w:r>
    </w:p>
    <w:p w14:paraId="36D24F6B">
      <w:pPr>
        <w:ind w:firstLine="371" w:firstLineChars="177"/>
        <w:rPr>
          <w:color w:val="auto"/>
          <w:highlight w:val="none"/>
          <w:u w:val="none" w:color="auto"/>
          <w:lang w:eastAsia="zh-CN"/>
        </w:rPr>
      </w:pPr>
      <w:r>
        <w:rPr>
          <w:color w:val="auto"/>
          <w:highlight w:val="none"/>
          <w:u w:val="none" w:color="auto"/>
          <w:lang w:eastAsia="zh-CN"/>
        </w:rPr>
        <w:t>1</w:t>
      </w:r>
      <w:r>
        <w:rPr>
          <w:rFonts w:hint="eastAsia"/>
          <w:color w:val="auto"/>
          <w:highlight w:val="none"/>
          <w:u w:val="none" w:color="auto"/>
          <w:lang w:val="en-US" w:eastAsia="zh-CN"/>
        </w:rPr>
        <w:t>7</w:t>
      </w:r>
      <w:r>
        <w:rPr>
          <w:color w:val="auto"/>
          <w:highlight w:val="none"/>
          <w:u w:val="none" w:color="auto"/>
          <w:lang w:eastAsia="zh-CN"/>
        </w:rPr>
        <w:t>、详图及其他要求</w:t>
      </w:r>
    </w:p>
    <w:p w14:paraId="1412C875">
      <w:pPr>
        <w:ind w:firstLine="371" w:firstLineChars="177"/>
        <w:rPr>
          <w:color w:val="auto"/>
          <w:highlight w:val="none"/>
          <w:u w:val="none" w:color="auto"/>
          <w:lang w:eastAsia="zh-CN"/>
        </w:rPr>
      </w:pPr>
      <w:r>
        <w:rPr>
          <w:color w:val="auto"/>
          <w:highlight w:val="none"/>
          <w:u w:val="none" w:color="auto"/>
          <w:lang w:eastAsia="zh-CN"/>
        </w:rPr>
        <w:t>1</w:t>
      </w:r>
      <w:r>
        <w:rPr>
          <w:rFonts w:hint="eastAsia"/>
          <w:color w:val="auto"/>
          <w:highlight w:val="none"/>
          <w:u w:val="none" w:color="auto"/>
          <w:lang w:val="en-US" w:eastAsia="zh-CN"/>
        </w:rPr>
        <w:t>7</w:t>
      </w:r>
      <w:r>
        <w:rPr>
          <w:color w:val="auto"/>
          <w:highlight w:val="none"/>
          <w:u w:val="none" w:color="auto"/>
          <w:lang w:eastAsia="zh-CN"/>
        </w:rPr>
        <w:t>.1、墙身、屋面、女儿墙、檐口、顶棚、台阶、窗台、楼梯扶手、栏杆、变形缝、散水等必要的节点构造均应绘制详细。</w:t>
      </w:r>
    </w:p>
    <w:p w14:paraId="32F72B6A">
      <w:pPr>
        <w:ind w:firstLine="371" w:firstLineChars="177"/>
        <w:rPr>
          <w:color w:val="auto"/>
          <w:highlight w:val="none"/>
          <w:u w:val="none" w:color="auto"/>
          <w:lang w:eastAsia="zh-CN"/>
        </w:rPr>
      </w:pPr>
      <w:r>
        <w:rPr>
          <w:color w:val="auto"/>
          <w:highlight w:val="none"/>
          <w:u w:val="none" w:color="auto"/>
          <w:lang w:eastAsia="zh-CN"/>
        </w:rPr>
        <w:t>1</w:t>
      </w:r>
      <w:r>
        <w:rPr>
          <w:rFonts w:hint="eastAsia"/>
          <w:color w:val="auto"/>
          <w:highlight w:val="none"/>
          <w:u w:val="none" w:color="auto"/>
          <w:lang w:val="en-US" w:eastAsia="zh-CN"/>
        </w:rPr>
        <w:t>7</w:t>
      </w:r>
      <w:r>
        <w:rPr>
          <w:color w:val="auto"/>
          <w:highlight w:val="none"/>
          <w:u w:val="none" w:color="auto"/>
          <w:lang w:eastAsia="zh-CN"/>
        </w:rPr>
        <w:t>.2、门窗、栏杆、外墙饰面、钢结构、电梯等二次深化设计项需配合完成基本形 状尺寸控制或参数选型，结构洞口预留到位。</w:t>
      </w:r>
    </w:p>
    <w:p w14:paraId="18E30195">
      <w:pPr>
        <w:ind w:firstLine="371" w:firstLineChars="177"/>
        <w:rPr>
          <w:color w:val="auto"/>
          <w:highlight w:val="none"/>
          <w:u w:val="none" w:color="auto"/>
          <w:lang w:eastAsia="zh-CN"/>
        </w:rPr>
      </w:pPr>
      <w:r>
        <w:rPr>
          <w:color w:val="auto"/>
          <w:highlight w:val="none"/>
          <w:u w:val="none" w:color="auto"/>
          <w:lang w:eastAsia="zh-CN"/>
        </w:rPr>
        <w:t>1</w:t>
      </w:r>
      <w:r>
        <w:rPr>
          <w:rFonts w:hint="eastAsia"/>
          <w:color w:val="auto"/>
          <w:highlight w:val="none"/>
          <w:u w:val="none" w:color="auto"/>
          <w:lang w:val="en-US" w:eastAsia="zh-CN"/>
        </w:rPr>
        <w:t>7</w:t>
      </w:r>
      <w:r>
        <w:rPr>
          <w:color w:val="auto"/>
          <w:highlight w:val="none"/>
          <w:u w:val="none" w:color="auto"/>
          <w:lang w:eastAsia="zh-CN"/>
        </w:rPr>
        <w:t>.3、建筑图纸需套结构墙柱图，对于不同厚度的剪力墙或结构柱，建筑平面需分开表达；</w:t>
      </w:r>
    </w:p>
    <w:p w14:paraId="62FCAC2B">
      <w:pPr>
        <w:ind w:firstLine="371" w:firstLineChars="177"/>
        <w:rPr>
          <w:color w:val="auto"/>
          <w:highlight w:val="none"/>
          <w:u w:val="none" w:color="auto"/>
          <w:lang w:eastAsia="zh-CN"/>
        </w:rPr>
      </w:pPr>
      <w:r>
        <w:rPr>
          <w:color w:val="auto"/>
          <w:highlight w:val="none"/>
          <w:u w:val="none" w:color="auto"/>
          <w:lang w:eastAsia="zh-CN"/>
        </w:rPr>
        <w:t>1</w:t>
      </w:r>
      <w:r>
        <w:rPr>
          <w:rFonts w:hint="eastAsia"/>
          <w:color w:val="auto"/>
          <w:highlight w:val="none"/>
          <w:u w:val="none" w:color="auto"/>
          <w:lang w:val="en-US" w:eastAsia="zh-CN"/>
        </w:rPr>
        <w:t>7</w:t>
      </w:r>
      <w:r>
        <w:rPr>
          <w:color w:val="auto"/>
          <w:highlight w:val="none"/>
          <w:u w:val="none" w:color="auto"/>
          <w:lang w:eastAsia="zh-CN"/>
        </w:rPr>
        <w:t>.4、建筑墙身图纸需体现结构构件的尺寸、定位等；</w:t>
      </w:r>
    </w:p>
    <w:p w14:paraId="035C2FE2">
      <w:pPr>
        <w:ind w:firstLine="371" w:firstLineChars="177"/>
        <w:rPr>
          <w:color w:val="auto"/>
          <w:highlight w:val="none"/>
          <w:u w:val="none" w:color="auto"/>
          <w:lang w:eastAsia="zh-CN"/>
        </w:rPr>
      </w:pPr>
      <w:r>
        <w:rPr>
          <w:color w:val="auto"/>
          <w:highlight w:val="none"/>
          <w:u w:val="none" w:color="auto"/>
          <w:lang w:eastAsia="zh-CN"/>
        </w:rPr>
        <w:t>1</w:t>
      </w:r>
      <w:r>
        <w:rPr>
          <w:rFonts w:hint="eastAsia"/>
          <w:color w:val="auto"/>
          <w:highlight w:val="none"/>
          <w:u w:val="none" w:color="auto"/>
          <w:lang w:val="en-US" w:eastAsia="zh-CN"/>
        </w:rPr>
        <w:t>7</w:t>
      </w:r>
      <w:r>
        <w:rPr>
          <w:color w:val="auto"/>
          <w:highlight w:val="none"/>
          <w:u w:val="none" w:color="auto"/>
          <w:lang w:eastAsia="zh-CN"/>
        </w:rPr>
        <w:t>.5、建筑的留洞图中需体现所有尺寸的洞口。</w:t>
      </w:r>
    </w:p>
    <w:p w14:paraId="68648665">
      <w:pPr>
        <w:pStyle w:val="3"/>
        <w:ind w:firstLine="569" w:firstLineChars="177"/>
        <w:rPr>
          <w:color w:val="auto"/>
          <w:highlight w:val="none"/>
          <w:u w:val="none" w:color="auto"/>
          <w:lang w:eastAsia="zh-CN"/>
        </w:rPr>
      </w:pPr>
      <w:r>
        <w:rPr>
          <w:color w:val="auto"/>
          <w:highlight w:val="none"/>
          <w:u w:val="none" w:color="auto"/>
          <w:lang w:eastAsia="zh-CN"/>
        </w:rPr>
        <w:t>三．设计管理</w:t>
      </w:r>
    </w:p>
    <w:p w14:paraId="537A7D67">
      <w:pPr>
        <w:ind w:firstLine="371" w:firstLineChars="177"/>
        <w:rPr>
          <w:color w:val="auto"/>
          <w:highlight w:val="none"/>
          <w:u w:val="none" w:color="auto"/>
          <w:lang w:eastAsia="zh-CN"/>
        </w:rPr>
      </w:pPr>
      <w:r>
        <w:rPr>
          <w:color w:val="auto"/>
          <w:highlight w:val="none"/>
          <w:u w:val="none" w:color="auto"/>
          <w:lang w:eastAsia="zh-CN"/>
        </w:rPr>
        <w:t>根据合同中规定， 对于设计过程中的重要问题， 建筑师应先送至我公司审核后方可进行下一步设计，本任务书中要求在建筑施工图的开始阶段提交我公司设计初步成果作审核并依据审核意见作调整。具体提交时间按照双方商定工作计划进行：</w:t>
      </w:r>
    </w:p>
    <w:p w14:paraId="7DAFA784">
      <w:pPr>
        <w:ind w:firstLine="371" w:firstLineChars="177"/>
        <w:rPr>
          <w:color w:val="auto"/>
          <w:highlight w:val="none"/>
          <w:u w:val="none" w:color="auto"/>
          <w:lang w:eastAsia="zh-CN"/>
        </w:rPr>
      </w:pPr>
      <w:r>
        <w:rPr>
          <w:color w:val="auto"/>
          <w:highlight w:val="none"/>
          <w:u w:val="none" w:color="auto"/>
          <w:lang w:eastAsia="zh-CN"/>
        </w:rPr>
        <w:t>1、建筑的总图、所有平面、立面、剖面。</w:t>
      </w:r>
    </w:p>
    <w:p w14:paraId="3D9DEEF8">
      <w:pPr>
        <w:ind w:firstLine="371" w:firstLineChars="177"/>
        <w:rPr>
          <w:color w:val="auto"/>
          <w:highlight w:val="none"/>
          <w:u w:val="none" w:color="auto"/>
          <w:lang w:eastAsia="zh-CN"/>
        </w:rPr>
      </w:pPr>
      <w:r>
        <w:rPr>
          <w:color w:val="auto"/>
          <w:highlight w:val="none"/>
          <w:u w:val="none" w:color="auto"/>
          <w:lang w:eastAsia="zh-CN"/>
        </w:rPr>
        <w:t>2、各户型的放大平面， 其中应表示出家电布置、给排水和强弱电点位，以便校核其相互关系。</w:t>
      </w:r>
    </w:p>
    <w:p w14:paraId="431943EB">
      <w:pPr>
        <w:ind w:firstLine="371" w:firstLineChars="177"/>
        <w:rPr>
          <w:color w:val="auto"/>
          <w:highlight w:val="none"/>
          <w:u w:val="none" w:color="auto"/>
          <w:lang w:eastAsia="zh-CN"/>
        </w:rPr>
      </w:pPr>
      <w:r>
        <w:rPr>
          <w:color w:val="auto"/>
          <w:highlight w:val="none"/>
          <w:u w:val="none" w:color="auto"/>
          <w:lang w:eastAsia="zh-CN"/>
        </w:rPr>
        <w:t>3、大样图：厨房、卫生间大样；楼梯、电梯大样；墙身大样；门窗大样。</w:t>
      </w:r>
    </w:p>
    <w:p w14:paraId="74CE2A28">
      <w:pPr>
        <w:ind w:firstLine="371" w:firstLineChars="177"/>
        <w:rPr>
          <w:color w:val="auto"/>
          <w:highlight w:val="none"/>
          <w:u w:val="none" w:color="auto"/>
          <w:lang w:eastAsia="zh-CN"/>
        </w:rPr>
      </w:pPr>
      <w:r>
        <w:rPr>
          <w:color w:val="auto"/>
          <w:highlight w:val="none"/>
          <w:u w:val="none" w:color="auto"/>
          <w:lang w:eastAsia="zh-CN"/>
        </w:rPr>
        <w:t>4、结构墙、梁的定位图。</w:t>
      </w:r>
    </w:p>
    <w:p w14:paraId="5B105EBB">
      <w:pPr>
        <w:ind w:firstLine="371" w:firstLineChars="177"/>
        <w:rPr>
          <w:color w:val="auto"/>
          <w:highlight w:val="none"/>
          <w:u w:val="none" w:color="auto"/>
          <w:lang w:eastAsia="zh-CN"/>
        </w:rPr>
      </w:pPr>
      <w:r>
        <w:rPr>
          <w:color w:val="auto"/>
          <w:highlight w:val="none"/>
          <w:u w:val="none" w:color="auto"/>
          <w:lang w:eastAsia="zh-CN"/>
        </w:rPr>
        <w:t>5、立面放大图：住宅标准层立面、商业立面放大图。</w:t>
      </w:r>
    </w:p>
    <w:p w14:paraId="46A7B100">
      <w:pPr>
        <w:ind w:firstLine="371" w:firstLineChars="177"/>
        <w:rPr>
          <w:color w:val="auto"/>
          <w:highlight w:val="none"/>
          <w:u w:val="none" w:color="auto"/>
          <w:lang w:eastAsia="zh-CN"/>
        </w:rPr>
      </w:pPr>
      <w:r>
        <w:rPr>
          <w:color w:val="auto"/>
          <w:highlight w:val="none"/>
          <w:u w:val="none" w:color="auto"/>
          <w:lang w:eastAsia="zh-CN"/>
        </w:rPr>
        <w:t>6、地库管线综合图、主要管线区域的管线布置剖面图。</w:t>
      </w:r>
    </w:p>
    <w:p w14:paraId="16E0C119">
      <w:pPr>
        <w:ind w:firstLine="371" w:firstLineChars="177"/>
        <w:rPr>
          <w:color w:val="auto"/>
          <w:highlight w:val="none"/>
          <w:u w:val="none" w:color="auto"/>
          <w:lang w:eastAsia="zh-CN"/>
        </w:rPr>
      </w:pPr>
      <w:r>
        <w:rPr>
          <w:color w:val="auto"/>
          <w:highlight w:val="none"/>
          <w:u w:val="none" w:color="auto"/>
          <w:lang w:eastAsia="zh-CN"/>
        </w:rPr>
        <w:t>7、请施工图设计单位根据我司的计划安排及审图内容提交以上图纸的具体交图时</w:t>
      </w:r>
    </w:p>
    <w:p w14:paraId="69DCAAE7">
      <w:pPr>
        <w:ind w:firstLine="371" w:firstLineChars="177"/>
        <w:rPr>
          <w:color w:val="auto"/>
          <w:highlight w:val="none"/>
          <w:u w:val="none" w:color="auto"/>
          <w:lang w:eastAsia="zh-CN"/>
        </w:rPr>
      </w:pPr>
      <w:r>
        <w:rPr>
          <w:color w:val="auto"/>
          <w:highlight w:val="none"/>
          <w:u w:val="none" w:color="auto"/>
          <w:lang w:eastAsia="zh-CN"/>
        </w:rPr>
        <w:t>间，便于我公司作配合。</w:t>
      </w:r>
    </w:p>
    <w:p w14:paraId="7C366B6E">
      <w:pPr>
        <w:ind w:firstLine="371" w:firstLineChars="177"/>
        <w:rPr>
          <w:color w:val="auto"/>
          <w:highlight w:val="none"/>
          <w:u w:val="none" w:color="auto"/>
          <w:lang w:eastAsia="zh-CN"/>
        </w:rPr>
      </w:pPr>
      <w:r>
        <w:rPr>
          <w:color w:val="auto"/>
          <w:highlight w:val="none"/>
          <w:u w:val="none" w:color="auto"/>
          <w:lang w:eastAsia="zh-CN"/>
        </w:rPr>
        <w:t>8、具体出图要求及计划安排详见“合同条款”相应约定。</w:t>
      </w:r>
    </w:p>
    <w:p w14:paraId="2A278ABB">
      <w:pPr>
        <w:pStyle w:val="22"/>
        <w:spacing w:line="458" w:lineRule="auto"/>
        <w:rPr>
          <w:color w:val="auto"/>
          <w:highlight w:val="none"/>
          <w:u w:val="none" w:color="auto"/>
          <w:lang w:eastAsia="zh-CN"/>
        </w:rPr>
      </w:pPr>
    </w:p>
    <w:p w14:paraId="4D2F4E25">
      <w:pPr>
        <w:pStyle w:val="2"/>
        <w:rPr>
          <w:color w:val="auto"/>
          <w:highlight w:val="none"/>
          <w:u w:val="none" w:color="auto"/>
          <w:lang w:eastAsia="zh-CN"/>
        </w:rPr>
      </w:pPr>
      <w:r>
        <w:rPr>
          <w:color w:val="auto"/>
          <w:highlight w:val="none"/>
          <w:u w:val="none" w:color="auto"/>
          <w:lang w:eastAsia="zh-CN"/>
        </w:rPr>
        <w:t>第三部分结构专业</w:t>
      </w:r>
    </w:p>
    <w:p w14:paraId="5E24D6D8">
      <w:pPr>
        <w:pStyle w:val="3"/>
        <w:ind w:firstLine="565" w:firstLineChars="176"/>
        <w:rPr>
          <w:color w:val="auto"/>
          <w:highlight w:val="none"/>
          <w:u w:val="none" w:color="auto"/>
          <w:lang w:eastAsia="zh-CN"/>
        </w:rPr>
      </w:pPr>
      <w:r>
        <w:rPr>
          <w:color w:val="auto"/>
          <w:highlight w:val="none"/>
          <w:u w:val="none" w:color="auto"/>
          <w:lang w:eastAsia="zh-CN"/>
        </w:rPr>
        <w:t>一、总则：</w:t>
      </w:r>
    </w:p>
    <w:p w14:paraId="56B6E6AC">
      <w:pPr>
        <w:ind w:firstLine="369" w:firstLineChars="176"/>
        <w:rPr>
          <w:color w:val="auto"/>
          <w:highlight w:val="none"/>
          <w:u w:val="none" w:color="auto"/>
          <w:lang w:eastAsia="zh-CN"/>
        </w:rPr>
      </w:pPr>
      <w:r>
        <w:rPr>
          <w:color w:val="auto"/>
          <w:highlight w:val="none"/>
          <w:u w:val="none" w:color="auto"/>
          <w:lang w:eastAsia="zh-CN"/>
        </w:rPr>
        <w:t>1.图纸要求</w:t>
      </w:r>
    </w:p>
    <w:p w14:paraId="05EB5E1F">
      <w:pPr>
        <w:ind w:firstLine="369" w:firstLineChars="176"/>
        <w:rPr>
          <w:color w:val="auto"/>
          <w:highlight w:val="none"/>
          <w:u w:val="none" w:color="auto"/>
          <w:lang w:eastAsia="zh-CN"/>
        </w:rPr>
      </w:pPr>
      <w:r>
        <w:rPr>
          <w:color w:val="auto"/>
          <w:highlight w:val="none"/>
          <w:u w:val="none" w:color="auto"/>
          <w:lang w:eastAsia="zh-CN"/>
        </w:rPr>
        <w:t>1.1 工程名称：见建筑</w:t>
      </w:r>
    </w:p>
    <w:p w14:paraId="7958393A">
      <w:pPr>
        <w:ind w:firstLine="369" w:firstLineChars="176"/>
        <w:rPr>
          <w:color w:val="auto"/>
          <w:highlight w:val="none"/>
          <w:u w:val="none" w:color="auto"/>
          <w:lang w:eastAsia="zh-CN"/>
        </w:rPr>
      </w:pPr>
      <w:r>
        <w:rPr>
          <w:color w:val="auto"/>
          <w:highlight w:val="none"/>
          <w:u w:val="none" w:color="auto"/>
          <w:lang w:eastAsia="zh-CN"/>
        </w:rPr>
        <w:t>1.2 技术措施：施工图设计前，设计单位应根据本项目特点，编制《统一技术措施》，该措施应经我司审查合格后，用于指导本项目组结构设计工作。</w:t>
      </w:r>
    </w:p>
    <w:p w14:paraId="207C1467">
      <w:pPr>
        <w:ind w:firstLine="369" w:firstLineChars="176"/>
        <w:rPr>
          <w:color w:val="auto"/>
          <w:highlight w:val="none"/>
          <w:u w:val="none" w:color="auto"/>
          <w:lang w:eastAsia="zh-CN"/>
        </w:rPr>
      </w:pPr>
      <w:r>
        <w:rPr>
          <w:color w:val="auto"/>
          <w:highlight w:val="none"/>
          <w:u w:val="none" w:color="auto"/>
          <w:lang w:eastAsia="zh-CN"/>
        </w:rPr>
        <w:t>1.3 图纸规格：规格尽量统一，对于裙房、地下室等较大平面，图纸最大图幅不超过A0。</w:t>
      </w:r>
    </w:p>
    <w:p w14:paraId="7ACB299C">
      <w:pPr>
        <w:ind w:firstLine="369" w:firstLineChars="176"/>
        <w:rPr>
          <w:color w:val="auto"/>
          <w:highlight w:val="none"/>
          <w:u w:val="none" w:color="auto"/>
          <w:lang w:eastAsia="zh-CN"/>
        </w:rPr>
      </w:pPr>
      <w:r>
        <w:rPr>
          <w:color w:val="auto"/>
          <w:highlight w:val="none"/>
          <w:u w:val="none" w:color="auto"/>
          <w:lang w:eastAsia="zh-CN"/>
        </w:rPr>
        <w:t>1.4 图面要求：图纸中各种做法、标注清晰明确，不同种类的标注字体需相对一致，其中包括图纸目录、图签、图纸的主要内容部</w:t>
      </w:r>
    </w:p>
    <w:p w14:paraId="22E63467">
      <w:pPr>
        <w:ind w:firstLine="369" w:firstLineChars="176"/>
        <w:rPr>
          <w:color w:val="auto"/>
          <w:highlight w:val="none"/>
          <w:u w:val="none" w:color="auto"/>
          <w:lang w:eastAsia="zh-CN"/>
        </w:rPr>
      </w:pPr>
      <w:r>
        <w:rPr>
          <w:color w:val="auto"/>
          <w:highlight w:val="none"/>
          <w:u w:val="none" w:color="auto"/>
          <w:lang w:eastAsia="zh-CN"/>
        </w:rPr>
        <w:t>2.内容说明</w:t>
      </w:r>
    </w:p>
    <w:p w14:paraId="5AD62ED6">
      <w:pPr>
        <w:ind w:firstLine="369" w:firstLineChars="176"/>
        <w:rPr>
          <w:color w:val="auto"/>
          <w:highlight w:val="none"/>
          <w:u w:val="none" w:color="auto"/>
          <w:lang w:eastAsia="zh-CN"/>
        </w:rPr>
      </w:pPr>
      <w:r>
        <w:rPr>
          <w:color w:val="auto"/>
          <w:highlight w:val="none"/>
          <w:u w:val="none" w:color="auto"/>
          <w:lang w:eastAsia="zh-CN"/>
        </w:rPr>
        <w:t>2.1 结构设计应遵循安全、合理、经济、先进的原则并满足建筑使用功能，设计时应进行多方案比选并与同类结构进行技术经济比较，优化结构设计。</w:t>
      </w:r>
    </w:p>
    <w:p w14:paraId="3708F156">
      <w:pPr>
        <w:ind w:firstLine="369" w:firstLineChars="176"/>
        <w:rPr>
          <w:color w:val="auto"/>
          <w:highlight w:val="none"/>
          <w:u w:val="none" w:color="auto"/>
          <w:lang w:eastAsia="zh-CN"/>
        </w:rPr>
      </w:pPr>
      <w:r>
        <w:rPr>
          <w:color w:val="auto"/>
          <w:highlight w:val="none"/>
          <w:u w:val="none" w:color="auto"/>
          <w:lang w:eastAsia="zh-CN"/>
        </w:rPr>
        <w:t>2.2 结构设计须在建筑方案设计阶段即开始介入和参与，并进行结构初步试算，综合考虑安全、合理、经济、先进等因素，对建筑方案提出专业意见与建议，为后续设计的顺利开展提供保证</w:t>
      </w:r>
      <w:r>
        <w:rPr>
          <w:rFonts w:hint="eastAsia"/>
          <w:color w:val="auto"/>
          <w:highlight w:val="none"/>
          <w:u w:val="none" w:color="auto"/>
          <w:lang w:eastAsia="zh-CN"/>
        </w:rPr>
        <w:t>，结构设计方案应综合考虑第四代住宅设计的特殊需求。</w:t>
      </w:r>
    </w:p>
    <w:p w14:paraId="28C1D667">
      <w:pPr>
        <w:ind w:firstLine="369" w:firstLineChars="176"/>
        <w:rPr>
          <w:color w:val="auto"/>
          <w:highlight w:val="none"/>
          <w:u w:val="none" w:color="auto"/>
          <w:lang w:eastAsia="zh-CN"/>
        </w:rPr>
      </w:pPr>
      <w:r>
        <w:rPr>
          <w:color w:val="auto"/>
          <w:highlight w:val="none"/>
          <w:u w:val="none" w:color="auto"/>
          <w:lang w:eastAsia="zh-CN"/>
        </w:rPr>
        <w:t>2.3 重视结构选型。经过方案优化，选用抗震作用及抗风性能好的结构体系和结构布置方案，选用的结构体系应受力明确、传力简捷、经济合理，尽量避免采用异形柱结构体系。</w:t>
      </w:r>
    </w:p>
    <w:p w14:paraId="14C51D0D">
      <w:pPr>
        <w:ind w:firstLine="369" w:firstLineChars="176"/>
        <w:rPr>
          <w:color w:val="auto"/>
          <w:highlight w:val="none"/>
          <w:u w:val="none" w:color="auto"/>
          <w:lang w:eastAsia="zh-CN"/>
        </w:rPr>
      </w:pPr>
      <w:r>
        <w:rPr>
          <w:color w:val="auto"/>
          <w:highlight w:val="none"/>
          <w:u w:val="none" w:color="auto"/>
          <w:lang w:eastAsia="zh-CN"/>
        </w:rPr>
        <w:t>一般情况下，结构形式应采用钢筋混凝土结构，如有特殊要求或需要而采用钢结构时，应坚持节省成本的原则，全面考虑结构方案、选材用材、节点设计、施工便捷、耐 久且便于维护等方面的因素进行设计。立面装饰构件、屋顶装饰构架不应采用钢构件，住宅入口雨篷不应采用玻璃雨篷。</w:t>
      </w:r>
    </w:p>
    <w:p w14:paraId="0A13B75E">
      <w:pPr>
        <w:ind w:firstLine="369" w:firstLineChars="176"/>
        <w:rPr>
          <w:color w:val="auto"/>
          <w:highlight w:val="none"/>
          <w:u w:val="none" w:color="auto"/>
          <w:lang w:eastAsia="zh-CN"/>
        </w:rPr>
      </w:pPr>
      <w:r>
        <w:rPr>
          <w:color w:val="auto"/>
          <w:highlight w:val="none"/>
          <w:u w:val="none" w:color="auto"/>
          <w:lang w:eastAsia="zh-CN"/>
        </w:rPr>
        <w:t>必须选择合适的计算假定、计算简图、计算方法及计算程序，对于重要高层结构、 复杂高层结构，应至少采用两个不同的力学模型的结构分析程序进行计算、分析和比较，并对计算结果的合理性进行判断，以保证结构的安全可靠。</w:t>
      </w:r>
    </w:p>
    <w:p w14:paraId="52CC15C5">
      <w:pPr>
        <w:ind w:firstLine="369" w:firstLineChars="176"/>
        <w:rPr>
          <w:color w:val="auto"/>
          <w:highlight w:val="none"/>
          <w:u w:val="none" w:color="auto"/>
          <w:lang w:eastAsia="zh-CN"/>
        </w:rPr>
      </w:pPr>
      <w:r>
        <w:rPr>
          <w:color w:val="auto"/>
          <w:highlight w:val="none"/>
          <w:u w:val="none" w:color="auto"/>
          <w:lang w:eastAsia="zh-CN"/>
        </w:rPr>
        <w:t>2.4 结构构造设计必须从概念设计入手，加强连接，保证结构有良好的整体性和延性、足够的强度和适当的刚度。</w:t>
      </w:r>
    </w:p>
    <w:p w14:paraId="25533717">
      <w:pPr>
        <w:ind w:firstLine="369" w:firstLineChars="176"/>
        <w:rPr>
          <w:color w:val="auto"/>
          <w:highlight w:val="none"/>
          <w:u w:val="none" w:color="auto"/>
          <w:lang w:eastAsia="zh-CN"/>
        </w:rPr>
      </w:pPr>
      <w:r>
        <w:rPr>
          <w:color w:val="auto"/>
          <w:highlight w:val="none"/>
          <w:u w:val="none" w:color="auto"/>
          <w:lang w:eastAsia="zh-CN"/>
        </w:rPr>
        <w:t>2.5 设计中应高度重视与建筑、设备专业以及施工单位的密切配合，根据功能要求选择安全适用、经济合理、便于施工的结构方案。</w:t>
      </w:r>
    </w:p>
    <w:p w14:paraId="7423D4EF">
      <w:pPr>
        <w:ind w:firstLine="369" w:firstLineChars="176"/>
        <w:rPr>
          <w:color w:val="auto"/>
          <w:highlight w:val="none"/>
          <w:u w:val="none" w:color="auto"/>
          <w:lang w:eastAsia="zh-CN"/>
        </w:rPr>
      </w:pPr>
      <w:r>
        <w:rPr>
          <w:color w:val="auto"/>
          <w:highlight w:val="none"/>
          <w:u w:val="none" w:color="auto"/>
          <w:lang w:eastAsia="zh-CN"/>
        </w:rPr>
        <w:t>2.6 结构的关键部位、薄弱部位以及施工操作有一定困难的部位或将来使用上可能有变化的部位，应采取加强措施，并在设计中适当留有余地，以策安全。</w:t>
      </w:r>
    </w:p>
    <w:p w14:paraId="3CE2B349">
      <w:pPr>
        <w:ind w:firstLine="369" w:firstLineChars="176"/>
        <w:rPr>
          <w:color w:val="auto"/>
          <w:highlight w:val="none"/>
          <w:u w:val="none" w:color="auto"/>
          <w:lang w:eastAsia="zh-CN"/>
        </w:rPr>
      </w:pPr>
      <w:r>
        <w:rPr>
          <w:color w:val="auto"/>
          <w:highlight w:val="none"/>
          <w:u w:val="none" w:color="auto"/>
          <w:lang w:eastAsia="zh-CN"/>
        </w:rPr>
        <w:t>2.7 在设计中选用构、配件标准图集和通用图集时，应按次序采用国家标准图，区 域标准图和省通用图，并应结合工程的具体情况，对构、配件的设计、计算和构造进行必要的复核和修正补充，以保证结构安全和经济合理。</w:t>
      </w:r>
    </w:p>
    <w:p w14:paraId="4D808F8D">
      <w:pPr>
        <w:ind w:firstLine="369" w:firstLineChars="176"/>
        <w:rPr>
          <w:color w:val="auto"/>
          <w:highlight w:val="none"/>
          <w:u w:val="none" w:color="auto"/>
          <w:lang w:eastAsia="zh-CN"/>
        </w:rPr>
      </w:pPr>
      <w:r>
        <w:rPr>
          <w:color w:val="auto"/>
          <w:highlight w:val="none"/>
          <w:u w:val="none" w:color="auto"/>
          <w:lang w:eastAsia="zh-CN"/>
        </w:rPr>
        <w:t>2.8 图纸中应标明沉降观测点的位置。</w:t>
      </w:r>
    </w:p>
    <w:p w14:paraId="08C52D6B">
      <w:pPr>
        <w:ind w:firstLine="369" w:firstLineChars="176"/>
        <w:rPr>
          <w:color w:val="auto"/>
          <w:highlight w:val="none"/>
          <w:u w:val="none" w:color="auto"/>
          <w:lang w:eastAsia="zh-CN"/>
        </w:rPr>
      </w:pPr>
      <w:r>
        <w:rPr>
          <w:color w:val="auto"/>
          <w:highlight w:val="none"/>
          <w:u w:val="none" w:color="auto"/>
          <w:lang w:eastAsia="zh-CN"/>
        </w:rPr>
        <w:t>2.9  项目中建筑需提供两种以上地基基础方案，进行成本及方案对比选型。</w:t>
      </w:r>
    </w:p>
    <w:p w14:paraId="7092E2EC">
      <w:pPr>
        <w:ind w:firstLine="369" w:firstLineChars="176"/>
        <w:rPr>
          <w:color w:val="auto"/>
          <w:highlight w:val="none"/>
          <w:u w:val="none" w:color="auto"/>
          <w:lang w:eastAsia="zh-CN"/>
        </w:rPr>
      </w:pPr>
      <w:r>
        <w:rPr>
          <w:color w:val="auto"/>
          <w:highlight w:val="none"/>
          <w:u w:val="none" w:color="auto"/>
          <w:lang w:eastAsia="zh-CN"/>
        </w:rPr>
        <w:t>2.10 根据车库柱网布置方案，进行梁板布置方案的经济合理性比对（考虑高强度钢筋的应用）。</w:t>
      </w:r>
    </w:p>
    <w:p w14:paraId="305D641C">
      <w:pPr>
        <w:pStyle w:val="3"/>
        <w:ind w:firstLine="565" w:firstLineChars="176"/>
        <w:rPr>
          <w:color w:val="auto"/>
          <w:highlight w:val="none"/>
          <w:u w:val="none" w:color="auto"/>
        </w:rPr>
      </w:pPr>
      <w:r>
        <w:rPr>
          <w:color w:val="auto"/>
          <w:highlight w:val="none"/>
          <w:u w:val="none" w:color="auto"/>
        </w:rPr>
        <w:t>二、设计限额</w:t>
      </w:r>
    </w:p>
    <w:p w14:paraId="5CDE6882">
      <w:pPr>
        <w:rPr>
          <w:color w:val="auto"/>
          <w:highlight w:val="none"/>
          <w:u w:val="none" w:color="auto"/>
        </w:rPr>
      </w:pPr>
    </w:p>
    <w:tbl>
      <w:tblPr>
        <w:tblStyle w:val="924"/>
        <w:tblW w:w="929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88"/>
        <w:gridCol w:w="2808"/>
        <w:gridCol w:w="1440"/>
        <w:gridCol w:w="1731"/>
        <w:gridCol w:w="1925"/>
      </w:tblGrid>
      <w:tr w14:paraId="7FEF00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4" w:hRule="atLeast"/>
        </w:trPr>
        <w:tc>
          <w:tcPr>
            <w:tcW w:w="1388" w:type="dxa"/>
            <w:vAlign w:val="center"/>
          </w:tcPr>
          <w:p w14:paraId="1A0266E7">
            <w:pPr>
              <w:jc w:val="center"/>
              <w:rPr>
                <w:snapToGrid w:val="0"/>
                <w:color w:val="auto"/>
                <w:sz w:val="21"/>
                <w:highlight w:val="none"/>
                <w:u w:val="none" w:color="auto"/>
              </w:rPr>
            </w:pPr>
            <w:r>
              <w:rPr>
                <w:snapToGrid w:val="0"/>
                <w:color w:val="auto"/>
                <w:sz w:val="21"/>
                <w:highlight w:val="none"/>
                <w:u w:val="none" w:color="auto"/>
              </w:rPr>
              <w:t>部位</w:t>
            </w:r>
          </w:p>
        </w:tc>
        <w:tc>
          <w:tcPr>
            <w:tcW w:w="2808" w:type="dxa"/>
            <w:vAlign w:val="center"/>
          </w:tcPr>
          <w:p w14:paraId="199F7E2E">
            <w:pPr>
              <w:jc w:val="center"/>
              <w:rPr>
                <w:snapToGrid w:val="0"/>
                <w:color w:val="auto"/>
                <w:sz w:val="21"/>
                <w:highlight w:val="none"/>
                <w:u w:val="none" w:color="auto"/>
              </w:rPr>
            </w:pPr>
            <w:r>
              <w:rPr>
                <w:snapToGrid w:val="0"/>
                <w:color w:val="auto"/>
                <w:sz w:val="21"/>
                <w:highlight w:val="none"/>
                <w:u w:val="none" w:color="auto"/>
              </w:rPr>
              <w:t>产品形态（住宅）</w:t>
            </w:r>
          </w:p>
        </w:tc>
        <w:tc>
          <w:tcPr>
            <w:tcW w:w="1440" w:type="dxa"/>
            <w:tcBorders>
              <w:bottom w:val="single" w:color="000000" w:sz="2" w:space="0"/>
            </w:tcBorders>
            <w:vAlign w:val="center"/>
          </w:tcPr>
          <w:p w14:paraId="77FA4ADE">
            <w:pPr>
              <w:jc w:val="center"/>
              <w:rPr>
                <w:snapToGrid w:val="0"/>
                <w:color w:val="auto"/>
                <w:sz w:val="21"/>
                <w:highlight w:val="none"/>
                <w:u w:val="none" w:color="auto"/>
              </w:rPr>
            </w:pPr>
            <w:r>
              <w:rPr>
                <w:snapToGrid w:val="0"/>
                <w:color w:val="auto"/>
                <w:sz w:val="21"/>
                <w:highlight w:val="none"/>
                <w:u w:val="none" w:color="auto"/>
              </w:rPr>
              <w:t>结构型式</w:t>
            </w:r>
          </w:p>
        </w:tc>
        <w:tc>
          <w:tcPr>
            <w:tcW w:w="1731" w:type="dxa"/>
            <w:vAlign w:val="center"/>
          </w:tcPr>
          <w:p w14:paraId="702BBCCB">
            <w:pPr>
              <w:jc w:val="center"/>
              <w:rPr>
                <w:snapToGrid w:val="0"/>
                <w:color w:val="auto"/>
                <w:sz w:val="21"/>
                <w:highlight w:val="none"/>
                <w:u w:val="none" w:color="auto"/>
              </w:rPr>
            </w:pPr>
            <w:r>
              <w:rPr>
                <w:snapToGrid w:val="0"/>
                <w:color w:val="auto"/>
                <w:sz w:val="21"/>
                <w:highlight w:val="none"/>
                <w:u w:val="none" w:color="auto"/>
              </w:rPr>
              <w:t>钢筋用量</w:t>
            </w:r>
          </w:p>
          <w:p w14:paraId="7A5EC62D">
            <w:pPr>
              <w:jc w:val="center"/>
              <w:rPr>
                <w:snapToGrid w:val="0"/>
                <w:color w:val="auto"/>
                <w:sz w:val="21"/>
                <w:highlight w:val="none"/>
                <w:u w:val="none" w:color="auto"/>
              </w:rPr>
            </w:pPr>
            <w:r>
              <w:rPr>
                <w:snapToGrid w:val="0"/>
                <w:color w:val="auto"/>
                <w:sz w:val="21"/>
                <w:highlight w:val="none"/>
                <w:u w:val="none" w:color="auto"/>
              </w:rPr>
              <w:t>（kg/m2）</w:t>
            </w:r>
          </w:p>
        </w:tc>
        <w:tc>
          <w:tcPr>
            <w:tcW w:w="1925" w:type="dxa"/>
            <w:vAlign w:val="center"/>
          </w:tcPr>
          <w:p w14:paraId="67EA82F5">
            <w:pPr>
              <w:jc w:val="center"/>
              <w:rPr>
                <w:snapToGrid w:val="0"/>
                <w:color w:val="auto"/>
                <w:sz w:val="21"/>
                <w:highlight w:val="none"/>
                <w:u w:val="none" w:color="auto"/>
              </w:rPr>
            </w:pPr>
            <w:r>
              <w:rPr>
                <w:snapToGrid w:val="0"/>
                <w:color w:val="auto"/>
                <w:sz w:val="21"/>
                <w:highlight w:val="none"/>
                <w:u w:val="none" w:color="auto"/>
              </w:rPr>
              <w:t>混凝土用量 （kg/m2）</w:t>
            </w:r>
          </w:p>
        </w:tc>
      </w:tr>
      <w:tr w14:paraId="3FEF5F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4" w:hRule="atLeast"/>
        </w:trPr>
        <w:tc>
          <w:tcPr>
            <w:tcW w:w="1388" w:type="dxa"/>
            <w:vMerge w:val="restart"/>
            <w:tcBorders>
              <w:bottom w:val="nil"/>
            </w:tcBorders>
            <w:vAlign w:val="center"/>
          </w:tcPr>
          <w:p w14:paraId="5ADCB416">
            <w:pPr>
              <w:jc w:val="center"/>
              <w:rPr>
                <w:snapToGrid w:val="0"/>
                <w:color w:val="auto"/>
                <w:sz w:val="21"/>
                <w:highlight w:val="none"/>
                <w:u w:val="none" w:color="auto"/>
              </w:rPr>
            </w:pPr>
            <w:r>
              <w:rPr>
                <w:snapToGrid w:val="0"/>
                <w:color w:val="auto"/>
                <w:sz w:val="21"/>
                <w:highlight w:val="none"/>
                <w:u w:val="none" w:color="auto"/>
              </w:rPr>
              <w:t>标准层</w:t>
            </w:r>
          </w:p>
        </w:tc>
        <w:tc>
          <w:tcPr>
            <w:tcW w:w="2808" w:type="dxa"/>
            <w:vAlign w:val="center"/>
          </w:tcPr>
          <w:p w14:paraId="5A9E4CFC">
            <w:pPr>
              <w:spacing w:line="240" w:lineRule="auto"/>
              <w:jc w:val="center"/>
              <w:rPr>
                <w:snapToGrid w:val="0"/>
                <w:color w:val="auto"/>
                <w:sz w:val="21"/>
                <w:highlight w:val="none"/>
                <w:u w:val="none" w:color="auto"/>
              </w:rPr>
            </w:pPr>
            <w:r>
              <w:rPr>
                <w:snapToGrid w:val="0"/>
                <w:color w:val="auto"/>
                <w:sz w:val="21"/>
                <w:highlight w:val="none"/>
                <w:u w:val="none" w:color="auto"/>
              </w:rPr>
              <w:t>8 层以下(≤24m）</w:t>
            </w:r>
          </w:p>
        </w:tc>
        <w:tc>
          <w:tcPr>
            <w:tcW w:w="1440" w:type="dxa"/>
            <w:vMerge w:val="restart"/>
            <w:vAlign w:val="center"/>
          </w:tcPr>
          <w:p w14:paraId="44E30823">
            <w:pPr>
              <w:spacing w:line="240" w:lineRule="auto"/>
              <w:jc w:val="center"/>
              <w:rPr>
                <w:snapToGrid w:val="0"/>
                <w:color w:val="auto"/>
                <w:sz w:val="21"/>
                <w:highlight w:val="none"/>
                <w:u w:val="none" w:color="auto"/>
              </w:rPr>
            </w:pPr>
            <w:r>
              <w:rPr>
                <w:snapToGrid w:val="0"/>
                <w:color w:val="auto"/>
                <w:sz w:val="21"/>
                <w:highlight w:val="none"/>
                <w:u w:val="none" w:color="auto"/>
              </w:rPr>
              <w:t>剪力墙</w:t>
            </w:r>
          </w:p>
        </w:tc>
        <w:tc>
          <w:tcPr>
            <w:tcW w:w="1731" w:type="dxa"/>
            <w:vAlign w:val="center"/>
          </w:tcPr>
          <w:p w14:paraId="6A985D97">
            <w:pPr>
              <w:spacing w:line="240" w:lineRule="auto"/>
              <w:jc w:val="center"/>
              <w:rPr>
                <w:b/>
                <w:snapToGrid w:val="0"/>
                <w:color w:val="auto"/>
                <w:sz w:val="21"/>
                <w:highlight w:val="none"/>
                <w:u w:val="none" w:color="auto"/>
              </w:rPr>
            </w:pPr>
            <w:r>
              <w:rPr>
                <w:b/>
                <w:snapToGrid w:val="0"/>
                <w:color w:val="auto"/>
                <w:sz w:val="21"/>
                <w:highlight w:val="none"/>
                <w:u w:val="none" w:color="auto"/>
              </w:rPr>
              <w:t>45</w:t>
            </w:r>
          </w:p>
        </w:tc>
        <w:tc>
          <w:tcPr>
            <w:tcW w:w="1925" w:type="dxa"/>
            <w:vAlign w:val="center"/>
          </w:tcPr>
          <w:p w14:paraId="3E1153D8">
            <w:pPr>
              <w:spacing w:line="240" w:lineRule="auto"/>
              <w:jc w:val="center"/>
              <w:rPr>
                <w:b/>
                <w:snapToGrid w:val="0"/>
                <w:color w:val="auto"/>
                <w:sz w:val="21"/>
                <w:highlight w:val="none"/>
                <w:u w:val="none" w:color="auto"/>
              </w:rPr>
            </w:pPr>
            <w:r>
              <w:rPr>
                <w:b/>
                <w:snapToGrid w:val="0"/>
                <w:color w:val="auto"/>
                <w:sz w:val="21"/>
                <w:highlight w:val="none"/>
                <w:u w:val="none" w:color="auto"/>
              </w:rPr>
              <w:t>0.37</w:t>
            </w:r>
          </w:p>
        </w:tc>
      </w:tr>
      <w:tr w14:paraId="1009D2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4" w:hRule="atLeast"/>
        </w:trPr>
        <w:tc>
          <w:tcPr>
            <w:tcW w:w="1388" w:type="dxa"/>
            <w:vMerge w:val="continue"/>
            <w:tcBorders>
              <w:top w:val="nil"/>
              <w:bottom w:val="nil"/>
            </w:tcBorders>
            <w:vAlign w:val="center"/>
          </w:tcPr>
          <w:p w14:paraId="03928759">
            <w:pPr>
              <w:jc w:val="center"/>
              <w:rPr>
                <w:snapToGrid w:val="0"/>
                <w:color w:val="auto"/>
                <w:sz w:val="21"/>
                <w:highlight w:val="none"/>
                <w:u w:val="none" w:color="auto"/>
              </w:rPr>
            </w:pPr>
          </w:p>
        </w:tc>
        <w:tc>
          <w:tcPr>
            <w:tcW w:w="2808" w:type="dxa"/>
            <w:vAlign w:val="center"/>
          </w:tcPr>
          <w:p w14:paraId="3756F5CD">
            <w:pPr>
              <w:spacing w:line="240" w:lineRule="auto"/>
              <w:jc w:val="center"/>
              <w:rPr>
                <w:snapToGrid w:val="0"/>
                <w:color w:val="auto"/>
                <w:sz w:val="21"/>
                <w:highlight w:val="none"/>
                <w:u w:val="none" w:color="auto"/>
              </w:rPr>
            </w:pPr>
            <w:r>
              <w:rPr>
                <w:snapToGrid w:val="0"/>
                <w:color w:val="auto"/>
                <w:sz w:val="21"/>
                <w:highlight w:val="none"/>
                <w:u w:val="none" w:color="auto"/>
              </w:rPr>
              <w:t>19 层以下(≤60 米）</w:t>
            </w:r>
          </w:p>
        </w:tc>
        <w:tc>
          <w:tcPr>
            <w:tcW w:w="1440" w:type="dxa"/>
            <w:vMerge w:val="continue"/>
            <w:tcBorders>
              <w:bottom w:val="single" w:color="000000" w:sz="2" w:space="0"/>
            </w:tcBorders>
            <w:vAlign w:val="center"/>
          </w:tcPr>
          <w:p w14:paraId="47FC5C36">
            <w:pPr>
              <w:spacing w:line="240" w:lineRule="auto"/>
              <w:jc w:val="center"/>
              <w:rPr>
                <w:snapToGrid w:val="0"/>
                <w:color w:val="auto"/>
                <w:sz w:val="21"/>
                <w:highlight w:val="none"/>
                <w:u w:val="none" w:color="auto"/>
              </w:rPr>
            </w:pPr>
          </w:p>
        </w:tc>
        <w:tc>
          <w:tcPr>
            <w:tcW w:w="1731" w:type="dxa"/>
            <w:vAlign w:val="center"/>
          </w:tcPr>
          <w:p w14:paraId="79F43DFA">
            <w:pPr>
              <w:spacing w:line="240" w:lineRule="auto"/>
              <w:jc w:val="center"/>
              <w:rPr>
                <w:b/>
                <w:snapToGrid w:val="0"/>
                <w:color w:val="auto"/>
                <w:sz w:val="21"/>
                <w:highlight w:val="none"/>
                <w:u w:val="none" w:color="auto"/>
              </w:rPr>
            </w:pPr>
            <w:r>
              <w:rPr>
                <w:b/>
                <w:snapToGrid w:val="0"/>
                <w:color w:val="auto"/>
                <w:sz w:val="21"/>
                <w:highlight w:val="none"/>
                <w:u w:val="none" w:color="auto"/>
              </w:rPr>
              <w:t>47</w:t>
            </w:r>
          </w:p>
        </w:tc>
        <w:tc>
          <w:tcPr>
            <w:tcW w:w="1925" w:type="dxa"/>
            <w:vAlign w:val="center"/>
          </w:tcPr>
          <w:p w14:paraId="7A723BB9">
            <w:pPr>
              <w:spacing w:line="240" w:lineRule="auto"/>
              <w:jc w:val="center"/>
              <w:rPr>
                <w:b/>
                <w:snapToGrid w:val="0"/>
                <w:color w:val="auto"/>
                <w:sz w:val="21"/>
                <w:highlight w:val="none"/>
                <w:u w:val="none" w:color="auto"/>
              </w:rPr>
            </w:pPr>
            <w:r>
              <w:rPr>
                <w:b/>
                <w:snapToGrid w:val="0"/>
                <w:color w:val="auto"/>
                <w:sz w:val="21"/>
                <w:highlight w:val="none"/>
                <w:u w:val="none" w:color="auto"/>
              </w:rPr>
              <w:t>0.39</w:t>
            </w:r>
          </w:p>
        </w:tc>
      </w:tr>
      <w:tr w14:paraId="725CA5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4" w:hRule="atLeast"/>
        </w:trPr>
        <w:tc>
          <w:tcPr>
            <w:tcW w:w="1388" w:type="dxa"/>
            <w:vMerge w:val="restart"/>
            <w:tcBorders>
              <w:bottom w:val="nil"/>
            </w:tcBorders>
            <w:vAlign w:val="center"/>
          </w:tcPr>
          <w:p w14:paraId="0707D972">
            <w:pPr>
              <w:jc w:val="center"/>
              <w:rPr>
                <w:snapToGrid w:val="0"/>
                <w:color w:val="auto"/>
                <w:sz w:val="21"/>
                <w:highlight w:val="none"/>
                <w:u w:val="none" w:color="auto"/>
              </w:rPr>
            </w:pPr>
            <w:r>
              <w:rPr>
                <w:snapToGrid w:val="0"/>
                <w:color w:val="auto"/>
                <w:sz w:val="21"/>
                <w:highlight w:val="none"/>
                <w:u w:val="none" w:color="auto"/>
              </w:rPr>
              <w:t>车库</w:t>
            </w:r>
          </w:p>
          <w:p w14:paraId="4A283A1A">
            <w:pPr>
              <w:jc w:val="center"/>
              <w:rPr>
                <w:snapToGrid w:val="0"/>
                <w:color w:val="auto"/>
                <w:sz w:val="21"/>
                <w:highlight w:val="none"/>
                <w:u w:val="none" w:color="auto"/>
              </w:rPr>
            </w:pPr>
            <w:r>
              <w:rPr>
                <w:snapToGrid w:val="0"/>
                <w:color w:val="auto"/>
                <w:sz w:val="21"/>
                <w:highlight w:val="none"/>
                <w:u w:val="none" w:color="auto"/>
              </w:rPr>
              <w:t>（非人防）</w:t>
            </w:r>
          </w:p>
        </w:tc>
        <w:tc>
          <w:tcPr>
            <w:tcW w:w="2808" w:type="dxa"/>
            <w:vAlign w:val="center"/>
          </w:tcPr>
          <w:p w14:paraId="0D58D116">
            <w:pPr>
              <w:spacing w:line="240" w:lineRule="auto"/>
              <w:jc w:val="center"/>
              <w:rPr>
                <w:snapToGrid w:val="0"/>
                <w:color w:val="auto"/>
                <w:sz w:val="21"/>
                <w:highlight w:val="none"/>
                <w:u w:val="none" w:color="auto"/>
              </w:rPr>
            </w:pPr>
            <w:r>
              <w:rPr>
                <w:snapToGrid w:val="0"/>
                <w:color w:val="auto"/>
                <w:sz w:val="21"/>
                <w:highlight w:val="none"/>
                <w:u w:val="none" w:color="auto"/>
              </w:rPr>
              <w:t>一层</w:t>
            </w:r>
          </w:p>
        </w:tc>
        <w:tc>
          <w:tcPr>
            <w:tcW w:w="1440" w:type="dxa"/>
            <w:vMerge w:val="restart"/>
            <w:tcBorders>
              <w:top w:val="single" w:color="000000" w:sz="2" w:space="0"/>
              <w:bottom w:val="nil"/>
            </w:tcBorders>
            <w:vAlign w:val="center"/>
          </w:tcPr>
          <w:p w14:paraId="55E9811F">
            <w:pPr>
              <w:spacing w:line="240" w:lineRule="auto"/>
              <w:jc w:val="center"/>
              <w:rPr>
                <w:snapToGrid w:val="0"/>
                <w:color w:val="auto"/>
                <w:sz w:val="21"/>
                <w:highlight w:val="none"/>
                <w:u w:val="none" w:color="auto"/>
              </w:rPr>
            </w:pPr>
            <w:r>
              <w:rPr>
                <w:snapToGrid w:val="0"/>
                <w:color w:val="auto"/>
                <w:sz w:val="21"/>
                <w:highlight w:val="none"/>
                <w:u w:val="none" w:color="auto"/>
              </w:rPr>
              <w:t>框架</w:t>
            </w:r>
          </w:p>
        </w:tc>
        <w:tc>
          <w:tcPr>
            <w:tcW w:w="1731" w:type="dxa"/>
            <w:vAlign w:val="center"/>
          </w:tcPr>
          <w:p w14:paraId="0A8CFEAA">
            <w:pPr>
              <w:spacing w:line="240" w:lineRule="auto"/>
              <w:jc w:val="center"/>
              <w:rPr>
                <w:b/>
                <w:snapToGrid w:val="0"/>
                <w:color w:val="auto"/>
                <w:sz w:val="21"/>
                <w:highlight w:val="none"/>
                <w:u w:val="none" w:color="auto"/>
              </w:rPr>
            </w:pPr>
            <w:r>
              <w:rPr>
                <w:b/>
                <w:snapToGrid w:val="0"/>
                <w:color w:val="auto"/>
                <w:sz w:val="21"/>
                <w:highlight w:val="none"/>
                <w:u w:val="none" w:color="auto"/>
              </w:rPr>
              <w:t>115</w:t>
            </w:r>
          </w:p>
        </w:tc>
        <w:tc>
          <w:tcPr>
            <w:tcW w:w="1925" w:type="dxa"/>
            <w:vAlign w:val="center"/>
          </w:tcPr>
          <w:p w14:paraId="7E770A39">
            <w:pPr>
              <w:spacing w:line="240" w:lineRule="auto"/>
              <w:jc w:val="center"/>
              <w:rPr>
                <w:b/>
                <w:snapToGrid w:val="0"/>
                <w:color w:val="auto"/>
                <w:sz w:val="21"/>
                <w:highlight w:val="none"/>
                <w:u w:val="none" w:color="auto"/>
              </w:rPr>
            </w:pPr>
            <w:r>
              <w:rPr>
                <w:b/>
                <w:snapToGrid w:val="0"/>
                <w:color w:val="auto"/>
                <w:sz w:val="21"/>
                <w:highlight w:val="none"/>
                <w:u w:val="none" w:color="auto"/>
              </w:rPr>
              <w:t>1.0</w:t>
            </w:r>
          </w:p>
        </w:tc>
      </w:tr>
      <w:tr w14:paraId="7563C2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4" w:hRule="atLeast"/>
        </w:trPr>
        <w:tc>
          <w:tcPr>
            <w:tcW w:w="1388" w:type="dxa"/>
            <w:vMerge w:val="continue"/>
            <w:tcBorders>
              <w:top w:val="nil"/>
            </w:tcBorders>
            <w:vAlign w:val="center"/>
          </w:tcPr>
          <w:p w14:paraId="76D4C965">
            <w:pPr>
              <w:jc w:val="center"/>
              <w:rPr>
                <w:snapToGrid w:val="0"/>
                <w:color w:val="auto"/>
                <w:sz w:val="21"/>
                <w:highlight w:val="none"/>
                <w:u w:val="none" w:color="auto"/>
              </w:rPr>
            </w:pPr>
          </w:p>
        </w:tc>
        <w:tc>
          <w:tcPr>
            <w:tcW w:w="2808" w:type="dxa"/>
            <w:vAlign w:val="center"/>
          </w:tcPr>
          <w:p w14:paraId="673FB499">
            <w:pPr>
              <w:spacing w:line="240" w:lineRule="auto"/>
              <w:jc w:val="center"/>
              <w:rPr>
                <w:snapToGrid w:val="0"/>
                <w:color w:val="auto"/>
                <w:sz w:val="21"/>
                <w:highlight w:val="none"/>
                <w:u w:val="none" w:color="auto"/>
              </w:rPr>
            </w:pPr>
            <w:r>
              <w:rPr>
                <w:snapToGrid w:val="0"/>
                <w:color w:val="auto"/>
                <w:sz w:val="21"/>
                <w:highlight w:val="none"/>
                <w:u w:val="none" w:color="auto"/>
              </w:rPr>
              <w:t>两层</w:t>
            </w:r>
          </w:p>
        </w:tc>
        <w:tc>
          <w:tcPr>
            <w:tcW w:w="1440" w:type="dxa"/>
            <w:vMerge w:val="continue"/>
            <w:tcBorders>
              <w:top w:val="nil"/>
              <w:bottom w:val="nil"/>
            </w:tcBorders>
            <w:vAlign w:val="center"/>
          </w:tcPr>
          <w:p w14:paraId="212B5B08">
            <w:pPr>
              <w:spacing w:line="240" w:lineRule="auto"/>
              <w:jc w:val="center"/>
              <w:rPr>
                <w:snapToGrid w:val="0"/>
                <w:color w:val="auto"/>
                <w:sz w:val="21"/>
                <w:highlight w:val="none"/>
                <w:u w:val="none" w:color="auto"/>
              </w:rPr>
            </w:pPr>
          </w:p>
        </w:tc>
        <w:tc>
          <w:tcPr>
            <w:tcW w:w="1731" w:type="dxa"/>
            <w:vAlign w:val="center"/>
          </w:tcPr>
          <w:p w14:paraId="666E051B">
            <w:pPr>
              <w:spacing w:line="240" w:lineRule="auto"/>
              <w:jc w:val="center"/>
              <w:rPr>
                <w:b/>
                <w:snapToGrid w:val="0"/>
                <w:color w:val="auto"/>
                <w:sz w:val="21"/>
                <w:highlight w:val="none"/>
                <w:u w:val="none" w:color="auto"/>
              </w:rPr>
            </w:pPr>
            <w:r>
              <w:rPr>
                <w:b/>
                <w:snapToGrid w:val="0"/>
                <w:color w:val="auto"/>
                <w:sz w:val="21"/>
                <w:highlight w:val="none"/>
                <w:u w:val="none" w:color="auto"/>
              </w:rPr>
              <w:t>100</w:t>
            </w:r>
          </w:p>
        </w:tc>
        <w:tc>
          <w:tcPr>
            <w:tcW w:w="1925" w:type="dxa"/>
            <w:vAlign w:val="center"/>
          </w:tcPr>
          <w:p w14:paraId="5BCD671F">
            <w:pPr>
              <w:spacing w:line="240" w:lineRule="auto"/>
              <w:jc w:val="center"/>
              <w:rPr>
                <w:b/>
                <w:snapToGrid w:val="0"/>
                <w:color w:val="auto"/>
                <w:sz w:val="21"/>
                <w:highlight w:val="none"/>
                <w:u w:val="none" w:color="auto"/>
              </w:rPr>
            </w:pPr>
            <w:r>
              <w:rPr>
                <w:b/>
                <w:snapToGrid w:val="0"/>
                <w:color w:val="auto"/>
                <w:sz w:val="21"/>
                <w:highlight w:val="none"/>
                <w:u w:val="none" w:color="auto"/>
              </w:rPr>
              <w:t>0.9</w:t>
            </w:r>
          </w:p>
        </w:tc>
      </w:tr>
      <w:tr w14:paraId="5B8E13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4" w:hRule="atLeast"/>
        </w:trPr>
        <w:tc>
          <w:tcPr>
            <w:tcW w:w="1388" w:type="dxa"/>
            <w:vMerge w:val="restart"/>
            <w:tcBorders>
              <w:bottom w:val="nil"/>
            </w:tcBorders>
            <w:vAlign w:val="center"/>
          </w:tcPr>
          <w:p w14:paraId="4D37C375">
            <w:pPr>
              <w:jc w:val="center"/>
              <w:rPr>
                <w:snapToGrid w:val="0"/>
                <w:color w:val="auto"/>
                <w:sz w:val="21"/>
                <w:highlight w:val="none"/>
                <w:u w:val="none" w:color="auto"/>
              </w:rPr>
            </w:pPr>
            <w:r>
              <w:rPr>
                <w:snapToGrid w:val="0"/>
                <w:color w:val="auto"/>
                <w:sz w:val="21"/>
                <w:highlight w:val="none"/>
                <w:u w:val="none" w:color="auto"/>
              </w:rPr>
              <w:t>车库</w:t>
            </w:r>
          </w:p>
          <w:p w14:paraId="524CAE71">
            <w:pPr>
              <w:jc w:val="center"/>
              <w:rPr>
                <w:snapToGrid w:val="0"/>
                <w:color w:val="auto"/>
                <w:sz w:val="21"/>
                <w:highlight w:val="none"/>
                <w:u w:val="none" w:color="auto"/>
              </w:rPr>
            </w:pPr>
            <w:r>
              <w:rPr>
                <w:snapToGrid w:val="0"/>
                <w:color w:val="auto"/>
                <w:sz w:val="21"/>
                <w:highlight w:val="none"/>
                <w:u w:val="none" w:color="auto"/>
              </w:rPr>
              <w:t>（人防）</w:t>
            </w:r>
          </w:p>
        </w:tc>
        <w:tc>
          <w:tcPr>
            <w:tcW w:w="2808" w:type="dxa"/>
            <w:vAlign w:val="center"/>
          </w:tcPr>
          <w:p w14:paraId="7EB00803">
            <w:pPr>
              <w:spacing w:line="240" w:lineRule="auto"/>
              <w:jc w:val="center"/>
              <w:rPr>
                <w:snapToGrid w:val="0"/>
                <w:color w:val="auto"/>
                <w:sz w:val="21"/>
                <w:highlight w:val="none"/>
                <w:u w:val="none" w:color="auto"/>
              </w:rPr>
            </w:pPr>
            <w:r>
              <w:rPr>
                <w:snapToGrid w:val="0"/>
                <w:color w:val="auto"/>
                <w:sz w:val="21"/>
                <w:highlight w:val="none"/>
                <w:u w:val="none" w:color="auto"/>
              </w:rPr>
              <w:t>一层</w:t>
            </w:r>
          </w:p>
        </w:tc>
        <w:tc>
          <w:tcPr>
            <w:tcW w:w="1440" w:type="dxa"/>
            <w:vMerge w:val="continue"/>
            <w:tcBorders>
              <w:top w:val="nil"/>
              <w:bottom w:val="nil"/>
            </w:tcBorders>
            <w:vAlign w:val="center"/>
          </w:tcPr>
          <w:p w14:paraId="57A87DEF">
            <w:pPr>
              <w:spacing w:line="240" w:lineRule="auto"/>
              <w:jc w:val="center"/>
              <w:rPr>
                <w:snapToGrid w:val="0"/>
                <w:color w:val="auto"/>
                <w:sz w:val="21"/>
                <w:highlight w:val="none"/>
                <w:u w:val="none" w:color="auto"/>
              </w:rPr>
            </w:pPr>
          </w:p>
        </w:tc>
        <w:tc>
          <w:tcPr>
            <w:tcW w:w="1731" w:type="dxa"/>
            <w:vAlign w:val="center"/>
          </w:tcPr>
          <w:p w14:paraId="1CC04173">
            <w:pPr>
              <w:spacing w:line="240" w:lineRule="auto"/>
              <w:jc w:val="center"/>
              <w:rPr>
                <w:b/>
                <w:snapToGrid w:val="0"/>
                <w:color w:val="auto"/>
                <w:sz w:val="21"/>
                <w:highlight w:val="none"/>
                <w:u w:val="none" w:color="auto"/>
              </w:rPr>
            </w:pPr>
            <w:r>
              <w:rPr>
                <w:b/>
                <w:snapToGrid w:val="0"/>
                <w:color w:val="auto"/>
                <w:sz w:val="21"/>
                <w:highlight w:val="none"/>
                <w:u w:val="none" w:color="auto"/>
              </w:rPr>
              <w:t>145</w:t>
            </w:r>
          </w:p>
        </w:tc>
        <w:tc>
          <w:tcPr>
            <w:tcW w:w="1925" w:type="dxa"/>
            <w:vAlign w:val="center"/>
          </w:tcPr>
          <w:p w14:paraId="3BB20EE1">
            <w:pPr>
              <w:spacing w:line="240" w:lineRule="auto"/>
              <w:jc w:val="center"/>
              <w:rPr>
                <w:b/>
                <w:snapToGrid w:val="0"/>
                <w:color w:val="auto"/>
                <w:sz w:val="21"/>
                <w:highlight w:val="none"/>
                <w:u w:val="none" w:color="auto"/>
              </w:rPr>
            </w:pPr>
            <w:r>
              <w:rPr>
                <w:b/>
                <w:snapToGrid w:val="0"/>
                <w:color w:val="auto"/>
                <w:sz w:val="21"/>
                <w:highlight w:val="none"/>
                <w:u w:val="none" w:color="auto"/>
              </w:rPr>
              <w:t>1.25</w:t>
            </w:r>
          </w:p>
        </w:tc>
      </w:tr>
      <w:tr w14:paraId="6B0840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4" w:hRule="atLeast"/>
        </w:trPr>
        <w:tc>
          <w:tcPr>
            <w:tcW w:w="1388" w:type="dxa"/>
            <w:vMerge w:val="continue"/>
            <w:tcBorders>
              <w:top w:val="nil"/>
            </w:tcBorders>
            <w:vAlign w:val="center"/>
          </w:tcPr>
          <w:p w14:paraId="4CDCD7E4">
            <w:pPr>
              <w:jc w:val="center"/>
              <w:rPr>
                <w:snapToGrid w:val="0"/>
                <w:color w:val="auto"/>
                <w:sz w:val="21"/>
                <w:highlight w:val="none"/>
                <w:u w:val="none" w:color="auto"/>
              </w:rPr>
            </w:pPr>
          </w:p>
        </w:tc>
        <w:tc>
          <w:tcPr>
            <w:tcW w:w="2808" w:type="dxa"/>
            <w:vAlign w:val="center"/>
          </w:tcPr>
          <w:p w14:paraId="1F4EEE94">
            <w:pPr>
              <w:spacing w:line="240" w:lineRule="auto"/>
              <w:jc w:val="center"/>
              <w:rPr>
                <w:snapToGrid w:val="0"/>
                <w:color w:val="auto"/>
                <w:sz w:val="21"/>
                <w:highlight w:val="none"/>
                <w:u w:val="none" w:color="auto"/>
              </w:rPr>
            </w:pPr>
            <w:r>
              <w:rPr>
                <w:snapToGrid w:val="0"/>
                <w:color w:val="auto"/>
                <w:sz w:val="21"/>
                <w:highlight w:val="none"/>
                <w:u w:val="none" w:color="auto"/>
              </w:rPr>
              <w:t>两层</w:t>
            </w:r>
          </w:p>
        </w:tc>
        <w:tc>
          <w:tcPr>
            <w:tcW w:w="1440" w:type="dxa"/>
            <w:vMerge w:val="continue"/>
            <w:tcBorders>
              <w:top w:val="nil"/>
            </w:tcBorders>
            <w:vAlign w:val="center"/>
          </w:tcPr>
          <w:p w14:paraId="7CF3C3B4">
            <w:pPr>
              <w:spacing w:line="240" w:lineRule="auto"/>
              <w:jc w:val="center"/>
              <w:rPr>
                <w:snapToGrid w:val="0"/>
                <w:color w:val="auto"/>
                <w:sz w:val="21"/>
                <w:highlight w:val="none"/>
                <w:u w:val="none" w:color="auto"/>
              </w:rPr>
            </w:pPr>
          </w:p>
        </w:tc>
        <w:tc>
          <w:tcPr>
            <w:tcW w:w="1731" w:type="dxa"/>
            <w:vAlign w:val="center"/>
          </w:tcPr>
          <w:p w14:paraId="2558CBA7">
            <w:pPr>
              <w:spacing w:line="240" w:lineRule="auto"/>
              <w:jc w:val="center"/>
              <w:rPr>
                <w:b/>
                <w:snapToGrid w:val="0"/>
                <w:color w:val="auto"/>
                <w:sz w:val="21"/>
                <w:highlight w:val="none"/>
                <w:u w:val="none" w:color="auto"/>
              </w:rPr>
            </w:pPr>
            <w:r>
              <w:rPr>
                <w:b/>
                <w:snapToGrid w:val="0"/>
                <w:color w:val="auto"/>
                <w:sz w:val="21"/>
                <w:highlight w:val="none"/>
                <w:u w:val="none" w:color="auto"/>
              </w:rPr>
              <w:t>130</w:t>
            </w:r>
          </w:p>
        </w:tc>
        <w:tc>
          <w:tcPr>
            <w:tcW w:w="1925" w:type="dxa"/>
            <w:vAlign w:val="center"/>
          </w:tcPr>
          <w:p w14:paraId="74069FA2">
            <w:pPr>
              <w:spacing w:line="240" w:lineRule="auto"/>
              <w:jc w:val="center"/>
              <w:rPr>
                <w:b/>
                <w:snapToGrid w:val="0"/>
                <w:color w:val="auto"/>
                <w:sz w:val="21"/>
                <w:highlight w:val="none"/>
                <w:u w:val="none" w:color="auto"/>
              </w:rPr>
            </w:pPr>
            <w:r>
              <w:rPr>
                <w:b/>
                <w:snapToGrid w:val="0"/>
                <w:color w:val="auto"/>
                <w:sz w:val="21"/>
                <w:highlight w:val="none"/>
                <w:u w:val="none" w:color="auto"/>
              </w:rPr>
              <w:t>1.1</w:t>
            </w:r>
          </w:p>
        </w:tc>
      </w:tr>
    </w:tbl>
    <w:p w14:paraId="4FC67971">
      <w:pPr>
        <w:rPr>
          <w:color w:val="auto"/>
          <w:highlight w:val="none"/>
          <w:u w:val="none" w:color="auto"/>
        </w:rPr>
      </w:pPr>
    </w:p>
    <w:p w14:paraId="4E86CD00">
      <w:pPr>
        <w:pStyle w:val="3"/>
        <w:ind w:firstLine="565" w:firstLineChars="176"/>
        <w:rPr>
          <w:color w:val="auto"/>
          <w:highlight w:val="none"/>
          <w:u w:val="none" w:color="auto"/>
        </w:rPr>
      </w:pPr>
      <w:r>
        <w:rPr>
          <w:color w:val="auto"/>
          <w:highlight w:val="none"/>
          <w:u w:val="none" w:color="auto"/>
        </w:rPr>
        <w:t>三、设计原则</w:t>
      </w:r>
    </w:p>
    <w:p w14:paraId="31293A5D">
      <w:pPr>
        <w:ind w:firstLine="369" w:firstLineChars="176"/>
        <w:rPr>
          <w:color w:val="auto"/>
          <w:highlight w:val="none"/>
          <w:u w:val="none" w:color="auto"/>
          <w:lang w:eastAsia="zh-CN"/>
        </w:rPr>
      </w:pPr>
      <w:r>
        <w:rPr>
          <w:color w:val="auto"/>
          <w:highlight w:val="none"/>
          <w:u w:val="none" w:color="auto"/>
          <w:lang w:eastAsia="zh-CN"/>
        </w:rPr>
        <w:t>1、结构设计需满足国家、陕西省及西安市现行结构设计规范强制性条文的要求，确</w:t>
      </w:r>
    </w:p>
    <w:p w14:paraId="2679A091">
      <w:pPr>
        <w:ind w:firstLine="369" w:firstLineChars="176"/>
        <w:rPr>
          <w:color w:val="auto"/>
          <w:highlight w:val="none"/>
          <w:u w:val="none" w:color="auto"/>
          <w:lang w:eastAsia="zh-CN"/>
        </w:rPr>
      </w:pPr>
      <w:r>
        <w:rPr>
          <w:color w:val="auto"/>
          <w:highlight w:val="none"/>
          <w:u w:val="none" w:color="auto"/>
          <w:lang w:eastAsia="zh-CN"/>
        </w:rPr>
        <w:t>保结构设计技术先进、安全可靠，顺利通过政府部门的检查和审图单位的审查；</w:t>
      </w:r>
    </w:p>
    <w:p w14:paraId="1C31A473">
      <w:pPr>
        <w:ind w:firstLine="369" w:firstLineChars="176"/>
        <w:rPr>
          <w:color w:val="auto"/>
          <w:highlight w:val="none"/>
          <w:u w:val="none" w:color="auto"/>
          <w:lang w:eastAsia="zh-CN"/>
        </w:rPr>
      </w:pPr>
      <w:r>
        <w:rPr>
          <w:color w:val="auto"/>
          <w:highlight w:val="none"/>
          <w:u w:val="none" w:color="auto"/>
          <w:lang w:eastAsia="zh-CN"/>
        </w:rPr>
        <w:t>2、地基处理应进行多方案的经济性及安全性能分析，同时兼顾施工便利的要求；</w:t>
      </w:r>
    </w:p>
    <w:p w14:paraId="4FD37FB0">
      <w:pPr>
        <w:ind w:firstLine="369" w:firstLineChars="176"/>
        <w:rPr>
          <w:color w:val="auto"/>
          <w:highlight w:val="none"/>
          <w:u w:val="none" w:color="auto"/>
          <w:lang w:eastAsia="zh-CN"/>
        </w:rPr>
      </w:pPr>
      <w:r>
        <w:rPr>
          <w:color w:val="auto"/>
          <w:highlight w:val="none"/>
          <w:u w:val="none" w:color="auto"/>
          <w:lang w:eastAsia="zh-CN"/>
        </w:rPr>
        <w:t>3、结构设计主要参数（如周期折减系数、钢筋归并系数等）的取值应事先和委托方沟通，取得确认后方可进行下一步工作；</w:t>
      </w:r>
    </w:p>
    <w:p w14:paraId="09FEAC33">
      <w:pPr>
        <w:ind w:firstLine="369" w:firstLineChars="176"/>
        <w:rPr>
          <w:color w:val="auto"/>
          <w:highlight w:val="none"/>
          <w:u w:val="none" w:color="auto"/>
          <w:lang w:eastAsia="zh-CN"/>
        </w:rPr>
      </w:pPr>
      <w:r>
        <w:rPr>
          <w:color w:val="auto"/>
          <w:highlight w:val="none"/>
          <w:u w:val="none" w:color="auto"/>
          <w:lang w:eastAsia="zh-CN"/>
        </w:rPr>
        <w:t>4、结构设计需满足建筑功能要求，结构布置、结构构件尺寸要与建筑使用功能相适应，避免竖向构件局部突出影响使用、水平构件影响净高等；</w:t>
      </w:r>
    </w:p>
    <w:p w14:paraId="73DD328D">
      <w:pPr>
        <w:ind w:firstLine="369" w:firstLineChars="176"/>
        <w:rPr>
          <w:color w:val="auto"/>
          <w:highlight w:val="none"/>
          <w:u w:val="none" w:color="auto"/>
          <w:lang w:eastAsia="zh-CN"/>
        </w:rPr>
      </w:pPr>
      <w:r>
        <w:rPr>
          <w:color w:val="auto"/>
          <w:highlight w:val="none"/>
          <w:u w:val="none" w:color="auto"/>
          <w:lang w:eastAsia="zh-CN"/>
        </w:rPr>
        <w:t>5、结构设计需经济合理，结构体系受力明确、传力简捷，做到精心设计、不断优化，结构造价和含钢量控制在要求范围之内；</w:t>
      </w:r>
    </w:p>
    <w:p w14:paraId="59DD4371">
      <w:pPr>
        <w:ind w:firstLine="369" w:firstLineChars="176"/>
        <w:rPr>
          <w:color w:val="auto"/>
          <w:highlight w:val="none"/>
          <w:u w:val="none" w:color="auto"/>
          <w:lang w:eastAsia="zh-CN"/>
        </w:rPr>
      </w:pPr>
      <w:r>
        <w:rPr>
          <w:color w:val="auto"/>
          <w:highlight w:val="none"/>
          <w:u w:val="none" w:color="auto"/>
          <w:lang w:eastAsia="zh-CN"/>
        </w:rPr>
        <w:t>6、结构设计需保证产品的质量，避免由于设计原因造成开裂、渗水、不均匀沉降等质量通病的发生；</w:t>
      </w:r>
    </w:p>
    <w:p w14:paraId="0BBB8C73">
      <w:pPr>
        <w:ind w:firstLine="369" w:firstLineChars="176"/>
        <w:rPr>
          <w:color w:val="auto"/>
          <w:highlight w:val="none"/>
          <w:u w:val="none" w:color="auto"/>
          <w:lang w:eastAsia="zh-CN"/>
        </w:rPr>
      </w:pPr>
      <w:r>
        <w:rPr>
          <w:color w:val="auto"/>
          <w:highlight w:val="none"/>
          <w:u w:val="none" w:color="auto"/>
          <w:lang w:eastAsia="zh-CN"/>
        </w:rPr>
        <w:t>7、结构设计图纸需满足规范规定的图纸深度要求。</w:t>
      </w:r>
    </w:p>
    <w:p w14:paraId="2E24F19C">
      <w:pPr>
        <w:pStyle w:val="22"/>
        <w:ind w:firstLine="360" w:firstLineChars="150"/>
        <w:rPr>
          <w:rFonts w:ascii="宋体" w:hAnsi="宋体" w:eastAsia="宋体"/>
          <w:color w:val="auto"/>
          <w:sz w:val="24"/>
          <w:highlight w:val="none"/>
          <w:u w:val="none" w:color="auto"/>
          <w:lang w:eastAsia="zh-CN"/>
        </w:rPr>
      </w:pPr>
      <w:r>
        <w:rPr>
          <w:rFonts w:hint="eastAsia" w:ascii="宋体" w:hAnsi="宋体" w:eastAsia="宋体"/>
          <w:color w:val="auto"/>
          <w:sz w:val="24"/>
          <w:highlight w:val="none"/>
          <w:u w:val="none" w:color="auto"/>
          <w:lang w:eastAsia="zh-CN"/>
        </w:rPr>
        <w:t>8、</w:t>
      </w:r>
      <w:r>
        <w:rPr>
          <w:rFonts w:ascii="宋体" w:hAnsi="宋体" w:eastAsia="宋体"/>
          <w:color w:val="auto"/>
          <w:sz w:val="24"/>
          <w:highlight w:val="none"/>
          <w:u w:val="none" w:color="auto"/>
          <w:lang w:eastAsia="zh-CN"/>
        </w:rPr>
        <w:t>结构</w:t>
      </w:r>
      <w:r>
        <w:rPr>
          <w:rFonts w:hint="eastAsia" w:ascii="宋体" w:hAnsi="宋体" w:eastAsia="宋体"/>
          <w:color w:val="auto"/>
          <w:sz w:val="24"/>
          <w:highlight w:val="none"/>
          <w:u w:val="none" w:color="auto"/>
          <w:lang w:eastAsia="zh-CN"/>
        </w:rPr>
        <w:t>设计在满足设计规范要求下，应采用各种优化结构成本措施或提出优化建议等。</w:t>
      </w:r>
    </w:p>
    <w:p w14:paraId="402702ED">
      <w:pPr>
        <w:ind w:firstLine="369" w:firstLineChars="176"/>
        <w:rPr>
          <w:color w:val="auto"/>
          <w:highlight w:val="none"/>
          <w:u w:val="none" w:color="auto"/>
          <w:lang w:eastAsia="zh-CN"/>
        </w:rPr>
      </w:pPr>
      <w:r>
        <w:rPr>
          <w:color w:val="auto"/>
          <w:highlight w:val="none"/>
          <w:u w:val="none" w:color="auto"/>
          <w:lang w:eastAsia="zh-CN"/>
        </w:rPr>
        <w:t>四、设计荷载</w:t>
      </w:r>
    </w:p>
    <w:p w14:paraId="2B7ABB47">
      <w:pPr>
        <w:ind w:firstLine="369" w:firstLineChars="176"/>
        <w:rPr>
          <w:color w:val="auto"/>
          <w:highlight w:val="none"/>
          <w:u w:val="none" w:color="auto"/>
          <w:lang w:eastAsia="zh-CN"/>
        </w:rPr>
      </w:pPr>
      <w:r>
        <w:rPr>
          <w:color w:val="auto"/>
          <w:highlight w:val="none"/>
          <w:u w:val="none" w:color="auto"/>
          <w:lang w:eastAsia="zh-CN"/>
        </w:rPr>
        <w:t>1. 设计荷载需准确计算（例如电算中梁上墙体线荷载应扣除实际洞口计算等），荷载取值严格按照荷载规范，不得任意降低或提高，如遇特殊情况要调整荷载取值，需征得委托方同意；</w:t>
      </w:r>
    </w:p>
    <w:p w14:paraId="7770DB36">
      <w:pPr>
        <w:ind w:firstLine="369" w:firstLineChars="176"/>
        <w:rPr>
          <w:color w:val="auto"/>
          <w:highlight w:val="none"/>
          <w:u w:val="none" w:color="auto"/>
          <w:lang w:eastAsia="zh-CN"/>
        </w:rPr>
      </w:pPr>
      <w:r>
        <w:rPr>
          <w:color w:val="auto"/>
          <w:highlight w:val="none"/>
          <w:u w:val="none" w:color="auto"/>
          <w:lang w:eastAsia="zh-CN"/>
        </w:rPr>
        <w:t>2. 二次装修楼面荷载按建筑工程做法考虑；</w:t>
      </w:r>
    </w:p>
    <w:p w14:paraId="13A5B5FF">
      <w:pPr>
        <w:ind w:firstLine="369" w:firstLineChars="176"/>
        <w:rPr>
          <w:color w:val="auto"/>
          <w:highlight w:val="none"/>
          <w:u w:val="none" w:color="auto"/>
          <w:lang w:eastAsia="zh-CN"/>
        </w:rPr>
      </w:pPr>
      <w:r>
        <w:rPr>
          <w:color w:val="auto"/>
          <w:highlight w:val="none"/>
          <w:u w:val="none" w:color="auto"/>
          <w:lang w:eastAsia="zh-CN"/>
        </w:rPr>
        <w:t>3. 墙体材料的自重按建筑各所处位置选用材料计算荷载，梁上墙体线荷载按扣除实际洞口计算；</w:t>
      </w:r>
    </w:p>
    <w:p w14:paraId="7514031C">
      <w:pPr>
        <w:ind w:firstLine="369" w:firstLineChars="176"/>
        <w:rPr>
          <w:color w:val="auto"/>
          <w:highlight w:val="none"/>
          <w:u w:val="none" w:color="auto"/>
          <w:lang w:eastAsia="zh-CN"/>
        </w:rPr>
      </w:pPr>
      <w:r>
        <w:rPr>
          <w:color w:val="auto"/>
          <w:highlight w:val="none"/>
          <w:u w:val="none" w:color="auto"/>
          <w:lang w:eastAsia="zh-CN"/>
        </w:rPr>
        <w:t>4. 结构设计应充分考虑到设备运行过程中的动力荷载。设计人应提供各机电设备的基础、管沟等土建施工图；</w:t>
      </w:r>
    </w:p>
    <w:p w14:paraId="02F4EB24">
      <w:pPr>
        <w:pStyle w:val="3"/>
        <w:ind w:firstLine="565" w:firstLineChars="176"/>
        <w:rPr>
          <w:color w:val="auto"/>
          <w:highlight w:val="none"/>
          <w:u w:val="none" w:color="auto"/>
          <w:lang w:eastAsia="zh-CN"/>
        </w:rPr>
      </w:pPr>
      <w:r>
        <w:rPr>
          <w:color w:val="auto"/>
          <w:highlight w:val="none"/>
          <w:u w:val="none" w:color="auto"/>
          <w:lang w:eastAsia="zh-CN"/>
        </w:rPr>
        <w:t>五、地基、基础设计</w:t>
      </w:r>
    </w:p>
    <w:p w14:paraId="0C061D31">
      <w:pPr>
        <w:ind w:firstLine="369" w:firstLineChars="176"/>
        <w:rPr>
          <w:color w:val="auto"/>
          <w:highlight w:val="none"/>
          <w:u w:val="none" w:color="auto"/>
          <w:lang w:eastAsia="zh-CN"/>
        </w:rPr>
      </w:pPr>
      <w:r>
        <w:rPr>
          <w:color w:val="auto"/>
          <w:highlight w:val="none"/>
          <w:u w:val="none" w:color="auto"/>
          <w:lang w:eastAsia="zh-CN"/>
        </w:rPr>
        <w:t>1、地基处理及基础设计应依据国家建筑地基基础设计规范、湿陷性黄土地区建筑规范以及其他相应规范或法规进行设计；</w:t>
      </w:r>
    </w:p>
    <w:p w14:paraId="7F1EF889">
      <w:pPr>
        <w:ind w:firstLine="369" w:firstLineChars="176"/>
        <w:rPr>
          <w:color w:val="auto"/>
          <w:highlight w:val="none"/>
          <w:u w:val="none" w:color="auto"/>
          <w:lang w:eastAsia="zh-CN"/>
        </w:rPr>
      </w:pPr>
      <w:r>
        <w:rPr>
          <w:color w:val="auto"/>
          <w:highlight w:val="none"/>
          <w:u w:val="none" w:color="auto"/>
          <w:lang w:eastAsia="zh-CN"/>
        </w:rPr>
        <w:t>2、结构设计人员需认真查阅地质勘察报告，分析地质参数，研究工程地质特点和有利不利因素，提出分析意见；充分考虑不良地质条件对工程造成的影响，对地坪下沉、墙体开裂、倾斜、管沟断裂、住宅入口台阶变形等，结构图中都要提供相应的技术措施，防止此类现象发生；</w:t>
      </w:r>
    </w:p>
    <w:p w14:paraId="090C00DA">
      <w:pPr>
        <w:ind w:firstLine="369" w:firstLineChars="176"/>
        <w:rPr>
          <w:color w:val="auto"/>
          <w:highlight w:val="none"/>
          <w:u w:val="none" w:color="auto"/>
          <w:lang w:eastAsia="zh-CN"/>
        </w:rPr>
      </w:pPr>
      <w:r>
        <w:rPr>
          <w:color w:val="auto"/>
          <w:highlight w:val="none"/>
          <w:u w:val="none" w:color="auto"/>
          <w:lang w:eastAsia="zh-CN"/>
        </w:rPr>
        <w:t>3、地基处理形式的确定应根据地质条件、场地情况、结构类型及建筑层高等需进行技术经济比较，同时应考虑施工工艺及施工工期，应优先选用技术合理、安全可靠、经济实用同时施工工期较短的处理形式。地基处理方案须与委托方、勘查单位及相关方共同讨论确定；</w:t>
      </w:r>
    </w:p>
    <w:p w14:paraId="677B3FD8">
      <w:pPr>
        <w:ind w:firstLine="369" w:firstLineChars="176"/>
        <w:rPr>
          <w:color w:val="auto"/>
          <w:highlight w:val="none"/>
          <w:u w:val="none" w:color="auto"/>
          <w:lang w:eastAsia="zh-CN"/>
        </w:rPr>
      </w:pPr>
      <w:r>
        <w:rPr>
          <w:color w:val="auto"/>
          <w:highlight w:val="none"/>
          <w:u w:val="none" w:color="auto"/>
          <w:lang w:eastAsia="zh-CN"/>
        </w:rPr>
        <w:t>4、基础底板应按板的抗冲切、抗剪承载力综合确定板的厚度，计算板的配筋，保证经济性；</w:t>
      </w:r>
    </w:p>
    <w:p w14:paraId="2274EFC9">
      <w:pPr>
        <w:ind w:firstLine="369" w:firstLineChars="176"/>
        <w:jc w:val="both"/>
        <w:rPr>
          <w:color w:val="auto"/>
          <w:highlight w:val="none"/>
          <w:u w:val="none" w:color="auto"/>
          <w:lang w:eastAsia="zh-CN"/>
        </w:rPr>
      </w:pPr>
      <w:r>
        <w:rPr>
          <w:color w:val="auto"/>
          <w:highlight w:val="none"/>
          <w:u w:val="none" w:color="auto"/>
          <w:lang w:eastAsia="zh-CN"/>
        </w:rPr>
        <w:t>5、避免地下室设变形缝，采用后浇带和加强带相结合的方法处理地下室的不均匀沉降、温度裂缝、混凝土收缩裂缝等问题；确需设缝时，须报委托方确认，并应明确节点做法及注意事项。图纸中需要用到止水带的部位应明确止水带材质，不应留给委托方和施工单位选择；</w:t>
      </w:r>
    </w:p>
    <w:p w14:paraId="3E0B8F4C">
      <w:pPr>
        <w:ind w:firstLine="369" w:firstLineChars="176"/>
        <w:rPr>
          <w:color w:val="auto"/>
          <w:highlight w:val="none"/>
          <w:u w:val="none" w:color="auto"/>
          <w:lang w:eastAsia="zh-CN"/>
        </w:rPr>
      </w:pPr>
      <w:r>
        <w:rPr>
          <w:color w:val="auto"/>
          <w:highlight w:val="none"/>
          <w:u w:val="none" w:color="auto"/>
          <w:lang w:eastAsia="zh-CN"/>
        </w:rPr>
        <w:t>6、设计人员需参加基坑验槽，检验地基土是否符合设计要求。对基坑回填土需提出施工质量要求；</w:t>
      </w:r>
    </w:p>
    <w:p w14:paraId="4ED822A8">
      <w:pPr>
        <w:ind w:firstLine="369" w:firstLineChars="176"/>
        <w:rPr>
          <w:color w:val="auto"/>
          <w:highlight w:val="none"/>
          <w:u w:val="none" w:color="auto"/>
          <w:lang w:eastAsia="zh-CN"/>
        </w:rPr>
      </w:pPr>
      <w:r>
        <w:rPr>
          <w:color w:val="auto"/>
          <w:highlight w:val="none"/>
          <w:u w:val="none" w:color="auto"/>
          <w:lang w:eastAsia="zh-CN"/>
        </w:rPr>
        <w:t>7、结构检测：当工程采用桩基础时，应明确提出单桩承载力特征值要求、桩体混凝土强度等级，说明施工控制方法及具体检测技术要求，当为复合桩基时，还需提出褥垫层级配、最大粒径、夯填度等要求；</w:t>
      </w:r>
    </w:p>
    <w:p w14:paraId="25CBC410">
      <w:pPr>
        <w:ind w:firstLine="369" w:firstLineChars="176"/>
        <w:rPr>
          <w:color w:val="auto"/>
          <w:highlight w:val="none"/>
          <w:u w:val="none" w:color="auto"/>
          <w:lang w:eastAsia="zh-CN"/>
        </w:rPr>
      </w:pPr>
      <w:r>
        <w:rPr>
          <w:color w:val="auto"/>
          <w:highlight w:val="none"/>
          <w:u w:val="none" w:color="auto"/>
          <w:lang w:eastAsia="zh-CN"/>
        </w:rPr>
        <w:t>8、基础梁侧向腰筋设置应按扣除底板厚度的高度按规范最低要求配筋，基础不应与变配电室的电缆沟冲突。</w:t>
      </w:r>
    </w:p>
    <w:p w14:paraId="71474301">
      <w:pPr>
        <w:pStyle w:val="3"/>
        <w:ind w:firstLine="565" w:firstLineChars="176"/>
        <w:rPr>
          <w:color w:val="auto"/>
          <w:highlight w:val="none"/>
          <w:u w:val="none" w:color="auto"/>
          <w:lang w:eastAsia="zh-CN"/>
        </w:rPr>
      </w:pPr>
      <w:r>
        <w:rPr>
          <w:color w:val="auto"/>
          <w:highlight w:val="none"/>
          <w:u w:val="none" w:color="auto"/>
          <w:lang w:eastAsia="zh-CN"/>
        </w:rPr>
        <w:t>六、上部结构设计</w:t>
      </w:r>
    </w:p>
    <w:p w14:paraId="2CE1E695">
      <w:pPr>
        <w:ind w:firstLine="369" w:firstLineChars="176"/>
        <w:rPr>
          <w:color w:val="auto"/>
          <w:highlight w:val="none"/>
          <w:u w:val="none" w:color="auto"/>
          <w:lang w:eastAsia="zh-CN"/>
        </w:rPr>
      </w:pPr>
      <w:r>
        <w:rPr>
          <w:color w:val="auto"/>
          <w:highlight w:val="none"/>
          <w:u w:val="none" w:color="auto"/>
          <w:lang w:eastAsia="zh-CN"/>
        </w:rPr>
        <w:t>1、剪力墙布置需优化，墙体布置应整端、考虑后期客户装修改造的要求；</w:t>
      </w:r>
    </w:p>
    <w:p w14:paraId="05513C8B">
      <w:pPr>
        <w:ind w:firstLine="369" w:firstLineChars="176"/>
        <w:rPr>
          <w:color w:val="auto"/>
          <w:highlight w:val="none"/>
          <w:u w:val="none" w:color="auto"/>
          <w:lang w:eastAsia="zh-CN"/>
        </w:rPr>
      </w:pPr>
      <w:r>
        <w:rPr>
          <w:color w:val="auto"/>
          <w:highlight w:val="none"/>
          <w:u w:val="none" w:color="auto"/>
          <w:lang w:eastAsia="zh-CN"/>
        </w:rPr>
        <w:t>2、结构布置宜规则、对称，严格控制结构的扭转变形，控制层间位移。在满足规范的前提下尽量减少墙的数量，减少墙（柱）、梁的配筋，并应按计算结果和构造要求分段配筋；结构设计墙（柱） 、梁布置方案和计算结果须报委托方确认后，方可进行下一道工序；</w:t>
      </w:r>
    </w:p>
    <w:p w14:paraId="68F924E9">
      <w:pPr>
        <w:ind w:firstLine="369" w:firstLineChars="176"/>
        <w:rPr>
          <w:color w:val="auto"/>
          <w:highlight w:val="none"/>
          <w:u w:val="none" w:color="auto"/>
          <w:lang w:eastAsia="zh-CN"/>
        </w:rPr>
      </w:pPr>
      <w:r>
        <w:rPr>
          <w:color w:val="auto"/>
          <w:highlight w:val="none"/>
          <w:u w:val="none" w:color="auto"/>
          <w:lang w:eastAsia="zh-CN"/>
        </w:rPr>
        <w:t>3、主要材料混凝土强度等级按计算及施工的便利，合理分配混凝土强度的使用范围，剪力墙（柱）、梁、板使用的钢筋等级应按受力情况划分区域采用，原则上一个项目中不同时出现Ⅱ、Ⅲ级钢；梁和板的混凝土强度等级应一致；</w:t>
      </w:r>
    </w:p>
    <w:p w14:paraId="0B4863CC">
      <w:pPr>
        <w:ind w:firstLine="369" w:firstLineChars="176"/>
        <w:rPr>
          <w:color w:val="auto"/>
          <w:highlight w:val="none"/>
          <w:u w:val="none" w:color="auto"/>
          <w:lang w:eastAsia="zh-CN"/>
        </w:rPr>
      </w:pPr>
      <w:r>
        <w:rPr>
          <w:color w:val="auto"/>
          <w:highlight w:val="none"/>
          <w:u w:val="none" w:color="auto"/>
          <w:lang w:eastAsia="zh-CN"/>
        </w:rPr>
        <w:t>4、梁的布置及高度应与建筑窗口尺寸相统一；</w:t>
      </w:r>
    </w:p>
    <w:p w14:paraId="74B13EFC">
      <w:pPr>
        <w:ind w:firstLine="369" w:firstLineChars="176"/>
        <w:rPr>
          <w:color w:val="auto"/>
          <w:highlight w:val="none"/>
          <w:u w:val="none" w:color="auto"/>
          <w:lang w:eastAsia="zh-CN"/>
        </w:rPr>
      </w:pPr>
      <w:r>
        <w:rPr>
          <w:color w:val="auto"/>
          <w:highlight w:val="none"/>
          <w:u w:val="none" w:color="auto"/>
          <w:lang w:eastAsia="zh-CN"/>
        </w:rPr>
        <w:t>5、外挑阳台优先考虑梁板式结构受力体系；</w:t>
      </w:r>
    </w:p>
    <w:p w14:paraId="55F4A700">
      <w:pPr>
        <w:ind w:firstLine="369" w:firstLineChars="176"/>
        <w:rPr>
          <w:color w:val="auto"/>
          <w:highlight w:val="none"/>
          <w:u w:val="none" w:color="auto"/>
          <w:lang w:eastAsia="zh-CN"/>
        </w:rPr>
      </w:pPr>
      <w:r>
        <w:rPr>
          <w:color w:val="auto"/>
          <w:highlight w:val="none"/>
          <w:u w:val="none" w:color="auto"/>
          <w:lang w:eastAsia="zh-CN"/>
        </w:rPr>
        <w:t>6、结构平面布置中，要满足建筑专业的功能、美观要求，原则上禁止在公共部位上空出现结构梁； 户内走廊上空尽量不出现结构梁； 梁对齐原则按主次要求，主要部分墙梁对齐，平面图中应注明梁定位尺寸。楼板尽量采用大板结构，不宜在大厅的上部顶棚设梁(上翻梁除外)，确保净空高度。若结构要求无法避免，应征得甲方同意。</w:t>
      </w:r>
    </w:p>
    <w:p w14:paraId="7E5B2019">
      <w:pPr>
        <w:ind w:firstLine="369" w:firstLineChars="176"/>
        <w:rPr>
          <w:color w:val="auto"/>
          <w:highlight w:val="none"/>
          <w:u w:val="none" w:color="auto"/>
          <w:lang w:eastAsia="zh-CN"/>
        </w:rPr>
      </w:pPr>
      <w:r>
        <w:rPr>
          <w:color w:val="auto"/>
          <w:highlight w:val="none"/>
          <w:u w:val="none" w:color="auto"/>
          <w:lang w:eastAsia="zh-CN"/>
        </w:rPr>
        <w:t>7、楼板的配筋采用分离式配筋，屋面板宜小直径钢筋双层双向配筋，局部支座附加钢筋；</w:t>
      </w:r>
    </w:p>
    <w:p w14:paraId="4C740020">
      <w:pPr>
        <w:ind w:firstLine="369" w:firstLineChars="176"/>
        <w:rPr>
          <w:color w:val="auto"/>
          <w:highlight w:val="none"/>
          <w:u w:val="none" w:color="auto"/>
          <w:lang w:eastAsia="zh-CN"/>
        </w:rPr>
      </w:pPr>
      <w:r>
        <w:rPr>
          <w:color w:val="auto"/>
          <w:highlight w:val="none"/>
          <w:u w:val="none" w:color="auto"/>
          <w:lang w:eastAsia="zh-CN"/>
        </w:rPr>
        <w:t>8、结构梁的受力钢筋需计算确定，不得任意加大或减少配筋量，简支梁上部构造钢筋配筋量按受力钢筋的四分之一考虑；</w:t>
      </w:r>
    </w:p>
    <w:p w14:paraId="6200F5FF">
      <w:pPr>
        <w:ind w:firstLine="369" w:firstLineChars="176"/>
        <w:rPr>
          <w:color w:val="auto"/>
          <w:highlight w:val="none"/>
          <w:u w:val="none" w:color="auto"/>
          <w:lang w:eastAsia="zh-CN"/>
        </w:rPr>
      </w:pPr>
      <w:r>
        <w:rPr>
          <w:color w:val="auto"/>
          <w:highlight w:val="none"/>
          <w:u w:val="none" w:color="auto"/>
          <w:lang w:eastAsia="zh-CN"/>
        </w:rPr>
        <w:t>9、结构图纸中应包含其它专业所要求的各种预留洞模板图（包括卫生间、阳台、空 调板、地下室、设备用房等处在墙、柱、梁、板上的各种留洞） ，留洞大小和定位尺寸要准确，达到土建施工中不需要其它专业图纸即可进行孔洞预留的目的，孔边钢筋加强图，电梯机房留洞，挂钩、电梯召唤孔等根据委托方提供电梯样本提前预留；</w:t>
      </w:r>
    </w:p>
    <w:p w14:paraId="60A1F3DC">
      <w:pPr>
        <w:ind w:firstLine="369" w:firstLineChars="176"/>
        <w:rPr>
          <w:color w:val="auto"/>
          <w:highlight w:val="none"/>
          <w:u w:val="none" w:color="auto"/>
          <w:lang w:eastAsia="zh-CN"/>
        </w:rPr>
      </w:pPr>
      <w:r>
        <w:rPr>
          <w:color w:val="auto"/>
          <w:highlight w:val="none"/>
          <w:u w:val="none" w:color="auto"/>
          <w:lang w:eastAsia="zh-CN"/>
        </w:rPr>
        <w:t>10、地下室墙体穿管等应预埋套管。配电室尽量避免留孔穿洞等，必须预留时应与建筑配合做好止水、防水处理；</w:t>
      </w:r>
    </w:p>
    <w:p w14:paraId="3EEA1ABC">
      <w:pPr>
        <w:ind w:firstLine="369" w:firstLineChars="176"/>
        <w:rPr>
          <w:color w:val="auto"/>
          <w:highlight w:val="none"/>
          <w:u w:val="none" w:color="auto"/>
          <w:lang w:eastAsia="zh-CN"/>
        </w:rPr>
      </w:pPr>
      <w:r>
        <w:rPr>
          <w:color w:val="auto"/>
          <w:highlight w:val="none"/>
          <w:u w:val="none" w:color="auto"/>
          <w:lang w:eastAsia="zh-CN"/>
        </w:rPr>
        <w:t>11、结构设计中需有防止质量通病措施的说明，并对材料的应用、施工措施等提出明确的要求；</w:t>
      </w:r>
    </w:p>
    <w:p w14:paraId="125CEC31">
      <w:pPr>
        <w:ind w:firstLine="369" w:firstLineChars="176"/>
        <w:rPr>
          <w:color w:val="auto"/>
          <w:highlight w:val="none"/>
          <w:u w:val="none" w:color="auto"/>
          <w:lang w:eastAsia="zh-CN"/>
        </w:rPr>
      </w:pPr>
      <w:r>
        <w:rPr>
          <w:color w:val="auto"/>
          <w:highlight w:val="none"/>
          <w:u w:val="none" w:color="auto"/>
          <w:lang w:eastAsia="zh-CN"/>
        </w:rPr>
        <w:t>12、电梯厅尽量避免设梁，电梯前室在预埋电管集中及交叉层数较多区域的楼板应适当加厚。各房门上的梁高度确定应考虑门框安装高度。电梯井道应根据剪力墙布置情况，需要加设电梯支架圈梁、构造柱，结构应作设计；</w:t>
      </w:r>
    </w:p>
    <w:p w14:paraId="0EC74F5B">
      <w:pPr>
        <w:ind w:firstLine="369" w:firstLineChars="176"/>
        <w:rPr>
          <w:color w:val="auto"/>
          <w:highlight w:val="none"/>
          <w:u w:val="none" w:color="auto"/>
          <w:lang w:eastAsia="zh-CN"/>
        </w:rPr>
      </w:pPr>
      <w:r>
        <w:rPr>
          <w:color w:val="auto"/>
          <w:highlight w:val="none"/>
          <w:u w:val="none" w:color="auto"/>
          <w:lang w:eastAsia="zh-CN"/>
        </w:rPr>
        <w:t>13、有角窗的部位，应采取楼板局部加强措施，增强结构抗扭能力；</w:t>
      </w:r>
    </w:p>
    <w:p w14:paraId="0001FC4B">
      <w:pPr>
        <w:ind w:firstLine="369" w:firstLineChars="176"/>
        <w:rPr>
          <w:color w:val="auto"/>
          <w:highlight w:val="none"/>
          <w:u w:val="none" w:color="auto"/>
          <w:lang w:eastAsia="zh-CN"/>
        </w:rPr>
      </w:pPr>
      <w:r>
        <w:rPr>
          <w:color w:val="auto"/>
          <w:highlight w:val="none"/>
          <w:u w:val="none" w:color="auto"/>
          <w:lang w:eastAsia="zh-CN"/>
        </w:rPr>
        <w:t>14、各部位结构板的降板高度要求详见“建筑设计”部分，降板区的楼面荷载应计算准确；</w:t>
      </w:r>
    </w:p>
    <w:p w14:paraId="597E577E">
      <w:pPr>
        <w:ind w:firstLine="369" w:firstLineChars="176"/>
        <w:rPr>
          <w:color w:val="auto"/>
          <w:highlight w:val="none"/>
          <w:u w:val="none" w:color="auto"/>
          <w:lang w:eastAsia="zh-CN"/>
        </w:rPr>
      </w:pPr>
      <w:r>
        <w:rPr>
          <w:color w:val="auto"/>
          <w:highlight w:val="none"/>
          <w:u w:val="none" w:color="auto"/>
          <w:lang w:eastAsia="zh-CN"/>
        </w:rPr>
        <w:t>15、结构计算合理的前提下，尽量减小梁断面，保证室内上层外露梁的底标高距下层建筑完成面的净高要求；</w:t>
      </w:r>
    </w:p>
    <w:p w14:paraId="1CBA3AC5">
      <w:pPr>
        <w:ind w:firstLine="369" w:firstLineChars="176"/>
        <w:rPr>
          <w:color w:val="auto"/>
          <w:highlight w:val="none"/>
          <w:u w:val="none" w:color="auto"/>
          <w:lang w:eastAsia="zh-CN"/>
        </w:rPr>
      </w:pPr>
      <w:r>
        <w:rPr>
          <w:color w:val="auto"/>
          <w:highlight w:val="none"/>
          <w:u w:val="none" w:color="auto"/>
          <w:lang w:eastAsia="zh-CN"/>
        </w:rPr>
        <w:t>16、剪力墙旁不大于 100 的砌体门垛，应采用钢筋砼并绘出构造配筋的节点详图；</w:t>
      </w:r>
    </w:p>
    <w:p w14:paraId="1DDA9399">
      <w:pPr>
        <w:ind w:firstLine="369" w:firstLineChars="176"/>
        <w:rPr>
          <w:color w:val="auto"/>
          <w:highlight w:val="none"/>
          <w:u w:val="none" w:color="auto"/>
          <w:lang w:eastAsia="zh-CN"/>
        </w:rPr>
      </w:pPr>
      <w:r>
        <w:rPr>
          <w:color w:val="auto"/>
          <w:highlight w:val="none"/>
          <w:u w:val="none" w:color="auto"/>
          <w:lang w:eastAsia="zh-CN"/>
        </w:rPr>
        <w:t>17、出地面的竖井或通风井顶板，根据建筑要求在图纸中进行具体设计，不要选择标准图；</w:t>
      </w:r>
    </w:p>
    <w:p w14:paraId="6B413EE1">
      <w:pPr>
        <w:ind w:firstLine="369" w:firstLineChars="176"/>
        <w:rPr>
          <w:color w:val="auto"/>
          <w:highlight w:val="none"/>
          <w:u w:val="none" w:color="auto"/>
          <w:lang w:eastAsia="zh-CN"/>
        </w:rPr>
      </w:pPr>
      <w:r>
        <w:rPr>
          <w:color w:val="auto"/>
          <w:highlight w:val="none"/>
          <w:u w:val="none" w:color="auto"/>
          <w:lang w:eastAsia="zh-CN"/>
        </w:rPr>
        <w:t>18、原则上不允许设备管线穿梁，若确实无法避开，应提前确定管线穿梁部位，在图纸中标注清楚，避免主体施工后的二次打洞、削弱结构断面的现象；</w:t>
      </w:r>
    </w:p>
    <w:p w14:paraId="685B7432">
      <w:pPr>
        <w:ind w:firstLine="369" w:firstLineChars="176"/>
        <w:rPr>
          <w:color w:val="auto"/>
          <w:highlight w:val="none"/>
          <w:u w:val="none" w:color="auto"/>
          <w:lang w:eastAsia="zh-CN"/>
        </w:rPr>
      </w:pPr>
      <w:r>
        <w:rPr>
          <w:color w:val="auto"/>
          <w:highlight w:val="none"/>
          <w:u w:val="none" w:color="auto"/>
          <w:lang w:eastAsia="zh-CN"/>
        </w:rPr>
        <w:t>19、有不同降板要求的板块</w:t>
      </w:r>
      <w:r>
        <w:rPr>
          <w:rFonts w:hint="eastAsia"/>
          <w:color w:val="auto"/>
          <w:highlight w:val="none"/>
          <w:u w:val="none" w:color="auto"/>
          <w:lang w:eastAsia="zh-CN"/>
        </w:rPr>
        <w:t>尽量</w:t>
      </w:r>
      <w:r>
        <w:rPr>
          <w:color w:val="auto"/>
          <w:highlight w:val="none"/>
          <w:u w:val="none" w:color="auto"/>
          <w:lang w:eastAsia="zh-CN"/>
        </w:rPr>
        <w:t>布梁，</w:t>
      </w:r>
      <w:r>
        <w:rPr>
          <w:rFonts w:hint="eastAsia"/>
          <w:color w:val="auto"/>
          <w:highlight w:val="none"/>
          <w:u w:val="none" w:color="auto"/>
          <w:lang w:eastAsia="zh-CN"/>
        </w:rPr>
        <w:t>设计不复杂区域可采用</w:t>
      </w:r>
      <w:r>
        <w:rPr>
          <w:color w:val="auto"/>
          <w:highlight w:val="none"/>
          <w:u w:val="none" w:color="auto"/>
          <w:lang w:eastAsia="zh-CN"/>
        </w:rPr>
        <w:t>折板形式</w:t>
      </w:r>
      <w:r>
        <w:rPr>
          <w:rFonts w:hint="eastAsia"/>
          <w:color w:val="auto"/>
          <w:highlight w:val="none"/>
          <w:u w:val="none" w:color="auto"/>
          <w:lang w:eastAsia="zh-CN"/>
        </w:rPr>
        <w:t>设计</w:t>
      </w:r>
      <w:r>
        <w:rPr>
          <w:color w:val="auto"/>
          <w:highlight w:val="none"/>
          <w:u w:val="none" w:color="auto"/>
          <w:lang w:eastAsia="zh-CN"/>
        </w:rPr>
        <w:t>；</w:t>
      </w:r>
    </w:p>
    <w:p w14:paraId="347336D5">
      <w:pPr>
        <w:pStyle w:val="3"/>
        <w:ind w:firstLine="565" w:firstLineChars="176"/>
        <w:rPr>
          <w:color w:val="auto"/>
          <w:highlight w:val="none"/>
          <w:u w:val="none" w:color="auto"/>
          <w:lang w:eastAsia="zh-CN"/>
        </w:rPr>
      </w:pPr>
      <w:r>
        <w:rPr>
          <w:color w:val="auto"/>
          <w:highlight w:val="none"/>
          <w:u w:val="none" w:color="auto"/>
          <w:lang w:eastAsia="zh-CN"/>
        </w:rPr>
        <w:t>七、其他</w:t>
      </w:r>
    </w:p>
    <w:p w14:paraId="1CFFCC37">
      <w:pPr>
        <w:ind w:firstLine="369" w:firstLineChars="176"/>
        <w:jc w:val="both"/>
        <w:rPr>
          <w:color w:val="auto"/>
          <w:highlight w:val="none"/>
          <w:u w:val="none" w:color="auto"/>
          <w:lang w:eastAsia="zh-CN"/>
        </w:rPr>
      </w:pPr>
      <w:r>
        <w:rPr>
          <w:color w:val="auto"/>
          <w:highlight w:val="none"/>
          <w:u w:val="none" w:color="auto"/>
          <w:lang w:eastAsia="zh-CN"/>
        </w:rPr>
        <w:t>1、在设计地下室和地下车库等地下构筑物时，需充分考虑施工及使用中的不同工况，考虑必要的措施；</w:t>
      </w:r>
    </w:p>
    <w:p w14:paraId="3AC15A9D">
      <w:pPr>
        <w:ind w:firstLine="369" w:firstLineChars="176"/>
        <w:jc w:val="both"/>
        <w:rPr>
          <w:color w:val="auto"/>
          <w:highlight w:val="none"/>
          <w:u w:val="none" w:color="auto"/>
          <w:lang w:eastAsia="zh-CN"/>
        </w:rPr>
      </w:pPr>
      <w:r>
        <w:rPr>
          <w:color w:val="auto"/>
          <w:highlight w:val="none"/>
          <w:u w:val="none" w:color="auto"/>
          <w:lang w:eastAsia="zh-CN"/>
        </w:rPr>
        <w:t>2、在满足结构设计规范和相关技术要求的前提下，通过精心设计、准确计算、合理布置，每平方米建筑面积结构含钢量应控制在一定范围内，如超出以下标准，需向委托方说明情况，分析原因，并得到委托方的认可。</w:t>
      </w:r>
      <w:r>
        <w:rPr>
          <w:rFonts w:hint="eastAsia"/>
          <w:color w:val="auto"/>
          <w:highlight w:val="none"/>
          <w:u w:val="none" w:color="auto"/>
          <w:lang w:eastAsia="zh-CN"/>
        </w:rPr>
        <w:t>结构成本要求需满足设计任务书或</w:t>
      </w:r>
      <w:r>
        <w:rPr>
          <w:color w:val="auto"/>
          <w:highlight w:val="none"/>
          <w:u w:val="none" w:color="auto"/>
          <w:lang w:eastAsia="zh-CN"/>
        </w:rPr>
        <w:t>合同约定；</w:t>
      </w:r>
    </w:p>
    <w:p w14:paraId="395187E8">
      <w:pPr>
        <w:ind w:firstLine="369" w:firstLineChars="176"/>
        <w:jc w:val="both"/>
        <w:rPr>
          <w:color w:val="auto"/>
          <w:highlight w:val="none"/>
          <w:u w:val="none" w:color="auto"/>
          <w:lang w:eastAsia="zh-CN"/>
        </w:rPr>
      </w:pPr>
      <w:r>
        <w:rPr>
          <w:color w:val="auto"/>
          <w:highlight w:val="none"/>
          <w:u w:val="none" w:color="auto"/>
          <w:lang w:eastAsia="zh-CN"/>
        </w:rPr>
        <w:t>3、电梯呼唤盒及层显部位的预留洞若截断了剪力墙暗柱内的主筋和箍筋，结构图应有该部位的节点详图；</w:t>
      </w:r>
    </w:p>
    <w:p w14:paraId="34F9EFE2">
      <w:pPr>
        <w:ind w:firstLine="369" w:firstLineChars="176"/>
        <w:jc w:val="both"/>
        <w:rPr>
          <w:color w:val="auto"/>
          <w:highlight w:val="none"/>
          <w:u w:val="none" w:color="auto"/>
          <w:lang w:eastAsia="zh-CN"/>
        </w:rPr>
      </w:pPr>
      <w:r>
        <w:rPr>
          <w:color w:val="auto"/>
          <w:highlight w:val="none"/>
          <w:u w:val="none" w:color="auto"/>
          <w:lang w:eastAsia="zh-CN"/>
        </w:rPr>
        <w:t>4、结构图上墙体厚度、梁柱尺寸、门窗洞口尺寸、楼梯定位尺寸和标高等应与其他专业相应构件外形和几何尺寸一致。</w:t>
      </w:r>
    </w:p>
    <w:p w14:paraId="6CC6E9B6">
      <w:pPr>
        <w:pStyle w:val="3"/>
        <w:ind w:firstLine="565" w:firstLineChars="176"/>
        <w:rPr>
          <w:color w:val="auto"/>
          <w:highlight w:val="none"/>
          <w:u w:val="none" w:color="auto"/>
          <w:lang w:eastAsia="zh-CN"/>
        </w:rPr>
      </w:pPr>
      <w:r>
        <w:rPr>
          <w:color w:val="auto"/>
          <w:highlight w:val="none"/>
          <w:u w:val="none" w:color="auto"/>
          <w:lang w:eastAsia="zh-CN"/>
        </w:rPr>
        <w:t>八、人防设计部分</w:t>
      </w:r>
    </w:p>
    <w:p w14:paraId="46CFEBE0">
      <w:pPr>
        <w:ind w:firstLine="369" w:firstLineChars="176"/>
        <w:rPr>
          <w:color w:val="auto"/>
          <w:highlight w:val="none"/>
          <w:u w:val="none" w:color="auto"/>
          <w:lang w:eastAsia="zh-CN"/>
        </w:rPr>
      </w:pPr>
      <w:r>
        <w:rPr>
          <w:color w:val="auto"/>
          <w:highlight w:val="none"/>
          <w:u w:val="none" w:color="auto"/>
          <w:lang w:eastAsia="zh-CN"/>
        </w:rPr>
        <w:t>1. 图纸应满足人防施工图设计深度要求，并能顺利通过人防部门的检查和人防审查单位的审查。人防部分的图纸应包括人防布置平面图、人防顶板、底板平面图、 人防口部详图、人防构件详图（人防临空墙、人防楼梯、防倒塌棚架）、人防安装配合、人防墙体留洞图、战时封堵等。结构平面图部分的要求同地上部分；</w:t>
      </w:r>
    </w:p>
    <w:p w14:paraId="03642C54">
      <w:pPr>
        <w:ind w:firstLine="369" w:firstLineChars="176"/>
        <w:rPr>
          <w:color w:val="auto"/>
          <w:highlight w:val="none"/>
          <w:u w:val="none" w:color="auto"/>
          <w:lang w:eastAsia="zh-CN"/>
        </w:rPr>
      </w:pPr>
      <w:r>
        <w:rPr>
          <w:color w:val="auto"/>
          <w:highlight w:val="none"/>
          <w:u w:val="none" w:color="auto"/>
          <w:lang w:eastAsia="zh-CN"/>
        </w:rPr>
        <w:t>2. 人防临空墙、人防隔墙厚度取值应合理，地下室人防防护密闭门门洞和门槛高度、配筋形式应统一。</w:t>
      </w:r>
    </w:p>
    <w:p w14:paraId="4D7E9559">
      <w:pPr>
        <w:pStyle w:val="3"/>
        <w:ind w:firstLine="565" w:firstLineChars="176"/>
        <w:rPr>
          <w:color w:val="auto"/>
          <w:highlight w:val="none"/>
          <w:u w:val="none" w:color="auto"/>
          <w:lang w:eastAsia="zh-CN"/>
        </w:rPr>
      </w:pPr>
      <w:r>
        <w:rPr>
          <w:color w:val="auto"/>
          <w:highlight w:val="none"/>
          <w:u w:val="none" w:color="auto"/>
          <w:lang w:eastAsia="zh-CN"/>
        </w:rPr>
        <w:t>九、对结构施工文件的补充要求：</w:t>
      </w:r>
    </w:p>
    <w:p w14:paraId="6A3B5F9B">
      <w:pPr>
        <w:ind w:firstLine="369" w:firstLineChars="176"/>
        <w:rPr>
          <w:color w:val="auto"/>
          <w:highlight w:val="none"/>
          <w:u w:val="none" w:color="auto"/>
          <w:lang w:eastAsia="zh-CN"/>
        </w:rPr>
      </w:pPr>
      <w:r>
        <w:rPr>
          <w:color w:val="auto"/>
          <w:highlight w:val="none"/>
          <w:u w:val="none" w:color="auto"/>
          <w:lang w:eastAsia="zh-CN"/>
        </w:rPr>
        <w:t>1. 结构计算书应注明计算软件名称及版本号，计算书中应包含各层荷载、构件几何尺寸、配筋输出、柱（墙）底内力、基础计算、大跨度梁扳的裂缝及挠度等内容；</w:t>
      </w:r>
    </w:p>
    <w:p w14:paraId="44E9FAA3">
      <w:pPr>
        <w:ind w:firstLine="369" w:firstLineChars="176"/>
        <w:rPr>
          <w:color w:val="auto"/>
          <w:highlight w:val="none"/>
          <w:u w:val="none" w:color="auto"/>
          <w:lang w:eastAsia="zh-CN"/>
        </w:rPr>
      </w:pPr>
      <w:r>
        <w:rPr>
          <w:color w:val="auto"/>
          <w:highlight w:val="none"/>
          <w:u w:val="none" w:color="auto"/>
          <w:lang w:eastAsia="zh-CN"/>
        </w:rPr>
        <w:t>2. 结构设计中，应充分考虑到天气条件对工程造成的影响，如温度变化和降雨对屋面和墙体有影响，应在屋面结构层、房屋转角处设附加筋、墙体拉结筋等多种构造措施；</w:t>
      </w:r>
    </w:p>
    <w:p w14:paraId="5D0C1321">
      <w:pPr>
        <w:ind w:firstLine="369" w:firstLineChars="176"/>
        <w:rPr>
          <w:color w:val="auto"/>
          <w:highlight w:val="none"/>
          <w:u w:val="none" w:color="auto"/>
          <w:lang w:eastAsia="zh-CN"/>
        </w:rPr>
      </w:pPr>
      <w:r>
        <w:rPr>
          <w:color w:val="auto"/>
          <w:highlight w:val="none"/>
          <w:u w:val="none" w:color="auto"/>
          <w:lang w:eastAsia="zh-CN"/>
        </w:rPr>
        <w:t>3. 大跨度板应复核其挠度、裂缝，楼板配筋应采用分离式配筋，一般不宜采用双向拉通方式，对于房间墙角处板应有加强措施；</w:t>
      </w:r>
    </w:p>
    <w:p w14:paraId="22A2CB9A">
      <w:pPr>
        <w:ind w:firstLine="369" w:firstLineChars="176"/>
        <w:rPr>
          <w:color w:val="auto"/>
          <w:highlight w:val="none"/>
          <w:u w:val="none" w:color="auto"/>
          <w:lang w:eastAsia="zh-CN"/>
        </w:rPr>
      </w:pPr>
      <w:r>
        <w:rPr>
          <w:color w:val="auto"/>
          <w:highlight w:val="none"/>
          <w:u w:val="none" w:color="auto"/>
          <w:lang w:eastAsia="zh-CN"/>
        </w:rPr>
        <w:t>4. 主次梁交叉位置附加钢筋应按规范及计算配量，一般跨度不大时附加箍筋即可，不能在图纸上笼统说明附加箍筋或吊筋，除有计算需要外，梁的箍筋也应该注意优化节省；</w:t>
      </w:r>
    </w:p>
    <w:p w14:paraId="14E18D4B">
      <w:pPr>
        <w:ind w:firstLine="369" w:firstLineChars="176"/>
        <w:rPr>
          <w:color w:val="auto"/>
          <w:highlight w:val="none"/>
          <w:u w:val="none" w:color="auto"/>
          <w:lang w:eastAsia="zh-CN"/>
        </w:rPr>
      </w:pPr>
      <w:r>
        <w:rPr>
          <w:color w:val="auto"/>
          <w:highlight w:val="none"/>
          <w:u w:val="none" w:color="auto"/>
          <w:lang w:eastAsia="zh-CN"/>
        </w:rPr>
        <w:t>5. 对于一些建筑立面线条及节点、构造柱，一般按构造配筋满足规范最低要求即可，混凝土等级可按C25考虑，墙体中构造柱及造型构件的位置和详图需在图纸中表述明确；</w:t>
      </w:r>
    </w:p>
    <w:p w14:paraId="38550736">
      <w:pPr>
        <w:ind w:firstLine="369" w:firstLineChars="176"/>
        <w:rPr>
          <w:color w:val="auto"/>
          <w:highlight w:val="none"/>
          <w:u w:val="none" w:color="auto"/>
          <w:lang w:eastAsia="zh-CN"/>
        </w:rPr>
      </w:pPr>
      <w:r>
        <w:rPr>
          <w:color w:val="auto"/>
          <w:highlight w:val="none"/>
          <w:u w:val="none" w:color="auto"/>
          <w:lang w:eastAsia="zh-CN"/>
        </w:rPr>
        <w:t>6. 设计人员应以满足设计规范最低要求为原则进行设计，最大限度的控制工程成本；</w:t>
      </w:r>
      <w:r>
        <w:rPr>
          <w:rFonts w:hint="eastAsia"/>
          <w:color w:val="auto"/>
          <w:highlight w:val="none"/>
          <w:u w:val="none" w:color="auto"/>
          <w:lang w:eastAsia="zh-CN"/>
        </w:rPr>
        <w:t>结构设计建模及构件设计计算时不应随意放大设计结果。</w:t>
      </w:r>
    </w:p>
    <w:p w14:paraId="4482FF30">
      <w:pPr>
        <w:ind w:firstLine="369" w:firstLineChars="176"/>
        <w:rPr>
          <w:color w:val="auto"/>
          <w:highlight w:val="none"/>
          <w:u w:val="none" w:color="auto"/>
          <w:lang w:eastAsia="zh-CN"/>
        </w:rPr>
      </w:pPr>
      <w:r>
        <w:rPr>
          <w:color w:val="auto"/>
          <w:highlight w:val="none"/>
          <w:u w:val="none" w:color="auto"/>
          <w:lang w:eastAsia="zh-CN"/>
        </w:rPr>
        <w:t>7. 对于一些造价影响较大的图纸审核意见，应协商解决；</w:t>
      </w:r>
    </w:p>
    <w:p w14:paraId="00D6B88C">
      <w:pPr>
        <w:ind w:firstLine="369" w:firstLineChars="176"/>
        <w:rPr>
          <w:color w:val="auto"/>
          <w:highlight w:val="none"/>
          <w:u w:val="none" w:color="auto"/>
          <w:lang w:eastAsia="zh-CN"/>
        </w:rPr>
      </w:pPr>
      <w:r>
        <w:rPr>
          <w:color w:val="auto"/>
          <w:highlight w:val="none"/>
          <w:u w:val="none" w:color="auto"/>
          <w:lang w:eastAsia="zh-CN"/>
        </w:rPr>
        <w:t>8. 结构图中梁、墙的定位标注一定要清晰、准确，保证施工定位不出差错；</w:t>
      </w:r>
    </w:p>
    <w:p w14:paraId="7531C0FA">
      <w:pPr>
        <w:ind w:firstLine="369" w:firstLineChars="176"/>
        <w:rPr>
          <w:color w:val="auto"/>
          <w:highlight w:val="none"/>
          <w:u w:val="none" w:color="auto"/>
          <w:lang w:eastAsia="zh-CN"/>
        </w:rPr>
      </w:pPr>
      <w:r>
        <w:rPr>
          <w:color w:val="auto"/>
          <w:highlight w:val="none"/>
          <w:u w:val="none" w:color="auto"/>
          <w:lang w:eastAsia="zh-CN"/>
        </w:rPr>
        <w:t>9. 结构专业应与设备专业密切配合，在结构图中标注所有柱（墙） 、梁、楼板及基 础底板上的集水坑、预留洞、预埋件、设备基础的定位尺寸，图纸必须由相关专业设计师会签；</w:t>
      </w:r>
    </w:p>
    <w:p w14:paraId="44CA8182">
      <w:pPr>
        <w:ind w:firstLine="369" w:firstLineChars="176"/>
        <w:rPr>
          <w:color w:val="auto"/>
          <w:highlight w:val="none"/>
          <w:u w:val="none" w:color="auto"/>
          <w:lang w:eastAsia="zh-CN"/>
        </w:rPr>
      </w:pPr>
      <w:r>
        <w:rPr>
          <w:color w:val="auto"/>
          <w:highlight w:val="none"/>
          <w:u w:val="none" w:color="auto"/>
          <w:lang w:eastAsia="zh-CN"/>
        </w:rPr>
        <w:t>10. 剪力墙暗柱、框架柱中的箍筋形式应明确，必要时画出抽筋详图；</w:t>
      </w:r>
    </w:p>
    <w:p w14:paraId="7C7BFFA1">
      <w:pPr>
        <w:ind w:firstLine="369" w:firstLineChars="176"/>
        <w:rPr>
          <w:color w:val="auto"/>
          <w:highlight w:val="none"/>
          <w:u w:val="none" w:color="auto"/>
          <w:lang w:eastAsia="zh-CN"/>
        </w:rPr>
      </w:pPr>
      <w:r>
        <w:rPr>
          <w:color w:val="auto"/>
          <w:highlight w:val="none"/>
          <w:u w:val="none" w:color="auto"/>
          <w:lang w:eastAsia="zh-CN"/>
        </w:rPr>
        <w:t>11. 各层梁的配筋图中梁断面尺寸和配筋应在同一张图中标注，以便现场看图方便；</w:t>
      </w:r>
    </w:p>
    <w:p w14:paraId="0996CA0B">
      <w:pPr>
        <w:ind w:firstLine="369" w:firstLineChars="176"/>
        <w:rPr>
          <w:color w:val="auto"/>
          <w:highlight w:val="none"/>
          <w:u w:val="none" w:color="auto"/>
          <w:lang w:eastAsia="zh-CN"/>
        </w:rPr>
      </w:pPr>
      <w:r>
        <w:rPr>
          <w:color w:val="auto"/>
          <w:highlight w:val="none"/>
          <w:u w:val="none" w:color="auto"/>
          <w:lang w:eastAsia="zh-CN"/>
        </w:rPr>
        <w:t>12. 各栋楼地下室结构顶板标高部位的剪力墙暗梁断面配筋形式应统一；</w:t>
      </w:r>
    </w:p>
    <w:p w14:paraId="147ADA1E">
      <w:pPr>
        <w:ind w:firstLine="369" w:firstLineChars="176"/>
        <w:rPr>
          <w:color w:val="auto"/>
          <w:highlight w:val="none"/>
          <w:u w:val="none" w:color="auto"/>
          <w:lang w:eastAsia="zh-CN"/>
        </w:rPr>
      </w:pPr>
      <w:r>
        <w:rPr>
          <w:color w:val="auto"/>
          <w:highlight w:val="none"/>
          <w:u w:val="none" w:color="auto"/>
          <w:lang w:eastAsia="zh-CN"/>
        </w:rPr>
        <w:t>13. 各栋楼相似部位的梁、板、剪力墙及暗柱，其断面和配筋应尽量一致；</w:t>
      </w:r>
    </w:p>
    <w:p w14:paraId="110294AA">
      <w:pPr>
        <w:ind w:firstLine="369" w:firstLineChars="176"/>
        <w:rPr>
          <w:color w:val="auto"/>
          <w:highlight w:val="none"/>
          <w:u w:val="none" w:color="auto"/>
          <w:lang w:eastAsia="zh-CN"/>
        </w:rPr>
      </w:pPr>
      <w:r>
        <w:rPr>
          <w:color w:val="auto"/>
          <w:highlight w:val="none"/>
          <w:u w:val="none" w:color="auto"/>
          <w:lang w:eastAsia="zh-CN"/>
        </w:rPr>
        <w:t>14. 配合委托方的进度安排，必要时应率先提供开挖图、试桩图和桩位布置图；</w:t>
      </w:r>
    </w:p>
    <w:p w14:paraId="3DDE6931">
      <w:pPr>
        <w:ind w:firstLine="369" w:firstLineChars="176"/>
        <w:rPr>
          <w:color w:val="auto"/>
          <w:highlight w:val="none"/>
          <w:u w:val="none" w:color="auto"/>
          <w:lang w:eastAsia="zh-CN"/>
        </w:rPr>
      </w:pPr>
      <w:r>
        <w:rPr>
          <w:color w:val="auto"/>
          <w:highlight w:val="none"/>
          <w:u w:val="none" w:color="auto"/>
          <w:lang w:eastAsia="zh-CN"/>
        </w:rPr>
        <w:t>15. 提供甲方的电子版图纸须与蓝图绝对一致，甲方如有需要，设计方应提供单体的结构建模、计算文件。</w:t>
      </w:r>
    </w:p>
    <w:p w14:paraId="7EB236D9">
      <w:pPr>
        <w:ind w:firstLine="369" w:firstLineChars="176"/>
        <w:rPr>
          <w:rFonts w:hint="eastAsia"/>
          <w:color w:val="auto"/>
          <w:highlight w:val="none"/>
          <w:u w:val="none" w:color="auto"/>
          <w:lang w:eastAsia="zh"/>
        </w:rPr>
      </w:pPr>
      <w:r>
        <w:rPr>
          <w:rFonts w:hint="eastAsia"/>
          <w:color w:val="auto"/>
          <w:highlight w:val="yellow"/>
          <w:u w:val="none" w:color="auto"/>
          <w:lang w:eastAsia="zh"/>
        </w:rPr>
        <w:t>16、结构墙身大样图结合建筑墙身大样图统一绘制</w:t>
      </w:r>
      <w:r>
        <w:rPr>
          <w:rFonts w:hint="eastAsia"/>
          <w:color w:val="auto"/>
          <w:highlight w:val="none"/>
          <w:u w:val="none" w:color="auto"/>
          <w:lang w:eastAsia="zh"/>
        </w:rPr>
        <w:t>。</w:t>
      </w:r>
    </w:p>
    <w:p w14:paraId="07CAA869">
      <w:pPr>
        <w:ind w:firstLine="369" w:firstLineChars="176"/>
        <w:rPr>
          <w:rFonts w:hint="eastAsia"/>
          <w:color w:val="auto"/>
          <w:highlight w:val="yellow"/>
          <w:u w:val="none" w:color="auto"/>
          <w:lang w:eastAsia="zh"/>
        </w:rPr>
      </w:pPr>
      <w:r>
        <w:rPr>
          <w:rFonts w:hint="eastAsia"/>
          <w:color w:val="auto"/>
          <w:highlight w:val="yellow"/>
          <w:u w:val="none" w:color="auto"/>
          <w:lang w:eastAsia="zh"/>
        </w:rPr>
        <w:t>17、楼梯编号与建筑一致，并进行专业间图纸会签、审核。</w:t>
      </w:r>
    </w:p>
    <w:p w14:paraId="3578EFA1">
      <w:pPr>
        <w:ind w:firstLine="369" w:firstLineChars="176"/>
        <w:rPr>
          <w:rFonts w:hint="eastAsia"/>
          <w:color w:val="auto"/>
          <w:highlight w:val="yellow"/>
          <w:u w:val="none" w:color="auto"/>
          <w:lang w:eastAsia="zh"/>
        </w:rPr>
      </w:pPr>
      <w:r>
        <w:rPr>
          <w:rFonts w:hint="eastAsia"/>
          <w:color w:val="auto"/>
          <w:highlight w:val="yellow"/>
          <w:u w:val="none" w:color="auto"/>
          <w:lang w:eastAsia="zh"/>
        </w:rPr>
        <w:t>18、本项目户型较多，相似户型结构墙体布置尽量相同，每层结构平面布置均要与建筑套图。</w:t>
      </w:r>
    </w:p>
    <w:p w14:paraId="0825B32F">
      <w:pPr>
        <w:pStyle w:val="3"/>
        <w:ind w:firstLine="565" w:firstLineChars="176"/>
        <w:rPr>
          <w:color w:val="auto"/>
          <w:highlight w:val="none"/>
          <w:u w:val="none" w:color="auto"/>
          <w:lang w:eastAsia="zh-CN"/>
        </w:rPr>
      </w:pPr>
      <w:r>
        <w:rPr>
          <w:color w:val="auto"/>
          <w:highlight w:val="none"/>
          <w:u w:val="none" w:color="auto"/>
          <w:lang w:eastAsia="zh-CN"/>
        </w:rPr>
        <w:t>十、结构设计管理</w:t>
      </w:r>
    </w:p>
    <w:p w14:paraId="0C8AD018">
      <w:pPr>
        <w:ind w:firstLine="369" w:firstLineChars="176"/>
        <w:rPr>
          <w:color w:val="auto"/>
          <w:highlight w:val="yellow"/>
          <w:u w:val="none" w:color="auto"/>
          <w:lang w:eastAsia="zh-CN"/>
        </w:rPr>
      </w:pPr>
      <w:r>
        <w:rPr>
          <w:color w:val="auto"/>
          <w:highlight w:val="yellow"/>
          <w:u w:val="none" w:color="auto"/>
          <w:lang w:eastAsia="zh-CN"/>
        </w:rPr>
        <w:t xml:space="preserve">1、施工图设计开始后 </w:t>
      </w:r>
      <w:r>
        <w:rPr>
          <w:rFonts w:hint="eastAsia"/>
          <w:color w:val="auto"/>
          <w:highlight w:val="yellow"/>
          <w:u w:val="none" w:color="auto"/>
          <w:lang w:eastAsia="zh"/>
        </w:rPr>
        <w:t>1</w:t>
      </w:r>
      <w:r>
        <w:rPr>
          <w:color w:val="auto"/>
          <w:highlight w:val="yellow"/>
          <w:u w:val="none" w:color="auto"/>
          <w:lang w:eastAsia="zh-CN"/>
        </w:rPr>
        <w:t>0 天内，提供地库结构布置方案、地基处理形式及基础结构选型方案，以供我司进行经济比较；</w:t>
      </w:r>
    </w:p>
    <w:p w14:paraId="06296EC8">
      <w:pPr>
        <w:ind w:firstLine="369" w:firstLineChars="176"/>
        <w:rPr>
          <w:color w:val="auto"/>
          <w:highlight w:val="yellow"/>
          <w:u w:val="none" w:color="auto"/>
          <w:lang w:eastAsia="zh-CN"/>
        </w:rPr>
      </w:pPr>
      <w:r>
        <w:rPr>
          <w:color w:val="auto"/>
          <w:highlight w:val="yellow"/>
          <w:u w:val="none" w:color="auto"/>
          <w:lang w:eastAsia="zh-CN"/>
        </w:rPr>
        <w:t xml:space="preserve">2、施工图设计开始后 </w:t>
      </w:r>
      <w:r>
        <w:rPr>
          <w:rFonts w:hint="eastAsia"/>
          <w:color w:val="auto"/>
          <w:highlight w:val="yellow"/>
          <w:u w:val="none" w:color="auto"/>
          <w:lang w:eastAsia="zh"/>
        </w:rPr>
        <w:t>1</w:t>
      </w:r>
      <w:r>
        <w:rPr>
          <w:color w:val="auto"/>
          <w:highlight w:val="yellow"/>
          <w:u w:val="none" w:color="auto"/>
          <w:lang w:eastAsia="zh-CN"/>
        </w:rPr>
        <w:t>5 天内，提供住宅主楼地基处理形式、桩基布置平面图及基础布置平面图，以供我司进行经济比较；</w:t>
      </w:r>
    </w:p>
    <w:p w14:paraId="6B4BF3E7">
      <w:pPr>
        <w:ind w:firstLine="369" w:firstLineChars="176"/>
        <w:rPr>
          <w:color w:val="auto"/>
          <w:highlight w:val="yellow"/>
          <w:u w:val="none" w:color="auto"/>
          <w:lang w:eastAsia="zh-CN"/>
        </w:rPr>
      </w:pPr>
      <w:r>
        <w:rPr>
          <w:color w:val="auto"/>
          <w:highlight w:val="yellow"/>
          <w:u w:val="none" w:color="auto"/>
          <w:lang w:eastAsia="zh-CN"/>
        </w:rPr>
        <w:t xml:space="preserve">3、施工图设计开始后 </w:t>
      </w:r>
      <w:r>
        <w:rPr>
          <w:rFonts w:hint="eastAsia"/>
          <w:color w:val="auto"/>
          <w:highlight w:val="yellow"/>
          <w:u w:val="none" w:color="auto"/>
          <w:lang w:eastAsia="zh"/>
        </w:rPr>
        <w:t>1</w:t>
      </w:r>
      <w:r>
        <w:rPr>
          <w:color w:val="auto"/>
          <w:highlight w:val="yellow"/>
          <w:u w:val="none" w:color="auto"/>
          <w:lang w:eastAsia="zh-CN"/>
        </w:rPr>
        <w:t>5 天内，提供住宅主楼剪力墙平面布置图（含地下室、底部加强区及底部加强区上面一层）；</w:t>
      </w:r>
    </w:p>
    <w:p w14:paraId="68694250">
      <w:pPr>
        <w:ind w:firstLine="369" w:firstLineChars="176"/>
        <w:rPr>
          <w:color w:val="auto"/>
          <w:highlight w:val="none"/>
          <w:u w:val="none" w:color="auto"/>
          <w:lang w:eastAsia="zh-CN"/>
        </w:rPr>
      </w:pPr>
      <w:r>
        <w:rPr>
          <w:color w:val="auto"/>
          <w:highlight w:val="none"/>
          <w:u w:val="none" w:color="auto"/>
          <w:lang w:eastAsia="zh-CN"/>
        </w:rPr>
        <w:t>设计单位在施工图设计前应给我司提供设计进度计划，并在设计过程中定期与我司联系，以便双方相互沟通，安排技术交流，确保项目的结构设计安全、经济。</w:t>
      </w:r>
    </w:p>
    <w:p w14:paraId="4380EFEC">
      <w:pPr>
        <w:pStyle w:val="2"/>
        <w:rPr>
          <w:color w:val="auto"/>
          <w:highlight w:val="none"/>
          <w:u w:val="none" w:color="auto"/>
          <w:lang w:eastAsia="zh-CN"/>
        </w:rPr>
      </w:pPr>
      <w:r>
        <w:rPr>
          <w:color w:val="auto"/>
          <w:highlight w:val="none"/>
          <w:u w:val="none" w:color="auto"/>
          <w:lang w:eastAsia="zh-CN"/>
        </w:rPr>
        <w:t>第四部分设备安装专业</w:t>
      </w:r>
    </w:p>
    <w:p w14:paraId="3E68B645">
      <w:pPr>
        <w:pStyle w:val="3"/>
        <w:ind w:firstLine="565" w:firstLineChars="176"/>
        <w:rPr>
          <w:color w:val="auto"/>
          <w:highlight w:val="none"/>
          <w:u w:val="none" w:color="auto"/>
          <w:lang w:eastAsia="zh-CN"/>
        </w:rPr>
      </w:pPr>
      <w:r>
        <w:rPr>
          <w:color w:val="auto"/>
          <w:highlight w:val="none"/>
          <w:u w:val="none" w:color="auto"/>
          <w:lang w:eastAsia="zh-CN"/>
        </w:rPr>
        <w:t>给排水专业</w:t>
      </w:r>
    </w:p>
    <w:p w14:paraId="5072CD0B">
      <w:pPr>
        <w:ind w:firstLine="369" w:firstLineChars="176"/>
        <w:rPr>
          <w:color w:val="auto"/>
          <w:highlight w:val="none"/>
          <w:u w:val="none" w:color="auto"/>
          <w:lang w:eastAsia="zh-CN"/>
        </w:rPr>
      </w:pPr>
      <w:r>
        <w:rPr>
          <w:color w:val="auto"/>
          <w:highlight w:val="none"/>
          <w:u w:val="none" w:color="auto"/>
          <w:lang w:eastAsia="zh-CN"/>
        </w:rPr>
        <w:t>1. 设计范围及指标</w:t>
      </w:r>
    </w:p>
    <w:p w14:paraId="6CE443DD">
      <w:pPr>
        <w:ind w:firstLine="369" w:firstLineChars="176"/>
        <w:rPr>
          <w:color w:val="auto"/>
          <w:highlight w:val="none"/>
          <w:u w:val="none" w:color="auto"/>
          <w:lang w:eastAsia="zh-CN"/>
        </w:rPr>
      </w:pPr>
      <w:r>
        <w:rPr>
          <w:color w:val="auto"/>
          <w:highlight w:val="none"/>
          <w:u w:val="none" w:color="auto"/>
          <w:lang w:eastAsia="zh-CN"/>
        </w:rPr>
        <w:t>1.1 设计范围</w:t>
      </w:r>
    </w:p>
    <w:p w14:paraId="07BD8DB7">
      <w:pPr>
        <w:ind w:firstLine="369" w:firstLineChars="176"/>
        <w:rPr>
          <w:color w:val="auto"/>
          <w:highlight w:val="none"/>
          <w:u w:val="none" w:color="auto"/>
          <w:lang w:eastAsia="zh-CN"/>
        </w:rPr>
      </w:pPr>
      <w:r>
        <w:rPr>
          <w:color w:val="auto"/>
          <w:highlight w:val="none"/>
          <w:u w:val="none" w:color="auto"/>
          <w:lang w:eastAsia="zh-CN"/>
        </w:rPr>
        <w:t>包括但不限于：设计说明，户型大样图、管井大样图、泵房大样图等各类相关大样图</w:t>
      </w:r>
      <w:r>
        <w:rPr>
          <w:rFonts w:hint="eastAsia"/>
          <w:color w:val="auto"/>
          <w:highlight w:val="none"/>
          <w:u w:val="none" w:color="auto"/>
          <w:lang w:eastAsia="zh-CN"/>
        </w:rPr>
        <w:t>（包含定位尺寸、标高、设备参数等）</w:t>
      </w:r>
      <w:r>
        <w:rPr>
          <w:color w:val="auto"/>
          <w:highlight w:val="none"/>
          <w:u w:val="none" w:color="auto"/>
          <w:lang w:eastAsia="zh-CN"/>
        </w:rPr>
        <w:t>，生活给水系统，污、废水排放系统，雨水排放系统，消防给水系统，地块室内外给排水管网设计，为景观及绿化浇灌用水系统预留给排水接口条件。</w:t>
      </w:r>
    </w:p>
    <w:p w14:paraId="49DCD813">
      <w:pPr>
        <w:ind w:firstLine="369" w:firstLineChars="176"/>
        <w:rPr>
          <w:color w:val="auto"/>
          <w:highlight w:val="none"/>
          <w:u w:val="none" w:color="auto"/>
          <w:lang w:eastAsia="zh-CN"/>
        </w:rPr>
      </w:pPr>
      <w:r>
        <w:rPr>
          <w:color w:val="auto"/>
          <w:highlight w:val="none"/>
          <w:u w:val="none" w:color="auto"/>
          <w:lang w:eastAsia="zh-CN"/>
        </w:rPr>
        <w:t>设计单位应配合本项目相关后续设计及审图工作， 包含但不限于精装修、海绵城市及景观设计。</w:t>
      </w:r>
    </w:p>
    <w:p w14:paraId="6B65AD82">
      <w:pPr>
        <w:ind w:firstLine="369" w:firstLineChars="176"/>
        <w:rPr>
          <w:color w:val="auto"/>
          <w:highlight w:val="none"/>
          <w:u w:val="none" w:color="auto"/>
          <w:lang w:eastAsia="zh-CN"/>
        </w:rPr>
      </w:pPr>
      <w:r>
        <w:rPr>
          <w:color w:val="auto"/>
          <w:highlight w:val="none"/>
          <w:u w:val="none" w:color="auto"/>
          <w:lang w:eastAsia="zh-CN"/>
        </w:rPr>
        <w:t>1.2 设计指标</w:t>
      </w:r>
    </w:p>
    <w:p w14:paraId="4A7ED6F9">
      <w:pPr>
        <w:ind w:firstLine="369" w:firstLineChars="176"/>
        <w:rPr>
          <w:color w:val="auto"/>
          <w:highlight w:val="none"/>
          <w:u w:val="none" w:color="auto"/>
          <w:lang w:eastAsia="zh-CN"/>
        </w:rPr>
      </w:pPr>
      <w:r>
        <w:rPr>
          <w:rFonts w:hint="eastAsia"/>
          <w:color w:val="auto"/>
          <w:highlight w:val="yellow"/>
          <w:u w:val="none" w:color="auto"/>
          <w:lang w:eastAsia="zh"/>
        </w:rPr>
        <w:t xml:space="preserve">1.2.1 </w:t>
      </w:r>
      <w:r>
        <w:rPr>
          <w:color w:val="auto"/>
          <w:highlight w:val="none"/>
          <w:u w:val="none" w:color="auto"/>
          <w:lang w:eastAsia="zh-CN"/>
        </w:rPr>
        <w:t>给排水量及管网压力按国家规定的有关指标并结合当地实际情况进行计算。</w:t>
      </w:r>
    </w:p>
    <w:p w14:paraId="4875C78B">
      <w:pPr>
        <w:ind w:firstLine="369" w:firstLineChars="176"/>
        <w:rPr>
          <w:rFonts w:hint="eastAsia" w:eastAsia="宋体"/>
          <w:color w:val="auto"/>
          <w:highlight w:val="yellow"/>
          <w:u w:val="none" w:color="auto"/>
          <w:lang w:eastAsia="zh"/>
        </w:rPr>
      </w:pPr>
      <w:r>
        <w:rPr>
          <w:rFonts w:hint="eastAsia"/>
          <w:color w:val="auto"/>
          <w:highlight w:val="yellow"/>
          <w:u w:val="none" w:color="auto"/>
          <w:lang w:eastAsia="zh"/>
        </w:rPr>
        <w:t>1.2.2 按西安市自来水公司建议，给水系统地上部分按全加压设计。</w:t>
      </w:r>
    </w:p>
    <w:p w14:paraId="08F307D4">
      <w:pPr>
        <w:ind w:firstLine="420" w:firstLineChars="200"/>
        <w:rPr>
          <w:rFonts w:hint="eastAsia" w:eastAsiaTheme="minorEastAsia"/>
          <w:color w:val="auto"/>
          <w:highlight w:val="none"/>
          <w:u w:val="none" w:color="auto"/>
          <w:lang w:eastAsia="zh-CN"/>
        </w:rPr>
      </w:pPr>
      <w:r>
        <w:rPr>
          <w:color w:val="auto"/>
          <w:highlight w:val="none"/>
          <w:u w:val="none" w:color="auto"/>
          <w:lang w:eastAsia="zh-CN"/>
        </w:rPr>
        <w:t xml:space="preserve">1.3 </w:t>
      </w:r>
      <w:r>
        <w:rPr>
          <w:rFonts w:hint="eastAsia" w:eastAsiaTheme="minorEastAsia"/>
          <w:color w:val="auto"/>
          <w:highlight w:val="none"/>
          <w:u w:val="none" w:color="auto"/>
          <w:lang w:eastAsia="zh-CN"/>
        </w:rPr>
        <w:t>给排水设计的</w:t>
      </w:r>
      <w:r>
        <w:rPr>
          <w:rFonts w:hint="eastAsia"/>
          <w:color w:val="auto"/>
          <w:highlight w:val="none"/>
          <w:u w:val="none" w:color="auto"/>
          <w:lang w:eastAsia="zh-CN"/>
        </w:rPr>
        <w:t>各类做法、材料应明确、详实，所有二次设计的基本参数应完整，应能满足我司对市场大部分厂家产品的招标需求，施工图中不可有任何品牌指向或非常规做法，</w:t>
      </w:r>
      <w:r>
        <w:rPr>
          <w:color w:val="auto"/>
          <w:highlight w:val="none"/>
          <w:u w:val="none" w:color="auto"/>
          <w:lang w:eastAsia="zh-CN"/>
        </w:rPr>
        <w:t>设计单位</w:t>
      </w:r>
      <w:r>
        <w:rPr>
          <w:rFonts w:hint="eastAsia"/>
          <w:color w:val="auto"/>
          <w:highlight w:val="none"/>
          <w:u w:val="none" w:color="auto"/>
          <w:lang w:eastAsia="zh-CN"/>
        </w:rPr>
        <w:t>应在项目全周期按需求技术配合并</w:t>
      </w:r>
      <w:r>
        <w:rPr>
          <w:color w:val="auto"/>
          <w:highlight w:val="none"/>
          <w:u w:val="none" w:color="auto"/>
          <w:lang w:eastAsia="zh-CN"/>
        </w:rPr>
        <w:t>审核与本项目本专业相关的二次深化设计图</w:t>
      </w:r>
      <w:r>
        <w:rPr>
          <w:rFonts w:hint="eastAsia" w:eastAsiaTheme="minorEastAsia"/>
          <w:color w:val="auto"/>
          <w:highlight w:val="none"/>
          <w:u w:val="none" w:color="auto"/>
          <w:lang w:eastAsia="zh-CN"/>
        </w:rPr>
        <w:t>。</w:t>
      </w:r>
    </w:p>
    <w:p w14:paraId="15121312">
      <w:pPr>
        <w:ind w:firstLine="369" w:firstLineChars="176"/>
        <w:rPr>
          <w:color w:val="auto"/>
          <w:highlight w:val="none"/>
          <w:u w:val="none" w:color="auto"/>
          <w:lang w:eastAsia="zh-CN"/>
        </w:rPr>
      </w:pPr>
      <w:r>
        <w:rPr>
          <w:color w:val="auto"/>
          <w:highlight w:val="none"/>
          <w:u w:val="none" w:color="auto"/>
          <w:lang w:eastAsia="zh-CN"/>
        </w:rPr>
        <w:t>2. 系统设计要求</w:t>
      </w:r>
    </w:p>
    <w:p w14:paraId="71094D83">
      <w:pPr>
        <w:ind w:firstLine="369" w:firstLineChars="176"/>
        <w:jc w:val="both"/>
        <w:rPr>
          <w:color w:val="auto"/>
          <w:highlight w:val="none"/>
          <w:u w:val="none" w:color="auto"/>
          <w:lang w:eastAsia="zh-CN"/>
        </w:rPr>
      </w:pPr>
      <w:r>
        <w:rPr>
          <w:color w:val="auto"/>
          <w:highlight w:val="none"/>
          <w:u w:val="none" w:color="auto"/>
          <w:lang w:eastAsia="zh-CN"/>
        </w:rPr>
        <w:t>在项目全周期，设计单位应与精装修、海绵城市</w:t>
      </w:r>
      <w:r>
        <w:rPr>
          <w:rFonts w:hint="eastAsia"/>
          <w:color w:val="auto"/>
          <w:highlight w:val="none"/>
          <w:u w:val="none" w:color="auto"/>
          <w:lang w:eastAsia="zh-CN"/>
        </w:rPr>
        <w:t>、</w:t>
      </w:r>
      <w:r>
        <w:rPr>
          <w:color w:val="auto"/>
          <w:highlight w:val="none"/>
          <w:u w:val="none" w:color="auto"/>
          <w:lang w:eastAsia="zh-CN"/>
        </w:rPr>
        <w:t>景观的设计单位</w:t>
      </w:r>
      <w:r>
        <w:rPr>
          <w:rFonts w:hint="eastAsia"/>
          <w:color w:val="auto"/>
          <w:highlight w:val="none"/>
          <w:u w:val="none" w:color="auto"/>
          <w:lang w:eastAsia="zh-CN"/>
        </w:rPr>
        <w:t>及二次深化设计的</w:t>
      </w:r>
      <w:r>
        <w:rPr>
          <w:color w:val="auto"/>
          <w:highlight w:val="none"/>
          <w:u w:val="none" w:color="auto"/>
          <w:lang w:eastAsia="zh-CN"/>
        </w:rPr>
        <w:t>紧密配合，完成相关设计及审图工作。</w:t>
      </w:r>
    </w:p>
    <w:p w14:paraId="237EEAD3">
      <w:pPr>
        <w:pStyle w:val="22"/>
        <w:rPr>
          <w:rFonts w:eastAsiaTheme="minorEastAsia"/>
          <w:color w:val="auto"/>
          <w:highlight w:val="none"/>
          <w:u w:val="none" w:color="auto"/>
          <w:lang w:eastAsia="zh-CN"/>
        </w:rPr>
      </w:pPr>
    </w:p>
    <w:p w14:paraId="3680B5F7">
      <w:pPr>
        <w:ind w:firstLine="369" w:firstLineChars="176"/>
        <w:rPr>
          <w:color w:val="auto"/>
          <w:highlight w:val="none"/>
          <w:u w:val="none" w:color="auto"/>
          <w:lang w:eastAsia="zh-CN"/>
        </w:rPr>
      </w:pPr>
      <w:r>
        <w:rPr>
          <w:color w:val="auto"/>
          <w:highlight w:val="none"/>
          <w:u w:val="none" w:color="auto"/>
          <w:lang w:eastAsia="zh-CN"/>
        </w:rPr>
        <w:t>2.1 室内部分</w:t>
      </w:r>
    </w:p>
    <w:p w14:paraId="3E8F1EA1">
      <w:pPr>
        <w:ind w:firstLine="369" w:firstLineChars="176"/>
        <w:rPr>
          <w:color w:val="auto"/>
          <w:highlight w:val="none"/>
          <w:u w:val="none" w:color="auto"/>
          <w:lang w:eastAsia="zh-CN"/>
        </w:rPr>
      </w:pPr>
      <w:r>
        <w:rPr>
          <w:color w:val="auto"/>
          <w:highlight w:val="none"/>
          <w:u w:val="none" w:color="auto"/>
          <w:lang w:eastAsia="zh-CN"/>
        </w:rPr>
        <w:t>2.1.1 生活供水系统的垂直分区应综合考虑供水安全和经济运行的要求，在初步设计阶 段应做出系统分区和水泵组设置情况的设计方案供我司审核。</w:t>
      </w:r>
    </w:p>
    <w:p w14:paraId="527A2881">
      <w:pPr>
        <w:pStyle w:val="22"/>
        <w:rPr>
          <w:rFonts w:hint="eastAsia" w:ascii="宋体" w:hAnsi="宋体" w:eastAsia="宋体"/>
          <w:color w:val="auto"/>
          <w:sz w:val="24"/>
          <w:highlight w:val="none"/>
          <w:u w:val="none" w:color="auto"/>
          <w:lang w:eastAsia="zh-CN"/>
        </w:rPr>
      </w:pPr>
      <w:r>
        <w:rPr>
          <w:rFonts w:hint="eastAsia" w:ascii="宋体" w:hAnsi="宋体" w:eastAsia="宋体"/>
          <w:color w:val="auto"/>
          <w:sz w:val="24"/>
          <w:highlight w:val="none"/>
          <w:u w:val="none" w:color="auto"/>
          <w:lang w:eastAsia="zh-CN"/>
        </w:rPr>
        <w:t xml:space="preserve"> </w:t>
      </w:r>
      <w:r>
        <w:rPr>
          <w:rFonts w:ascii="宋体" w:hAnsi="宋体" w:eastAsia="宋体"/>
          <w:color w:val="auto"/>
          <w:sz w:val="24"/>
          <w:highlight w:val="none"/>
          <w:u w:val="none" w:color="auto"/>
          <w:lang w:eastAsia="zh-CN"/>
        </w:rPr>
        <w:t xml:space="preserve">  2.1.2 </w:t>
      </w:r>
      <w:r>
        <w:rPr>
          <w:rFonts w:hint="eastAsia" w:ascii="宋体" w:hAnsi="宋体" w:eastAsia="宋体"/>
          <w:color w:val="auto"/>
          <w:sz w:val="24"/>
          <w:highlight w:val="none"/>
          <w:u w:val="none" w:color="auto"/>
          <w:lang w:eastAsia="zh-CN"/>
        </w:rPr>
        <w:t>户内设给水总阀，设于厨房内。</w:t>
      </w:r>
    </w:p>
    <w:p w14:paraId="2897BB49">
      <w:pPr>
        <w:keepNext w:val="0"/>
        <w:keepLines w:val="0"/>
        <w:widowControl w:val="0"/>
        <w:suppressLineNumbers w:val="0"/>
        <w:spacing w:before="0" w:beforeAutospacing="0" w:after="0" w:afterAutospacing="0"/>
        <w:ind w:left="0" w:right="0"/>
        <w:jc w:val="both"/>
        <w:rPr>
          <w:rFonts w:hint="eastAsia" w:eastAsia="宋体"/>
          <w:lang w:eastAsia="zh"/>
        </w:rPr>
      </w:pPr>
      <w:r>
        <w:rPr>
          <w:rFonts w:hint="eastAsia"/>
          <w:color w:val="auto"/>
          <w:sz w:val="24"/>
          <w:highlight w:val="none"/>
          <w:u w:val="none" w:color="auto"/>
          <w:lang w:eastAsia="zh"/>
        </w:rPr>
        <w:t xml:space="preserve">   </w:t>
      </w:r>
      <w:r>
        <w:rPr>
          <w:rFonts w:hint="eastAsia"/>
          <w:color w:val="auto"/>
          <w:sz w:val="24"/>
          <w:highlight w:val="yellow"/>
          <w:u w:val="none" w:color="auto"/>
          <w:lang w:eastAsia="zh"/>
        </w:rPr>
        <w:t>2.1.3 毛坯交付的户内部分，</w:t>
      </w:r>
      <w:r>
        <w:rPr>
          <w:rFonts w:hint="eastAsia" w:ascii="宋体" w:hAnsi="宋体" w:eastAsia="宋体"/>
          <w:color w:val="auto"/>
          <w:highlight w:val="yellow"/>
          <w:u w:val="none" w:color="auto"/>
          <w:lang w:eastAsia="zh"/>
        </w:rPr>
        <w:t>在各卫生间、厨房、单独设置的家政间、单独设置的洗衣机点位</w:t>
      </w:r>
      <w:r>
        <w:rPr>
          <w:rFonts w:hint="eastAsia" w:ascii="宋体" w:hAnsi="宋体" w:eastAsia="宋体"/>
          <w:color w:val="auto"/>
          <w:highlight w:val="yellow"/>
          <w:u w:val="none" w:color="auto"/>
          <w:lang w:val="en-US" w:eastAsia="zh-CN"/>
        </w:rPr>
        <w:t>预留</w:t>
      </w:r>
      <w:r>
        <w:rPr>
          <w:rFonts w:hint="eastAsia" w:ascii="宋体" w:hAnsi="宋体" w:eastAsia="宋体"/>
          <w:color w:val="auto"/>
          <w:highlight w:val="yellow"/>
          <w:u w:val="none" w:color="auto"/>
          <w:lang w:val="en-US" w:eastAsia="zh"/>
        </w:rPr>
        <w:t>一处给水接口，堵头封堵；排水点位均设计到位。</w:t>
      </w:r>
    </w:p>
    <w:p w14:paraId="699B1760">
      <w:pPr>
        <w:ind w:firstLine="369" w:firstLineChars="176"/>
        <w:rPr>
          <w:color w:val="auto"/>
          <w:highlight w:val="none"/>
          <w:u w:val="none" w:color="auto"/>
          <w:lang w:eastAsia="zh-CN"/>
        </w:rPr>
      </w:pPr>
      <w:r>
        <w:rPr>
          <w:color w:val="auto"/>
          <w:highlight w:val="none"/>
          <w:u w:val="none" w:color="auto"/>
          <w:lang w:eastAsia="zh-CN"/>
        </w:rPr>
        <w:t>2.1.</w:t>
      </w:r>
      <w:r>
        <w:rPr>
          <w:rFonts w:hint="eastAsia"/>
          <w:color w:val="auto"/>
          <w:highlight w:val="none"/>
          <w:u w:val="none" w:color="auto"/>
          <w:lang w:eastAsia="zh"/>
        </w:rPr>
        <w:t>4</w:t>
      </w:r>
      <w:r>
        <w:rPr>
          <w:color w:val="auto"/>
          <w:highlight w:val="none"/>
          <w:u w:val="none" w:color="auto"/>
          <w:lang w:eastAsia="zh-CN"/>
        </w:rPr>
        <w:t xml:space="preserve"> 水管井要有详细的平面布置图</w:t>
      </w:r>
      <w:r>
        <w:rPr>
          <w:rFonts w:hint="eastAsia"/>
          <w:color w:val="auto"/>
          <w:highlight w:val="none"/>
          <w:u w:val="none" w:color="auto"/>
          <w:lang w:eastAsia="zh-CN"/>
        </w:rPr>
        <w:t>（标高、定位尺寸）</w:t>
      </w:r>
      <w:r>
        <w:rPr>
          <w:color w:val="auto"/>
          <w:highlight w:val="none"/>
          <w:u w:val="none" w:color="auto"/>
          <w:lang w:eastAsia="zh-CN"/>
        </w:rPr>
        <w:t>，保证管井的大小合适。</w:t>
      </w:r>
    </w:p>
    <w:p w14:paraId="0810382E">
      <w:pPr>
        <w:keepNext w:val="0"/>
        <w:keepLines w:val="0"/>
        <w:widowControl/>
        <w:suppressLineNumbers w:val="0"/>
        <w:kinsoku w:val="0"/>
        <w:autoSpaceDE w:val="0"/>
        <w:autoSpaceDN w:val="0"/>
        <w:adjustRightInd w:val="0"/>
        <w:snapToGrid w:val="0"/>
        <w:spacing w:before="0" w:beforeAutospacing="0" w:after="0" w:afterAutospacing="0" w:line="360" w:lineRule="auto"/>
        <w:ind w:left="0" w:right="0" w:firstLine="369" w:firstLineChars="176"/>
        <w:jc w:val="left"/>
        <w:textAlignment w:val="baseline"/>
        <w:rPr>
          <w:color w:val="auto"/>
          <w:highlight w:val="none"/>
          <w:u w:val="none" w:color="auto"/>
          <w:lang w:eastAsia="zh-CN"/>
        </w:rPr>
      </w:pPr>
      <w:r>
        <w:rPr>
          <w:color w:val="auto"/>
          <w:highlight w:val="none"/>
          <w:u w:val="none" w:color="auto"/>
          <w:lang w:eastAsia="zh-CN"/>
        </w:rPr>
        <w:t>2.1.</w:t>
      </w:r>
      <w:r>
        <w:rPr>
          <w:rFonts w:hint="eastAsia"/>
          <w:color w:val="auto"/>
          <w:highlight w:val="none"/>
          <w:u w:val="none" w:color="auto"/>
          <w:lang w:eastAsia="zh"/>
        </w:rPr>
        <w:t>5</w:t>
      </w:r>
      <w:r>
        <w:rPr>
          <w:color w:val="auto"/>
          <w:highlight w:val="none"/>
          <w:u w:val="none" w:color="auto"/>
          <w:lang w:eastAsia="zh-CN"/>
        </w:rPr>
        <w:t xml:space="preserve"> </w:t>
      </w:r>
      <w:r>
        <w:rPr>
          <w:rFonts w:hint="eastAsia" w:ascii="宋体" w:hAnsi="宋体" w:eastAsia="宋体" w:cs="宋体"/>
          <w:snapToGrid w:val="0"/>
          <w:color w:val="000000"/>
          <w:kern w:val="0"/>
          <w:sz w:val="24"/>
          <w:szCs w:val="24"/>
          <w:highlight w:val="yellow"/>
          <w:lang w:val="en-US" w:eastAsia="zh-CN" w:bidi="ar"/>
        </w:rPr>
        <w:t>按楼栋单元在首层水井内预留保洁用水龙头，并设阀门、水表。</w:t>
      </w:r>
    </w:p>
    <w:p w14:paraId="22942ADA">
      <w:pPr>
        <w:ind w:firstLine="369" w:firstLineChars="176"/>
        <w:rPr>
          <w:color w:val="auto"/>
          <w:highlight w:val="none"/>
          <w:u w:val="none" w:color="auto"/>
          <w:lang w:eastAsia="zh-CN"/>
        </w:rPr>
      </w:pPr>
      <w:r>
        <w:rPr>
          <w:color w:val="auto"/>
          <w:highlight w:val="none"/>
          <w:u w:val="none" w:color="auto"/>
          <w:lang w:eastAsia="zh-CN"/>
        </w:rPr>
        <w:t>2.1.</w:t>
      </w:r>
      <w:r>
        <w:rPr>
          <w:rFonts w:hint="eastAsia"/>
          <w:color w:val="auto"/>
          <w:highlight w:val="none"/>
          <w:u w:val="none" w:color="auto"/>
          <w:lang w:eastAsia="zh"/>
        </w:rPr>
        <w:t>6</w:t>
      </w:r>
      <w:r>
        <w:rPr>
          <w:color w:val="auto"/>
          <w:highlight w:val="none"/>
          <w:u w:val="none" w:color="auto"/>
          <w:lang w:eastAsia="zh-CN"/>
        </w:rPr>
        <w:t xml:space="preserve"> 车库综合管线设计应考虑项目分期，便于后期施工且不影响先交付楼栋的使用。</w:t>
      </w:r>
    </w:p>
    <w:p w14:paraId="2F4D9F10">
      <w:pPr>
        <w:ind w:firstLine="369" w:firstLineChars="176"/>
        <w:rPr>
          <w:rFonts w:hint="default"/>
          <w:color w:val="auto"/>
          <w:highlight w:val="none"/>
          <w:u w:val="none" w:color="auto"/>
          <w:lang w:val="en-US" w:eastAsia="zh-CN"/>
        </w:rPr>
      </w:pPr>
      <w:r>
        <w:rPr>
          <w:color w:val="auto"/>
          <w:highlight w:val="none"/>
          <w:u w:val="none" w:color="auto"/>
          <w:lang w:eastAsia="zh-CN"/>
        </w:rPr>
        <w:t>2.1.</w:t>
      </w:r>
      <w:r>
        <w:rPr>
          <w:rFonts w:hint="eastAsia"/>
          <w:color w:val="auto"/>
          <w:highlight w:val="none"/>
          <w:u w:val="none" w:color="auto"/>
          <w:lang w:eastAsia="zh"/>
        </w:rPr>
        <w:t>7</w:t>
      </w:r>
      <w:r>
        <w:rPr>
          <w:color w:val="auto"/>
          <w:highlight w:val="none"/>
          <w:u w:val="none" w:color="auto"/>
          <w:lang w:eastAsia="zh-CN"/>
        </w:rPr>
        <w:t xml:space="preserve"> </w:t>
      </w:r>
      <w:r>
        <w:rPr>
          <w:rFonts w:hint="eastAsia"/>
          <w:color w:val="auto"/>
          <w:highlight w:val="yellow"/>
          <w:u w:val="none" w:color="auto"/>
          <w:lang w:val="en-US" w:eastAsia="zh-CN"/>
        </w:rPr>
        <w:t>所有商业均预留给水。</w:t>
      </w:r>
      <w:r>
        <w:rPr>
          <w:rFonts w:hint="eastAsia"/>
          <w:color w:val="auto"/>
          <w:highlight w:val="none"/>
          <w:u w:val="none" w:color="auto"/>
          <w:lang w:eastAsia="zh-CN"/>
        </w:rPr>
        <w:t>商</w:t>
      </w:r>
      <w:r>
        <w:rPr>
          <w:rFonts w:hint="eastAsia"/>
          <w:color w:val="auto"/>
          <w:highlight w:val="none"/>
          <w:u w:val="none" w:color="auto"/>
          <w:lang w:val="en-US" w:eastAsia="zh-CN"/>
        </w:rPr>
        <w:t>业</w:t>
      </w:r>
      <w:r>
        <w:rPr>
          <w:rFonts w:hint="eastAsia"/>
          <w:color w:val="auto"/>
          <w:highlight w:val="none"/>
          <w:u w:val="none" w:color="auto"/>
          <w:lang w:eastAsia="zh-CN"/>
        </w:rPr>
        <w:t>给水按一户一表设计，给水预留管径不小于</w:t>
      </w:r>
      <w:r>
        <w:rPr>
          <w:color w:val="auto"/>
          <w:highlight w:val="none"/>
          <w:u w:val="none" w:color="auto"/>
          <w:lang w:eastAsia="zh-CN"/>
        </w:rPr>
        <w:t>DN20,符合功能需求。给水接口预留标准按照：商业≤60㎡，预留DN20；60㎡&lt;商业≤120㎡，预留DN32；120㎡&lt;商业≤240㎡，预留DN40；300㎡&lt;商业，预留≥DN40（以上参数为餐饮类商业的预留原则，设计时需结合规划商业类型考虑）。公区用水单独计量。</w:t>
      </w:r>
    </w:p>
    <w:p w14:paraId="61165AE1">
      <w:pPr>
        <w:ind w:firstLine="369" w:firstLineChars="176"/>
        <w:rPr>
          <w:color w:val="auto"/>
          <w:highlight w:val="none"/>
          <w:u w:val="none" w:color="auto"/>
          <w:lang w:eastAsia="zh-CN"/>
        </w:rPr>
      </w:pPr>
      <w:r>
        <w:rPr>
          <w:color w:val="auto"/>
          <w:highlight w:val="none"/>
          <w:u w:val="none" w:color="auto"/>
          <w:lang w:eastAsia="zh-CN"/>
        </w:rPr>
        <w:t>2.1.</w:t>
      </w:r>
      <w:r>
        <w:rPr>
          <w:rFonts w:hint="eastAsia"/>
          <w:color w:val="auto"/>
          <w:highlight w:val="none"/>
          <w:u w:val="none" w:color="auto"/>
          <w:lang w:eastAsia="zh"/>
        </w:rPr>
        <w:t>8</w:t>
      </w:r>
      <w:r>
        <w:rPr>
          <w:color w:val="auto"/>
          <w:highlight w:val="none"/>
          <w:u w:val="none" w:color="auto"/>
          <w:lang w:eastAsia="zh-CN"/>
        </w:rPr>
        <w:t xml:space="preserve"> 管材要求如下：</w:t>
      </w:r>
    </w:p>
    <w:p w14:paraId="071D101C">
      <w:pPr>
        <w:ind w:firstLine="369" w:firstLineChars="176"/>
        <w:rPr>
          <w:color w:val="auto"/>
          <w:highlight w:val="none"/>
          <w:u w:val="none" w:color="auto"/>
          <w:lang w:eastAsia="zh-CN"/>
        </w:rPr>
      </w:pPr>
      <w:r>
        <w:rPr>
          <w:rFonts w:hint="eastAsia"/>
          <w:color w:val="auto"/>
          <w:highlight w:val="none"/>
          <w:u w:val="none" w:color="auto"/>
          <w:lang w:eastAsia="zh-CN"/>
        </w:rPr>
        <w:t>①</w:t>
      </w:r>
      <w:r>
        <w:rPr>
          <w:color w:val="auto"/>
          <w:highlight w:val="none"/>
          <w:u w:val="none" w:color="auto"/>
          <w:lang w:eastAsia="zh-CN"/>
        </w:rPr>
        <w:t>住宅</w:t>
      </w:r>
    </w:p>
    <w:p w14:paraId="6E149187">
      <w:pPr>
        <w:ind w:firstLine="369" w:firstLineChars="176"/>
        <w:rPr>
          <w:color w:val="auto"/>
          <w:highlight w:val="none"/>
          <w:u w:val="none" w:color="auto"/>
          <w:lang w:eastAsia="zh-CN"/>
        </w:rPr>
      </w:pPr>
      <w:r>
        <w:rPr>
          <w:color w:val="auto"/>
          <w:highlight w:val="none"/>
          <w:u w:val="none" w:color="auto"/>
          <w:lang w:eastAsia="zh-CN"/>
        </w:rPr>
        <w:t>户内给水支管采用 PPR 管，给水立管采用钢塑复合管</w:t>
      </w:r>
      <w:r>
        <w:rPr>
          <w:rFonts w:hint="eastAsia"/>
          <w:color w:val="auto"/>
          <w:highlight w:val="none"/>
          <w:u w:val="none" w:color="auto"/>
          <w:lang w:eastAsia="zh-CN"/>
        </w:rPr>
        <w:t>。</w:t>
      </w:r>
    </w:p>
    <w:p w14:paraId="4D65FD3B">
      <w:pPr>
        <w:ind w:firstLine="369" w:firstLineChars="176"/>
        <w:rPr>
          <w:color w:val="auto"/>
          <w:highlight w:val="none"/>
          <w:u w:val="none" w:color="auto"/>
          <w:lang w:eastAsia="zh-CN"/>
        </w:rPr>
      </w:pPr>
      <w:r>
        <w:rPr>
          <w:color w:val="auto"/>
          <w:highlight w:val="none"/>
          <w:u w:val="none" w:color="auto"/>
          <w:lang w:eastAsia="zh-CN"/>
        </w:rPr>
        <w:t>住宅</w:t>
      </w:r>
      <w:r>
        <w:rPr>
          <w:rFonts w:hint="eastAsia"/>
          <w:color w:val="auto"/>
          <w:highlight w:val="none"/>
          <w:u w:val="none" w:color="auto"/>
          <w:lang w:eastAsia="zh-CN"/>
        </w:rPr>
        <w:t>地上建筑重力污水及废水排水立管采用</w:t>
      </w:r>
      <w:r>
        <w:rPr>
          <w:color w:val="auto"/>
          <w:highlight w:val="none"/>
          <w:u w:val="none" w:color="auto"/>
          <w:lang w:eastAsia="zh-CN"/>
        </w:rPr>
        <w:t>UPVC</w:t>
      </w:r>
      <w:r>
        <w:rPr>
          <w:rFonts w:hint="eastAsia"/>
          <w:color w:val="auto"/>
          <w:highlight w:val="none"/>
          <w:u w:val="none" w:color="auto"/>
          <w:lang w:eastAsia="zh-CN"/>
        </w:rPr>
        <w:t>双壁中空螺旋排水塑料管，排水通气管、排水支管及首层单排出户管均采用</w:t>
      </w:r>
      <w:r>
        <w:rPr>
          <w:color w:val="auto"/>
          <w:highlight w:val="none"/>
          <w:u w:val="none" w:color="auto"/>
          <w:lang w:eastAsia="zh-CN"/>
        </w:rPr>
        <w:t>UPVC实壁光管，</w:t>
      </w:r>
      <w:r>
        <w:rPr>
          <w:rFonts w:hint="eastAsia"/>
          <w:color w:val="auto"/>
          <w:highlight w:val="none"/>
          <w:u w:val="none" w:color="auto"/>
          <w:lang w:eastAsia="zh-CN"/>
        </w:rPr>
        <w:t>高层建筑排水立管距底部</w:t>
      </w:r>
      <w:r>
        <w:rPr>
          <w:color w:val="auto"/>
          <w:highlight w:val="none"/>
          <w:u w:val="none" w:color="auto"/>
          <w:lang w:eastAsia="zh-CN"/>
        </w:rPr>
        <w:t>1m及排水横干管采用机制柔性排水铸铁管</w:t>
      </w:r>
      <w:r>
        <w:rPr>
          <w:rFonts w:hint="eastAsia"/>
          <w:color w:val="auto"/>
          <w:highlight w:val="none"/>
          <w:u w:val="none" w:color="auto"/>
          <w:lang w:eastAsia="zh-CN"/>
        </w:rPr>
        <w:t>。</w:t>
      </w:r>
    </w:p>
    <w:p w14:paraId="7E73FC5B">
      <w:pPr>
        <w:pStyle w:val="22"/>
        <w:ind w:firstLine="480" w:firstLineChars="200"/>
        <w:rPr>
          <w:rFonts w:ascii="宋体" w:hAnsi="宋体" w:eastAsia="宋体"/>
          <w:color w:val="auto"/>
          <w:sz w:val="24"/>
          <w:highlight w:val="none"/>
          <w:u w:val="none" w:color="auto"/>
          <w:lang w:eastAsia="zh-CN"/>
        </w:rPr>
      </w:pPr>
      <w:r>
        <w:rPr>
          <w:rFonts w:hint="eastAsia" w:ascii="宋体" w:hAnsi="宋体" w:eastAsia="宋体"/>
          <w:color w:val="auto"/>
          <w:sz w:val="24"/>
          <w:highlight w:val="none"/>
          <w:u w:val="none" w:color="auto"/>
          <w:lang w:eastAsia="zh-CN"/>
        </w:rPr>
        <w:t>雨水立管采用承压型</w:t>
      </w:r>
      <w:r>
        <w:rPr>
          <w:rFonts w:ascii="宋体" w:hAnsi="宋体" w:eastAsia="宋体"/>
          <w:color w:val="auto"/>
          <w:sz w:val="24"/>
          <w:highlight w:val="none"/>
          <w:u w:val="none" w:color="auto"/>
          <w:lang w:eastAsia="zh-CN"/>
        </w:rPr>
        <w:t>UPVC排水塑料管，雨水立管底部</w:t>
      </w:r>
      <w:r>
        <w:rPr>
          <w:rFonts w:hint="eastAsia" w:ascii="宋体" w:hAnsi="宋体" w:eastAsia="宋体"/>
          <w:color w:val="auto"/>
          <w:sz w:val="24"/>
          <w:highlight w:val="none"/>
          <w:u w:val="none" w:color="auto"/>
          <w:lang w:eastAsia="zh-CN"/>
        </w:rPr>
        <w:t>1</w:t>
      </w:r>
      <w:r>
        <w:rPr>
          <w:rFonts w:ascii="宋体" w:hAnsi="宋体" w:eastAsia="宋体"/>
          <w:color w:val="auto"/>
          <w:sz w:val="24"/>
          <w:highlight w:val="none"/>
          <w:u w:val="none" w:color="auto"/>
          <w:lang w:eastAsia="zh-CN"/>
        </w:rPr>
        <w:t>m</w:t>
      </w:r>
      <w:r>
        <w:rPr>
          <w:rFonts w:hint="eastAsia" w:ascii="宋体" w:hAnsi="宋体" w:eastAsia="宋体"/>
          <w:color w:val="auto"/>
          <w:sz w:val="24"/>
          <w:highlight w:val="none"/>
          <w:u w:val="none" w:color="auto"/>
          <w:lang w:eastAsia="zh-CN"/>
        </w:rPr>
        <w:t>及排水</w:t>
      </w:r>
      <w:r>
        <w:rPr>
          <w:rFonts w:ascii="宋体" w:hAnsi="宋体" w:eastAsia="宋体"/>
          <w:color w:val="auto"/>
          <w:sz w:val="24"/>
          <w:highlight w:val="none"/>
          <w:u w:val="none" w:color="auto"/>
          <w:lang w:eastAsia="zh-CN"/>
        </w:rPr>
        <w:t>横干管采用机制柔性排水铸铁管</w:t>
      </w:r>
      <w:r>
        <w:rPr>
          <w:rFonts w:hint="eastAsia" w:ascii="宋体" w:hAnsi="宋体" w:eastAsia="宋体"/>
          <w:color w:val="auto"/>
          <w:sz w:val="24"/>
          <w:highlight w:val="none"/>
          <w:u w:val="none" w:color="auto"/>
          <w:lang w:eastAsia="zh-CN"/>
        </w:rPr>
        <w:t>。</w:t>
      </w:r>
    </w:p>
    <w:p w14:paraId="5D79085E">
      <w:pPr>
        <w:pStyle w:val="22"/>
        <w:ind w:firstLine="480" w:firstLineChars="200"/>
        <w:rPr>
          <w:rFonts w:ascii="宋体" w:hAnsi="宋体" w:eastAsia="宋体"/>
          <w:color w:val="auto"/>
          <w:sz w:val="24"/>
          <w:highlight w:val="none"/>
          <w:u w:val="none" w:color="auto"/>
          <w:lang w:eastAsia="zh-CN"/>
        </w:rPr>
      </w:pPr>
      <w:r>
        <w:rPr>
          <w:rFonts w:ascii="宋体" w:hAnsi="宋体" w:eastAsia="宋体"/>
          <w:color w:val="auto"/>
          <w:sz w:val="24"/>
          <w:highlight w:val="none"/>
          <w:u w:val="none" w:color="auto"/>
          <w:lang w:eastAsia="zh-CN"/>
        </w:rPr>
        <w:t>空调冷凝水采用UPVC排水塑料管</w:t>
      </w:r>
      <w:r>
        <w:rPr>
          <w:rFonts w:hint="eastAsia" w:ascii="宋体" w:hAnsi="宋体" w:eastAsia="宋体"/>
          <w:color w:val="auto"/>
          <w:sz w:val="24"/>
          <w:highlight w:val="none"/>
          <w:u w:val="none" w:color="auto"/>
          <w:lang w:eastAsia="zh-CN"/>
        </w:rPr>
        <w:t>。</w:t>
      </w:r>
    </w:p>
    <w:p w14:paraId="148EB9D6">
      <w:pPr>
        <w:ind w:firstLine="369" w:firstLineChars="176"/>
        <w:rPr>
          <w:color w:val="auto"/>
          <w:highlight w:val="none"/>
          <w:u w:val="none" w:color="auto"/>
          <w:lang w:eastAsia="zh-CN"/>
        </w:rPr>
      </w:pPr>
      <w:r>
        <w:rPr>
          <w:rFonts w:hint="eastAsia"/>
          <w:color w:val="auto"/>
          <w:highlight w:val="none"/>
          <w:u w:val="none" w:color="auto"/>
          <w:lang w:eastAsia="zh-CN"/>
        </w:rPr>
        <w:t>②</w:t>
      </w:r>
      <w:r>
        <w:rPr>
          <w:color w:val="auto"/>
          <w:highlight w:val="none"/>
          <w:u w:val="none" w:color="auto"/>
          <w:lang w:eastAsia="zh-CN"/>
        </w:rPr>
        <w:t>商业</w:t>
      </w:r>
    </w:p>
    <w:p w14:paraId="7A7BD751">
      <w:pPr>
        <w:pStyle w:val="22"/>
        <w:ind w:firstLine="480" w:firstLineChars="200"/>
        <w:rPr>
          <w:rFonts w:ascii="宋体" w:hAnsi="宋体" w:eastAsia="宋体"/>
          <w:color w:val="auto"/>
          <w:sz w:val="24"/>
          <w:highlight w:val="none"/>
          <w:u w:val="none" w:color="auto"/>
          <w:lang w:eastAsia="zh-CN"/>
        </w:rPr>
      </w:pPr>
      <w:r>
        <w:rPr>
          <w:rFonts w:hint="eastAsia" w:ascii="宋体" w:hAnsi="宋体" w:eastAsia="宋体"/>
          <w:color w:val="auto"/>
          <w:sz w:val="24"/>
          <w:highlight w:val="none"/>
          <w:u w:val="none" w:color="auto"/>
          <w:lang w:eastAsia="zh-CN"/>
        </w:rPr>
        <w:t>污水管采用机制柔性排水铸铁管，雨水立管采用承压型</w:t>
      </w:r>
      <w:r>
        <w:rPr>
          <w:rFonts w:ascii="宋体" w:hAnsi="宋体" w:eastAsia="宋体"/>
          <w:color w:val="auto"/>
          <w:sz w:val="24"/>
          <w:highlight w:val="none"/>
          <w:u w:val="none" w:color="auto"/>
          <w:lang w:eastAsia="zh-CN"/>
        </w:rPr>
        <w:t>UPVC排水塑料管，雨水立管底部</w:t>
      </w:r>
      <w:r>
        <w:rPr>
          <w:rFonts w:hint="eastAsia" w:ascii="宋体" w:hAnsi="宋体" w:eastAsia="宋体"/>
          <w:color w:val="auto"/>
          <w:sz w:val="24"/>
          <w:highlight w:val="none"/>
          <w:u w:val="none" w:color="auto"/>
          <w:lang w:eastAsia="zh-CN"/>
        </w:rPr>
        <w:t>1</w:t>
      </w:r>
      <w:r>
        <w:rPr>
          <w:rFonts w:ascii="宋体" w:hAnsi="宋体" w:eastAsia="宋体"/>
          <w:color w:val="auto"/>
          <w:sz w:val="24"/>
          <w:highlight w:val="none"/>
          <w:u w:val="none" w:color="auto"/>
          <w:lang w:eastAsia="zh-CN"/>
        </w:rPr>
        <w:t>m</w:t>
      </w:r>
      <w:r>
        <w:rPr>
          <w:rFonts w:hint="eastAsia" w:ascii="宋体" w:hAnsi="宋体" w:eastAsia="宋体"/>
          <w:color w:val="auto"/>
          <w:sz w:val="24"/>
          <w:highlight w:val="none"/>
          <w:u w:val="none" w:color="auto"/>
          <w:lang w:eastAsia="zh-CN"/>
        </w:rPr>
        <w:t>及排水</w:t>
      </w:r>
      <w:r>
        <w:rPr>
          <w:rFonts w:ascii="宋体" w:hAnsi="宋体" w:eastAsia="宋体"/>
          <w:color w:val="auto"/>
          <w:sz w:val="24"/>
          <w:highlight w:val="none"/>
          <w:u w:val="none" w:color="auto"/>
          <w:lang w:eastAsia="zh-CN"/>
        </w:rPr>
        <w:t>横干管采用机制柔性排水铸铁管</w:t>
      </w:r>
      <w:r>
        <w:rPr>
          <w:rFonts w:hint="eastAsia" w:ascii="宋体" w:hAnsi="宋体" w:eastAsia="宋体"/>
          <w:color w:val="auto"/>
          <w:sz w:val="24"/>
          <w:highlight w:val="none"/>
          <w:u w:val="none" w:color="auto"/>
          <w:lang w:eastAsia="zh-CN"/>
        </w:rPr>
        <w:t>。</w:t>
      </w:r>
    </w:p>
    <w:p w14:paraId="4B71B641">
      <w:pPr>
        <w:pStyle w:val="22"/>
        <w:ind w:firstLine="480" w:firstLineChars="200"/>
        <w:rPr>
          <w:rFonts w:ascii="宋体" w:hAnsi="宋体" w:eastAsia="宋体"/>
          <w:color w:val="auto"/>
          <w:sz w:val="24"/>
          <w:highlight w:val="none"/>
          <w:u w:val="none" w:color="auto"/>
          <w:lang w:eastAsia="zh-CN"/>
        </w:rPr>
      </w:pPr>
      <w:r>
        <w:rPr>
          <w:rFonts w:ascii="宋体" w:hAnsi="宋体" w:eastAsia="宋体"/>
          <w:color w:val="auto"/>
          <w:sz w:val="24"/>
          <w:highlight w:val="none"/>
          <w:u w:val="none" w:color="auto"/>
          <w:lang w:eastAsia="zh-CN"/>
        </w:rPr>
        <w:t>空调冷凝水采用UPVC排水塑料管</w:t>
      </w:r>
      <w:r>
        <w:rPr>
          <w:rFonts w:hint="eastAsia" w:ascii="宋体" w:hAnsi="宋体" w:eastAsia="宋体"/>
          <w:color w:val="auto"/>
          <w:sz w:val="24"/>
          <w:highlight w:val="none"/>
          <w:u w:val="none" w:color="auto"/>
          <w:lang w:eastAsia="zh-CN"/>
        </w:rPr>
        <w:t>。</w:t>
      </w:r>
    </w:p>
    <w:p w14:paraId="5259D147">
      <w:pPr>
        <w:pStyle w:val="22"/>
        <w:ind w:firstLine="480" w:firstLineChars="200"/>
        <w:rPr>
          <w:rFonts w:ascii="宋体" w:hAnsi="宋体" w:eastAsia="宋体"/>
          <w:color w:val="auto"/>
          <w:sz w:val="24"/>
          <w:highlight w:val="none"/>
          <w:u w:val="none" w:color="auto"/>
          <w:lang w:eastAsia="zh-CN"/>
        </w:rPr>
      </w:pPr>
      <w:r>
        <w:rPr>
          <w:rFonts w:hint="eastAsia" w:ascii="宋体" w:hAnsi="宋体" w:eastAsia="宋体"/>
          <w:color w:val="auto"/>
          <w:sz w:val="24"/>
          <w:highlight w:val="none"/>
          <w:u w:val="none" w:color="auto"/>
          <w:lang w:eastAsia="zh-CN"/>
        </w:rPr>
        <w:t>2</w:t>
      </w:r>
      <w:r>
        <w:rPr>
          <w:rFonts w:ascii="宋体" w:hAnsi="宋体" w:eastAsia="宋体"/>
          <w:color w:val="auto"/>
          <w:sz w:val="24"/>
          <w:highlight w:val="none"/>
          <w:u w:val="none" w:color="auto"/>
          <w:lang w:eastAsia="zh-CN"/>
        </w:rPr>
        <w:t>.1.</w:t>
      </w:r>
      <w:r>
        <w:rPr>
          <w:rFonts w:hint="eastAsia" w:ascii="宋体" w:hAnsi="宋体" w:eastAsia="宋体"/>
          <w:color w:val="auto"/>
          <w:sz w:val="24"/>
          <w:highlight w:val="none"/>
          <w:u w:val="none" w:color="auto"/>
          <w:lang w:eastAsia="zh"/>
        </w:rPr>
        <w:t>9</w:t>
      </w:r>
      <w:r>
        <w:rPr>
          <w:rFonts w:ascii="宋体" w:hAnsi="宋体" w:eastAsia="宋体"/>
          <w:color w:val="auto"/>
          <w:sz w:val="24"/>
          <w:highlight w:val="none"/>
          <w:u w:val="none" w:color="auto"/>
          <w:lang w:eastAsia="zh-CN"/>
        </w:rPr>
        <w:t xml:space="preserve"> </w:t>
      </w:r>
      <w:r>
        <w:rPr>
          <w:rFonts w:hint="eastAsia" w:ascii="宋体" w:hAnsi="宋体" w:eastAsia="宋体"/>
          <w:color w:val="auto"/>
          <w:sz w:val="24"/>
          <w:highlight w:val="none"/>
          <w:u w:val="none" w:color="auto"/>
          <w:lang w:eastAsia="zh-CN"/>
        </w:rPr>
        <w:t>所有电梯基坑含消防电梯、普通电梯、观光电梯、自动扶梯等公共电梯均应有排水措施</w:t>
      </w:r>
      <w:r>
        <w:rPr>
          <w:rFonts w:ascii="宋体" w:hAnsi="宋体" w:eastAsia="宋体"/>
          <w:color w:val="auto"/>
          <w:sz w:val="24"/>
          <w:highlight w:val="none"/>
          <w:u w:val="none" w:color="auto"/>
          <w:lang w:eastAsia="zh-CN"/>
        </w:rPr>
        <w:t>,</w:t>
      </w:r>
      <w:r>
        <w:rPr>
          <w:rFonts w:hint="eastAsia" w:ascii="宋体" w:hAnsi="宋体" w:eastAsia="宋体"/>
          <w:color w:val="auto"/>
          <w:sz w:val="24"/>
          <w:highlight w:val="none"/>
          <w:u w:val="none" w:color="auto"/>
          <w:lang w:eastAsia="zh-CN"/>
        </w:rPr>
        <w:t>多台相邻电梯基坑可合用一个集水坑但消防电梯专用集水坑内不得有其余排水管接入。</w:t>
      </w:r>
    </w:p>
    <w:p w14:paraId="69E75655">
      <w:pPr>
        <w:ind w:firstLine="420" w:firstLineChars="200"/>
        <w:rPr>
          <w:color w:val="auto"/>
          <w:highlight w:val="none"/>
          <w:u w:val="none" w:color="auto"/>
          <w:lang w:eastAsia="zh-CN"/>
        </w:rPr>
      </w:pPr>
      <w:r>
        <w:rPr>
          <w:rFonts w:hint="eastAsia"/>
          <w:color w:val="auto"/>
          <w:highlight w:val="none"/>
          <w:u w:val="none" w:color="auto"/>
          <w:lang w:eastAsia="zh-CN"/>
        </w:rPr>
        <w:t>2</w:t>
      </w:r>
      <w:r>
        <w:rPr>
          <w:color w:val="auto"/>
          <w:highlight w:val="none"/>
          <w:u w:val="none" w:color="auto"/>
          <w:lang w:eastAsia="zh-CN"/>
        </w:rPr>
        <w:t>.1.</w:t>
      </w:r>
      <w:r>
        <w:rPr>
          <w:rFonts w:hint="eastAsia"/>
          <w:color w:val="auto"/>
          <w:highlight w:val="none"/>
          <w:u w:val="none" w:color="auto"/>
          <w:lang w:eastAsia="zh"/>
        </w:rPr>
        <w:t>10</w:t>
      </w:r>
      <w:r>
        <w:rPr>
          <w:color w:val="auto"/>
          <w:highlight w:val="none"/>
          <w:u w:val="none" w:color="auto"/>
          <w:lang w:eastAsia="zh-CN"/>
        </w:rPr>
        <w:t xml:space="preserve"> </w:t>
      </w:r>
      <w:r>
        <w:rPr>
          <w:rFonts w:hint="eastAsia"/>
          <w:color w:val="auto"/>
          <w:highlight w:val="yellow"/>
          <w:u w:val="none" w:color="auto"/>
          <w:lang w:val="en-US" w:eastAsia="zh-CN"/>
        </w:rPr>
        <w:t>所有商业均预留排水</w:t>
      </w:r>
      <w:r>
        <w:rPr>
          <w:rFonts w:hint="eastAsia"/>
          <w:color w:val="auto"/>
          <w:highlight w:val="none"/>
          <w:u w:val="none" w:color="auto"/>
          <w:lang w:val="en-US" w:eastAsia="zh-CN"/>
        </w:rPr>
        <w:t>。</w:t>
      </w:r>
      <w:r>
        <w:rPr>
          <w:rFonts w:hint="eastAsia"/>
          <w:color w:val="auto"/>
          <w:highlight w:val="none"/>
          <w:u w:val="none" w:color="auto"/>
          <w:lang w:eastAsia="zh-CN"/>
        </w:rPr>
        <w:t>预留管径为</w:t>
      </w:r>
      <w:r>
        <w:rPr>
          <w:color w:val="auto"/>
          <w:highlight w:val="none"/>
          <w:u w:val="none" w:color="auto"/>
          <w:lang w:eastAsia="zh-CN"/>
        </w:rPr>
        <w:t>DN100（餐饮排水</w:t>
      </w:r>
      <w:r>
        <w:rPr>
          <w:rFonts w:hint="eastAsia"/>
          <w:color w:val="auto"/>
          <w:highlight w:val="none"/>
          <w:u w:val="none" w:color="auto"/>
          <w:lang w:eastAsia="zh-CN"/>
        </w:rPr>
        <w:t>管径为</w:t>
      </w:r>
      <w:r>
        <w:rPr>
          <w:color w:val="auto"/>
          <w:highlight w:val="none"/>
          <w:u w:val="none" w:color="auto"/>
          <w:lang w:eastAsia="zh-CN"/>
        </w:rPr>
        <w:t>DN150），符合功能需求。商业卫生间和厨房排水应分开设置（室内、室外管网），不得出现商铺卫生间排水接入接至隔油池的室外管线。</w:t>
      </w:r>
    </w:p>
    <w:p w14:paraId="301D552D">
      <w:pPr>
        <w:pStyle w:val="22"/>
        <w:ind w:firstLine="435"/>
        <w:rPr>
          <w:rFonts w:ascii="宋体" w:hAnsi="宋体" w:eastAsia="宋体"/>
          <w:color w:val="auto"/>
          <w:sz w:val="24"/>
          <w:highlight w:val="none"/>
          <w:u w:val="none" w:color="auto"/>
          <w:lang w:eastAsia="zh-CN"/>
        </w:rPr>
      </w:pPr>
      <w:r>
        <w:rPr>
          <w:rFonts w:ascii="宋体" w:hAnsi="宋体" w:eastAsia="宋体"/>
          <w:color w:val="auto"/>
          <w:sz w:val="24"/>
          <w:highlight w:val="none"/>
          <w:u w:val="none" w:color="auto"/>
          <w:lang w:eastAsia="zh-CN"/>
        </w:rPr>
        <w:t>2.1.1</w:t>
      </w:r>
      <w:r>
        <w:rPr>
          <w:rFonts w:hint="eastAsia" w:ascii="宋体" w:hAnsi="宋体" w:eastAsia="宋体"/>
          <w:color w:val="auto"/>
          <w:sz w:val="24"/>
          <w:highlight w:val="none"/>
          <w:u w:val="none" w:color="auto"/>
          <w:lang w:eastAsia="zh"/>
        </w:rPr>
        <w:t>1</w:t>
      </w:r>
      <w:r>
        <w:rPr>
          <w:rFonts w:ascii="宋体" w:hAnsi="宋体" w:eastAsia="宋体"/>
          <w:color w:val="auto"/>
          <w:sz w:val="24"/>
          <w:highlight w:val="none"/>
          <w:u w:val="none" w:color="auto"/>
          <w:lang w:eastAsia="zh-CN"/>
        </w:rPr>
        <w:t xml:space="preserve"> </w:t>
      </w:r>
      <w:r>
        <w:rPr>
          <w:rFonts w:hint="eastAsia" w:ascii="宋体" w:hAnsi="宋体" w:eastAsia="宋体"/>
          <w:color w:val="auto"/>
          <w:sz w:val="24"/>
          <w:highlight w:val="none"/>
          <w:u w:val="none" w:color="auto"/>
          <w:lang w:eastAsia="zh-CN"/>
        </w:rPr>
        <w:t>空调机位、空调冷凝水管位置、土建预留套管、配电插座相互间配套一致。专用空调板、作为空调机位的飘窗板，应为有组织排水</w:t>
      </w:r>
      <w:r>
        <w:rPr>
          <w:rFonts w:hint="eastAsia" w:ascii="宋体" w:hAnsi="宋体" w:eastAsia="宋体"/>
          <w:color w:val="auto"/>
          <w:sz w:val="24"/>
          <w:highlight w:val="yellow"/>
          <w:u w:val="none" w:color="auto"/>
          <w:lang w:eastAsia="zh-CN"/>
        </w:rPr>
        <w:t>（</w:t>
      </w:r>
      <w:r>
        <w:rPr>
          <w:rFonts w:hint="eastAsia" w:ascii="宋体" w:hAnsi="宋体" w:eastAsia="宋体"/>
          <w:color w:val="auto"/>
          <w:sz w:val="24"/>
          <w:highlight w:val="yellow"/>
          <w:u w:val="none" w:color="auto"/>
          <w:lang w:val="en-US" w:eastAsia="zh-CN"/>
        </w:rPr>
        <w:t>设排水地漏</w:t>
      </w:r>
      <w:r>
        <w:rPr>
          <w:rFonts w:hint="eastAsia" w:ascii="宋体" w:hAnsi="宋体" w:eastAsia="宋体"/>
          <w:color w:val="auto"/>
          <w:sz w:val="24"/>
          <w:highlight w:val="yellow"/>
          <w:u w:val="none" w:color="auto"/>
          <w:lang w:eastAsia="zh-CN"/>
        </w:rPr>
        <w:t>）</w:t>
      </w:r>
      <w:r>
        <w:rPr>
          <w:rFonts w:hint="eastAsia" w:ascii="宋体" w:hAnsi="宋体" w:eastAsia="宋体"/>
          <w:color w:val="auto"/>
          <w:sz w:val="24"/>
          <w:highlight w:val="none"/>
          <w:u w:val="none" w:color="auto"/>
          <w:lang w:eastAsia="zh-CN"/>
        </w:rPr>
        <w:t>。空调板上设置多根排水管道时在短边的同侧布置且空调板的净尺寸必须保证外机的正常安装及使用。空调冷凝水排水的设计要充分考虑安装使用的可行性，避免造成排水不畅。</w:t>
      </w:r>
    </w:p>
    <w:p w14:paraId="68290BD5">
      <w:pPr>
        <w:pStyle w:val="22"/>
        <w:ind w:firstLine="435"/>
        <w:rPr>
          <w:strike/>
          <w:color w:val="auto"/>
          <w:highlight w:val="none"/>
          <w:u w:val="none" w:color="auto"/>
          <w:lang w:eastAsia="zh-CN"/>
        </w:rPr>
      </w:pPr>
      <w:r>
        <w:rPr>
          <w:rFonts w:ascii="宋体" w:hAnsi="宋体" w:eastAsia="宋体"/>
          <w:color w:val="auto"/>
          <w:sz w:val="24"/>
          <w:highlight w:val="none"/>
          <w:u w:val="none" w:color="auto"/>
          <w:lang w:eastAsia="zh-CN"/>
        </w:rPr>
        <w:t>2.1.1</w:t>
      </w:r>
      <w:r>
        <w:rPr>
          <w:rFonts w:hint="eastAsia" w:ascii="宋体" w:hAnsi="宋体" w:eastAsia="宋体"/>
          <w:color w:val="auto"/>
          <w:sz w:val="24"/>
          <w:highlight w:val="none"/>
          <w:u w:val="none" w:color="auto"/>
          <w:lang w:eastAsia="zh"/>
        </w:rPr>
        <w:t>2</w:t>
      </w:r>
      <w:r>
        <w:rPr>
          <w:rFonts w:ascii="宋体" w:hAnsi="宋体" w:eastAsia="宋体"/>
          <w:color w:val="auto"/>
          <w:sz w:val="24"/>
          <w:highlight w:val="none"/>
          <w:u w:val="none" w:color="auto"/>
          <w:lang w:eastAsia="zh-CN"/>
        </w:rPr>
        <w:t xml:space="preserve"> </w:t>
      </w:r>
      <w:r>
        <w:rPr>
          <w:rFonts w:hint="eastAsia" w:ascii="宋体" w:hAnsi="宋体" w:eastAsia="宋体"/>
          <w:color w:val="auto"/>
          <w:sz w:val="24"/>
          <w:highlight w:val="none"/>
          <w:u w:val="none" w:color="auto"/>
          <w:lang w:eastAsia="zh-CN"/>
        </w:rPr>
        <w:t>要注意排水出户管标高与出户排水井标高的关系，两部分设计要衔接一致。</w:t>
      </w:r>
    </w:p>
    <w:p w14:paraId="2583146F">
      <w:pPr>
        <w:ind w:firstLine="369" w:firstLineChars="176"/>
        <w:rPr>
          <w:color w:val="auto"/>
          <w:highlight w:val="none"/>
          <w:u w:val="none" w:color="auto"/>
          <w:lang w:eastAsia="zh-CN"/>
        </w:rPr>
      </w:pPr>
      <w:r>
        <w:rPr>
          <w:color w:val="auto"/>
          <w:highlight w:val="none"/>
          <w:u w:val="none" w:color="auto"/>
          <w:lang w:eastAsia="zh-CN"/>
        </w:rPr>
        <w:t>2.2 室外部分</w:t>
      </w:r>
    </w:p>
    <w:p w14:paraId="10E626A7">
      <w:pPr>
        <w:ind w:firstLine="369" w:firstLineChars="176"/>
        <w:rPr>
          <w:color w:val="auto"/>
          <w:highlight w:val="none"/>
          <w:u w:val="none" w:color="auto"/>
          <w:lang w:eastAsia="zh-CN"/>
        </w:rPr>
      </w:pPr>
      <w:r>
        <w:rPr>
          <w:color w:val="auto"/>
          <w:highlight w:val="none"/>
          <w:u w:val="none" w:color="auto"/>
          <w:lang w:eastAsia="zh-CN"/>
        </w:rPr>
        <w:t>2.2.1 接驳市政自来水水源，不同性质用水分路设置水表，水表组的位置要与室外环境相协调，既要接近水池泵房，又不能影响环境：水表井应根据自来水公司标准水井规格尺寸设置在地下合适位置。</w:t>
      </w:r>
    </w:p>
    <w:p w14:paraId="2C30D838">
      <w:pPr>
        <w:ind w:firstLine="369" w:firstLineChars="176"/>
        <w:rPr>
          <w:color w:val="auto"/>
          <w:highlight w:val="none"/>
          <w:u w:val="none" w:color="auto"/>
          <w:lang w:eastAsia="zh-CN"/>
        </w:rPr>
      </w:pPr>
      <w:r>
        <w:rPr>
          <w:color w:val="auto"/>
          <w:highlight w:val="none"/>
          <w:u w:val="none" w:color="auto"/>
          <w:lang w:eastAsia="zh-CN"/>
        </w:rPr>
        <w:t>2.2.2 室外的给水井、污水井、雨水井避免设计在住户花园内、小区道路上、住宅单元的入口处等主要公共地段，可考虑设计在绿化带上。在满足规范的前提下尽可能的少设检查井。所有检查井均应设置符合规范要求的防坠网。</w:t>
      </w:r>
    </w:p>
    <w:p w14:paraId="66A9F442">
      <w:pPr>
        <w:ind w:firstLine="369" w:firstLineChars="176"/>
        <w:rPr>
          <w:color w:val="auto"/>
          <w:highlight w:val="none"/>
          <w:u w:val="none" w:color="auto"/>
          <w:lang w:eastAsia="zh-CN"/>
        </w:rPr>
      </w:pPr>
      <w:r>
        <w:rPr>
          <w:color w:val="auto"/>
          <w:highlight w:val="none"/>
          <w:u w:val="none" w:color="auto"/>
          <w:lang w:eastAsia="zh-CN"/>
        </w:rPr>
        <w:t>检查井盖材质建议：消防道路上的检查井、阀门井，均采用重型铸铁井盖；绿地上的检查井、阀门井</w:t>
      </w:r>
      <w:r>
        <w:rPr>
          <w:color w:val="auto"/>
          <w:highlight w:val="yellow"/>
          <w:u w:val="none" w:color="auto"/>
          <w:lang w:eastAsia="zh-CN"/>
        </w:rPr>
        <w:t>采用轻型铸铁井盖</w:t>
      </w:r>
      <w:r>
        <w:rPr>
          <w:rFonts w:hint="eastAsia"/>
          <w:color w:val="auto"/>
          <w:highlight w:val="yellow"/>
          <w:u w:val="none" w:color="auto"/>
          <w:lang w:eastAsia="zh"/>
        </w:rPr>
        <w:t>加</w:t>
      </w:r>
      <w:r>
        <w:rPr>
          <w:color w:val="auto"/>
          <w:highlight w:val="yellow"/>
          <w:u w:val="none" w:color="auto"/>
          <w:lang w:eastAsia="zh-CN"/>
        </w:rPr>
        <w:t>成品加强型树脂井盖</w:t>
      </w:r>
      <w:r>
        <w:rPr>
          <w:color w:val="auto"/>
          <w:highlight w:val="none"/>
          <w:u w:val="none" w:color="auto"/>
          <w:lang w:eastAsia="zh-CN"/>
        </w:rPr>
        <w:t>；铺装道路上的检查井、阀门井采用轻型铸铁井盖加装饰井盖。</w:t>
      </w:r>
    </w:p>
    <w:p w14:paraId="2F48C14B">
      <w:pPr>
        <w:ind w:firstLine="369" w:firstLineChars="176"/>
        <w:rPr>
          <w:color w:val="auto"/>
          <w:highlight w:val="none"/>
          <w:u w:val="none" w:color="auto"/>
          <w:lang w:eastAsia="zh-CN"/>
        </w:rPr>
      </w:pPr>
      <w:r>
        <w:rPr>
          <w:color w:val="auto"/>
          <w:highlight w:val="none"/>
          <w:u w:val="none" w:color="auto"/>
          <w:lang w:eastAsia="zh-CN"/>
        </w:rPr>
        <w:t>2.2.3 景观及绿化浇灌给水水源从小区给水管网接出，按景观需求预留</w:t>
      </w:r>
      <w:r>
        <w:rPr>
          <w:rFonts w:hint="eastAsia"/>
          <w:color w:val="auto"/>
          <w:highlight w:val="none"/>
          <w:u w:val="none" w:color="auto"/>
          <w:lang w:eastAsia="zh-CN"/>
        </w:rPr>
        <w:t>给排</w:t>
      </w:r>
      <w:r>
        <w:rPr>
          <w:color w:val="auto"/>
          <w:highlight w:val="none"/>
          <w:u w:val="none" w:color="auto"/>
          <w:lang w:eastAsia="zh-CN"/>
        </w:rPr>
        <w:t>水接口；如有雨水回用系统或中水系统的设置要求，应同时考虑。外网图纸设计时，</w:t>
      </w:r>
      <w:r>
        <w:rPr>
          <w:rFonts w:hint="eastAsia"/>
          <w:color w:val="auto"/>
          <w:highlight w:val="none"/>
          <w:u w:val="none" w:color="auto"/>
          <w:lang w:eastAsia="zh-CN"/>
        </w:rPr>
        <w:t>给排水专业应使用建筑专业复核后的景观专业底图，保证管线、井及相关构筑物与室外景观、绿化相互协调</w:t>
      </w:r>
      <w:r>
        <w:rPr>
          <w:color w:val="auto"/>
          <w:highlight w:val="none"/>
          <w:u w:val="none" w:color="auto"/>
          <w:lang w:eastAsia="zh-CN"/>
        </w:rPr>
        <w:t>。</w:t>
      </w:r>
    </w:p>
    <w:p w14:paraId="65B690F4">
      <w:pPr>
        <w:ind w:firstLine="369" w:firstLineChars="176"/>
        <w:rPr>
          <w:color w:val="auto"/>
          <w:highlight w:val="none"/>
          <w:u w:val="none" w:color="auto"/>
          <w:lang w:eastAsia="zh-CN"/>
        </w:rPr>
      </w:pPr>
      <w:r>
        <w:rPr>
          <w:rFonts w:hint="eastAsia"/>
          <w:color w:val="auto"/>
          <w:highlight w:val="none"/>
          <w:u w:val="none" w:color="auto"/>
          <w:lang w:eastAsia="zh-CN"/>
        </w:rPr>
        <w:t>2</w:t>
      </w:r>
      <w:r>
        <w:rPr>
          <w:color w:val="auto"/>
          <w:highlight w:val="none"/>
          <w:u w:val="none" w:color="auto"/>
          <w:lang w:eastAsia="zh-CN"/>
        </w:rPr>
        <w:t xml:space="preserve">.2.4 </w:t>
      </w:r>
      <w:r>
        <w:rPr>
          <w:rFonts w:hint="eastAsia"/>
          <w:color w:val="auto"/>
          <w:highlight w:val="none"/>
          <w:u w:val="none" w:color="auto"/>
          <w:lang w:eastAsia="zh-CN"/>
        </w:rPr>
        <w:t>规划餐饮区应根据餐饮区规模分区设置室外隔油池或隔油器。</w:t>
      </w:r>
    </w:p>
    <w:p w14:paraId="7E21CDA7">
      <w:pPr>
        <w:ind w:firstLine="369" w:firstLineChars="176"/>
        <w:rPr>
          <w:rFonts w:eastAsiaTheme="minorEastAsia"/>
          <w:color w:val="auto"/>
          <w:highlight w:val="none"/>
          <w:u w:val="none" w:color="auto"/>
          <w:lang w:eastAsia="zh-CN"/>
        </w:rPr>
      </w:pPr>
      <w:r>
        <w:rPr>
          <w:color w:val="auto"/>
          <w:highlight w:val="none"/>
          <w:u w:val="none" w:color="auto"/>
          <w:lang w:eastAsia="zh-CN"/>
        </w:rPr>
        <w:t xml:space="preserve">2.2.5 </w:t>
      </w:r>
      <w:r>
        <w:rPr>
          <w:rFonts w:hint="eastAsia"/>
          <w:color w:val="auto"/>
          <w:highlight w:val="none"/>
          <w:u w:val="none" w:color="auto"/>
          <w:lang w:eastAsia="zh-CN"/>
        </w:rPr>
        <w:t>总水表井、隔油池、化粪池等位置应避开主要人流通道、主要出入口</w:t>
      </w:r>
      <w:r>
        <w:rPr>
          <w:color w:val="auto"/>
          <w:highlight w:val="none"/>
          <w:u w:val="none" w:color="auto"/>
          <w:lang w:eastAsia="zh-CN"/>
        </w:rPr>
        <w:t>,单元入口、车库入口</w:t>
      </w:r>
      <w:r>
        <w:rPr>
          <w:rFonts w:hint="eastAsia"/>
          <w:color w:val="auto"/>
          <w:highlight w:val="none"/>
          <w:u w:val="none" w:color="auto"/>
          <w:lang w:eastAsia="zh-CN"/>
        </w:rPr>
        <w:t>等</w:t>
      </w:r>
      <w:r>
        <w:rPr>
          <w:color w:val="auto"/>
          <w:highlight w:val="none"/>
          <w:u w:val="none" w:color="auto"/>
          <w:lang w:eastAsia="zh-CN"/>
        </w:rPr>
        <w:t>道路上应无检查井盖，总平排水管道应绘制完整的</w:t>
      </w:r>
      <w:r>
        <w:rPr>
          <w:rFonts w:hint="eastAsia"/>
          <w:color w:val="auto"/>
          <w:highlight w:val="none"/>
          <w:u w:val="none" w:color="auto"/>
          <w:lang w:eastAsia="zh-CN"/>
        </w:rPr>
        <w:t>纵断面图</w:t>
      </w:r>
      <w:r>
        <w:rPr>
          <w:color w:val="auto"/>
          <w:highlight w:val="none"/>
          <w:u w:val="none" w:color="auto"/>
          <w:lang w:eastAsia="zh-CN"/>
        </w:rPr>
        <w:t>。</w:t>
      </w:r>
    </w:p>
    <w:p w14:paraId="79C28283">
      <w:pPr>
        <w:ind w:firstLine="369" w:firstLineChars="176"/>
        <w:rPr>
          <w:color w:val="auto"/>
          <w:highlight w:val="none"/>
          <w:u w:val="none" w:color="auto"/>
          <w:lang w:eastAsia="zh-CN"/>
        </w:rPr>
      </w:pPr>
      <w:r>
        <w:rPr>
          <w:color w:val="auto"/>
          <w:highlight w:val="none"/>
          <w:u w:val="none" w:color="auto"/>
          <w:lang w:eastAsia="zh-CN"/>
        </w:rPr>
        <w:t>2.2.6 室外消火栓</w:t>
      </w:r>
      <w:r>
        <w:rPr>
          <w:rFonts w:hint="eastAsia"/>
          <w:color w:val="auto"/>
          <w:highlight w:val="none"/>
          <w:u w:val="none" w:color="auto"/>
          <w:lang w:eastAsia="zh-CN"/>
        </w:rPr>
        <w:t>阀门</w:t>
      </w:r>
      <w:r>
        <w:rPr>
          <w:color w:val="auto"/>
          <w:highlight w:val="none"/>
          <w:u w:val="none" w:color="auto"/>
          <w:lang w:eastAsia="zh-CN"/>
        </w:rPr>
        <w:t>井</w:t>
      </w:r>
      <w:r>
        <w:rPr>
          <w:rFonts w:hint="eastAsia"/>
          <w:color w:val="auto"/>
          <w:highlight w:val="none"/>
          <w:u w:val="none" w:color="auto"/>
          <w:lang w:eastAsia="zh-CN"/>
        </w:rPr>
        <w:t>、水泵接合器阀门井应避免</w:t>
      </w:r>
      <w:r>
        <w:rPr>
          <w:color w:val="auto"/>
          <w:highlight w:val="none"/>
          <w:u w:val="none" w:color="auto"/>
          <w:lang w:eastAsia="zh-CN"/>
        </w:rPr>
        <w:t>放在道路或人行道上：</w:t>
      </w:r>
    </w:p>
    <w:p w14:paraId="7ABD7C1F">
      <w:pPr>
        <w:ind w:firstLine="369" w:firstLineChars="176"/>
        <w:rPr>
          <w:color w:val="auto"/>
          <w:highlight w:val="none"/>
          <w:u w:val="none" w:color="auto"/>
          <w:lang w:eastAsia="zh-CN"/>
        </w:rPr>
      </w:pPr>
      <w:r>
        <w:rPr>
          <w:color w:val="auto"/>
          <w:highlight w:val="none"/>
          <w:u w:val="none" w:color="auto"/>
          <w:lang w:eastAsia="zh-CN"/>
        </w:rPr>
        <w:t>2.2.7 总图设计时应考虑水景用水的容量，并考虑水景溢流和放空排水点。</w:t>
      </w:r>
    </w:p>
    <w:p w14:paraId="29F10B1C">
      <w:pPr>
        <w:ind w:firstLine="369" w:firstLineChars="176"/>
        <w:rPr>
          <w:color w:val="auto"/>
          <w:highlight w:val="none"/>
          <w:u w:val="none" w:color="auto"/>
          <w:lang w:eastAsia="zh-CN"/>
        </w:rPr>
      </w:pPr>
      <w:r>
        <w:rPr>
          <w:color w:val="auto"/>
          <w:highlight w:val="none"/>
          <w:u w:val="none" w:color="auto"/>
          <w:lang w:eastAsia="zh-CN"/>
        </w:rPr>
        <w:t>2.2.</w:t>
      </w:r>
      <w:r>
        <w:rPr>
          <w:rFonts w:hint="eastAsia"/>
          <w:color w:val="auto"/>
          <w:highlight w:val="none"/>
          <w:u w:val="none" w:color="auto"/>
          <w:lang w:val="en-US" w:eastAsia="zh-CN"/>
        </w:rPr>
        <w:t>8</w:t>
      </w:r>
      <w:r>
        <w:rPr>
          <w:color w:val="auto"/>
          <w:highlight w:val="none"/>
          <w:u w:val="none" w:color="auto"/>
          <w:lang w:eastAsia="zh-CN"/>
        </w:rPr>
        <w:t xml:space="preserve"> 室外给排水水管与电力电缆、弱电电以及天然气管等保持规范要求的安全距离。</w:t>
      </w:r>
    </w:p>
    <w:p w14:paraId="3FDBAC11">
      <w:pPr>
        <w:ind w:firstLine="369" w:firstLineChars="176"/>
        <w:rPr>
          <w:color w:val="auto"/>
          <w:highlight w:val="none"/>
          <w:u w:val="none" w:color="auto"/>
          <w:lang w:eastAsia="zh-CN"/>
        </w:rPr>
      </w:pPr>
      <w:r>
        <w:rPr>
          <w:color w:val="auto"/>
          <w:highlight w:val="none"/>
          <w:u w:val="none" w:color="auto"/>
          <w:lang w:eastAsia="zh-CN"/>
        </w:rPr>
        <w:t>2.2.</w:t>
      </w:r>
      <w:r>
        <w:rPr>
          <w:rFonts w:hint="eastAsia"/>
          <w:color w:val="auto"/>
          <w:highlight w:val="none"/>
          <w:u w:val="none" w:color="auto"/>
          <w:lang w:val="en-US" w:eastAsia="zh-CN"/>
        </w:rPr>
        <w:t>9</w:t>
      </w:r>
      <w:r>
        <w:rPr>
          <w:color w:val="auto"/>
          <w:highlight w:val="none"/>
          <w:u w:val="none" w:color="auto"/>
          <w:lang w:eastAsia="zh-CN"/>
        </w:rPr>
        <w:t xml:space="preserve"> 要求出具室外各个设备专业的管线综合图。</w:t>
      </w:r>
    </w:p>
    <w:p w14:paraId="2963AE92">
      <w:pPr>
        <w:ind w:firstLine="369" w:firstLineChars="176"/>
        <w:rPr>
          <w:color w:val="auto"/>
          <w:highlight w:val="none"/>
          <w:u w:val="none" w:color="auto"/>
          <w:lang w:eastAsia="zh-CN"/>
        </w:rPr>
      </w:pPr>
    </w:p>
    <w:p w14:paraId="4EDCA96C">
      <w:pPr>
        <w:ind w:firstLine="369" w:firstLineChars="176"/>
        <w:rPr>
          <w:color w:val="auto"/>
          <w:highlight w:val="none"/>
          <w:u w:val="none" w:color="auto"/>
          <w:lang w:eastAsia="zh-CN"/>
        </w:rPr>
      </w:pPr>
      <w:r>
        <w:rPr>
          <w:color w:val="auto"/>
          <w:highlight w:val="none"/>
          <w:u w:val="none" w:color="auto"/>
          <w:lang w:eastAsia="zh-CN"/>
        </w:rPr>
        <w:t>2.3 建筑公共部分</w:t>
      </w:r>
    </w:p>
    <w:p w14:paraId="3BC320C7">
      <w:pPr>
        <w:ind w:firstLine="369" w:firstLineChars="176"/>
        <w:rPr>
          <w:color w:val="auto"/>
          <w:highlight w:val="none"/>
          <w:u w:val="none" w:color="auto"/>
          <w:lang w:eastAsia="zh-CN"/>
        </w:rPr>
      </w:pPr>
      <w:r>
        <w:rPr>
          <w:color w:val="auto"/>
          <w:highlight w:val="none"/>
          <w:u w:val="none" w:color="auto"/>
          <w:lang w:eastAsia="zh-CN"/>
        </w:rPr>
        <w:t>2.3.1 电梯厅、大堂等公区内不允许明装任何排水立管和管道，吊顶区域必要穿越的横管应穿梁敷设。</w:t>
      </w:r>
    </w:p>
    <w:p w14:paraId="591055D4">
      <w:pPr>
        <w:ind w:firstLine="369" w:firstLineChars="176"/>
        <w:rPr>
          <w:color w:val="auto"/>
          <w:highlight w:val="none"/>
          <w:u w:val="none" w:color="auto"/>
          <w:lang w:eastAsia="zh-CN"/>
        </w:rPr>
      </w:pPr>
      <w:r>
        <w:rPr>
          <w:color w:val="auto"/>
          <w:highlight w:val="none"/>
          <w:u w:val="none" w:color="auto"/>
          <w:lang w:eastAsia="zh-CN"/>
        </w:rPr>
        <w:t xml:space="preserve">2.3.2 </w:t>
      </w:r>
      <w:r>
        <w:rPr>
          <w:rFonts w:hint="eastAsia"/>
          <w:color w:val="auto"/>
          <w:highlight w:val="none"/>
          <w:u w:val="none" w:color="auto"/>
          <w:lang w:eastAsia="zh-CN"/>
        </w:rPr>
        <w:t>住宅地上部分</w:t>
      </w:r>
      <w:r>
        <w:rPr>
          <w:color w:val="auto"/>
          <w:highlight w:val="none"/>
          <w:u w:val="none" w:color="auto"/>
          <w:lang w:eastAsia="zh-CN"/>
        </w:rPr>
        <w:t>消火栓箱</w:t>
      </w:r>
      <w:r>
        <w:rPr>
          <w:rFonts w:hint="eastAsia"/>
          <w:color w:val="auto"/>
          <w:highlight w:val="none"/>
          <w:u w:val="none" w:color="auto"/>
          <w:lang w:eastAsia="zh-CN"/>
        </w:rPr>
        <w:t>应</w:t>
      </w:r>
      <w:r>
        <w:rPr>
          <w:color w:val="auto"/>
          <w:highlight w:val="none"/>
          <w:u w:val="none" w:color="auto"/>
          <w:lang w:eastAsia="zh-CN"/>
        </w:rPr>
        <w:t>暗装，</w:t>
      </w:r>
      <w:r>
        <w:rPr>
          <w:rFonts w:hint="eastAsia"/>
          <w:color w:val="auto"/>
          <w:highlight w:val="yellow"/>
          <w:u w:val="none" w:color="auto"/>
          <w:lang w:eastAsia="zh"/>
        </w:rPr>
        <w:t>并远离业主户门；</w:t>
      </w:r>
      <w:r>
        <w:rPr>
          <w:color w:val="auto"/>
          <w:highlight w:val="none"/>
          <w:u w:val="none" w:color="auto"/>
          <w:lang w:eastAsia="zh-CN"/>
        </w:rPr>
        <w:t>地下室根据情况尽量暗装。</w:t>
      </w:r>
    </w:p>
    <w:p w14:paraId="2A86EE14">
      <w:pPr>
        <w:ind w:firstLine="369" w:firstLineChars="176"/>
        <w:rPr>
          <w:color w:val="auto"/>
          <w:highlight w:val="none"/>
          <w:u w:val="none" w:color="auto"/>
          <w:lang w:eastAsia="zh-CN"/>
        </w:rPr>
      </w:pPr>
      <w:r>
        <w:rPr>
          <w:color w:val="auto"/>
          <w:highlight w:val="none"/>
          <w:u w:val="none" w:color="auto"/>
          <w:lang w:eastAsia="zh-CN"/>
        </w:rPr>
        <w:t>2.3.3 水表安装在水暖</w:t>
      </w:r>
      <w:r>
        <w:rPr>
          <w:rFonts w:hint="eastAsia"/>
          <w:color w:val="auto"/>
          <w:highlight w:val="none"/>
          <w:u w:val="none" w:color="auto"/>
          <w:lang w:eastAsia="zh-CN"/>
        </w:rPr>
        <w:t>井</w:t>
      </w:r>
      <w:r>
        <w:rPr>
          <w:color w:val="auto"/>
          <w:highlight w:val="none"/>
          <w:u w:val="none" w:color="auto"/>
          <w:lang w:eastAsia="zh-CN"/>
        </w:rPr>
        <w:t>内，并画出水表的安装大样图，注明水表的安装尺寸</w:t>
      </w:r>
      <w:r>
        <w:rPr>
          <w:rFonts w:hint="eastAsia"/>
          <w:color w:val="auto"/>
          <w:highlight w:val="none"/>
          <w:u w:val="none" w:color="auto"/>
          <w:lang w:eastAsia="zh-CN"/>
        </w:rPr>
        <w:t>、</w:t>
      </w:r>
      <w:r>
        <w:rPr>
          <w:color w:val="auto"/>
          <w:highlight w:val="none"/>
          <w:u w:val="none" w:color="auto"/>
          <w:lang w:eastAsia="zh-CN"/>
        </w:rPr>
        <w:t>规格型号，给水入户管沿地面</w:t>
      </w:r>
      <w:r>
        <w:rPr>
          <w:rFonts w:hint="eastAsia"/>
          <w:color w:val="auto"/>
          <w:highlight w:val="none"/>
          <w:u w:val="none" w:color="auto"/>
          <w:lang w:eastAsia="zh-CN"/>
        </w:rPr>
        <w:t>暗敷</w:t>
      </w:r>
      <w:r>
        <w:rPr>
          <w:color w:val="auto"/>
          <w:highlight w:val="none"/>
          <w:u w:val="none" w:color="auto"/>
          <w:lang w:eastAsia="zh-CN"/>
        </w:rPr>
        <w:t>。</w:t>
      </w:r>
    </w:p>
    <w:p w14:paraId="03157736">
      <w:pPr>
        <w:ind w:firstLine="369" w:firstLineChars="176"/>
        <w:rPr>
          <w:color w:val="auto"/>
          <w:highlight w:val="none"/>
          <w:u w:val="none" w:color="auto"/>
          <w:lang w:eastAsia="zh-CN"/>
        </w:rPr>
      </w:pPr>
      <w:r>
        <w:rPr>
          <w:color w:val="auto"/>
          <w:highlight w:val="none"/>
          <w:u w:val="none" w:color="auto"/>
          <w:lang w:eastAsia="zh-CN"/>
        </w:rPr>
        <w:t>2.3.4 高层消防环管应注意不应影响公共走道层高，吊顶区域必要穿越的横管应穿梁敷 设。</w:t>
      </w:r>
    </w:p>
    <w:p w14:paraId="52447143">
      <w:pPr>
        <w:ind w:firstLine="369" w:firstLineChars="176"/>
        <w:rPr>
          <w:color w:val="auto"/>
          <w:highlight w:val="none"/>
          <w:u w:val="none" w:color="auto"/>
          <w:lang w:eastAsia="zh-CN"/>
        </w:rPr>
      </w:pPr>
      <w:r>
        <w:rPr>
          <w:color w:val="auto"/>
          <w:highlight w:val="none"/>
          <w:u w:val="none" w:color="auto"/>
          <w:lang w:eastAsia="zh-CN"/>
        </w:rPr>
        <w:t>2.3.5 将穿梁或剪力墙开洞位置详细标注在给排水图中，并应在结构图中</w:t>
      </w:r>
      <w:r>
        <w:rPr>
          <w:rFonts w:hint="eastAsia"/>
          <w:color w:val="auto"/>
          <w:highlight w:val="none"/>
          <w:u w:val="none" w:color="auto"/>
          <w:lang w:eastAsia="zh-CN"/>
        </w:rPr>
        <w:t>同步</w:t>
      </w:r>
      <w:r>
        <w:rPr>
          <w:color w:val="auto"/>
          <w:highlight w:val="none"/>
          <w:u w:val="none" w:color="auto"/>
          <w:lang w:eastAsia="zh-CN"/>
        </w:rPr>
        <w:t>标注。</w:t>
      </w:r>
    </w:p>
    <w:p w14:paraId="0A067537">
      <w:pPr>
        <w:ind w:firstLine="369" w:firstLineChars="176"/>
        <w:rPr>
          <w:color w:val="auto"/>
          <w:highlight w:val="none"/>
          <w:u w:val="none" w:color="auto"/>
          <w:lang w:eastAsia="zh-CN"/>
        </w:rPr>
      </w:pPr>
      <w:r>
        <w:rPr>
          <w:color w:val="auto"/>
          <w:highlight w:val="none"/>
          <w:u w:val="none" w:color="auto"/>
          <w:lang w:eastAsia="zh-CN"/>
        </w:rPr>
        <w:t>2.3.6 屋面应有组织排水，注意分水线设置，保证立管在建筑物的凹槽内，并尽量减少立管数量。</w:t>
      </w:r>
    </w:p>
    <w:p w14:paraId="24E6C8E5">
      <w:pPr>
        <w:pStyle w:val="22"/>
        <w:rPr>
          <w:rFonts w:eastAsiaTheme="minorEastAsia"/>
          <w:color w:val="auto"/>
          <w:highlight w:val="none"/>
          <w:u w:val="none" w:color="auto"/>
          <w:lang w:eastAsia="zh-CN"/>
        </w:rPr>
      </w:pPr>
    </w:p>
    <w:p w14:paraId="273D5089">
      <w:pPr>
        <w:ind w:firstLine="369" w:firstLineChars="176"/>
        <w:rPr>
          <w:color w:val="auto"/>
          <w:highlight w:val="none"/>
          <w:u w:val="none" w:color="auto"/>
          <w:lang w:eastAsia="zh-CN"/>
        </w:rPr>
      </w:pPr>
      <w:r>
        <w:rPr>
          <w:color w:val="auto"/>
          <w:highlight w:val="none"/>
          <w:u w:val="none" w:color="auto"/>
          <w:lang w:eastAsia="zh-CN"/>
        </w:rPr>
        <w:t>2.4 裙房部分</w:t>
      </w:r>
    </w:p>
    <w:p w14:paraId="3F30913A">
      <w:pPr>
        <w:ind w:firstLine="369" w:firstLineChars="176"/>
        <w:rPr>
          <w:color w:val="auto"/>
          <w:highlight w:val="none"/>
          <w:u w:val="none" w:color="auto"/>
          <w:lang w:eastAsia="zh-CN"/>
        </w:rPr>
      </w:pPr>
      <w:r>
        <w:rPr>
          <w:color w:val="auto"/>
          <w:highlight w:val="none"/>
          <w:u w:val="none" w:color="auto"/>
          <w:lang w:eastAsia="zh-CN"/>
        </w:rPr>
        <w:t>2.4.1 注意转换层卫生间排水管的安装避免与转换梁冲突。</w:t>
      </w:r>
    </w:p>
    <w:p w14:paraId="0EF38A73">
      <w:pPr>
        <w:ind w:firstLine="369" w:firstLineChars="176"/>
        <w:rPr>
          <w:color w:val="auto"/>
          <w:highlight w:val="none"/>
          <w:u w:val="none" w:color="auto"/>
          <w:lang w:eastAsia="zh-CN"/>
        </w:rPr>
      </w:pPr>
      <w:r>
        <w:rPr>
          <w:color w:val="auto"/>
          <w:highlight w:val="none"/>
          <w:u w:val="none" w:color="auto"/>
          <w:lang w:eastAsia="zh-CN"/>
        </w:rPr>
        <w:t>2.4.2 注意裙房屋面的汇水面积还需考虑高层立面的受雨面面积。</w:t>
      </w:r>
    </w:p>
    <w:p w14:paraId="367AF653">
      <w:pPr>
        <w:ind w:firstLine="369" w:firstLineChars="176"/>
        <w:rPr>
          <w:color w:val="auto"/>
          <w:highlight w:val="none"/>
          <w:u w:val="none" w:color="auto"/>
          <w:lang w:eastAsia="zh-CN"/>
        </w:rPr>
      </w:pPr>
      <w:r>
        <w:rPr>
          <w:color w:val="auto"/>
          <w:highlight w:val="none"/>
          <w:u w:val="none" w:color="auto"/>
          <w:lang w:eastAsia="zh-CN"/>
        </w:rPr>
        <w:t>2.4.3 裙房屋面的雨水应单独设置立管排放。</w:t>
      </w:r>
    </w:p>
    <w:p w14:paraId="719717CF">
      <w:pPr>
        <w:ind w:firstLine="369" w:firstLineChars="176"/>
        <w:rPr>
          <w:rFonts w:hint="eastAsia" w:eastAsia="宋体"/>
          <w:color w:val="auto"/>
          <w:highlight w:val="yellow"/>
          <w:u w:val="none" w:color="auto"/>
          <w:lang w:eastAsia="zh"/>
        </w:rPr>
      </w:pPr>
      <w:r>
        <w:rPr>
          <w:rFonts w:hint="eastAsia"/>
          <w:color w:val="auto"/>
          <w:highlight w:val="yellow"/>
          <w:u w:val="none" w:color="auto"/>
          <w:lang w:eastAsia="zh"/>
        </w:rPr>
        <w:t>2.4.4 所有喷淋泄水应引至就近具体的排水点。</w:t>
      </w:r>
    </w:p>
    <w:p w14:paraId="2424B043">
      <w:pPr>
        <w:pStyle w:val="22"/>
        <w:rPr>
          <w:rFonts w:eastAsiaTheme="minorEastAsia"/>
          <w:color w:val="auto"/>
          <w:highlight w:val="none"/>
          <w:u w:val="none" w:color="auto"/>
          <w:lang w:eastAsia="zh-CN"/>
        </w:rPr>
      </w:pPr>
      <w:r>
        <w:rPr>
          <w:rFonts w:hint="eastAsia" w:eastAsiaTheme="minorEastAsia"/>
          <w:color w:val="auto"/>
          <w:highlight w:val="none"/>
          <w:u w:val="none" w:color="auto"/>
          <w:lang w:eastAsia="zh-CN"/>
        </w:rPr>
        <w:t xml:space="preserve"> </w:t>
      </w:r>
      <w:r>
        <w:rPr>
          <w:rFonts w:eastAsiaTheme="minorEastAsia"/>
          <w:color w:val="auto"/>
          <w:highlight w:val="none"/>
          <w:u w:val="none" w:color="auto"/>
          <w:lang w:eastAsia="zh-CN"/>
        </w:rPr>
        <w:t xml:space="preserve">  </w:t>
      </w:r>
    </w:p>
    <w:p w14:paraId="11360862">
      <w:pPr>
        <w:ind w:firstLine="369" w:firstLineChars="176"/>
        <w:rPr>
          <w:color w:val="auto"/>
          <w:highlight w:val="none"/>
          <w:u w:val="none" w:color="auto"/>
          <w:lang w:eastAsia="zh-CN"/>
        </w:rPr>
      </w:pPr>
      <w:r>
        <w:rPr>
          <w:color w:val="auto"/>
          <w:highlight w:val="none"/>
          <w:u w:val="none" w:color="auto"/>
          <w:lang w:eastAsia="zh-CN"/>
        </w:rPr>
        <w:t>2.5 地下室部分</w:t>
      </w:r>
    </w:p>
    <w:p w14:paraId="5D26CEEA">
      <w:pPr>
        <w:ind w:firstLine="369" w:firstLineChars="176"/>
        <w:rPr>
          <w:rFonts w:hint="eastAsia"/>
          <w:color w:val="auto"/>
          <w:highlight w:val="yellow"/>
          <w:u w:val="none" w:color="auto"/>
          <w:lang w:eastAsia="zh"/>
        </w:rPr>
      </w:pPr>
      <w:r>
        <w:rPr>
          <w:color w:val="auto"/>
          <w:highlight w:val="yellow"/>
          <w:u w:val="none" w:color="auto"/>
          <w:lang w:eastAsia="zh-CN"/>
        </w:rPr>
        <w:t xml:space="preserve">2.5.1 </w:t>
      </w:r>
      <w:r>
        <w:rPr>
          <w:rFonts w:hint="eastAsia"/>
          <w:color w:val="auto"/>
          <w:highlight w:val="yellow"/>
          <w:u w:val="none" w:color="auto"/>
          <w:lang w:eastAsia="zh"/>
        </w:rPr>
        <w:t>水表、阀门等有漏水风险等设施应避免安装在车位正上方。</w:t>
      </w:r>
    </w:p>
    <w:p w14:paraId="2F9F2C4E">
      <w:pPr>
        <w:ind w:firstLine="369" w:firstLineChars="176"/>
        <w:rPr>
          <w:rFonts w:hint="eastAsia"/>
          <w:color w:val="auto"/>
          <w:highlight w:val="yellow"/>
          <w:u w:val="none" w:color="auto"/>
          <w:lang w:eastAsia="zh"/>
        </w:rPr>
      </w:pPr>
      <w:r>
        <w:rPr>
          <w:rFonts w:hint="eastAsia"/>
          <w:color w:val="auto"/>
          <w:highlight w:val="yellow"/>
          <w:u w:val="none" w:color="auto"/>
          <w:lang w:eastAsia="zh"/>
        </w:rPr>
        <w:t>2.5.2 集水坑应避免安装在车位及业主归家通道的公区，其管道应避免安装在影响车门开启及业主通行的位置。</w:t>
      </w:r>
    </w:p>
    <w:p w14:paraId="79D7A91A">
      <w:pPr>
        <w:ind w:firstLine="369" w:firstLineChars="176"/>
        <w:rPr>
          <w:rFonts w:hint="eastAsia"/>
          <w:color w:val="auto"/>
          <w:highlight w:val="yellow"/>
          <w:u w:val="none" w:color="auto"/>
          <w:lang w:eastAsia="zh"/>
        </w:rPr>
      </w:pPr>
      <w:r>
        <w:rPr>
          <w:rFonts w:hint="eastAsia"/>
          <w:color w:val="auto"/>
          <w:highlight w:val="yellow"/>
          <w:u w:val="none" w:color="auto"/>
          <w:lang w:eastAsia="zh"/>
        </w:rPr>
        <w:t>2.5.3 消火栓安装的位置应不影响汽车进出车位及车门开启。</w:t>
      </w:r>
    </w:p>
    <w:p w14:paraId="35D79F4C">
      <w:pPr>
        <w:ind w:firstLine="369" w:firstLineChars="176"/>
        <w:rPr>
          <w:rFonts w:hint="eastAsia"/>
          <w:color w:val="auto"/>
          <w:highlight w:val="yellow"/>
          <w:u w:val="none" w:color="auto"/>
          <w:lang w:eastAsia="zh"/>
        </w:rPr>
      </w:pPr>
      <w:r>
        <w:rPr>
          <w:rFonts w:hint="eastAsia"/>
          <w:color w:val="auto"/>
          <w:highlight w:val="yellow"/>
          <w:u w:val="none" w:color="auto"/>
          <w:lang w:eastAsia="zh"/>
        </w:rPr>
        <w:t>2.5.4 所有喷淋泄水应引至就近具体的排水点。</w:t>
      </w:r>
    </w:p>
    <w:p w14:paraId="0E55B061">
      <w:pPr>
        <w:ind w:firstLine="369" w:firstLineChars="176"/>
        <w:rPr>
          <w:color w:val="auto"/>
          <w:highlight w:val="none"/>
          <w:u w:val="none" w:color="auto"/>
          <w:lang w:eastAsia="zh-CN"/>
        </w:rPr>
      </w:pPr>
      <w:r>
        <w:rPr>
          <w:rFonts w:hint="eastAsia"/>
          <w:color w:val="auto"/>
          <w:highlight w:val="none"/>
          <w:u w:val="none" w:color="auto"/>
          <w:lang w:eastAsia="zh"/>
        </w:rPr>
        <w:t xml:space="preserve">2.5.5 </w:t>
      </w:r>
      <w:r>
        <w:rPr>
          <w:color w:val="auto"/>
          <w:highlight w:val="none"/>
          <w:u w:val="none" w:color="auto"/>
          <w:lang w:eastAsia="zh-CN"/>
        </w:rPr>
        <w:t>明确各类设备基础的尺寸及材质。</w:t>
      </w:r>
    </w:p>
    <w:p w14:paraId="46056A35">
      <w:pPr>
        <w:ind w:firstLine="369" w:firstLineChars="176"/>
        <w:rPr>
          <w:color w:val="auto"/>
          <w:highlight w:val="none"/>
          <w:u w:val="none" w:color="auto"/>
          <w:lang w:eastAsia="zh-CN"/>
        </w:rPr>
      </w:pPr>
      <w:r>
        <w:rPr>
          <w:color w:val="auto"/>
          <w:highlight w:val="none"/>
          <w:u w:val="none" w:color="auto"/>
          <w:lang w:eastAsia="zh-CN"/>
        </w:rPr>
        <w:t>2.5.</w:t>
      </w:r>
      <w:r>
        <w:rPr>
          <w:rFonts w:hint="eastAsia"/>
          <w:color w:val="auto"/>
          <w:highlight w:val="none"/>
          <w:u w:val="none" w:color="auto"/>
          <w:lang w:eastAsia="zh"/>
        </w:rPr>
        <w:t>6</w:t>
      </w:r>
      <w:r>
        <w:rPr>
          <w:color w:val="auto"/>
          <w:highlight w:val="none"/>
          <w:u w:val="none" w:color="auto"/>
          <w:lang w:eastAsia="zh-CN"/>
        </w:rPr>
        <w:t xml:space="preserve"> 管网的设计应考虑项目分期，便于后期施工且不影响先交付楼栋的使用。</w:t>
      </w:r>
    </w:p>
    <w:p w14:paraId="2FA77DFE">
      <w:pPr>
        <w:ind w:firstLine="369" w:firstLineChars="176"/>
        <w:rPr>
          <w:color w:val="auto"/>
          <w:highlight w:val="none"/>
          <w:u w:val="none" w:color="auto"/>
          <w:lang w:eastAsia="zh-CN"/>
        </w:rPr>
      </w:pPr>
      <w:r>
        <w:rPr>
          <w:color w:val="auto"/>
          <w:highlight w:val="none"/>
          <w:u w:val="none" w:color="auto"/>
          <w:lang w:eastAsia="zh-CN"/>
        </w:rPr>
        <w:t>2.5.</w:t>
      </w:r>
      <w:r>
        <w:rPr>
          <w:rFonts w:hint="eastAsia"/>
          <w:color w:val="auto"/>
          <w:highlight w:val="none"/>
          <w:u w:val="none" w:color="auto"/>
          <w:lang w:eastAsia="zh"/>
        </w:rPr>
        <w:t>7</w:t>
      </w:r>
      <w:r>
        <w:rPr>
          <w:color w:val="auto"/>
          <w:highlight w:val="none"/>
          <w:u w:val="none" w:color="auto"/>
          <w:lang w:eastAsia="zh-CN"/>
        </w:rPr>
        <w:t xml:space="preserve"> 给排水应与通风、电气等专业仔细协调，确保地下室通道高度大于 2400mm</w:t>
      </w:r>
    </w:p>
    <w:p w14:paraId="545ED629">
      <w:pPr>
        <w:ind w:firstLine="369" w:firstLineChars="176"/>
        <w:rPr>
          <w:color w:val="auto"/>
          <w:highlight w:val="none"/>
          <w:u w:val="none" w:color="auto"/>
          <w:lang w:eastAsia="zh-CN"/>
        </w:rPr>
      </w:pPr>
      <w:r>
        <w:rPr>
          <w:color w:val="auto"/>
          <w:highlight w:val="none"/>
          <w:u w:val="none" w:color="auto"/>
          <w:lang w:eastAsia="zh-CN"/>
        </w:rPr>
        <w:t>2.5.</w:t>
      </w:r>
      <w:r>
        <w:rPr>
          <w:rFonts w:hint="eastAsia"/>
          <w:color w:val="auto"/>
          <w:highlight w:val="none"/>
          <w:u w:val="none" w:color="auto"/>
          <w:lang w:eastAsia="zh"/>
        </w:rPr>
        <w:t>8</w:t>
      </w:r>
      <w:r>
        <w:rPr>
          <w:color w:val="auto"/>
          <w:highlight w:val="none"/>
          <w:u w:val="none" w:color="auto"/>
          <w:lang w:eastAsia="zh-CN"/>
        </w:rPr>
        <w:t xml:space="preserve"> 地下室给排水应与各个设备专业密切配合，要求出具地下室各个设备专业的管线综合图。</w:t>
      </w:r>
    </w:p>
    <w:p w14:paraId="09A8641B">
      <w:pPr>
        <w:ind w:firstLine="369" w:firstLineChars="176"/>
        <w:rPr>
          <w:color w:val="auto"/>
          <w:highlight w:val="none"/>
          <w:u w:val="none" w:color="auto"/>
          <w:lang w:eastAsia="zh-CN"/>
        </w:rPr>
      </w:pPr>
    </w:p>
    <w:p w14:paraId="5EC18418">
      <w:pPr>
        <w:pStyle w:val="3"/>
        <w:ind w:firstLine="565" w:firstLineChars="176"/>
        <w:rPr>
          <w:color w:val="auto"/>
          <w:highlight w:val="none"/>
          <w:u w:val="none" w:color="auto"/>
          <w:lang w:eastAsia="zh-CN"/>
        </w:rPr>
      </w:pPr>
      <w:r>
        <w:rPr>
          <w:color w:val="auto"/>
          <w:highlight w:val="none"/>
          <w:u w:val="none" w:color="auto"/>
          <w:lang w:eastAsia="zh-CN"/>
        </w:rPr>
        <w:t>暖通专业</w:t>
      </w:r>
    </w:p>
    <w:p w14:paraId="4188ADCC">
      <w:pPr>
        <w:ind w:firstLine="369" w:firstLineChars="176"/>
        <w:jc w:val="both"/>
        <w:rPr>
          <w:color w:val="auto"/>
          <w:highlight w:val="none"/>
          <w:u w:val="none" w:color="auto"/>
          <w:lang w:eastAsia="zh-CN"/>
        </w:rPr>
      </w:pPr>
      <w:r>
        <w:rPr>
          <w:color w:val="auto"/>
          <w:highlight w:val="none"/>
          <w:u w:val="none" w:color="auto"/>
          <w:lang w:eastAsia="zh-CN"/>
        </w:rPr>
        <w:t>1.设计范围及指标</w:t>
      </w:r>
    </w:p>
    <w:p w14:paraId="1198868C">
      <w:pPr>
        <w:ind w:firstLine="369" w:firstLineChars="176"/>
        <w:jc w:val="both"/>
        <w:rPr>
          <w:color w:val="auto"/>
          <w:highlight w:val="none"/>
          <w:u w:val="none" w:color="auto"/>
          <w:lang w:eastAsia="zh-CN"/>
        </w:rPr>
      </w:pPr>
      <w:r>
        <w:rPr>
          <w:color w:val="auto"/>
          <w:highlight w:val="none"/>
          <w:u w:val="none" w:color="auto"/>
          <w:lang w:eastAsia="zh-CN"/>
        </w:rPr>
        <w:t>1.1 设计范围</w:t>
      </w:r>
    </w:p>
    <w:p w14:paraId="722148C0">
      <w:pPr>
        <w:ind w:firstLine="369" w:firstLineChars="176"/>
        <w:jc w:val="both"/>
        <w:rPr>
          <w:color w:val="auto"/>
          <w:highlight w:val="none"/>
          <w:u w:val="none" w:color="auto"/>
          <w:lang w:eastAsia="zh-CN"/>
        </w:rPr>
      </w:pPr>
      <w:r>
        <w:rPr>
          <w:color w:val="auto"/>
          <w:highlight w:val="none"/>
          <w:u w:val="none" w:color="auto"/>
          <w:lang w:eastAsia="zh-CN"/>
        </w:rPr>
        <w:t>包括但不限于：设计说明、</w:t>
      </w:r>
      <w:r>
        <w:rPr>
          <w:rFonts w:hint="eastAsia"/>
          <w:color w:val="auto"/>
          <w:highlight w:val="none"/>
          <w:u w:val="none" w:color="auto"/>
          <w:lang w:eastAsia="zh-CN"/>
        </w:rPr>
        <w:t>施工说明、</w:t>
      </w:r>
      <w:r>
        <w:rPr>
          <w:color w:val="auto"/>
          <w:highlight w:val="none"/>
          <w:u w:val="none" w:color="auto"/>
          <w:lang w:eastAsia="zh-CN"/>
        </w:rPr>
        <w:t>采暖系统、通风系统、</w:t>
      </w:r>
      <w:r>
        <w:rPr>
          <w:rFonts w:hint="eastAsia"/>
          <w:color w:val="auto"/>
          <w:highlight w:val="yellow"/>
          <w:u w:val="none" w:color="auto"/>
          <w:lang w:eastAsia="zh"/>
        </w:rPr>
        <w:t>新风</w:t>
      </w:r>
      <w:r>
        <w:rPr>
          <w:color w:val="auto"/>
          <w:highlight w:val="yellow"/>
          <w:u w:val="none" w:color="auto"/>
          <w:lang w:eastAsia="zh-CN"/>
        </w:rPr>
        <w:t>空调系统（按需）</w:t>
      </w:r>
      <w:r>
        <w:rPr>
          <w:color w:val="auto"/>
          <w:highlight w:val="none"/>
          <w:u w:val="none" w:color="auto"/>
          <w:lang w:eastAsia="zh-CN"/>
        </w:rPr>
        <w:t>、</w:t>
      </w:r>
      <w:r>
        <w:rPr>
          <w:rFonts w:hint="eastAsia"/>
          <w:color w:val="auto"/>
          <w:highlight w:val="none"/>
          <w:u w:val="none" w:color="auto"/>
          <w:lang w:eastAsia="zh-CN"/>
        </w:rPr>
        <w:t>防排烟系统、</w:t>
      </w:r>
      <w:r>
        <w:rPr>
          <w:color w:val="auto"/>
          <w:highlight w:val="none"/>
          <w:u w:val="none" w:color="auto"/>
          <w:lang w:eastAsia="zh-CN"/>
        </w:rPr>
        <w:t>各类相关大样图。</w:t>
      </w:r>
    </w:p>
    <w:p w14:paraId="2A6BE366">
      <w:pPr>
        <w:ind w:firstLine="369" w:firstLineChars="176"/>
        <w:jc w:val="both"/>
        <w:rPr>
          <w:color w:val="auto"/>
          <w:highlight w:val="none"/>
          <w:u w:val="none" w:color="auto"/>
          <w:lang w:eastAsia="zh-CN"/>
        </w:rPr>
      </w:pPr>
      <w:r>
        <w:rPr>
          <w:color w:val="auto"/>
          <w:highlight w:val="none"/>
          <w:u w:val="none" w:color="auto"/>
          <w:lang w:eastAsia="zh-CN"/>
        </w:rPr>
        <w:t>设计单位应配合本项目相关后续设计及图审工作，包含但不限于精装修。</w:t>
      </w:r>
    </w:p>
    <w:p w14:paraId="442F176A">
      <w:pPr>
        <w:ind w:firstLine="369" w:firstLineChars="176"/>
        <w:jc w:val="both"/>
        <w:rPr>
          <w:color w:val="auto"/>
          <w:highlight w:val="none"/>
          <w:u w:val="none" w:color="auto"/>
          <w:lang w:eastAsia="zh-CN"/>
        </w:rPr>
      </w:pPr>
      <w:r>
        <w:rPr>
          <w:color w:val="auto"/>
          <w:highlight w:val="none"/>
          <w:u w:val="none" w:color="auto"/>
          <w:lang w:eastAsia="zh-CN"/>
        </w:rPr>
        <w:t>1.2 设计指标</w:t>
      </w:r>
    </w:p>
    <w:p w14:paraId="42484A52">
      <w:pPr>
        <w:ind w:firstLine="369" w:firstLineChars="176"/>
        <w:jc w:val="both"/>
        <w:rPr>
          <w:color w:val="auto"/>
          <w:highlight w:val="none"/>
          <w:u w:val="none" w:color="auto"/>
          <w:lang w:eastAsia="zh-CN"/>
        </w:rPr>
      </w:pPr>
      <w:r>
        <w:rPr>
          <w:color w:val="auto"/>
          <w:highlight w:val="none"/>
          <w:u w:val="none" w:color="auto"/>
          <w:lang w:eastAsia="zh-CN"/>
        </w:rPr>
        <w:t>采暖通风负荷量按国家规定的有关指标并结合各地区实际情况进行计算。</w:t>
      </w:r>
    </w:p>
    <w:p w14:paraId="3F1542D8">
      <w:pPr>
        <w:ind w:firstLine="369" w:firstLineChars="176"/>
        <w:jc w:val="both"/>
        <w:rPr>
          <w:color w:val="auto"/>
          <w:highlight w:val="none"/>
          <w:u w:val="none" w:color="auto"/>
          <w:lang w:eastAsia="zh-CN"/>
        </w:rPr>
      </w:pPr>
      <w:r>
        <w:rPr>
          <w:color w:val="auto"/>
          <w:highlight w:val="none"/>
          <w:u w:val="none" w:color="auto"/>
          <w:lang w:eastAsia="zh-CN"/>
        </w:rPr>
        <w:t>2.3 设计单位应配合审核与本项目本专业相关的二次深化设计图。</w:t>
      </w:r>
    </w:p>
    <w:p w14:paraId="2A68C665">
      <w:pPr>
        <w:ind w:firstLine="369" w:firstLineChars="176"/>
        <w:jc w:val="both"/>
        <w:rPr>
          <w:color w:val="auto"/>
          <w:highlight w:val="none"/>
          <w:u w:val="none" w:color="auto"/>
          <w:lang w:eastAsia="zh-CN"/>
        </w:rPr>
      </w:pPr>
      <w:r>
        <w:rPr>
          <w:color w:val="auto"/>
          <w:highlight w:val="none"/>
          <w:u w:val="none" w:color="auto"/>
          <w:lang w:eastAsia="zh-CN"/>
        </w:rPr>
        <w:t>3. 空调通风部分</w:t>
      </w:r>
    </w:p>
    <w:p w14:paraId="5E7521FB">
      <w:pPr>
        <w:ind w:firstLine="369" w:firstLineChars="176"/>
        <w:jc w:val="both"/>
        <w:rPr>
          <w:color w:val="auto"/>
          <w:highlight w:val="none"/>
          <w:u w:val="none" w:color="auto"/>
          <w:lang w:eastAsia="zh-CN"/>
        </w:rPr>
      </w:pPr>
      <w:r>
        <w:rPr>
          <w:color w:val="auto"/>
          <w:highlight w:val="none"/>
          <w:u w:val="none" w:color="auto"/>
          <w:lang w:eastAsia="zh-CN"/>
        </w:rPr>
        <w:t>2.1.按国家相关规定计算风量等指标。</w:t>
      </w:r>
    </w:p>
    <w:p w14:paraId="2DD0A2EF">
      <w:pPr>
        <w:ind w:firstLine="369" w:firstLineChars="176"/>
        <w:jc w:val="both"/>
        <w:rPr>
          <w:color w:val="auto"/>
          <w:highlight w:val="none"/>
          <w:u w:val="none" w:color="auto"/>
          <w:lang w:eastAsia="zh-CN"/>
        </w:rPr>
      </w:pPr>
      <w:r>
        <w:rPr>
          <w:color w:val="auto"/>
          <w:highlight w:val="none"/>
          <w:u w:val="none" w:color="auto"/>
          <w:lang w:eastAsia="zh-CN"/>
        </w:rPr>
        <w:t>外墙空调冷凝管应考虑业主安装空调时如何连接空调冷凝水管。因安装人员难以在外墙 施工</w:t>
      </w:r>
      <w:r>
        <w:rPr>
          <w:rFonts w:hint="eastAsia"/>
          <w:color w:val="auto"/>
          <w:highlight w:val="yellow"/>
          <w:u w:val="none" w:color="auto"/>
          <w:lang w:eastAsia="zh"/>
        </w:rPr>
        <w:t>或施工困难</w:t>
      </w:r>
      <w:r>
        <w:rPr>
          <w:color w:val="auto"/>
          <w:highlight w:val="none"/>
          <w:u w:val="none" w:color="auto"/>
          <w:lang w:eastAsia="zh-CN"/>
        </w:rPr>
        <w:t>，建议将空调冷凝管</w:t>
      </w:r>
      <w:r>
        <w:rPr>
          <w:rFonts w:hint="eastAsia"/>
          <w:color w:val="auto"/>
          <w:highlight w:val="yellow"/>
          <w:u w:val="none" w:color="auto"/>
          <w:lang w:eastAsia="zh"/>
        </w:rPr>
        <w:t>设置在</w:t>
      </w:r>
      <w:r>
        <w:rPr>
          <w:color w:val="auto"/>
          <w:highlight w:val="none"/>
          <w:u w:val="none" w:color="auto"/>
          <w:lang w:eastAsia="zh-CN"/>
        </w:rPr>
        <w:t>可方便连接的位置。</w:t>
      </w:r>
    </w:p>
    <w:p w14:paraId="48887025">
      <w:pPr>
        <w:ind w:firstLine="369" w:firstLineChars="176"/>
        <w:jc w:val="both"/>
        <w:rPr>
          <w:color w:val="auto"/>
          <w:highlight w:val="none"/>
          <w:u w:val="none" w:color="auto"/>
          <w:lang w:eastAsia="zh-CN"/>
        </w:rPr>
      </w:pPr>
      <w:r>
        <w:rPr>
          <w:color w:val="auto"/>
          <w:highlight w:val="none"/>
          <w:u w:val="none" w:color="auto"/>
          <w:lang w:eastAsia="zh-CN"/>
        </w:rPr>
        <w:t>2.2 室内空调冷凝排水如需通过其它房间再接至冷凝管时，不宜连接过长，因为管道过 长时， 坡度、避梁、穿剪力墙等因素造成难以施工和控制， 应按就近连接的原则， 在附 近增加冷凝管或和邻近的卫生间接通。</w:t>
      </w:r>
    </w:p>
    <w:p w14:paraId="64CB418F">
      <w:pPr>
        <w:ind w:firstLine="369" w:firstLineChars="176"/>
        <w:jc w:val="both"/>
        <w:rPr>
          <w:color w:val="auto"/>
          <w:highlight w:val="none"/>
          <w:u w:val="none" w:color="auto"/>
          <w:lang w:eastAsia="zh-CN"/>
        </w:rPr>
      </w:pPr>
      <w:r>
        <w:rPr>
          <w:color w:val="auto"/>
          <w:highlight w:val="none"/>
          <w:u w:val="none" w:color="auto"/>
          <w:lang w:eastAsia="zh-CN"/>
        </w:rPr>
        <w:t>2.3 风管穿梁、穿剪力墙开洞位置应详细标注在图中，并要求同时标注在结构图中。 一 经确定， 不能随意修改， 特别是柱、梁的空调预留洞， 如果修改， 机械开孔对结构影响 比较严重（还有对装修的质量隐患），设计要注意此部分修改。</w:t>
      </w:r>
    </w:p>
    <w:p w14:paraId="7A2FA6FE">
      <w:pPr>
        <w:pStyle w:val="22"/>
        <w:ind w:firstLine="480" w:firstLineChars="200"/>
        <w:rPr>
          <w:rFonts w:hint="eastAsia" w:ascii="宋体" w:hAnsi="宋体" w:eastAsia="宋体"/>
          <w:color w:val="auto"/>
          <w:sz w:val="24"/>
          <w:highlight w:val="none"/>
          <w:u w:val="none" w:color="auto"/>
          <w:lang w:eastAsia="zh-CN"/>
        </w:rPr>
      </w:pPr>
      <w:r>
        <w:rPr>
          <w:rFonts w:ascii="宋体" w:hAnsi="宋体" w:eastAsia="宋体"/>
          <w:color w:val="auto"/>
          <w:sz w:val="24"/>
          <w:highlight w:val="none"/>
          <w:u w:val="none" w:color="auto"/>
          <w:lang w:eastAsia="zh-CN"/>
        </w:rPr>
        <w:t xml:space="preserve">2.3 </w:t>
      </w:r>
      <w:r>
        <w:rPr>
          <w:rFonts w:hint="eastAsia" w:ascii="宋体" w:hAnsi="宋体" w:eastAsia="宋体"/>
          <w:color w:val="auto"/>
          <w:sz w:val="24"/>
          <w:highlight w:val="none"/>
          <w:u w:val="none" w:color="auto"/>
          <w:lang w:eastAsia="zh-CN"/>
        </w:rPr>
        <w:t>外墙考虑新风系统、空调系统套管预留，户内仅考虑空调系统穿梁套管。</w:t>
      </w:r>
    </w:p>
    <w:p w14:paraId="0CE4E044">
      <w:pPr>
        <w:ind w:firstLine="369" w:firstLineChars="176"/>
        <w:jc w:val="both"/>
        <w:rPr>
          <w:color w:val="auto"/>
          <w:highlight w:val="none"/>
          <w:u w:val="none" w:color="auto"/>
          <w:lang w:eastAsia="zh-CN"/>
        </w:rPr>
      </w:pPr>
      <w:r>
        <w:rPr>
          <w:color w:val="auto"/>
          <w:highlight w:val="none"/>
          <w:u w:val="none" w:color="auto"/>
          <w:lang w:eastAsia="zh-CN"/>
        </w:rPr>
        <w:t>2.4 通风应与给排水、电气等专业仔细协调，确保地下室通道高度大于 2400mm</w:t>
      </w:r>
      <w:r>
        <w:rPr>
          <w:rFonts w:hint="eastAsia"/>
          <w:color w:val="auto"/>
          <w:highlight w:val="none"/>
          <w:u w:val="none" w:color="auto"/>
          <w:lang w:eastAsia="zh-CN"/>
        </w:rPr>
        <w:t>。主管高度不宜超过400mm。</w:t>
      </w:r>
    </w:p>
    <w:p w14:paraId="68283C95">
      <w:pPr>
        <w:ind w:firstLine="369" w:firstLineChars="176"/>
        <w:jc w:val="both"/>
        <w:rPr>
          <w:color w:val="auto"/>
          <w:highlight w:val="none"/>
          <w:u w:val="none" w:color="auto"/>
          <w:lang w:eastAsia="zh-CN"/>
        </w:rPr>
      </w:pPr>
      <w:r>
        <w:rPr>
          <w:color w:val="auto"/>
          <w:highlight w:val="none"/>
          <w:u w:val="none" w:color="auto"/>
          <w:lang w:eastAsia="zh-CN"/>
        </w:rPr>
        <w:t>2.5 屋顶冷却塔、大型设备间，必要时提交操作平台图纸。</w:t>
      </w:r>
    </w:p>
    <w:p w14:paraId="7A9F7FEC">
      <w:pPr>
        <w:ind w:firstLine="369" w:firstLineChars="176"/>
        <w:jc w:val="both"/>
        <w:rPr>
          <w:color w:val="auto"/>
          <w:highlight w:val="none"/>
          <w:u w:val="none" w:color="auto"/>
          <w:lang w:eastAsia="zh-CN"/>
        </w:rPr>
      </w:pPr>
      <w:r>
        <w:rPr>
          <w:color w:val="auto"/>
          <w:highlight w:val="none"/>
          <w:u w:val="none" w:color="auto"/>
          <w:lang w:eastAsia="zh-CN"/>
        </w:rPr>
        <w:t>2.6 风机吊装须明确减振要求及类型。</w:t>
      </w:r>
    </w:p>
    <w:p w14:paraId="0036F871">
      <w:pPr>
        <w:ind w:firstLine="369" w:firstLineChars="176"/>
        <w:rPr>
          <w:color w:val="auto"/>
          <w:highlight w:val="none"/>
          <w:u w:val="none" w:color="auto"/>
          <w:lang w:eastAsia="zh-CN"/>
        </w:rPr>
      </w:pPr>
      <w:r>
        <w:rPr>
          <w:color w:val="auto"/>
          <w:highlight w:val="none"/>
          <w:u w:val="none" w:color="auto"/>
          <w:lang w:eastAsia="zh-CN"/>
        </w:rPr>
        <w:t>2.7 地下室的排风口位置不应设置在住户的门、窗附近，尽量远离住户或设置在绿化带内。</w:t>
      </w:r>
    </w:p>
    <w:p w14:paraId="08624A68">
      <w:pPr>
        <w:ind w:firstLine="369" w:firstLineChars="176"/>
        <w:rPr>
          <w:color w:val="auto"/>
          <w:highlight w:val="none"/>
          <w:u w:val="none" w:color="auto"/>
          <w:lang w:eastAsia="zh-CN"/>
        </w:rPr>
      </w:pPr>
      <w:r>
        <w:rPr>
          <w:color w:val="auto"/>
          <w:highlight w:val="none"/>
          <w:u w:val="none" w:color="auto"/>
          <w:lang w:eastAsia="zh-CN"/>
        </w:rPr>
        <w:t>2.8 通风井等应尽量隐蔽设置，不宜设置在主入口及人流量大的地方。</w:t>
      </w:r>
    </w:p>
    <w:p w14:paraId="0BAFF434">
      <w:pPr>
        <w:ind w:firstLine="369" w:firstLineChars="176"/>
        <w:rPr>
          <w:color w:val="auto"/>
          <w:highlight w:val="none"/>
          <w:u w:val="none" w:color="auto"/>
          <w:lang w:eastAsia="zh-CN"/>
        </w:rPr>
      </w:pPr>
      <w:r>
        <w:rPr>
          <w:color w:val="auto"/>
          <w:highlight w:val="none"/>
          <w:u w:val="none" w:color="auto"/>
          <w:lang w:eastAsia="zh-CN"/>
        </w:rPr>
        <w:t>2.9 带空调（或新风） 交付的产品， 空调（或新风） 的型号、布置及配管图应设计到位。</w:t>
      </w:r>
    </w:p>
    <w:p w14:paraId="56B778B5">
      <w:pPr>
        <w:ind w:firstLine="369" w:firstLineChars="176"/>
        <w:jc w:val="both"/>
        <w:rPr>
          <w:color w:val="auto"/>
          <w:highlight w:val="none"/>
          <w:u w:val="none" w:color="auto"/>
          <w:lang w:eastAsia="zh-CN"/>
        </w:rPr>
      </w:pPr>
      <w:r>
        <w:rPr>
          <w:color w:val="auto"/>
          <w:highlight w:val="none"/>
          <w:u w:val="none" w:color="auto"/>
          <w:lang w:eastAsia="zh-CN"/>
        </w:rPr>
        <w:t>2.10 明确各类设备基础的尺寸及材质。</w:t>
      </w:r>
    </w:p>
    <w:p w14:paraId="397051D3">
      <w:pPr>
        <w:ind w:firstLine="369" w:firstLineChars="176"/>
        <w:jc w:val="both"/>
        <w:rPr>
          <w:color w:val="auto"/>
          <w:highlight w:val="none"/>
          <w:u w:val="none" w:color="auto"/>
          <w:lang w:eastAsia="zh-CN"/>
        </w:rPr>
      </w:pPr>
      <w:r>
        <w:rPr>
          <w:color w:val="auto"/>
          <w:highlight w:val="none"/>
          <w:u w:val="none" w:color="auto"/>
          <w:lang w:eastAsia="zh-CN"/>
        </w:rPr>
        <w:t>2.11 车库综合管线设计应考虑项目分期，便于后期施工且不影响先交付楼栋的使用。</w:t>
      </w:r>
    </w:p>
    <w:p w14:paraId="4C75852A">
      <w:pPr>
        <w:ind w:firstLine="369" w:firstLineChars="176"/>
        <w:jc w:val="both"/>
        <w:rPr>
          <w:color w:val="auto"/>
          <w:highlight w:val="none"/>
          <w:u w:val="none" w:color="auto"/>
          <w:lang w:eastAsia="zh-CN"/>
        </w:rPr>
      </w:pPr>
      <w:r>
        <w:rPr>
          <w:color w:val="auto"/>
          <w:highlight w:val="none"/>
          <w:u w:val="none" w:color="auto"/>
          <w:lang w:eastAsia="zh-CN"/>
        </w:rPr>
        <w:t>2.12 在项目全周期， 设计单位应与精装修的设计单位紧密配合， 完成相关设计及审图工作。</w:t>
      </w:r>
    </w:p>
    <w:p w14:paraId="230E21A1">
      <w:pPr>
        <w:ind w:firstLine="369" w:firstLineChars="176"/>
        <w:jc w:val="both"/>
        <w:rPr>
          <w:color w:val="auto"/>
          <w:highlight w:val="none"/>
          <w:u w:val="none" w:color="auto"/>
          <w:lang w:eastAsia="zh-CN"/>
        </w:rPr>
      </w:pPr>
      <w:r>
        <w:rPr>
          <w:color w:val="auto"/>
          <w:highlight w:val="none"/>
          <w:u w:val="none" w:color="auto"/>
          <w:lang w:eastAsia="zh-CN"/>
        </w:rPr>
        <w:t>4. 采暖部分</w:t>
      </w:r>
    </w:p>
    <w:p w14:paraId="6BC977A9">
      <w:pPr>
        <w:ind w:firstLine="369" w:firstLineChars="176"/>
        <w:jc w:val="both"/>
        <w:rPr>
          <w:color w:val="auto"/>
          <w:highlight w:val="none"/>
          <w:u w:val="none" w:color="auto"/>
          <w:lang w:eastAsia="zh-CN"/>
        </w:rPr>
      </w:pPr>
      <w:r>
        <w:rPr>
          <w:color w:val="auto"/>
          <w:highlight w:val="none"/>
          <w:u w:val="none" w:color="auto"/>
          <w:lang w:eastAsia="zh-CN"/>
        </w:rPr>
        <w:t>3.1 采暖供水系统的垂直分区应综合考虑供水安全和经济运行的要求， 在初步设计阶段 应做出系统分区情况的设计方案供我司审核。</w:t>
      </w:r>
    </w:p>
    <w:p w14:paraId="39596EB8">
      <w:pPr>
        <w:ind w:firstLine="369" w:firstLineChars="176"/>
        <w:jc w:val="both"/>
        <w:rPr>
          <w:color w:val="auto"/>
          <w:highlight w:val="none"/>
          <w:u w:val="none" w:color="auto"/>
          <w:lang w:eastAsia="zh-CN"/>
        </w:rPr>
      </w:pPr>
      <w:r>
        <w:rPr>
          <w:color w:val="auto"/>
          <w:highlight w:val="none"/>
          <w:u w:val="none" w:color="auto"/>
          <w:lang w:eastAsia="zh-CN"/>
        </w:rPr>
        <w:t>3.2 塔楼水暖井要有详细的平面布置图，保证管井的大小合适。</w:t>
      </w:r>
    </w:p>
    <w:p w14:paraId="46C1F137">
      <w:pPr>
        <w:ind w:firstLine="369" w:firstLineChars="176"/>
        <w:jc w:val="both"/>
        <w:rPr>
          <w:color w:val="auto"/>
          <w:highlight w:val="none"/>
          <w:u w:val="none" w:color="auto"/>
          <w:lang w:eastAsia="zh-CN"/>
        </w:rPr>
      </w:pPr>
      <w:r>
        <w:rPr>
          <w:color w:val="auto"/>
          <w:highlight w:val="none"/>
          <w:u w:val="none" w:color="auto"/>
          <w:lang w:eastAsia="zh-CN"/>
        </w:rPr>
        <w:t>3.3 室外的阀门井、尽量避免设计在住户花园内、小区道路上、住宅单元的入口处等主 要公共地段， 可考虑设计在绿化带上， 在满足规范的前提下尽可能的少设检查井。检查 井盖建议选用聚脂复合井盖， 在车行道上的选用重型井盖， 在其他地方的选用轻型井盖。</w:t>
      </w:r>
    </w:p>
    <w:p w14:paraId="4107F432">
      <w:pPr>
        <w:ind w:firstLine="369" w:firstLineChars="176"/>
        <w:jc w:val="both"/>
        <w:rPr>
          <w:color w:val="auto"/>
          <w:highlight w:val="none"/>
          <w:u w:val="none" w:color="auto"/>
          <w:lang w:eastAsia="zh-CN"/>
        </w:rPr>
      </w:pPr>
      <w:r>
        <w:rPr>
          <w:color w:val="auto"/>
          <w:highlight w:val="none"/>
          <w:u w:val="none" w:color="auto"/>
          <w:lang w:eastAsia="zh-CN"/>
        </w:rPr>
        <w:t>3.4 室外供回水水管与电力电缆、弱电电缆以及煤气管等保持规范要求的安全距离。</w:t>
      </w:r>
    </w:p>
    <w:p w14:paraId="420DAF14">
      <w:pPr>
        <w:ind w:firstLine="369" w:firstLineChars="176"/>
        <w:jc w:val="both"/>
        <w:rPr>
          <w:color w:val="auto"/>
          <w:highlight w:val="none"/>
          <w:u w:val="none" w:color="auto"/>
          <w:lang w:eastAsia="zh-CN"/>
        </w:rPr>
      </w:pPr>
      <w:r>
        <w:rPr>
          <w:color w:val="auto"/>
          <w:highlight w:val="none"/>
          <w:u w:val="none" w:color="auto"/>
          <w:lang w:eastAsia="zh-CN"/>
        </w:rPr>
        <w:t>3.5 门厅内不允许明装任何采暖立管和管道。</w:t>
      </w:r>
    </w:p>
    <w:p w14:paraId="5297E79D">
      <w:pPr>
        <w:ind w:firstLine="369" w:firstLineChars="176"/>
        <w:jc w:val="both"/>
        <w:rPr>
          <w:color w:val="auto"/>
          <w:highlight w:val="yellow"/>
          <w:u w:val="none" w:color="auto"/>
          <w:lang w:eastAsia="zh-CN"/>
        </w:rPr>
      </w:pPr>
      <w:r>
        <w:rPr>
          <w:color w:val="auto"/>
          <w:highlight w:val="none"/>
          <w:u w:val="none" w:color="auto"/>
          <w:lang w:eastAsia="zh-CN"/>
        </w:rPr>
        <w:t>住宅管材要求如下： 户内暗设支管采用</w:t>
      </w:r>
      <w:r>
        <w:rPr>
          <w:strike/>
          <w:dstrike w:val="0"/>
          <w:color w:val="auto"/>
          <w:highlight w:val="yellow"/>
          <w:u w:val="none" w:color="auto"/>
          <w:lang w:eastAsia="zh-CN"/>
        </w:rPr>
        <w:t>热水</w:t>
      </w:r>
      <w:r>
        <w:rPr>
          <w:rFonts w:hint="eastAsia"/>
          <w:strike/>
          <w:dstrike w:val="0"/>
          <w:color w:val="auto"/>
          <w:highlight w:val="yellow"/>
          <w:u w:val="none" w:color="auto"/>
          <w:lang w:eastAsia="zh"/>
        </w:rPr>
        <w:t>（删除）</w:t>
      </w:r>
      <w:r>
        <w:rPr>
          <w:color w:val="auto"/>
          <w:highlight w:val="none"/>
          <w:u w:val="none" w:color="auto"/>
          <w:lang w:eastAsia="zh-CN"/>
        </w:rPr>
        <w:t xml:space="preserve"> PE-RT 管：</w:t>
      </w:r>
      <w:r>
        <w:rPr>
          <w:color w:val="auto"/>
          <w:highlight w:val="yellow"/>
          <w:u w:val="none" w:color="auto"/>
          <w:lang w:eastAsia="zh-CN"/>
        </w:rPr>
        <w:t xml:space="preserve"> 采暖</w:t>
      </w:r>
      <w:r>
        <w:rPr>
          <w:rFonts w:hint="eastAsia"/>
          <w:color w:val="auto"/>
          <w:highlight w:val="yellow"/>
          <w:u w:val="none" w:color="auto"/>
          <w:lang w:eastAsia="zh"/>
        </w:rPr>
        <w:t>干管及</w:t>
      </w:r>
      <w:r>
        <w:rPr>
          <w:color w:val="auto"/>
          <w:highlight w:val="yellow"/>
          <w:u w:val="none" w:color="auto"/>
          <w:lang w:eastAsia="zh-CN"/>
        </w:rPr>
        <w:t>立管</w:t>
      </w:r>
      <w:r>
        <w:rPr>
          <w:rFonts w:hint="eastAsia"/>
          <w:color w:val="auto"/>
          <w:highlight w:val="yellow"/>
          <w:u w:val="none" w:color="auto"/>
          <w:lang w:eastAsia="zh"/>
        </w:rPr>
        <w:t>按照规范和图集要求</w:t>
      </w:r>
      <w:r>
        <w:rPr>
          <w:color w:val="auto"/>
          <w:highlight w:val="yellow"/>
          <w:u w:val="none" w:color="auto"/>
          <w:lang w:eastAsia="zh-CN"/>
        </w:rPr>
        <w:t>采用</w:t>
      </w:r>
      <w:r>
        <w:rPr>
          <w:rFonts w:hint="eastAsia"/>
          <w:color w:val="auto"/>
          <w:highlight w:val="yellow"/>
          <w:u w:val="none" w:color="auto"/>
          <w:lang w:eastAsia="zh"/>
        </w:rPr>
        <w:t>热镀锌钢管</w:t>
      </w:r>
      <w:r>
        <w:rPr>
          <w:color w:val="auto"/>
          <w:highlight w:val="yellow"/>
          <w:u w:val="none" w:color="auto"/>
          <w:lang w:eastAsia="zh-CN"/>
        </w:rPr>
        <w:t>或焊接钢管</w:t>
      </w:r>
      <w:r>
        <w:rPr>
          <w:rFonts w:hint="eastAsia"/>
          <w:color w:val="auto"/>
          <w:highlight w:val="yellow"/>
          <w:u w:val="none" w:color="auto"/>
          <w:lang w:eastAsia="zh"/>
        </w:rPr>
        <w:t>、无缝钢管</w:t>
      </w:r>
      <w:r>
        <w:rPr>
          <w:color w:val="auto"/>
          <w:highlight w:val="yellow"/>
          <w:u w:val="none" w:color="auto"/>
          <w:lang w:eastAsia="zh-CN"/>
        </w:rPr>
        <w:t>等。</w:t>
      </w:r>
    </w:p>
    <w:p w14:paraId="1C2630FA">
      <w:pPr>
        <w:ind w:firstLine="369" w:firstLineChars="176"/>
        <w:jc w:val="both"/>
        <w:rPr>
          <w:color w:val="auto"/>
          <w:highlight w:val="none"/>
          <w:u w:val="none" w:color="auto"/>
          <w:lang w:eastAsia="zh-CN"/>
        </w:rPr>
      </w:pPr>
      <w:r>
        <w:rPr>
          <w:color w:val="auto"/>
          <w:highlight w:val="none"/>
          <w:u w:val="none" w:color="auto"/>
          <w:lang w:eastAsia="zh-CN"/>
        </w:rPr>
        <w:t>3.6 高层采暖水平管应注意不应影响公共走道层高。</w:t>
      </w:r>
    </w:p>
    <w:p w14:paraId="11BF86CF">
      <w:pPr>
        <w:ind w:firstLine="369" w:firstLineChars="176"/>
        <w:jc w:val="both"/>
        <w:rPr>
          <w:color w:val="auto"/>
          <w:highlight w:val="none"/>
          <w:u w:val="none" w:color="auto"/>
          <w:lang w:eastAsia="zh-CN"/>
        </w:rPr>
      </w:pPr>
      <w:r>
        <w:rPr>
          <w:color w:val="auto"/>
          <w:highlight w:val="none"/>
          <w:u w:val="none" w:color="auto"/>
          <w:lang w:eastAsia="zh-CN"/>
        </w:rPr>
        <w:t>3.7 请将穿梁或剪力墙开洞位置详细标注在采暖图中，并应在结构图中标注。</w:t>
      </w:r>
    </w:p>
    <w:p w14:paraId="56E5DBED">
      <w:pPr>
        <w:ind w:firstLine="369" w:firstLineChars="176"/>
        <w:jc w:val="both"/>
        <w:rPr>
          <w:color w:val="auto"/>
          <w:highlight w:val="none"/>
          <w:u w:val="none" w:color="auto"/>
          <w:lang w:eastAsia="zh-CN"/>
        </w:rPr>
      </w:pPr>
      <w:r>
        <w:rPr>
          <w:color w:val="auto"/>
          <w:highlight w:val="none"/>
          <w:u w:val="none" w:color="auto"/>
          <w:lang w:eastAsia="zh-CN"/>
        </w:rPr>
        <w:t>3.8 在初步设计时明确户内所需设计的分集水器的位置要求和标高等。</w:t>
      </w:r>
    </w:p>
    <w:p w14:paraId="52BC8E25">
      <w:pPr>
        <w:ind w:firstLine="369" w:firstLineChars="176"/>
        <w:jc w:val="both"/>
        <w:rPr>
          <w:color w:val="auto"/>
          <w:highlight w:val="yellow"/>
          <w:u w:val="none" w:color="auto"/>
          <w:lang w:eastAsia="zh-CN"/>
        </w:rPr>
      </w:pPr>
      <w:r>
        <w:rPr>
          <w:rFonts w:hint="eastAsia"/>
          <w:color w:val="auto"/>
          <w:highlight w:val="yellow"/>
          <w:u w:val="none" w:color="auto"/>
          <w:lang w:eastAsia="zh"/>
        </w:rPr>
        <w:t xml:space="preserve">3.9 </w:t>
      </w:r>
      <w:r>
        <w:rPr>
          <w:color w:val="auto"/>
          <w:highlight w:val="yellow"/>
          <w:u w:val="none" w:color="auto"/>
          <w:lang w:eastAsia="zh-CN"/>
        </w:rPr>
        <w:t>地暖集分水器</w:t>
      </w:r>
      <w:r>
        <w:rPr>
          <w:rFonts w:hint="eastAsia"/>
          <w:color w:val="auto"/>
          <w:highlight w:val="yellow"/>
          <w:u w:val="none" w:color="auto"/>
          <w:lang w:eastAsia="zh"/>
        </w:rPr>
        <w:t>首选</w:t>
      </w:r>
      <w:r>
        <w:rPr>
          <w:color w:val="auto"/>
          <w:highlight w:val="yellow"/>
          <w:u w:val="none" w:color="auto"/>
          <w:lang w:eastAsia="zh-CN"/>
        </w:rPr>
        <w:t>设置在厨房内洗涤盆下方靠墙位置。</w:t>
      </w:r>
    </w:p>
    <w:p w14:paraId="1EC22F93">
      <w:pPr>
        <w:ind w:firstLine="369" w:firstLineChars="176"/>
        <w:rPr>
          <w:color w:val="auto"/>
          <w:highlight w:val="none"/>
          <w:u w:val="none" w:color="auto"/>
          <w:lang w:eastAsia="zh-CN"/>
        </w:rPr>
      </w:pPr>
      <w:r>
        <w:rPr>
          <w:color w:val="auto"/>
          <w:highlight w:val="none"/>
          <w:u w:val="none" w:color="auto"/>
          <w:lang w:eastAsia="zh-CN"/>
        </w:rPr>
        <w:t>3.</w:t>
      </w:r>
      <w:r>
        <w:rPr>
          <w:rFonts w:hint="eastAsia"/>
          <w:color w:val="auto"/>
          <w:highlight w:val="none"/>
          <w:u w:val="none" w:color="auto"/>
          <w:lang w:eastAsia="zh"/>
        </w:rPr>
        <w:t>10</w:t>
      </w:r>
      <w:r>
        <w:rPr>
          <w:color w:val="auto"/>
          <w:highlight w:val="none"/>
          <w:u w:val="none" w:color="auto"/>
          <w:lang w:eastAsia="zh-CN"/>
        </w:rPr>
        <w:t xml:space="preserve"> 采暖主管道应与给排水、通风、电气等专业仔细协调，确保地下室通道高度大于2400mm。</w:t>
      </w:r>
    </w:p>
    <w:p w14:paraId="16CB67B6">
      <w:pPr>
        <w:ind w:firstLine="369" w:firstLineChars="176"/>
        <w:rPr>
          <w:color w:val="auto"/>
          <w:highlight w:val="none"/>
          <w:u w:val="none" w:color="auto"/>
          <w:lang w:eastAsia="zh-CN"/>
        </w:rPr>
      </w:pPr>
      <w:r>
        <w:rPr>
          <w:color w:val="auto"/>
          <w:highlight w:val="none"/>
          <w:u w:val="none" w:color="auto"/>
          <w:lang w:eastAsia="zh-CN"/>
        </w:rPr>
        <w:t>3.1</w:t>
      </w:r>
      <w:r>
        <w:rPr>
          <w:rFonts w:hint="eastAsia"/>
          <w:color w:val="auto"/>
          <w:highlight w:val="none"/>
          <w:u w:val="none" w:color="auto"/>
          <w:lang w:eastAsia="zh"/>
        </w:rPr>
        <w:t>1</w:t>
      </w:r>
      <w:r>
        <w:rPr>
          <w:color w:val="auto"/>
          <w:highlight w:val="none"/>
          <w:u w:val="none" w:color="auto"/>
          <w:lang w:eastAsia="zh-CN"/>
        </w:rPr>
        <w:t xml:space="preserve"> 地下室采暖应与各个设备专业密切配合，要求出具地下室各个设备专业的管线综合图。</w:t>
      </w:r>
    </w:p>
    <w:p w14:paraId="4E5E8190">
      <w:pPr>
        <w:ind w:firstLine="369" w:firstLineChars="176"/>
        <w:jc w:val="both"/>
        <w:rPr>
          <w:color w:val="auto"/>
          <w:highlight w:val="none"/>
          <w:u w:val="none" w:color="auto"/>
          <w:lang w:eastAsia="zh-CN"/>
        </w:rPr>
      </w:pPr>
      <w:r>
        <w:rPr>
          <w:color w:val="auto"/>
          <w:highlight w:val="none"/>
          <w:u w:val="none" w:color="auto"/>
          <w:lang w:eastAsia="zh-CN"/>
        </w:rPr>
        <w:t>3.1</w:t>
      </w:r>
      <w:r>
        <w:rPr>
          <w:rFonts w:hint="eastAsia"/>
          <w:color w:val="auto"/>
          <w:highlight w:val="none"/>
          <w:u w:val="none" w:color="auto"/>
          <w:lang w:eastAsia="zh"/>
        </w:rPr>
        <w:t>2</w:t>
      </w:r>
      <w:r>
        <w:rPr>
          <w:color w:val="auto"/>
          <w:highlight w:val="none"/>
          <w:u w:val="none" w:color="auto"/>
          <w:lang w:eastAsia="zh-CN"/>
        </w:rPr>
        <w:t xml:space="preserve"> 采用非市政供暖的产品，应提供其设备型号、布置及配管图。</w:t>
      </w:r>
    </w:p>
    <w:p w14:paraId="4CE76205">
      <w:pPr>
        <w:ind w:firstLine="369" w:firstLineChars="176"/>
        <w:jc w:val="both"/>
        <w:rPr>
          <w:color w:val="auto"/>
          <w:highlight w:val="none"/>
          <w:u w:val="none" w:color="auto"/>
          <w:lang w:eastAsia="zh-CN"/>
        </w:rPr>
      </w:pPr>
      <w:r>
        <w:rPr>
          <w:color w:val="auto"/>
          <w:highlight w:val="none"/>
          <w:u w:val="none" w:color="auto"/>
          <w:lang w:eastAsia="zh-CN"/>
        </w:rPr>
        <w:t>3.1</w:t>
      </w:r>
      <w:r>
        <w:rPr>
          <w:rFonts w:hint="eastAsia"/>
          <w:color w:val="auto"/>
          <w:highlight w:val="none"/>
          <w:u w:val="none" w:color="auto"/>
          <w:lang w:eastAsia="zh"/>
        </w:rPr>
        <w:t>3</w:t>
      </w:r>
      <w:r>
        <w:rPr>
          <w:color w:val="auto"/>
          <w:highlight w:val="none"/>
          <w:u w:val="none" w:color="auto"/>
          <w:lang w:eastAsia="zh-CN"/>
        </w:rPr>
        <w:t xml:space="preserve"> 车库综合管线设计应考虑项目分期，便于后期施工且不影响先交付楼栋的使用。</w:t>
      </w:r>
    </w:p>
    <w:p w14:paraId="2E2D89E9">
      <w:pPr>
        <w:ind w:firstLine="369" w:firstLineChars="176"/>
        <w:jc w:val="both"/>
        <w:rPr>
          <w:color w:val="auto"/>
          <w:highlight w:val="none"/>
          <w:u w:val="none" w:color="auto"/>
          <w:lang w:eastAsia="zh-CN"/>
        </w:rPr>
      </w:pPr>
      <w:r>
        <w:rPr>
          <w:color w:val="auto"/>
          <w:highlight w:val="none"/>
          <w:u w:val="none" w:color="auto"/>
          <w:lang w:eastAsia="zh-CN"/>
        </w:rPr>
        <w:t>3.1</w:t>
      </w:r>
      <w:r>
        <w:rPr>
          <w:rFonts w:hint="eastAsia"/>
          <w:color w:val="auto"/>
          <w:highlight w:val="none"/>
          <w:u w:val="none" w:color="auto"/>
          <w:lang w:eastAsia="zh"/>
        </w:rPr>
        <w:t>4</w:t>
      </w:r>
      <w:r>
        <w:rPr>
          <w:color w:val="auto"/>
          <w:highlight w:val="none"/>
          <w:u w:val="none" w:color="auto"/>
          <w:lang w:eastAsia="zh-CN"/>
        </w:rPr>
        <w:t xml:space="preserve"> 在项目全周期，设计单位应与精装修设计单位紧密配合，完成相关设计及审图工作。</w:t>
      </w:r>
    </w:p>
    <w:p w14:paraId="17B24D36">
      <w:pPr>
        <w:pStyle w:val="22"/>
        <w:ind w:firstLine="480" w:firstLineChars="200"/>
        <w:rPr>
          <w:rFonts w:ascii="宋体" w:hAnsi="宋体" w:eastAsia="宋体"/>
          <w:color w:val="auto"/>
          <w:sz w:val="24"/>
          <w:highlight w:val="none"/>
          <w:u w:val="none" w:color="auto"/>
          <w:lang w:eastAsia="zh-CN"/>
        </w:rPr>
      </w:pPr>
      <w:r>
        <w:rPr>
          <w:rFonts w:ascii="宋体" w:hAnsi="宋体" w:eastAsia="宋体"/>
          <w:color w:val="auto"/>
          <w:sz w:val="24"/>
          <w:highlight w:val="none"/>
          <w:u w:val="none" w:color="auto"/>
          <w:lang w:eastAsia="zh-CN"/>
        </w:rPr>
        <w:t>3.1</w:t>
      </w:r>
      <w:r>
        <w:rPr>
          <w:rFonts w:hint="eastAsia" w:ascii="宋体" w:hAnsi="宋体" w:eastAsia="宋体"/>
          <w:color w:val="auto"/>
          <w:sz w:val="24"/>
          <w:highlight w:val="none"/>
          <w:u w:val="none" w:color="auto"/>
          <w:lang w:eastAsia="zh"/>
        </w:rPr>
        <w:t>5</w:t>
      </w:r>
      <w:r>
        <w:rPr>
          <w:rFonts w:ascii="宋体" w:hAnsi="宋体" w:eastAsia="宋体"/>
          <w:color w:val="auto"/>
          <w:sz w:val="24"/>
          <w:highlight w:val="none"/>
          <w:u w:val="none" w:color="auto"/>
          <w:lang w:eastAsia="zh-CN"/>
        </w:rPr>
        <w:t xml:space="preserve"> </w:t>
      </w:r>
      <w:r>
        <w:rPr>
          <w:rFonts w:hint="eastAsia" w:ascii="宋体" w:hAnsi="宋体" w:eastAsia="宋体"/>
          <w:color w:val="auto"/>
          <w:sz w:val="24"/>
          <w:highlight w:val="none"/>
          <w:u w:val="none" w:color="auto"/>
          <w:lang w:eastAsia="zh-CN"/>
        </w:rPr>
        <w:t>室外部分市政供暖管线不得穿越商业接入地库。</w:t>
      </w:r>
    </w:p>
    <w:p w14:paraId="1F28EF6D">
      <w:pPr>
        <w:pStyle w:val="22"/>
        <w:rPr>
          <w:rFonts w:hint="eastAsia" w:eastAsiaTheme="minorEastAsia"/>
          <w:color w:val="auto"/>
          <w:highlight w:val="none"/>
          <w:u w:val="none" w:color="auto"/>
          <w:lang w:eastAsia="zh-CN"/>
        </w:rPr>
      </w:pPr>
    </w:p>
    <w:p w14:paraId="7096E143">
      <w:pPr>
        <w:pStyle w:val="3"/>
        <w:ind w:firstLine="565" w:firstLineChars="176"/>
        <w:rPr>
          <w:color w:val="auto"/>
          <w:highlight w:val="none"/>
          <w:u w:val="none" w:color="auto"/>
          <w:lang w:eastAsia="zh-CN"/>
        </w:rPr>
      </w:pPr>
      <w:r>
        <w:rPr>
          <w:color w:val="auto"/>
          <w:highlight w:val="none"/>
          <w:u w:val="none" w:color="auto"/>
          <w:lang w:eastAsia="zh-CN"/>
        </w:rPr>
        <w:t>电气专业</w:t>
      </w:r>
    </w:p>
    <w:p w14:paraId="6F40D667">
      <w:pPr>
        <w:ind w:firstLine="369" w:firstLineChars="176"/>
        <w:rPr>
          <w:color w:val="auto"/>
          <w:highlight w:val="none"/>
          <w:u w:val="none" w:color="auto"/>
          <w:lang w:eastAsia="zh-CN"/>
        </w:rPr>
      </w:pPr>
      <w:r>
        <w:rPr>
          <w:color w:val="auto"/>
          <w:highlight w:val="none"/>
          <w:u w:val="none" w:color="auto"/>
          <w:lang w:eastAsia="zh-CN"/>
        </w:rPr>
        <w:t>一、强电部分</w:t>
      </w:r>
    </w:p>
    <w:p w14:paraId="7E50BE5E">
      <w:pPr>
        <w:ind w:firstLine="369" w:firstLineChars="176"/>
        <w:rPr>
          <w:color w:val="auto"/>
          <w:highlight w:val="none"/>
          <w:u w:val="none" w:color="auto"/>
          <w:lang w:eastAsia="zh-CN"/>
        </w:rPr>
      </w:pPr>
      <w:r>
        <w:rPr>
          <w:color w:val="auto"/>
          <w:highlight w:val="none"/>
          <w:u w:val="none" w:color="auto"/>
          <w:lang w:eastAsia="zh-CN"/>
        </w:rPr>
        <w:t>1.设计依据</w:t>
      </w:r>
    </w:p>
    <w:p w14:paraId="16EFDA21">
      <w:pPr>
        <w:ind w:firstLine="369" w:firstLineChars="176"/>
        <w:rPr>
          <w:color w:val="auto"/>
          <w:highlight w:val="none"/>
          <w:u w:val="none" w:color="auto"/>
          <w:lang w:eastAsia="zh-CN"/>
        </w:rPr>
      </w:pPr>
      <w:r>
        <w:rPr>
          <w:color w:val="auto"/>
          <w:highlight w:val="none"/>
          <w:u w:val="none" w:color="auto"/>
          <w:lang w:eastAsia="zh-CN"/>
        </w:rPr>
        <w:t>1.1 最新版国家及地方相关规范、规程、标准及规定.</w:t>
      </w:r>
    </w:p>
    <w:p w14:paraId="11BE8810">
      <w:pPr>
        <w:ind w:firstLine="369" w:firstLineChars="176"/>
        <w:rPr>
          <w:color w:val="auto"/>
          <w:highlight w:val="none"/>
          <w:u w:val="none" w:color="auto"/>
          <w:lang w:eastAsia="zh-CN"/>
        </w:rPr>
      </w:pPr>
      <w:r>
        <w:rPr>
          <w:color w:val="auto"/>
          <w:highlight w:val="none"/>
          <w:u w:val="none" w:color="auto"/>
          <w:lang w:eastAsia="zh-CN"/>
        </w:rPr>
        <w:t>1.2 建筑、机电、结构、精装、景观、幕墙等专业图纸</w:t>
      </w:r>
    </w:p>
    <w:p w14:paraId="7FAA8F32">
      <w:pPr>
        <w:ind w:firstLine="369" w:firstLineChars="176"/>
        <w:rPr>
          <w:color w:val="auto"/>
          <w:highlight w:val="none"/>
          <w:u w:val="none" w:color="auto"/>
          <w:lang w:eastAsia="zh-CN"/>
        </w:rPr>
      </w:pPr>
      <w:r>
        <w:rPr>
          <w:color w:val="auto"/>
          <w:highlight w:val="none"/>
          <w:u w:val="none" w:color="auto"/>
          <w:lang w:eastAsia="zh-CN"/>
        </w:rPr>
        <w:t>1.3 经甲方确认的其他设计输入条件.</w:t>
      </w:r>
    </w:p>
    <w:p w14:paraId="24F03038">
      <w:pPr>
        <w:ind w:firstLine="369" w:firstLineChars="176"/>
        <w:rPr>
          <w:color w:val="auto"/>
          <w:highlight w:val="none"/>
          <w:u w:val="none" w:color="auto"/>
          <w:lang w:eastAsia="zh-CN"/>
        </w:rPr>
      </w:pPr>
      <w:r>
        <w:rPr>
          <w:color w:val="auto"/>
          <w:highlight w:val="none"/>
          <w:u w:val="none" w:color="auto"/>
          <w:lang w:eastAsia="zh-CN"/>
        </w:rPr>
        <w:t>1.4 与甲方合作的其他设计单位提供的图纸、资料.</w:t>
      </w:r>
    </w:p>
    <w:p w14:paraId="62ACD09B">
      <w:pPr>
        <w:ind w:firstLine="369" w:firstLineChars="176"/>
        <w:rPr>
          <w:color w:val="auto"/>
          <w:highlight w:val="none"/>
          <w:u w:val="none" w:color="auto"/>
          <w:lang w:eastAsia="zh-CN"/>
        </w:rPr>
      </w:pPr>
      <w:r>
        <w:rPr>
          <w:color w:val="auto"/>
          <w:highlight w:val="none"/>
          <w:u w:val="none" w:color="auto"/>
          <w:lang w:eastAsia="zh-CN"/>
        </w:rPr>
        <w:t>2.设计范围</w:t>
      </w:r>
    </w:p>
    <w:p w14:paraId="406F867D">
      <w:pPr>
        <w:ind w:firstLine="369" w:firstLineChars="176"/>
        <w:rPr>
          <w:color w:val="auto"/>
          <w:highlight w:val="none"/>
          <w:u w:val="none" w:color="auto"/>
          <w:lang w:eastAsia="zh-CN"/>
        </w:rPr>
      </w:pPr>
      <w:r>
        <w:rPr>
          <w:color w:val="auto"/>
          <w:highlight w:val="none"/>
          <w:u w:val="none" w:color="auto"/>
          <w:lang w:eastAsia="zh-CN"/>
        </w:rPr>
        <w:t>2.1 包括但不限于：变、配电系统（含开闭所、公专变配电室、柴油发电机）；配电干线 系统；动力配电系统；照明系统；防雷接地；红线内小市政管线设计；火灾自动报警 及联动控制系统；</w:t>
      </w:r>
      <w:r>
        <w:rPr>
          <w:color w:val="auto"/>
          <w:highlight w:val="yellow"/>
          <w:u w:val="none" w:color="auto"/>
          <w:lang w:eastAsia="zh-CN"/>
        </w:rPr>
        <w:t>屋面</w:t>
      </w:r>
      <w:r>
        <w:rPr>
          <w:rFonts w:hint="eastAsia"/>
          <w:color w:val="auto"/>
          <w:highlight w:val="yellow"/>
          <w:u w:val="none" w:color="auto"/>
          <w:lang w:eastAsia="zh"/>
        </w:rPr>
        <w:t>一体化</w:t>
      </w:r>
      <w:r>
        <w:rPr>
          <w:color w:val="auto"/>
          <w:highlight w:val="yellow"/>
          <w:u w:val="none" w:color="auto"/>
          <w:lang w:eastAsia="zh-CN"/>
        </w:rPr>
        <w:t>光伏设计。</w:t>
      </w:r>
    </w:p>
    <w:p w14:paraId="101C06B1">
      <w:pPr>
        <w:ind w:firstLine="369" w:firstLineChars="176"/>
        <w:rPr>
          <w:color w:val="auto"/>
          <w:highlight w:val="none"/>
          <w:u w:val="none" w:color="auto"/>
          <w:lang w:eastAsia="zh-CN"/>
        </w:rPr>
      </w:pPr>
      <w:r>
        <w:rPr>
          <w:color w:val="auto"/>
          <w:highlight w:val="none"/>
          <w:u w:val="none" w:color="auto"/>
          <w:lang w:eastAsia="zh-CN"/>
        </w:rPr>
        <w:t>2.2 如室外建筑夜景照明设计甲方另行委托，应按照夜景照明设计要求预留电源。</w:t>
      </w:r>
    </w:p>
    <w:p w14:paraId="0029FB28">
      <w:pPr>
        <w:ind w:firstLine="369" w:firstLineChars="176"/>
        <w:rPr>
          <w:color w:val="auto"/>
          <w:highlight w:val="none"/>
          <w:u w:val="none" w:color="auto"/>
          <w:lang w:eastAsia="zh-CN"/>
        </w:rPr>
      </w:pPr>
      <w:r>
        <w:rPr>
          <w:color w:val="auto"/>
          <w:highlight w:val="none"/>
          <w:u w:val="none" w:color="auto"/>
          <w:lang w:eastAsia="zh-CN"/>
        </w:rPr>
        <w:t>2.3 如室外景观环境配电设计甲方另行委托，应按照室外景观环境配电设计要求预留电源。</w:t>
      </w:r>
    </w:p>
    <w:p w14:paraId="14367518">
      <w:pPr>
        <w:ind w:firstLine="369" w:firstLineChars="176"/>
        <w:rPr>
          <w:color w:val="auto"/>
          <w:highlight w:val="none"/>
          <w:u w:val="none" w:color="auto"/>
          <w:lang w:eastAsia="zh-CN"/>
        </w:rPr>
      </w:pPr>
      <w:r>
        <w:rPr>
          <w:color w:val="auto"/>
          <w:highlight w:val="none"/>
          <w:u w:val="none" w:color="auto"/>
          <w:lang w:eastAsia="zh-CN"/>
        </w:rPr>
        <w:t>2.4 精装修项目，需根据精装二次设计，绘制精装土建配合图纸，包括配电、照明、控制 图纸。</w:t>
      </w:r>
    </w:p>
    <w:p w14:paraId="4F36A4F1">
      <w:pPr>
        <w:ind w:firstLine="369" w:firstLineChars="176"/>
        <w:rPr>
          <w:color w:val="auto"/>
          <w:highlight w:val="none"/>
          <w:u w:val="none" w:color="auto"/>
          <w:lang w:eastAsia="zh-CN"/>
        </w:rPr>
      </w:pPr>
      <w:r>
        <w:rPr>
          <w:color w:val="auto"/>
          <w:highlight w:val="none"/>
          <w:u w:val="none" w:color="auto"/>
          <w:lang w:eastAsia="zh-CN"/>
        </w:rPr>
        <w:t>3.设计要求</w:t>
      </w:r>
    </w:p>
    <w:p w14:paraId="678996BB">
      <w:pPr>
        <w:ind w:firstLine="369" w:firstLineChars="176"/>
        <w:rPr>
          <w:color w:val="auto"/>
          <w:highlight w:val="none"/>
          <w:u w:val="none" w:color="auto"/>
          <w:lang w:eastAsia="zh-CN"/>
        </w:rPr>
      </w:pPr>
      <w:r>
        <w:rPr>
          <w:color w:val="auto"/>
          <w:highlight w:val="none"/>
          <w:u w:val="none" w:color="auto"/>
          <w:lang w:eastAsia="zh-CN"/>
        </w:rPr>
        <w:t>3.1 设计深度及制图要求（包括但不限于下述内容）：</w:t>
      </w:r>
    </w:p>
    <w:p w14:paraId="0E6C3479">
      <w:pPr>
        <w:ind w:firstLine="369" w:firstLineChars="176"/>
        <w:rPr>
          <w:color w:val="auto"/>
          <w:highlight w:val="none"/>
          <w:u w:val="none" w:color="auto"/>
          <w:lang w:eastAsia="zh-CN"/>
        </w:rPr>
      </w:pPr>
      <w:r>
        <w:rPr>
          <w:color w:val="auto"/>
          <w:highlight w:val="none"/>
          <w:u w:val="none" w:color="auto"/>
          <w:lang w:eastAsia="zh-CN"/>
        </w:rPr>
        <w:t>3.1.1 设计应符合《建筑工程设计文件编制深度的规定》2016 年版。</w:t>
      </w:r>
    </w:p>
    <w:p w14:paraId="47E581F8">
      <w:pPr>
        <w:ind w:firstLine="369" w:firstLineChars="176"/>
        <w:jc w:val="both"/>
        <w:rPr>
          <w:color w:val="auto"/>
          <w:highlight w:val="none"/>
          <w:u w:val="none" w:color="auto"/>
          <w:lang w:eastAsia="zh-CN"/>
        </w:rPr>
      </w:pPr>
      <w:r>
        <w:rPr>
          <w:color w:val="auto"/>
          <w:highlight w:val="none"/>
          <w:u w:val="none" w:color="auto"/>
          <w:lang w:eastAsia="zh-CN"/>
        </w:rPr>
        <w:t>3.1.2 设计成果包括但不限于：设计说明、计算书（负荷计算、防雷计算、照度计算、柴 发容量计算）；高压系统图、低压系统图、竖向干线系统图、配电箱系统图；变配电 室平、立、剖面图，管井大样图（平、剖面）；动力平面图、照明插座平面图、消防 平面图、防雷接地平面图。</w:t>
      </w:r>
    </w:p>
    <w:p w14:paraId="48CD5688">
      <w:pPr>
        <w:ind w:firstLine="369" w:firstLineChars="176"/>
        <w:jc w:val="both"/>
        <w:rPr>
          <w:color w:val="auto"/>
          <w:highlight w:val="none"/>
          <w:u w:val="none" w:color="auto"/>
          <w:lang w:eastAsia="zh-CN"/>
        </w:rPr>
      </w:pPr>
      <w:r>
        <w:rPr>
          <w:color w:val="auto"/>
          <w:highlight w:val="none"/>
          <w:u w:val="none" w:color="auto"/>
          <w:lang w:eastAsia="zh-CN"/>
        </w:rPr>
        <w:t>3.1.3 每套图应有设计说明（不得采用通用设计说明）设计说明中建筑概况描述应完整， 应包括单体建筑面积、地下、地上层数、建筑高度、住宅开闭站、配变电所、柴油发 电机房、配电间位置及变配电所、柴油发电机的供电范围（即本建筑由几号变配电室 供电）。</w:t>
      </w:r>
    </w:p>
    <w:p w14:paraId="1A0B6E3A">
      <w:pPr>
        <w:ind w:firstLine="369" w:firstLineChars="176"/>
        <w:jc w:val="both"/>
        <w:rPr>
          <w:color w:val="auto"/>
          <w:highlight w:val="none"/>
          <w:u w:val="none" w:color="auto"/>
          <w:lang w:eastAsia="zh-CN"/>
        </w:rPr>
      </w:pPr>
      <w:r>
        <w:rPr>
          <w:color w:val="auto"/>
          <w:highlight w:val="none"/>
          <w:u w:val="none" w:color="auto"/>
          <w:lang w:eastAsia="zh-CN"/>
        </w:rPr>
        <w:t>3.1.4 设计说明中要列出各用电的负荷等级和本建筑的总用电量。</w:t>
      </w:r>
    </w:p>
    <w:p w14:paraId="5C68C919">
      <w:pPr>
        <w:ind w:firstLine="369" w:firstLineChars="176"/>
        <w:jc w:val="both"/>
        <w:rPr>
          <w:color w:val="auto"/>
          <w:highlight w:val="none"/>
          <w:u w:val="none" w:color="auto"/>
          <w:lang w:eastAsia="zh-CN"/>
        </w:rPr>
      </w:pPr>
      <w:r>
        <w:rPr>
          <w:color w:val="auto"/>
          <w:highlight w:val="none"/>
          <w:u w:val="none" w:color="auto"/>
          <w:lang w:eastAsia="zh-CN"/>
        </w:rPr>
        <w:t>3.1.5 开闭站、变电所、配电室设计深度（当地供电部门负责的项目除外）：</w:t>
      </w:r>
    </w:p>
    <w:p w14:paraId="1E92857E">
      <w:pPr>
        <w:ind w:firstLine="369" w:firstLineChars="176"/>
        <w:jc w:val="both"/>
        <w:rPr>
          <w:color w:val="auto"/>
          <w:highlight w:val="none"/>
          <w:u w:val="none" w:color="auto"/>
          <w:lang w:eastAsia="zh-CN"/>
        </w:rPr>
      </w:pPr>
      <w:r>
        <w:rPr>
          <w:color w:val="auto"/>
          <w:highlight w:val="none"/>
          <w:u w:val="none" w:color="auto"/>
          <w:lang w:eastAsia="zh-CN"/>
        </w:rPr>
        <w:t>◆高压（10kV、20KV、35kV）供电系统设计应符合当地供电部门要求。</w:t>
      </w:r>
    </w:p>
    <w:p w14:paraId="406ADAA9">
      <w:pPr>
        <w:ind w:firstLine="369" w:firstLineChars="176"/>
        <w:jc w:val="both"/>
        <w:rPr>
          <w:color w:val="auto"/>
          <w:highlight w:val="none"/>
          <w:u w:val="none" w:color="auto"/>
          <w:lang w:eastAsia="zh-CN"/>
        </w:rPr>
      </w:pPr>
      <w:r>
        <w:rPr>
          <w:color w:val="auto"/>
          <w:highlight w:val="none"/>
          <w:u w:val="none" w:color="auto"/>
          <w:lang w:eastAsia="zh-CN"/>
        </w:rPr>
        <w:t>◆应含开闭所、变电所、公专配电室高低压配电系统图、平面布置图、剖面图、电缆沟布 置、局部详图等。</w:t>
      </w:r>
    </w:p>
    <w:p w14:paraId="5A689301">
      <w:pPr>
        <w:ind w:firstLine="369" w:firstLineChars="176"/>
        <w:jc w:val="both"/>
        <w:rPr>
          <w:color w:val="auto"/>
          <w:highlight w:val="none"/>
          <w:u w:val="none" w:color="auto"/>
          <w:lang w:eastAsia="zh-CN"/>
        </w:rPr>
      </w:pPr>
      <w:r>
        <w:rPr>
          <w:color w:val="auto"/>
          <w:highlight w:val="none"/>
          <w:u w:val="none" w:color="auto"/>
          <w:lang w:eastAsia="zh-CN"/>
        </w:rPr>
        <w:t>◆由开闭站引至各变配电室及由变配电室引至各单体的高低压线路应尽量穿电缆桥架在 地下室敷设。应给出电缆桥架的路由、规格及电缆型号规格。</w:t>
      </w:r>
    </w:p>
    <w:p w14:paraId="7F504BA8">
      <w:pPr>
        <w:ind w:firstLine="369" w:firstLineChars="176"/>
        <w:jc w:val="both"/>
        <w:rPr>
          <w:color w:val="auto"/>
          <w:highlight w:val="none"/>
          <w:u w:val="none" w:color="auto"/>
          <w:lang w:eastAsia="zh-CN"/>
        </w:rPr>
      </w:pPr>
      <w:r>
        <w:rPr>
          <w:color w:val="auto"/>
          <w:highlight w:val="none"/>
          <w:u w:val="none" w:color="auto"/>
          <w:lang w:eastAsia="zh-CN"/>
        </w:rPr>
        <w:t>◆当开闭站、变配电室需专项设计时，设计院应按当地要求布置开闭站、变配电室的位置 和数量， 相关的变配电系统要求设计到位。</w:t>
      </w:r>
    </w:p>
    <w:p w14:paraId="3940E6AD">
      <w:pPr>
        <w:ind w:firstLine="369" w:firstLineChars="176"/>
        <w:jc w:val="both"/>
        <w:rPr>
          <w:color w:val="auto"/>
          <w:highlight w:val="none"/>
          <w:u w:val="none" w:color="auto"/>
          <w:lang w:eastAsia="zh-CN"/>
        </w:rPr>
      </w:pPr>
      <w:r>
        <w:rPr>
          <w:color w:val="auto"/>
          <w:highlight w:val="none"/>
          <w:u w:val="none" w:color="auto"/>
          <w:lang w:eastAsia="zh-CN"/>
        </w:rPr>
        <w:t>3.1.6 单体内低压配电系统应含干线系统图、低压配电系统图，平面布置图、局部详图等。 例如电气竖井、楼层配电间设备布置安装详图；另外待二次装修电气设计完成后，应 对配电系统进行核实并配合装修需求对配电系统进行相应的设计调整。</w:t>
      </w:r>
    </w:p>
    <w:p w14:paraId="69C0A1DE">
      <w:pPr>
        <w:ind w:firstLine="369" w:firstLineChars="176"/>
        <w:jc w:val="both"/>
        <w:rPr>
          <w:color w:val="auto"/>
          <w:highlight w:val="none"/>
          <w:u w:val="none" w:color="auto"/>
          <w:lang w:eastAsia="zh-CN"/>
        </w:rPr>
      </w:pPr>
      <w:r>
        <w:rPr>
          <w:color w:val="auto"/>
          <w:highlight w:val="none"/>
          <w:u w:val="none" w:color="auto"/>
          <w:lang w:eastAsia="zh-CN"/>
        </w:rPr>
        <w:t>3.1.7 施工图应包含地下室管线综合图。</w:t>
      </w:r>
    </w:p>
    <w:p w14:paraId="7762A026">
      <w:pPr>
        <w:ind w:firstLine="369" w:firstLineChars="176"/>
        <w:jc w:val="both"/>
        <w:rPr>
          <w:color w:val="auto"/>
          <w:highlight w:val="none"/>
          <w:u w:val="none" w:color="auto"/>
          <w:lang w:eastAsia="zh-CN"/>
        </w:rPr>
      </w:pPr>
      <w:r>
        <w:rPr>
          <w:color w:val="auto"/>
          <w:highlight w:val="none"/>
          <w:u w:val="none" w:color="auto"/>
          <w:lang w:eastAsia="zh-CN"/>
        </w:rPr>
        <w:t>3.1.8 末端配电系统应详细注明用途和容量。</w:t>
      </w:r>
    </w:p>
    <w:p w14:paraId="018B98D6">
      <w:pPr>
        <w:ind w:firstLine="369" w:firstLineChars="176"/>
        <w:rPr>
          <w:color w:val="auto"/>
          <w:highlight w:val="none"/>
          <w:u w:val="none" w:color="auto"/>
          <w:lang w:eastAsia="zh-CN"/>
        </w:rPr>
      </w:pPr>
      <w:r>
        <w:rPr>
          <w:color w:val="auto"/>
          <w:highlight w:val="none"/>
          <w:u w:val="none" w:color="auto"/>
          <w:lang w:eastAsia="zh-CN"/>
        </w:rPr>
        <w:t>3.1.9 配电箱、柜系统图中应提供外形参考尺寸（mm）、安装方式（明装或暗装）及高度。嵌墙暗装的配电箱应提供土建专业预留洞口尺寸。</w:t>
      </w:r>
    </w:p>
    <w:p w14:paraId="56E435D7">
      <w:pPr>
        <w:ind w:firstLine="369" w:firstLineChars="176"/>
        <w:rPr>
          <w:color w:val="auto"/>
          <w:highlight w:val="none"/>
          <w:u w:val="none" w:color="auto"/>
          <w:lang w:eastAsia="zh-CN"/>
        </w:rPr>
      </w:pPr>
      <w:r>
        <w:rPr>
          <w:color w:val="auto"/>
          <w:highlight w:val="none"/>
          <w:u w:val="none" w:color="auto"/>
          <w:lang w:eastAsia="zh-CN"/>
        </w:rPr>
        <w:t>3.1.10 应注明设备规格、型号、性能等技术参数与数量，但不得指定制造商和供应商， 不得使用淘汰产品。</w:t>
      </w:r>
    </w:p>
    <w:p w14:paraId="64B86291">
      <w:pPr>
        <w:ind w:firstLine="369" w:firstLineChars="176"/>
        <w:rPr>
          <w:color w:val="auto"/>
          <w:highlight w:val="none"/>
          <w:u w:val="none" w:color="auto"/>
          <w:lang w:eastAsia="zh-CN"/>
        </w:rPr>
      </w:pPr>
      <w:r>
        <w:rPr>
          <w:color w:val="auto"/>
          <w:highlight w:val="none"/>
          <w:u w:val="none" w:color="auto"/>
          <w:lang w:eastAsia="zh-CN"/>
        </w:rPr>
        <w:t>3.1.11  0.4kV 配电系统中，凡电动操作的断路器，设计中需注明“电动操作”（或以带 说明的符号来表示）；未加注明者均视为手动操作；凡是需要火灾时切断电源的回路 断路器应注明“分励脱扣”。</w:t>
      </w:r>
    </w:p>
    <w:p w14:paraId="48F13D95">
      <w:pPr>
        <w:ind w:firstLine="369" w:firstLineChars="176"/>
        <w:rPr>
          <w:color w:val="auto"/>
          <w:highlight w:val="none"/>
          <w:u w:val="none" w:color="auto"/>
          <w:lang w:eastAsia="zh-CN"/>
        </w:rPr>
      </w:pPr>
      <w:r>
        <w:rPr>
          <w:color w:val="auto"/>
          <w:highlight w:val="none"/>
          <w:u w:val="none" w:color="auto"/>
          <w:lang w:eastAsia="zh-CN"/>
        </w:rPr>
        <w:t>3.1.12 设计中应详细给出断路器等配电柜、箱内主要元器件的主要技术参数及相关整定 值，明确变压器、发电机组或其他应急电源设备主要技术参数；明确高、低压配电柜 母排等主要技术参数。对在设计中有连锁等方面控制要求的设备，应提供设计要求。</w:t>
      </w:r>
    </w:p>
    <w:p w14:paraId="3EDFA573">
      <w:pPr>
        <w:ind w:firstLine="369" w:firstLineChars="176"/>
        <w:rPr>
          <w:color w:val="auto"/>
          <w:highlight w:val="none"/>
          <w:u w:val="none" w:color="auto"/>
          <w:lang w:eastAsia="zh-CN"/>
        </w:rPr>
      </w:pPr>
      <w:r>
        <w:rPr>
          <w:color w:val="auto"/>
          <w:highlight w:val="none"/>
          <w:u w:val="none" w:color="auto"/>
          <w:lang w:eastAsia="zh-CN"/>
        </w:rPr>
        <w:t>3.2 供配电系统</w:t>
      </w:r>
    </w:p>
    <w:p w14:paraId="56FA8A02">
      <w:pPr>
        <w:ind w:firstLine="369" w:firstLineChars="176"/>
        <w:rPr>
          <w:color w:val="auto"/>
          <w:highlight w:val="none"/>
          <w:u w:val="none" w:color="auto"/>
          <w:lang w:eastAsia="zh-CN"/>
        </w:rPr>
      </w:pPr>
      <w:r>
        <w:rPr>
          <w:color w:val="auto"/>
          <w:highlight w:val="none"/>
          <w:u w:val="none" w:color="auto"/>
          <w:lang w:eastAsia="zh-CN"/>
        </w:rPr>
        <w:t>3.2.1 设计说明中对所设计单体用电负荷内容及负荷等级进行明确划分；3.2.2 电源：</w:t>
      </w:r>
    </w:p>
    <w:p w14:paraId="3198950C">
      <w:pPr>
        <w:ind w:firstLine="369" w:firstLineChars="176"/>
        <w:rPr>
          <w:color w:val="auto"/>
          <w:highlight w:val="none"/>
          <w:u w:val="none" w:color="auto"/>
          <w:lang w:eastAsia="zh-CN"/>
        </w:rPr>
      </w:pPr>
      <w:r>
        <w:rPr>
          <w:color w:val="auto"/>
          <w:highlight w:val="none"/>
          <w:u w:val="none" w:color="auto"/>
          <w:lang w:eastAsia="zh-CN"/>
        </w:rPr>
        <w:t>◆结合各单体平面在地下车库布置变配电所及发电机房。</w:t>
      </w:r>
    </w:p>
    <w:p w14:paraId="2E29954D">
      <w:pPr>
        <w:ind w:firstLine="369" w:firstLineChars="176"/>
        <w:rPr>
          <w:color w:val="auto"/>
          <w:highlight w:val="none"/>
          <w:u w:val="none" w:color="auto"/>
          <w:lang w:eastAsia="zh-CN"/>
        </w:rPr>
      </w:pPr>
      <w:r>
        <w:rPr>
          <w:color w:val="auto"/>
          <w:highlight w:val="none"/>
          <w:u w:val="none" w:color="auto"/>
          <w:lang w:eastAsia="zh-CN"/>
        </w:rPr>
        <w:t>◆消防及应急用电的后备电源暂定按设置发电机组考虑，发电机应附容量选型计算书。发 电机容量按日常停电和火警两种状况区分计算负荷，取较大者作为发电机容量选择依据。</w:t>
      </w:r>
    </w:p>
    <w:p w14:paraId="6CDF3A13">
      <w:pPr>
        <w:ind w:firstLine="369" w:firstLineChars="176"/>
        <w:rPr>
          <w:color w:val="auto"/>
          <w:highlight w:val="none"/>
          <w:u w:val="none" w:color="auto"/>
          <w:lang w:eastAsia="zh-CN"/>
        </w:rPr>
      </w:pPr>
      <w:r>
        <w:rPr>
          <w:color w:val="auto"/>
          <w:highlight w:val="none"/>
          <w:u w:val="none" w:color="auto"/>
          <w:lang w:eastAsia="zh-CN"/>
        </w:rPr>
        <w:t>◆发电机房送排风设施设计完整，管道、井道、地面进排风口布置合理，应满足以下要求： ①按发电机容量对应重量、尺寸设计安装基座；②机房进出风口留洞准确无遗漏；③ 室外进排风口应避免同向等高相邻；④排风口与最近住宅间距建议不小于 12 米，朝向 尽量避免正对相近住户，并禁止在地面排烟口正面方向 3 米内布置通道和活动场所； ⑤机房设储油间，按应急要求配置不小于 8 小时储油设施；⑥储油设施应在室外留卸 爆口、加油管等；⑦发电机房须考虑设置带蓄电池应急灯具。</w:t>
      </w:r>
    </w:p>
    <w:p w14:paraId="61C8848B">
      <w:pPr>
        <w:ind w:firstLine="369" w:firstLineChars="176"/>
        <w:rPr>
          <w:color w:val="auto"/>
          <w:highlight w:val="none"/>
          <w:u w:val="none" w:color="auto"/>
          <w:lang w:eastAsia="zh-CN"/>
        </w:rPr>
      </w:pPr>
      <w:r>
        <w:rPr>
          <w:color w:val="auto"/>
          <w:highlight w:val="none"/>
          <w:u w:val="none" w:color="auto"/>
          <w:lang w:eastAsia="zh-CN"/>
        </w:rPr>
        <w:t>◆变配电所：①计量采用高供低计，住宅照明、动力区分计量，建议变电所单设专用计量 柜，低压柜带计量回路电流互感器数量宜为三只；②变电所内线缆地沟采用双沟形式， 高、低压柜均预留一定后期设备增加的安装位置；③配电柜布置紧凑合理，安装尺寸 标注详尽，并与土建图纸对应无误；④高低压供电系统图中馈电回路容量、用途、计 算电流、元器件规格、线缆及配电柜体编号、尺寸标注应详尽准确，回路编号与总图、 单体建筑用电进线对应无误；⑤变配电所及室外总图中电缆沟、电缆支架应明确做法； ⑥母线、桥架、沟道、发电机进排风口及进出线缆预留套管穿越墙、梁等处，留洞和 套管的标高、尺寸、位置与土建图纸对应无误；⑦变电所低压出线穿墙套管在实用根 数上预留备用根数不少于 3 根</w:t>
      </w:r>
      <w:r>
        <w:rPr>
          <w:color w:val="auto"/>
          <w:highlight w:val="none"/>
          <w:u w:val="none" w:color="auto"/>
        </w:rPr>
        <w:t>Φ</w:t>
      </w:r>
      <w:r>
        <w:rPr>
          <w:color w:val="auto"/>
          <w:highlight w:val="none"/>
          <w:u w:val="none" w:color="auto"/>
          <w:lang w:eastAsia="zh-CN"/>
        </w:rPr>
        <w:t>100，高压进线套管预留管预留按供电局要求预留；⑧ 线缆出墙单处出口套管数量不宜超过 15 根，沿墙电缆采用竖向桥架敷设；⑨变电所应 保证配电柜检修插座数量、位置合理，柜后检修空间需考虑事故应急照明，并考虑照 度需求；⑩变电所预留值班空间，送排风机在所内应能就地控制起停。</w:t>
      </w:r>
    </w:p>
    <w:p w14:paraId="4304B1EC">
      <w:pPr>
        <w:ind w:firstLine="369" w:firstLineChars="176"/>
        <w:rPr>
          <w:color w:val="auto"/>
          <w:highlight w:val="none"/>
          <w:u w:val="none" w:color="auto"/>
          <w:lang w:eastAsia="zh-CN"/>
        </w:rPr>
      </w:pPr>
      <w:r>
        <w:rPr>
          <w:color w:val="auto"/>
          <w:highlight w:val="none"/>
          <w:u w:val="none" w:color="auto"/>
          <w:lang w:eastAsia="zh-CN"/>
        </w:rPr>
        <w:t>◆单体建筑：①地下室或首层电力平面图纸应标明外接电源出处和回路编号、入口套管标高位置、线缆型号规格和室内、外的安装敷设方式，相应内容与变配电所出线对应无 误；②人防电缆入口防爆波井做法应详尽；③穿越人防密闭墙管线按人防规定做密闭 处理，各处位置在图纸中明确标示。</w:t>
      </w:r>
    </w:p>
    <w:p w14:paraId="6B1CF4AF">
      <w:pPr>
        <w:ind w:firstLine="369" w:firstLineChars="176"/>
        <w:rPr>
          <w:color w:val="auto"/>
          <w:highlight w:val="none"/>
          <w:u w:val="none" w:color="auto"/>
          <w:lang w:eastAsia="zh-CN"/>
        </w:rPr>
      </w:pPr>
      <w:r>
        <w:rPr>
          <w:color w:val="auto"/>
          <w:highlight w:val="none"/>
          <w:u w:val="none" w:color="auto"/>
          <w:lang w:eastAsia="zh-CN"/>
        </w:rPr>
        <w:t>3.2.3 单体建筑低压计量：</w:t>
      </w:r>
    </w:p>
    <w:p w14:paraId="076AFD8C">
      <w:pPr>
        <w:ind w:firstLine="369" w:firstLineChars="176"/>
        <w:rPr>
          <w:color w:val="auto"/>
          <w:highlight w:val="none"/>
          <w:u w:val="none" w:color="auto"/>
          <w:lang w:eastAsia="zh-CN"/>
        </w:rPr>
      </w:pPr>
      <w:r>
        <w:rPr>
          <w:color w:val="auto"/>
          <w:highlight w:val="none"/>
          <w:u w:val="none" w:color="auto"/>
          <w:lang w:eastAsia="zh-CN"/>
        </w:rPr>
        <w:t>◆居民用电、公共照明、动力用电分别进线、计量；</w:t>
      </w:r>
    </w:p>
    <w:p w14:paraId="3EDC7B56">
      <w:pPr>
        <w:ind w:firstLine="369" w:firstLineChars="176"/>
        <w:rPr>
          <w:color w:val="auto"/>
          <w:highlight w:val="none"/>
          <w:u w:val="none" w:color="auto"/>
          <w:lang w:eastAsia="zh-CN"/>
        </w:rPr>
      </w:pPr>
      <w:r>
        <w:rPr>
          <w:color w:val="auto"/>
          <w:highlight w:val="none"/>
          <w:u w:val="none" w:color="auto"/>
          <w:lang w:eastAsia="zh-CN"/>
        </w:rPr>
        <w:t>◆电梯用电需考虑单独进线、计量；</w:t>
      </w:r>
    </w:p>
    <w:p w14:paraId="6BEC4240">
      <w:pPr>
        <w:ind w:firstLine="369" w:firstLineChars="176"/>
        <w:rPr>
          <w:color w:val="auto"/>
          <w:highlight w:val="none"/>
          <w:u w:val="none" w:color="auto"/>
          <w:lang w:eastAsia="zh-CN"/>
        </w:rPr>
      </w:pPr>
      <w:r>
        <w:rPr>
          <w:color w:val="auto"/>
          <w:highlight w:val="none"/>
          <w:u w:val="none" w:color="auto"/>
          <w:lang w:eastAsia="zh-CN"/>
        </w:rPr>
        <w:t>◆住宅按一户一表，采用预付费电表计量，电表箱在公共走道部位安装，尽量避免设置在 业主家门口；</w:t>
      </w:r>
    </w:p>
    <w:p w14:paraId="7117416B">
      <w:pPr>
        <w:ind w:firstLine="369" w:firstLineChars="176"/>
        <w:rPr>
          <w:color w:val="auto"/>
          <w:highlight w:val="none"/>
          <w:u w:val="none" w:color="auto"/>
          <w:lang w:eastAsia="zh-CN"/>
        </w:rPr>
      </w:pPr>
      <w:r>
        <w:rPr>
          <w:color w:val="auto"/>
          <w:highlight w:val="none"/>
          <w:u w:val="none" w:color="auto"/>
          <w:lang w:eastAsia="zh-CN"/>
        </w:rPr>
        <w:t>◆商铺或公共配套用房应考虑用电计量，一户一表（商铺考虑三相预付费电表），电表箱 应考虑在公共部位或电井安装。</w:t>
      </w:r>
    </w:p>
    <w:p w14:paraId="3B49CECC">
      <w:pPr>
        <w:ind w:firstLine="369" w:firstLineChars="176"/>
        <w:rPr>
          <w:color w:val="auto"/>
          <w:highlight w:val="none"/>
          <w:u w:val="none" w:color="auto"/>
          <w:lang w:eastAsia="zh-CN"/>
        </w:rPr>
      </w:pPr>
      <w:r>
        <w:rPr>
          <w:color w:val="auto"/>
          <w:highlight w:val="none"/>
          <w:u w:val="none" w:color="auto"/>
          <w:lang w:eastAsia="zh-CN"/>
        </w:rPr>
        <w:t>3.2.4 负荷计算：</w:t>
      </w:r>
    </w:p>
    <w:p w14:paraId="1596F2CF">
      <w:pPr>
        <w:ind w:firstLine="369" w:firstLineChars="176"/>
        <w:rPr>
          <w:color w:val="auto"/>
          <w:highlight w:val="none"/>
          <w:u w:val="none" w:color="auto"/>
          <w:lang w:eastAsia="zh-CN"/>
        </w:rPr>
      </w:pPr>
      <w:r>
        <w:rPr>
          <w:color w:val="auto"/>
          <w:highlight w:val="none"/>
          <w:u w:val="none" w:color="auto"/>
          <w:lang w:eastAsia="zh-CN"/>
        </w:rPr>
        <w:t>◆按规范和其它专业用电设备资料出详细负荷计算书（含变配电所变压器选择计算表和单 体建筑负荷计算书），计算系数取值不超过《全国民用建筑工程设计技术措施》（电 气）相关章节通用值。</w:t>
      </w:r>
    </w:p>
    <w:p w14:paraId="2D046256">
      <w:pPr>
        <w:ind w:firstLine="369" w:firstLineChars="176"/>
        <w:rPr>
          <w:color w:val="auto"/>
          <w:highlight w:val="none"/>
          <w:u w:val="none" w:color="auto"/>
          <w:lang w:eastAsia="zh-CN"/>
        </w:rPr>
      </w:pPr>
      <w:r>
        <w:rPr>
          <w:color w:val="auto"/>
          <w:highlight w:val="none"/>
          <w:u w:val="none" w:color="auto"/>
          <w:lang w:eastAsia="zh-CN"/>
        </w:rPr>
        <w:t>◆用电容量：①每套住宅的用电负荷和电能计量表的选择按《居民住宅小区电力配置规范》</w:t>
      </w:r>
    </w:p>
    <w:p w14:paraId="40A5ACBF">
      <w:pPr>
        <w:ind w:firstLine="369" w:firstLineChars="176"/>
        <w:rPr>
          <w:color w:val="auto"/>
          <w:highlight w:val="none"/>
          <w:u w:val="none" w:color="auto"/>
          <w:lang w:eastAsia="zh-CN"/>
        </w:rPr>
      </w:pPr>
      <w:r>
        <w:rPr>
          <w:color w:val="auto"/>
          <w:highlight w:val="none"/>
          <w:u w:val="none" w:color="auto"/>
          <w:lang w:eastAsia="zh-CN"/>
        </w:rPr>
        <w:t>6.2 条执行；②小型商业铺面按三相供电， 按楼区域设配电总箱， 总电源由变电所 独立引回路。各商户结合空调形式预留用电容量， 商铺用电负荷指标不做餐饮时， 按不小于 100W/m2 考虑，做餐饮时，按不小于 300 W/m2，。</w:t>
      </w:r>
    </w:p>
    <w:p w14:paraId="631C0E53">
      <w:pPr>
        <w:ind w:firstLine="369" w:firstLineChars="176"/>
        <w:rPr>
          <w:color w:val="auto"/>
          <w:highlight w:val="none"/>
          <w:u w:val="none" w:color="auto"/>
          <w:lang w:eastAsia="zh-CN"/>
        </w:rPr>
      </w:pPr>
      <w:r>
        <w:rPr>
          <w:color w:val="auto"/>
          <w:highlight w:val="none"/>
          <w:u w:val="none" w:color="auto"/>
          <w:lang w:eastAsia="zh-CN"/>
        </w:rPr>
        <w:t>◆断路器、线缆及其它电气测量、保护设备的选用应与负荷计算书计算结果内容匹配 对应。</w:t>
      </w:r>
    </w:p>
    <w:p w14:paraId="3B507992">
      <w:pPr>
        <w:ind w:firstLine="369" w:firstLineChars="176"/>
        <w:rPr>
          <w:color w:val="auto"/>
          <w:highlight w:val="none"/>
          <w:u w:val="none" w:color="auto"/>
          <w:lang w:eastAsia="zh-CN"/>
        </w:rPr>
      </w:pPr>
      <w:r>
        <w:rPr>
          <w:color w:val="auto"/>
          <w:highlight w:val="none"/>
          <w:u w:val="none" w:color="auto"/>
          <w:lang w:eastAsia="zh-CN"/>
        </w:rPr>
        <w:t>3.2.5 建筑单体供配电系统：</w:t>
      </w:r>
    </w:p>
    <w:p w14:paraId="4CCA2E64">
      <w:pPr>
        <w:ind w:firstLine="369" w:firstLineChars="176"/>
        <w:rPr>
          <w:color w:val="auto"/>
          <w:highlight w:val="none"/>
          <w:u w:val="none" w:color="auto"/>
          <w:lang w:eastAsia="zh-CN"/>
        </w:rPr>
      </w:pPr>
      <w:r>
        <w:rPr>
          <w:color w:val="auto"/>
          <w:highlight w:val="none"/>
          <w:u w:val="none" w:color="auto"/>
          <w:lang w:eastAsia="zh-CN"/>
        </w:rPr>
        <w:t>◆在满足现有规范要求的前提下，单元主要竖向干线系统采用单芯</w:t>
      </w:r>
      <w:r>
        <w:rPr>
          <w:rFonts w:hint="eastAsia"/>
          <w:color w:val="auto"/>
          <w:highlight w:val="none"/>
          <w:u w:val="none" w:color="auto"/>
          <w:lang w:eastAsia="zh-CN"/>
        </w:rPr>
        <w:t>铜芯</w:t>
      </w:r>
      <w:r>
        <w:rPr>
          <w:color w:val="auto"/>
          <w:highlight w:val="none"/>
          <w:u w:val="none" w:color="auto"/>
          <w:lang w:eastAsia="zh-CN"/>
        </w:rPr>
        <w:t>电缆“T”接 分支形式。在干线起始首层设电缆换接箱，换接箱电源侧进线按多芯</w:t>
      </w:r>
      <w:r>
        <w:rPr>
          <w:rFonts w:hint="eastAsia"/>
          <w:color w:val="auto"/>
          <w:highlight w:val="none"/>
          <w:u w:val="none" w:color="auto"/>
          <w:lang w:eastAsia="zh-CN"/>
        </w:rPr>
        <w:t>铜芯</w:t>
      </w:r>
      <w:r>
        <w:rPr>
          <w:color w:val="auto"/>
          <w:highlight w:val="none"/>
          <w:u w:val="none" w:color="auto"/>
          <w:lang w:eastAsia="zh-CN"/>
        </w:rPr>
        <w:t>电缆， 换接箱在干线系统图应明确画出。</w:t>
      </w:r>
    </w:p>
    <w:p w14:paraId="0335D65E">
      <w:pPr>
        <w:ind w:firstLine="369" w:firstLineChars="176"/>
        <w:rPr>
          <w:color w:val="auto"/>
          <w:highlight w:val="none"/>
          <w:u w:val="none" w:color="auto"/>
          <w:lang w:eastAsia="zh-CN"/>
        </w:rPr>
      </w:pPr>
      <w:r>
        <w:rPr>
          <w:color w:val="auto"/>
          <w:highlight w:val="none"/>
          <w:u w:val="none" w:color="auto"/>
          <w:lang w:eastAsia="zh-CN"/>
        </w:rPr>
        <w:t>◆系统图标注应明确： ①干线图中配电箱编号和线缆型号规格、安装方式及敷设部位 标注明确；②配电箱展开图标明进线和主要配电箱供电容量和计算电流，配电箱  出线回路明确编号和用途、容量；③系统图中配电箱按选配的元器件标明配电箱  安装方式和箱体尺寸， 箱体尺寸大小做到基本准确， 向土建专业提资料准确无误， 避免暗装箱体遗漏留洞；④线路配管管径应考虑拐弯数量。</w:t>
      </w:r>
    </w:p>
    <w:p w14:paraId="735F509D">
      <w:pPr>
        <w:ind w:firstLine="369" w:firstLineChars="176"/>
        <w:rPr>
          <w:color w:val="auto"/>
          <w:highlight w:val="none"/>
          <w:u w:val="none" w:color="auto"/>
          <w:lang w:eastAsia="zh-CN"/>
        </w:rPr>
      </w:pPr>
      <w:r>
        <w:rPr>
          <w:color w:val="auto"/>
          <w:highlight w:val="none"/>
          <w:u w:val="none" w:color="auto"/>
          <w:lang w:eastAsia="zh-CN"/>
        </w:rPr>
        <w:t>◆配电间及电气竖井按设备尺寸做详细布置图。</w:t>
      </w:r>
    </w:p>
    <w:p w14:paraId="28B12FA4">
      <w:pPr>
        <w:ind w:firstLine="369" w:firstLineChars="176"/>
        <w:rPr>
          <w:color w:val="auto"/>
          <w:highlight w:val="none"/>
          <w:u w:val="none" w:color="auto"/>
          <w:lang w:eastAsia="zh-CN"/>
        </w:rPr>
      </w:pPr>
      <w:r>
        <w:rPr>
          <w:color w:val="auto"/>
          <w:highlight w:val="none"/>
          <w:u w:val="none" w:color="auto"/>
          <w:lang w:eastAsia="zh-CN"/>
        </w:rPr>
        <w:t>◆单体建筑地下室及车库配电管线路由相向、数量较多、较长及规格较大的线缆采用 明敷桥架，以便于施工安装。桥架布置需兼顾结构梁高、剪力墙布置等因素。</w:t>
      </w:r>
    </w:p>
    <w:p w14:paraId="2B106EE6">
      <w:pPr>
        <w:ind w:firstLine="369" w:firstLineChars="176"/>
        <w:rPr>
          <w:color w:val="auto"/>
          <w:highlight w:val="none"/>
          <w:u w:val="none" w:color="auto"/>
          <w:lang w:eastAsia="zh-CN"/>
        </w:rPr>
      </w:pPr>
      <w:r>
        <w:rPr>
          <w:color w:val="auto"/>
          <w:highlight w:val="none"/>
          <w:u w:val="none" w:color="auto"/>
          <w:lang w:eastAsia="zh-CN"/>
        </w:rPr>
        <w:t>◆地下室电气预留通向室外或穿梁、穿剪力墙的洞或套管应详细标注在电气图中， 并 要求同时标注在结构图中。</w:t>
      </w:r>
    </w:p>
    <w:p w14:paraId="69426E99">
      <w:pPr>
        <w:ind w:firstLine="369" w:firstLineChars="176"/>
        <w:rPr>
          <w:color w:val="auto"/>
          <w:highlight w:val="none"/>
          <w:u w:val="none" w:color="auto"/>
          <w:lang w:eastAsia="zh-CN"/>
        </w:rPr>
      </w:pPr>
      <w:r>
        <w:rPr>
          <w:color w:val="auto"/>
          <w:highlight w:val="none"/>
          <w:u w:val="none" w:color="auto"/>
          <w:lang w:eastAsia="zh-CN"/>
        </w:rPr>
        <w:t>◆双路供电的动力、人防、应急照明等配电系统中标明正常电源和备用电源来源以及 切换方式。</w:t>
      </w:r>
    </w:p>
    <w:p w14:paraId="3090FB87">
      <w:pPr>
        <w:ind w:firstLine="369" w:firstLineChars="176"/>
        <w:rPr>
          <w:color w:val="auto"/>
          <w:highlight w:val="none"/>
          <w:u w:val="none" w:color="auto"/>
          <w:lang w:eastAsia="zh-CN"/>
        </w:rPr>
      </w:pPr>
      <w:r>
        <w:rPr>
          <w:color w:val="auto"/>
          <w:highlight w:val="none"/>
          <w:u w:val="none" w:color="auto"/>
          <w:lang w:eastAsia="zh-CN"/>
        </w:rPr>
        <w:t>◆公共部分用电需为弱电系统（安防、消防、网络、有线电视等）引接单独回路。</w:t>
      </w:r>
    </w:p>
    <w:p w14:paraId="09A1705B">
      <w:pPr>
        <w:ind w:firstLine="369" w:firstLineChars="176"/>
        <w:rPr>
          <w:color w:val="auto"/>
          <w:highlight w:val="none"/>
          <w:u w:val="none" w:color="auto"/>
          <w:lang w:eastAsia="zh-CN"/>
        </w:rPr>
      </w:pPr>
      <w:r>
        <w:rPr>
          <w:color w:val="auto"/>
          <w:highlight w:val="none"/>
          <w:u w:val="none" w:color="auto"/>
          <w:lang w:eastAsia="zh-CN"/>
        </w:rPr>
        <w:t>◆地下车库按国家和地方法规设计新能源车辆充电桩供配电系统。</w:t>
      </w:r>
    </w:p>
    <w:p w14:paraId="79D7A297">
      <w:pPr>
        <w:ind w:firstLine="369" w:firstLineChars="176"/>
        <w:rPr>
          <w:color w:val="auto"/>
          <w:highlight w:val="none"/>
          <w:u w:val="none" w:color="auto"/>
          <w:lang w:eastAsia="zh-CN"/>
        </w:rPr>
      </w:pPr>
      <w:r>
        <w:rPr>
          <w:color w:val="auto"/>
          <w:highlight w:val="none"/>
          <w:u w:val="none" w:color="auto"/>
          <w:lang w:eastAsia="zh-CN"/>
        </w:rPr>
        <w:t>◆出设备材料表： 除线缆和管材数量外， 按图纸选用设备统计电气主要设备材料规格</w:t>
      </w:r>
    </w:p>
    <w:p w14:paraId="6CA12BE1">
      <w:pPr>
        <w:ind w:firstLine="369" w:firstLineChars="176"/>
        <w:rPr>
          <w:color w:val="auto"/>
          <w:highlight w:val="none"/>
          <w:u w:val="none" w:color="auto"/>
          <w:lang w:eastAsia="zh-CN"/>
        </w:rPr>
      </w:pPr>
      <w:r>
        <w:rPr>
          <w:color w:val="auto"/>
          <w:highlight w:val="none"/>
          <w:u w:val="none" w:color="auto"/>
          <w:lang w:eastAsia="zh-CN"/>
        </w:rPr>
        <w:t>和数量。</w:t>
      </w:r>
    </w:p>
    <w:p w14:paraId="4C860C15">
      <w:pPr>
        <w:ind w:firstLine="369" w:firstLineChars="176"/>
        <w:rPr>
          <w:color w:val="auto"/>
          <w:highlight w:val="none"/>
          <w:u w:val="none" w:color="auto"/>
          <w:lang w:eastAsia="zh-CN"/>
        </w:rPr>
      </w:pPr>
      <w:r>
        <w:rPr>
          <w:color w:val="auto"/>
          <w:highlight w:val="none"/>
          <w:u w:val="none" w:color="auto"/>
          <w:lang w:eastAsia="zh-CN"/>
        </w:rPr>
        <w:t>3.2.6 动力设备控制：</w:t>
      </w:r>
    </w:p>
    <w:p w14:paraId="742C0257">
      <w:pPr>
        <w:ind w:firstLine="369" w:firstLineChars="176"/>
        <w:rPr>
          <w:color w:val="auto"/>
          <w:highlight w:val="none"/>
          <w:u w:val="none" w:color="auto"/>
          <w:lang w:eastAsia="zh-CN"/>
        </w:rPr>
      </w:pPr>
      <w:r>
        <w:rPr>
          <w:color w:val="auto"/>
          <w:highlight w:val="none"/>
          <w:u w:val="none" w:color="auto"/>
          <w:lang w:eastAsia="zh-CN"/>
        </w:rPr>
        <w:t>◆电梯、风机、泵等设备按有关规范设计原理图， 并阐述主要的控制功能要求 和控制操作地点。（选用标准图集，需详细注明图集名称、页码，若有修改内容  应予以明确）</w:t>
      </w:r>
    </w:p>
    <w:p w14:paraId="4F193ECC">
      <w:pPr>
        <w:ind w:firstLine="369" w:firstLineChars="176"/>
        <w:rPr>
          <w:color w:val="auto"/>
          <w:highlight w:val="none"/>
          <w:u w:val="none" w:color="auto"/>
          <w:lang w:eastAsia="zh-CN"/>
        </w:rPr>
      </w:pPr>
      <w:r>
        <w:rPr>
          <w:color w:val="auto"/>
          <w:highlight w:val="none"/>
          <w:u w:val="none" w:color="auto"/>
          <w:lang w:eastAsia="zh-CN"/>
        </w:rPr>
        <w:t>◆配电平面图中对控制箱外的控制、测量等线缆应设计准确无遗漏。</w:t>
      </w:r>
    </w:p>
    <w:p w14:paraId="56F0DE40">
      <w:pPr>
        <w:ind w:firstLine="369" w:firstLineChars="176"/>
        <w:rPr>
          <w:color w:val="auto"/>
          <w:highlight w:val="none"/>
          <w:u w:val="none" w:color="auto"/>
          <w:lang w:eastAsia="zh-CN"/>
        </w:rPr>
      </w:pPr>
      <w:r>
        <w:rPr>
          <w:color w:val="auto"/>
          <w:highlight w:val="none"/>
          <w:u w:val="none" w:color="auto"/>
          <w:lang w:eastAsia="zh-CN"/>
        </w:rPr>
        <w:t>3.2.7 照明插座设计</w:t>
      </w:r>
    </w:p>
    <w:p w14:paraId="3DDF3C96">
      <w:pPr>
        <w:ind w:firstLine="369" w:firstLineChars="176"/>
        <w:rPr>
          <w:color w:val="auto"/>
          <w:highlight w:val="none"/>
          <w:u w:val="none" w:color="auto"/>
          <w:lang w:eastAsia="zh-CN"/>
        </w:rPr>
      </w:pPr>
      <w:r>
        <w:rPr>
          <w:color w:val="auto"/>
          <w:highlight w:val="none"/>
          <w:u w:val="none" w:color="auto"/>
          <w:lang w:eastAsia="zh-CN"/>
        </w:rPr>
        <w:t>◆依据初步设计文件和甲方评审意见， 按户型家具、设备布置方案做详细室内插</w:t>
      </w:r>
    </w:p>
    <w:p w14:paraId="6B88E90D">
      <w:pPr>
        <w:ind w:firstLine="369" w:firstLineChars="176"/>
        <w:rPr>
          <w:color w:val="auto"/>
          <w:highlight w:val="none"/>
          <w:u w:val="none" w:color="auto"/>
          <w:lang w:eastAsia="zh-CN"/>
        </w:rPr>
      </w:pPr>
      <w:r>
        <w:rPr>
          <w:color w:val="auto"/>
          <w:highlight w:val="none"/>
          <w:u w:val="none" w:color="auto"/>
          <w:lang w:eastAsia="zh-CN"/>
        </w:rPr>
        <w:t>座定位布置图（结合弱电插座布置），对较大家电（如冰箱、洗衣机、空调、电 视等）用电插座布置做到合理隐蔽并实用，同时需比照核对水、暖专业设备和立管位置，避免位置冲突。</w:t>
      </w:r>
    </w:p>
    <w:p w14:paraId="4E47BD1B">
      <w:pPr>
        <w:ind w:firstLine="369" w:firstLineChars="176"/>
        <w:rPr>
          <w:color w:val="auto"/>
          <w:highlight w:val="none"/>
          <w:u w:val="none" w:color="auto"/>
          <w:lang w:eastAsia="zh-CN"/>
        </w:rPr>
      </w:pPr>
      <w:r>
        <w:rPr>
          <w:color w:val="auto"/>
          <w:highlight w:val="none"/>
          <w:u w:val="none" w:color="auto"/>
          <w:lang w:eastAsia="zh-CN"/>
        </w:rPr>
        <w:t>◆地下车库照明设计：</w:t>
      </w:r>
    </w:p>
    <w:p w14:paraId="0692AA7D">
      <w:pPr>
        <w:ind w:firstLine="369" w:firstLineChars="176"/>
        <w:rPr>
          <w:color w:val="auto"/>
          <w:highlight w:val="none"/>
          <w:u w:val="none" w:color="auto"/>
          <w:lang w:eastAsia="zh-CN"/>
        </w:rPr>
      </w:pPr>
      <w:r>
        <w:rPr>
          <w:color w:val="auto"/>
          <w:highlight w:val="none"/>
          <w:u w:val="none" w:color="auto"/>
          <w:lang w:eastAsia="zh-CN"/>
        </w:rPr>
        <w:t>①宜按车道、停车区分设回路在入口值班室集中控制， 并在回路分配上兼顾深夜低峰期可减半照明负荷。</w:t>
      </w:r>
      <w:r>
        <w:rPr>
          <w:color w:val="auto"/>
          <w:highlight w:val="yellow"/>
          <w:u w:val="none" w:color="auto"/>
          <w:lang w:eastAsia="zh-CN"/>
        </w:rPr>
        <w:t>②车道</w:t>
      </w:r>
      <w:r>
        <w:rPr>
          <w:rFonts w:hint="eastAsia"/>
          <w:color w:val="auto"/>
          <w:highlight w:val="yellow"/>
          <w:u w:val="none" w:color="auto"/>
          <w:lang w:eastAsia="zh-CN"/>
        </w:rPr>
        <w:t>、车位</w:t>
      </w:r>
      <w:r>
        <w:rPr>
          <w:color w:val="auto"/>
          <w:highlight w:val="yellow"/>
          <w:u w:val="none" w:color="auto"/>
          <w:lang w:eastAsia="zh-CN"/>
        </w:rPr>
        <w:t xml:space="preserve">照明建议选用LED </w:t>
      </w:r>
      <w:r>
        <w:rPr>
          <w:rFonts w:hint="eastAsia"/>
          <w:color w:val="auto"/>
          <w:highlight w:val="yellow"/>
          <w:u w:val="none" w:color="auto"/>
          <w:lang w:eastAsia="zh"/>
        </w:rPr>
        <w:t>线型灯，车位采用红外感应控制（平时亮50%，车来全亮）车道采用常亮定制型线型灯</w:t>
      </w:r>
      <w:r>
        <w:rPr>
          <w:color w:val="auto"/>
          <w:highlight w:val="none"/>
          <w:u w:val="none" w:color="auto"/>
          <w:lang w:eastAsia="zh-CN"/>
        </w:rPr>
        <w:t>。③地下车库需做应急疏散照明设计，疏散诱导方向指示灯不能和消火栓打架.。</w:t>
      </w:r>
    </w:p>
    <w:p w14:paraId="7AEB4BD1">
      <w:pPr>
        <w:ind w:firstLine="369" w:firstLineChars="176"/>
        <w:rPr>
          <w:color w:val="auto"/>
          <w:highlight w:val="none"/>
          <w:u w:val="none" w:color="auto"/>
          <w:lang w:eastAsia="zh-CN"/>
        </w:rPr>
      </w:pPr>
      <w:r>
        <w:rPr>
          <w:color w:val="auto"/>
          <w:highlight w:val="none"/>
          <w:u w:val="none" w:color="auto"/>
          <w:lang w:eastAsia="zh-CN"/>
        </w:rPr>
        <w:t>◆住宅室内电源插座设计：</w:t>
      </w:r>
    </w:p>
    <w:p w14:paraId="1C781435">
      <w:pPr>
        <w:ind w:firstLine="369" w:firstLineChars="176"/>
        <w:rPr>
          <w:color w:val="auto"/>
          <w:highlight w:val="none"/>
          <w:u w:val="none" w:color="auto"/>
          <w:lang w:eastAsia="zh-CN"/>
        </w:rPr>
      </w:pPr>
      <w:r>
        <w:rPr>
          <w:color w:val="auto"/>
          <w:highlight w:val="none"/>
          <w:u w:val="none" w:color="auto"/>
          <w:lang w:eastAsia="zh-CN"/>
        </w:rPr>
        <w:t>① 空调插座：若空调形式为分体式空调，插座位置应与建筑专业室外预留空调板相对应。客厅按建筑图布置空调室内机形式预留插座，卧室（含书房）按室内壁挂 空调机预留插座。空调插座与空调室内机同墙面设置。考虑窗帘影响，空调室内 机不宜与外窗同墙面设置。如空调形式为家用小型中央空调，需在空调室外机附 近预留室外机电源，室内根据暖通提供的风机盘管位置配电.</w:t>
      </w:r>
    </w:p>
    <w:p w14:paraId="3CC815FD">
      <w:pPr>
        <w:ind w:firstLine="369" w:firstLineChars="176"/>
        <w:rPr>
          <w:color w:val="auto"/>
          <w:highlight w:val="none"/>
          <w:u w:val="none" w:color="auto"/>
          <w:lang w:eastAsia="zh-CN"/>
        </w:rPr>
      </w:pPr>
      <w:r>
        <w:rPr>
          <w:color w:val="auto"/>
          <w:highlight w:val="none"/>
          <w:u w:val="none" w:color="auto"/>
          <w:lang w:eastAsia="zh-CN"/>
        </w:rPr>
        <w:t>② 客厅主墙面(电视机侧)、次墙面(沙发侧)结合家具各布置二组插座。</w:t>
      </w:r>
    </w:p>
    <w:p w14:paraId="10D7D879">
      <w:pPr>
        <w:ind w:firstLine="369" w:firstLineChars="176"/>
        <w:rPr>
          <w:color w:val="auto"/>
          <w:highlight w:val="none"/>
          <w:u w:val="none" w:color="auto"/>
          <w:lang w:eastAsia="zh-CN"/>
        </w:rPr>
      </w:pPr>
      <w:r>
        <w:rPr>
          <w:color w:val="auto"/>
          <w:highlight w:val="none"/>
          <w:u w:val="none" w:color="auto"/>
          <w:lang w:eastAsia="zh-CN"/>
        </w:rPr>
        <w:t>③ 餐厅插座结合餐桌位置就近布置 1 组，以方便电热涮锅类用电。餐厅有冰箱布置 时，按冰箱位置设插座。</w:t>
      </w:r>
    </w:p>
    <w:p w14:paraId="4A8F6737">
      <w:pPr>
        <w:ind w:firstLine="369" w:firstLineChars="176"/>
        <w:rPr>
          <w:color w:val="auto"/>
          <w:highlight w:val="none"/>
          <w:u w:val="none" w:color="auto"/>
          <w:lang w:eastAsia="zh-CN"/>
        </w:rPr>
      </w:pPr>
      <w:r>
        <w:rPr>
          <w:color w:val="auto"/>
          <w:highlight w:val="none"/>
          <w:u w:val="none" w:color="auto"/>
          <w:lang w:eastAsia="zh-CN"/>
        </w:rPr>
        <w:t>④ 卧室床头墙面两侧台灯处各设一个插座。床头对面墙面主卧设二组插座，其余卧 室墙面设一组插座。</w:t>
      </w:r>
    </w:p>
    <w:p w14:paraId="083634AF">
      <w:pPr>
        <w:ind w:firstLine="369" w:firstLineChars="176"/>
        <w:rPr>
          <w:color w:val="auto"/>
          <w:highlight w:val="none"/>
          <w:u w:val="none" w:color="auto"/>
          <w:lang w:eastAsia="zh-CN"/>
        </w:rPr>
      </w:pPr>
      <w:r>
        <w:rPr>
          <w:color w:val="auto"/>
          <w:highlight w:val="none"/>
          <w:u w:val="none" w:color="auto"/>
          <w:lang w:eastAsia="zh-CN"/>
        </w:rPr>
        <w:t>⑤ 在厨房橱柜靠近操作台面设置一个多功能十孔插座，另结合厨房布置设置抽油烟 机插座、燃气热水器专用插座、天然气报警器插座各一个。天然气报警器插座距 天然气管道、表间距</w:t>
      </w:r>
      <w:r>
        <w:rPr>
          <w:rFonts w:hint="eastAsia"/>
          <w:color w:val="auto"/>
          <w:highlight w:val="none"/>
          <w:u w:val="none" w:color="auto"/>
          <w:lang w:eastAsia="zh-CN"/>
        </w:rPr>
        <w:t>需满足规范要求</w:t>
      </w:r>
      <w:r>
        <w:rPr>
          <w:color w:val="auto"/>
          <w:highlight w:val="none"/>
          <w:u w:val="none" w:color="auto"/>
          <w:lang w:eastAsia="zh-CN"/>
        </w:rPr>
        <w:t>。冰箱插座根据户型布置图提供的位置来设置。洗菜盆附近设置插座一组，并应设防溅面盖。</w:t>
      </w:r>
    </w:p>
    <w:p w14:paraId="4338E743">
      <w:pPr>
        <w:ind w:firstLine="369" w:firstLineChars="176"/>
        <w:rPr>
          <w:color w:val="auto"/>
          <w:highlight w:val="none"/>
          <w:u w:val="none" w:color="auto"/>
          <w:lang w:eastAsia="zh-CN"/>
        </w:rPr>
      </w:pPr>
      <w:r>
        <w:rPr>
          <w:color w:val="auto"/>
          <w:highlight w:val="none"/>
          <w:u w:val="none" w:color="auto"/>
          <w:lang w:eastAsia="zh-CN"/>
        </w:rPr>
        <w:t>⑥洗手盆附近预留一个电吹风插座， 位置注意避开梳妆镜。卫生间内插座均设防溅面 盖。</w:t>
      </w:r>
    </w:p>
    <w:p w14:paraId="1F37BF51">
      <w:pPr>
        <w:ind w:firstLine="369" w:firstLineChars="176"/>
        <w:rPr>
          <w:color w:val="auto"/>
          <w:highlight w:val="none"/>
          <w:u w:val="none" w:color="auto"/>
          <w:lang w:eastAsia="zh-CN"/>
        </w:rPr>
      </w:pPr>
      <w:r>
        <w:rPr>
          <w:color w:val="auto"/>
          <w:highlight w:val="none"/>
          <w:u w:val="none" w:color="auto"/>
          <w:lang w:eastAsia="zh-CN"/>
        </w:rPr>
        <w:t>⑦阳台、住户露台宜考虑预留电源插座， 室外设置应有防水安全措施。洗衣机专用插 座位置以建筑专业的家居布置图为准。</w:t>
      </w:r>
    </w:p>
    <w:p w14:paraId="1598429B">
      <w:pPr>
        <w:ind w:firstLine="369" w:firstLineChars="176"/>
        <w:rPr>
          <w:color w:val="auto"/>
          <w:highlight w:val="none"/>
          <w:u w:val="none" w:color="auto"/>
          <w:lang w:eastAsia="zh-CN"/>
        </w:rPr>
      </w:pPr>
      <w:r>
        <w:rPr>
          <w:color w:val="auto"/>
          <w:highlight w:val="none"/>
          <w:u w:val="none" w:color="auto"/>
          <w:lang w:eastAsia="zh-CN"/>
        </w:rPr>
        <w:t>⑧ 插座规格及高度：</w:t>
      </w:r>
    </w:p>
    <w:p w14:paraId="0FF1D2C8">
      <w:pPr>
        <w:ind w:firstLine="369" w:firstLineChars="176"/>
        <w:rPr>
          <w:color w:val="auto"/>
          <w:highlight w:val="none"/>
          <w:u w:val="none" w:color="auto"/>
          <w:lang w:eastAsia="zh-CN"/>
        </w:rPr>
      </w:pPr>
      <w:r>
        <w:rPr>
          <w:color w:val="auto"/>
          <w:highlight w:val="none"/>
          <w:u w:val="none" w:color="auto"/>
          <w:lang w:eastAsia="zh-CN"/>
        </w:rPr>
        <w:t>空调：空调室内柜机选用 20A 单相三孔插座，距地 0.3m 暗装；空调壁挂室内机选用 16A 单相三孔插座，距地 2.3m 暗装；</w:t>
      </w:r>
    </w:p>
    <w:p w14:paraId="39AF0B9D">
      <w:pPr>
        <w:ind w:firstLine="369" w:firstLineChars="176"/>
        <w:rPr>
          <w:color w:val="auto"/>
          <w:highlight w:val="none"/>
          <w:u w:val="none" w:color="auto"/>
          <w:lang w:eastAsia="zh-CN"/>
        </w:rPr>
      </w:pPr>
      <w:r>
        <w:rPr>
          <w:color w:val="auto"/>
          <w:highlight w:val="none"/>
          <w:u w:val="none" w:color="auto"/>
          <w:lang w:eastAsia="zh-CN"/>
        </w:rPr>
        <w:t>厨房： 台面多功能插座选用 16A 十孔组合插座（二、三孔各两组） ，距地 1.3m 暗装； 燃气热水器插座选用 10A 五孔插座， 距地 1.5m 暗装； 油烟机插座选用 10A 五孔插 座距地 2.0m 暗装；燃气报警器插座选用 10A 五孔插座，距地 2.3m 暗装；</w:t>
      </w:r>
    </w:p>
    <w:p w14:paraId="258EB1AA">
      <w:pPr>
        <w:ind w:firstLine="369" w:firstLineChars="176"/>
        <w:rPr>
          <w:color w:val="auto"/>
          <w:highlight w:val="none"/>
          <w:u w:val="none" w:color="auto"/>
          <w:lang w:eastAsia="zh-CN"/>
        </w:rPr>
      </w:pPr>
      <w:r>
        <w:rPr>
          <w:color w:val="auto"/>
          <w:highlight w:val="none"/>
          <w:u w:val="none" w:color="auto"/>
          <w:lang w:eastAsia="zh-CN"/>
        </w:rPr>
        <w:t>卫生间：电吹风插座选用 10A 五孔插座，距地 1.5m 暗装；洗衣机选用 10A 带开关插 座（配防溅面盖），距地 1.5m 暗装；</w:t>
      </w:r>
    </w:p>
    <w:p w14:paraId="2635EE57">
      <w:pPr>
        <w:ind w:firstLine="369" w:firstLineChars="176"/>
        <w:rPr>
          <w:color w:val="auto"/>
          <w:highlight w:val="none"/>
          <w:u w:val="none" w:color="auto"/>
          <w:lang w:eastAsia="zh-CN"/>
        </w:rPr>
      </w:pPr>
      <w:r>
        <w:rPr>
          <w:color w:val="auto"/>
          <w:highlight w:val="none"/>
          <w:u w:val="none" w:color="auto"/>
          <w:lang w:eastAsia="zh-CN"/>
        </w:rPr>
        <w:t>客厅：电视机电源插座按距地 0.65m 预留 10A 五孔插座。</w:t>
      </w:r>
    </w:p>
    <w:p w14:paraId="4E95B41F">
      <w:pPr>
        <w:ind w:firstLine="369" w:firstLineChars="176"/>
        <w:rPr>
          <w:color w:val="auto"/>
          <w:highlight w:val="none"/>
          <w:u w:val="none" w:color="auto"/>
          <w:lang w:eastAsia="zh-CN"/>
        </w:rPr>
      </w:pPr>
      <w:r>
        <w:rPr>
          <w:color w:val="auto"/>
          <w:highlight w:val="none"/>
          <w:u w:val="none" w:color="auto"/>
          <w:lang w:eastAsia="zh-CN"/>
        </w:rPr>
        <w:t>除上述插座外，其余插座均选用 10A 五孔插座，距地 0.3m 暗装。</w:t>
      </w:r>
    </w:p>
    <w:p w14:paraId="4FE5BA63">
      <w:pPr>
        <w:ind w:firstLine="369" w:firstLineChars="176"/>
        <w:rPr>
          <w:color w:val="auto"/>
          <w:highlight w:val="none"/>
          <w:u w:val="none" w:color="auto"/>
          <w:lang w:eastAsia="zh-CN"/>
        </w:rPr>
      </w:pPr>
      <w:r>
        <w:rPr>
          <w:color w:val="auto"/>
          <w:highlight w:val="none"/>
          <w:u w:val="none" w:color="auto"/>
          <w:lang w:eastAsia="zh-CN"/>
        </w:rPr>
        <w:t>◆住宅室内照明设计：</w:t>
      </w:r>
    </w:p>
    <w:p w14:paraId="599759DA">
      <w:pPr>
        <w:ind w:firstLine="369" w:firstLineChars="176"/>
        <w:rPr>
          <w:color w:val="auto"/>
          <w:highlight w:val="none"/>
          <w:u w:val="none" w:color="auto"/>
          <w:lang w:eastAsia="zh-CN"/>
        </w:rPr>
      </w:pPr>
      <w:r>
        <w:rPr>
          <w:color w:val="auto"/>
          <w:highlight w:val="none"/>
          <w:u w:val="none" w:color="auto"/>
          <w:lang w:eastAsia="zh-CN"/>
        </w:rPr>
        <w:t>以下房间、部位应设灯具照明：客厅、卧室、厨房、卫生间、外伸≥900mm 阳台、入 口花园、住户露台、入户玄关、跃层户楼梯空间以及进深≥1200mm 的储藏空间等。</w:t>
      </w:r>
    </w:p>
    <w:p w14:paraId="1581E811">
      <w:pPr>
        <w:ind w:firstLine="369" w:firstLineChars="176"/>
        <w:rPr>
          <w:color w:val="auto"/>
          <w:highlight w:val="none"/>
          <w:u w:val="none" w:color="auto"/>
          <w:lang w:eastAsia="zh-CN"/>
        </w:rPr>
      </w:pPr>
      <w:r>
        <w:rPr>
          <w:color w:val="auto"/>
          <w:highlight w:val="none"/>
          <w:u w:val="none" w:color="auto"/>
          <w:lang w:eastAsia="zh-CN"/>
        </w:rPr>
        <w:t>照明开关应充分考虑实用方便， 卫生间、储藏室开关宜在其门外设置， 跃层楼梯空间 照明和住户较长内走道宜设双控开关，露台照明开关在室内设置；主卧照明灯具  在门口和床头柜处双控； 除床头柜处照明开关距地 0.8m 外。其余照明开关均距地 1.3 米。</w:t>
      </w:r>
    </w:p>
    <w:p w14:paraId="2CDC94D9">
      <w:pPr>
        <w:ind w:firstLine="369" w:firstLineChars="176"/>
        <w:rPr>
          <w:color w:val="auto"/>
          <w:highlight w:val="none"/>
          <w:u w:val="none" w:color="auto"/>
          <w:lang w:eastAsia="zh-CN"/>
        </w:rPr>
      </w:pPr>
      <w:r>
        <w:rPr>
          <w:color w:val="auto"/>
          <w:highlight w:val="none"/>
          <w:u w:val="none" w:color="auto"/>
          <w:lang w:eastAsia="zh-CN"/>
        </w:rPr>
        <w:t>卫生间梳妆镜上方设镜前灯，高度 2.4m；</w:t>
      </w:r>
    </w:p>
    <w:p w14:paraId="571174A0">
      <w:pPr>
        <w:ind w:firstLine="369" w:firstLineChars="176"/>
        <w:rPr>
          <w:color w:val="auto"/>
          <w:highlight w:val="none"/>
          <w:u w:val="none" w:color="auto"/>
          <w:lang w:eastAsia="zh-CN"/>
        </w:rPr>
      </w:pPr>
      <w:r>
        <w:rPr>
          <w:color w:val="auto"/>
          <w:highlight w:val="none"/>
          <w:u w:val="none" w:color="auto"/>
          <w:lang w:eastAsia="zh-CN"/>
        </w:rPr>
        <w:t>照明连线在单个灯头处不宜超过 5 根，卫生间灯具宜为支路终端。</w:t>
      </w:r>
    </w:p>
    <w:p w14:paraId="14C80518">
      <w:pPr>
        <w:ind w:firstLine="369" w:firstLineChars="176"/>
        <w:rPr>
          <w:color w:val="auto"/>
          <w:highlight w:val="none"/>
          <w:u w:val="none" w:color="auto"/>
          <w:lang w:eastAsia="zh-CN"/>
        </w:rPr>
      </w:pPr>
      <w:r>
        <w:rPr>
          <w:color w:val="auto"/>
          <w:highlight w:val="none"/>
          <w:u w:val="none" w:color="auto"/>
          <w:lang w:eastAsia="zh-CN"/>
        </w:rPr>
        <w:t>户内照明暂按普通吸顶灯具预留。</w:t>
      </w:r>
    </w:p>
    <w:p w14:paraId="062B0683">
      <w:pPr>
        <w:ind w:firstLine="369" w:firstLineChars="176"/>
        <w:rPr>
          <w:color w:val="auto"/>
          <w:highlight w:val="none"/>
          <w:u w:val="none" w:color="auto"/>
          <w:lang w:eastAsia="zh-CN"/>
        </w:rPr>
      </w:pPr>
      <w:r>
        <w:rPr>
          <w:color w:val="auto"/>
          <w:highlight w:val="none"/>
          <w:u w:val="none" w:color="auto"/>
          <w:lang w:eastAsia="zh-CN"/>
        </w:rPr>
        <w:t>住宅户内照明参照建筑专业室内布置设计相关图纸及评审意见进行设计和修改。</w:t>
      </w:r>
    </w:p>
    <w:p w14:paraId="19A17F68">
      <w:pPr>
        <w:ind w:firstLine="369" w:firstLineChars="176"/>
        <w:rPr>
          <w:color w:val="auto"/>
          <w:highlight w:val="none"/>
          <w:u w:val="none" w:color="auto"/>
          <w:lang w:eastAsia="zh-CN"/>
        </w:rPr>
      </w:pPr>
      <w:r>
        <w:rPr>
          <w:color w:val="auto"/>
          <w:highlight w:val="none"/>
          <w:u w:val="none" w:color="auto"/>
          <w:lang w:eastAsia="zh-CN"/>
        </w:rPr>
        <w:t>◆住户按照明平面和插座配电分别出图。插座安装定位准确， 避开可能影响使用的障 碍遮挡。</w:t>
      </w:r>
    </w:p>
    <w:p w14:paraId="2765D2BC">
      <w:pPr>
        <w:ind w:firstLine="369" w:firstLineChars="176"/>
        <w:rPr>
          <w:color w:val="auto"/>
          <w:highlight w:val="none"/>
          <w:u w:val="none" w:color="auto"/>
          <w:lang w:eastAsia="zh-CN"/>
        </w:rPr>
      </w:pPr>
      <w:r>
        <w:rPr>
          <w:color w:val="auto"/>
          <w:highlight w:val="none"/>
          <w:u w:val="none" w:color="auto"/>
          <w:lang w:eastAsia="zh-CN"/>
        </w:rPr>
        <w:t>◆电气竖井需预留电源插座。</w:t>
      </w:r>
    </w:p>
    <w:p w14:paraId="3B6A2B56">
      <w:pPr>
        <w:ind w:firstLine="369" w:firstLineChars="176"/>
        <w:rPr>
          <w:color w:val="auto"/>
          <w:highlight w:val="none"/>
          <w:u w:val="none" w:color="auto"/>
          <w:lang w:eastAsia="zh-CN"/>
        </w:rPr>
      </w:pPr>
      <w:r>
        <w:rPr>
          <w:color w:val="auto"/>
          <w:highlight w:val="none"/>
          <w:u w:val="none" w:color="auto"/>
          <w:lang w:eastAsia="zh-CN"/>
        </w:rPr>
        <w:t>◆住宅户内配电箱进线出线回路设置：</w:t>
      </w:r>
    </w:p>
    <w:p w14:paraId="14269C77">
      <w:pPr>
        <w:ind w:firstLine="369" w:firstLineChars="176"/>
        <w:rPr>
          <w:color w:val="auto"/>
          <w:highlight w:val="none"/>
          <w:u w:val="none" w:color="auto"/>
          <w:lang w:eastAsia="zh-CN"/>
        </w:rPr>
      </w:pPr>
      <w:r>
        <w:rPr>
          <w:color w:val="auto"/>
          <w:highlight w:val="none"/>
          <w:u w:val="none" w:color="auto"/>
          <w:lang w:eastAsia="zh-CN"/>
        </w:rPr>
        <w:t>按照明、客厅空调、空调、厨餐、卫生间、弱电箱、一般插座等用途分类别设置回路；</w:t>
      </w:r>
    </w:p>
    <w:p w14:paraId="2D3386F0">
      <w:pPr>
        <w:ind w:firstLine="369" w:firstLineChars="176"/>
        <w:jc w:val="both"/>
        <w:rPr>
          <w:color w:val="auto"/>
          <w:highlight w:val="none"/>
          <w:u w:val="none" w:color="auto"/>
          <w:lang w:eastAsia="zh-CN"/>
        </w:rPr>
      </w:pPr>
      <w:r>
        <w:rPr>
          <w:color w:val="auto"/>
          <w:highlight w:val="none"/>
          <w:u w:val="none" w:color="auto"/>
          <w:lang w:eastAsia="zh-CN"/>
        </w:rPr>
        <w:t>高层普通住宅相邻卧室空调插座可考虑共用回路， 但单个回路供电空调台数不超过二 台；跃层户房间照明、插座回路上、下层回路分离独立；空调和厨房餐厅回路断路器脱扣器整定电流选用 20A，出线选配 4mm2 铜芯导线， 其余 为 16A，出线选配 2.5mm2 铜芯导线；</w:t>
      </w:r>
    </w:p>
    <w:p w14:paraId="1BFF2075">
      <w:pPr>
        <w:ind w:firstLine="369" w:firstLineChars="176"/>
        <w:rPr>
          <w:color w:val="auto"/>
          <w:highlight w:val="none"/>
          <w:u w:val="none" w:color="auto"/>
          <w:lang w:eastAsia="zh-CN"/>
        </w:rPr>
      </w:pPr>
      <w:r>
        <w:rPr>
          <w:color w:val="auto"/>
          <w:highlight w:val="none"/>
          <w:u w:val="none" w:color="auto"/>
          <w:lang w:eastAsia="zh-CN"/>
        </w:rPr>
        <w:t>户配箱为住户多媒体弱电箱设单独回路，并按 2.5mm2 配线引入弱电箱。</w:t>
      </w:r>
    </w:p>
    <w:p w14:paraId="50D46BB4">
      <w:pPr>
        <w:ind w:firstLine="369" w:firstLineChars="176"/>
        <w:rPr>
          <w:color w:val="auto"/>
          <w:highlight w:val="none"/>
          <w:u w:val="none" w:color="auto"/>
          <w:lang w:eastAsia="zh-CN"/>
        </w:rPr>
      </w:pPr>
      <w:r>
        <w:rPr>
          <w:color w:val="auto"/>
          <w:highlight w:val="none"/>
          <w:u w:val="none" w:color="auto"/>
          <w:lang w:eastAsia="zh-CN"/>
        </w:rPr>
        <w:t>需提供户内综合点位定位大样图</w:t>
      </w:r>
    </w:p>
    <w:p w14:paraId="449E20B7">
      <w:pPr>
        <w:ind w:firstLine="369" w:firstLineChars="176"/>
        <w:rPr>
          <w:color w:val="auto"/>
          <w:highlight w:val="none"/>
          <w:u w:val="none" w:color="auto"/>
          <w:lang w:eastAsia="zh-CN"/>
        </w:rPr>
      </w:pPr>
      <w:r>
        <w:rPr>
          <w:color w:val="auto"/>
          <w:highlight w:val="none"/>
          <w:u w:val="none" w:color="auto"/>
          <w:lang w:eastAsia="zh-CN"/>
        </w:rPr>
        <w:t>3.2.8 夜景照明： 夜景照明施工图应与方案保持一致，夜景照明配电控制箱设计量表。 方案及施工图前与甲方及时沟通点亮范围、灯具选型等事项。</w:t>
      </w:r>
    </w:p>
    <w:p w14:paraId="53E9ACD6">
      <w:pPr>
        <w:ind w:firstLine="369" w:firstLineChars="176"/>
        <w:rPr>
          <w:color w:val="auto"/>
          <w:highlight w:val="none"/>
          <w:u w:val="none" w:color="auto"/>
          <w:lang w:eastAsia="zh-CN"/>
        </w:rPr>
      </w:pPr>
      <w:r>
        <w:rPr>
          <w:color w:val="auto"/>
          <w:highlight w:val="none"/>
          <w:u w:val="none" w:color="auto"/>
          <w:lang w:eastAsia="zh-CN"/>
        </w:rPr>
        <w:t>3.2.9 管材类：</w:t>
      </w:r>
    </w:p>
    <w:p w14:paraId="23395F64">
      <w:pPr>
        <w:ind w:firstLine="369" w:firstLineChars="176"/>
        <w:rPr>
          <w:color w:val="auto"/>
          <w:highlight w:val="none"/>
          <w:u w:val="none" w:color="auto"/>
          <w:lang w:eastAsia="zh-CN"/>
        </w:rPr>
      </w:pPr>
      <w:r>
        <w:rPr>
          <w:color w:val="auto"/>
          <w:highlight w:val="none"/>
          <w:u w:val="none" w:color="auto"/>
          <w:lang w:eastAsia="zh-CN"/>
        </w:rPr>
        <w:t>人防区内穿越分隔墙处密闭套管按规范采用壁厚≥2.5mm 热镀锌钢管；</w:t>
      </w:r>
    </w:p>
    <w:p w14:paraId="17C6D77E">
      <w:pPr>
        <w:ind w:firstLine="369" w:firstLineChars="176"/>
        <w:rPr>
          <w:color w:val="auto"/>
          <w:highlight w:val="none"/>
          <w:u w:val="none" w:color="auto"/>
          <w:lang w:eastAsia="zh-CN"/>
        </w:rPr>
      </w:pPr>
      <w:r>
        <w:rPr>
          <w:color w:val="auto"/>
          <w:highlight w:val="none"/>
          <w:u w:val="none" w:color="auto"/>
          <w:lang w:eastAsia="zh-CN"/>
        </w:rPr>
        <w:t>住宅用户配电箱出线选用 PVC 管；</w:t>
      </w:r>
    </w:p>
    <w:p w14:paraId="7FFB9418">
      <w:pPr>
        <w:ind w:firstLine="369" w:firstLineChars="176"/>
        <w:rPr>
          <w:color w:val="auto"/>
          <w:highlight w:val="none"/>
          <w:u w:val="none" w:color="auto"/>
          <w:lang w:eastAsia="zh-CN"/>
        </w:rPr>
      </w:pPr>
      <w:r>
        <w:rPr>
          <w:color w:val="auto"/>
          <w:highlight w:val="none"/>
          <w:u w:val="none" w:color="auto"/>
          <w:lang w:eastAsia="zh-CN"/>
        </w:rPr>
        <w:t>线缆桥架需注明材质规格及安装高度。</w:t>
      </w:r>
    </w:p>
    <w:p w14:paraId="3BBB387D">
      <w:pPr>
        <w:ind w:firstLine="369" w:firstLineChars="176"/>
        <w:rPr>
          <w:color w:val="auto"/>
          <w:highlight w:val="none"/>
          <w:u w:val="none" w:color="auto"/>
          <w:lang w:eastAsia="zh-CN"/>
        </w:rPr>
      </w:pPr>
      <w:r>
        <w:rPr>
          <w:color w:val="auto"/>
          <w:highlight w:val="none"/>
          <w:u w:val="none" w:color="auto"/>
          <w:lang w:eastAsia="zh-CN"/>
        </w:rPr>
        <w:t>3.3 防雷接地设计及电气安全设计</w:t>
      </w:r>
    </w:p>
    <w:p w14:paraId="73ACFE88">
      <w:pPr>
        <w:ind w:firstLine="369" w:firstLineChars="176"/>
        <w:rPr>
          <w:color w:val="auto"/>
          <w:highlight w:val="none"/>
          <w:u w:val="none" w:color="auto"/>
          <w:lang w:eastAsia="zh-CN"/>
        </w:rPr>
      </w:pPr>
      <w:r>
        <w:rPr>
          <w:color w:val="auto"/>
          <w:highlight w:val="none"/>
          <w:u w:val="none" w:color="auto"/>
          <w:lang w:eastAsia="zh-CN"/>
        </w:rPr>
        <w:t>3.3.1 设计说明中应提供单体建筑年预计累计次数计算值， 注明所属防雷等级； 设计 说明中应明确本工程接地电阻要求.</w:t>
      </w:r>
    </w:p>
    <w:p w14:paraId="239034C7">
      <w:pPr>
        <w:ind w:firstLine="369" w:firstLineChars="176"/>
        <w:rPr>
          <w:color w:val="auto"/>
          <w:highlight w:val="none"/>
          <w:u w:val="none" w:color="auto"/>
          <w:lang w:eastAsia="zh-CN"/>
        </w:rPr>
      </w:pPr>
      <w:r>
        <w:rPr>
          <w:color w:val="auto"/>
          <w:highlight w:val="none"/>
          <w:u w:val="none" w:color="auto"/>
          <w:lang w:eastAsia="zh-CN"/>
        </w:rPr>
        <w:t>3.3.2 环网室、变配电室、接线间、商铺电表间、水泵房、电梯机房、消防安防控制 室、弱电机房应设置等电位接地端子箱，其中环网室、变配电室四周墙面还应设 热镀锌扁钢作为接地干线；电气竖井内设痛长接地热镀锌扁钢；其他总等电位做 法根据国家规范和图集设计.</w:t>
      </w:r>
    </w:p>
    <w:p w14:paraId="0E69301E">
      <w:pPr>
        <w:ind w:firstLine="369" w:firstLineChars="176"/>
        <w:rPr>
          <w:color w:val="auto"/>
          <w:highlight w:val="none"/>
          <w:u w:val="none" w:color="auto"/>
          <w:lang w:eastAsia="zh-CN"/>
        </w:rPr>
      </w:pPr>
      <w:r>
        <w:rPr>
          <w:color w:val="auto"/>
          <w:highlight w:val="none"/>
          <w:u w:val="none" w:color="auto"/>
          <w:lang w:eastAsia="zh-CN"/>
        </w:rPr>
        <w:t>3.3.3 带有淋浴的卫生间应设局部等电位端子箱，由卫生间结构楼板内钢筋焊接出</w:t>
      </w:r>
    </w:p>
    <w:p w14:paraId="56B0D56D">
      <w:pPr>
        <w:ind w:firstLine="369" w:firstLineChars="176"/>
        <w:rPr>
          <w:color w:val="auto"/>
          <w:highlight w:val="none"/>
          <w:u w:val="none" w:color="auto"/>
          <w:lang w:eastAsia="zh-CN"/>
        </w:rPr>
      </w:pPr>
      <w:r>
        <w:rPr>
          <w:color w:val="auto"/>
          <w:highlight w:val="none"/>
          <w:u w:val="none" w:color="auto"/>
          <w:lang w:eastAsia="zh-CN"/>
        </w:rPr>
        <w:t>25X4 热镀锌扁钢引至局部等电位端子箱，由端子箱引至卫生间内各个金属器具的 管线由业主二次装修确定。 .</w:t>
      </w:r>
    </w:p>
    <w:p w14:paraId="77436977">
      <w:pPr>
        <w:ind w:firstLine="369" w:firstLineChars="176"/>
        <w:rPr>
          <w:color w:val="auto"/>
          <w:highlight w:val="none"/>
          <w:u w:val="none" w:color="auto"/>
          <w:lang w:eastAsia="zh-CN"/>
        </w:rPr>
      </w:pPr>
      <w:r>
        <w:rPr>
          <w:color w:val="auto"/>
          <w:highlight w:val="none"/>
          <w:u w:val="none" w:color="auto"/>
          <w:lang w:eastAsia="zh-CN"/>
        </w:rPr>
        <w:t>3.3.4 防雷接地接地测试端子应避开建筑主要出入口；</w:t>
      </w:r>
    </w:p>
    <w:p w14:paraId="06550444">
      <w:pPr>
        <w:ind w:firstLine="369" w:firstLineChars="176"/>
        <w:rPr>
          <w:color w:val="auto"/>
          <w:highlight w:val="none"/>
          <w:u w:val="none" w:color="auto"/>
          <w:lang w:eastAsia="zh-CN"/>
        </w:rPr>
      </w:pPr>
      <w:r>
        <w:rPr>
          <w:color w:val="auto"/>
          <w:highlight w:val="none"/>
          <w:u w:val="none" w:color="auto"/>
          <w:lang w:eastAsia="zh-CN"/>
        </w:rPr>
        <w:t>3.3.5 屋面航空障碍灯、闭路监控摄像机应设单独避雷针保护.</w:t>
      </w:r>
    </w:p>
    <w:p w14:paraId="2ABC90D0">
      <w:pPr>
        <w:ind w:firstLine="369" w:firstLineChars="176"/>
        <w:rPr>
          <w:color w:val="auto"/>
          <w:highlight w:val="none"/>
          <w:u w:val="none" w:color="auto"/>
          <w:lang w:eastAsia="zh-CN"/>
        </w:rPr>
      </w:pPr>
      <w:r>
        <w:rPr>
          <w:color w:val="auto"/>
          <w:highlight w:val="none"/>
          <w:u w:val="none" w:color="auto"/>
          <w:lang w:eastAsia="zh-CN"/>
        </w:rPr>
        <w:t>3.3.6 变配电所供电系统按规范设计相应过电压保护措施。</w:t>
      </w:r>
    </w:p>
    <w:p w14:paraId="51543D45">
      <w:pPr>
        <w:ind w:firstLine="369" w:firstLineChars="176"/>
        <w:rPr>
          <w:color w:val="auto"/>
          <w:highlight w:val="none"/>
          <w:u w:val="none" w:color="auto"/>
          <w:lang w:eastAsia="zh-CN"/>
        </w:rPr>
      </w:pPr>
      <w:r>
        <w:rPr>
          <w:color w:val="auto"/>
          <w:highlight w:val="none"/>
          <w:u w:val="none" w:color="auto"/>
          <w:lang w:eastAsia="zh-CN"/>
        </w:rPr>
        <w:t>3.3.7 在各楼单元配电总箱处设过电压保护，按分段竖向干线设漏电保护检测，报警 信号接入漏电火灾报警系统。</w:t>
      </w:r>
    </w:p>
    <w:p w14:paraId="4F98265A">
      <w:pPr>
        <w:ind w:firstLine="369" w:firstLineChars="176"/>
        <w:rPr>
          <w:color w:val="auto"/>
          <w:highlight w:val="none"/>
          <w:u w:val="none" w:color="auto"/>
          <w:lang w:eastAsia="zh-CN"/>
        </w:rPr>
      </w:pPr>
      <w:r>
        <w:rPr>
          <w:color w:val="auto"/>
          <w:highlight w:val="none"/>
          <w:u w:val="none" w:color="auto"/>
          <w:lang w:eastAsia="zh-CN"/>
        </w:rPr>
        <w:t>3.3.8 住户配电箱出线除照明和壁挂室内空调插座回路外， 其余回路均设置漏电保护。</w:t>
      </w:r>
    </w:p>
    <w:p w14:paraId="1F128133">
      <w:pPr>
        <w:ind w:firstLine="369" w:firstLineChars="176"/>
        <w:rPr>
          <w:color w:val="auto"/>
          <w:highlight w:val="none"/>
          <w:u w:val="none" w:color="auto"/>
          <w:lang w:eastAsia="zh-CN"/>
        </w:rPr>
      </w:pPr>
      <w:r>
        <w:rPr>
          <w:color w:val="auto"/>
          <w:highlight w:val="none"/>
          <w:u w:val="none" w:color="auto"/>
          <w:lang w:eastAsia="zh-CN"/>
        </w:rPr>
        <w:t>3.4 小市政管线设计</w:t>
      </w:r>
    </w:p>
    <w:p w14:paraId="1E685F6C">
      <w:pPr>
        <w:ind w:firstLine="369" w:firstLineChars="176"/>
        <w:rPr>
          <w:color w:val="auto"/>
          <w:highlight w:val="none"/>
          <w:u w:val="none" w:color="auto"/>
          <w:lang w:eastAsia="zh-CN"/>
        </w:rPr>
      </w:pPr>
      <w:r>
        <w:rPr>
          <w:color w:val="auto"/>
          <w:highlight w:val="none"/>
          <w:u w:val="none" w:color="auto"/>
          <w:lang w:eastAsia="zh-CN"/>
        </w:rPr>
        <w:t>3.4.1 红线内高低压电缆原则上应在地下车库内穿电缆桥架敷设</w:t>
      </w:r>
    </w:p>
    <w:p w14:paraId="0DA414AE">
      <w:pPr>
        <w:ind w:firstLine="369" w:firstLineChars="176"/>
        <w:rPr>
          <w:color w:val="auto"/>
          <w:highlight w:val="none"/>
          <w:u w:val="none" w:color="auto"/>
          <w:lang w:eastAsia="zh-CN"/>
        </w:rPr>
      </w:pPr>
      <w:r>
        <w:rPr>
          <w:color w:val="auto"/>
          <w:highlight w:val="none"/>
          <w:u w:val="none" w:color="auto"/>
          <w:lang w:eastAsia="zh-CN"/>
        </w:rPr>
        <w:t>3.4.2 当高、低压电缆线路需要在室外覆土内敷设时，高压电缆线路采用热镀锌钢管 保护，低压电缆采用塑料管或热镀锌钢管保护；高、低压管线应预留备用管孔；</w:t>
      </w:r>
    </w:p>
    <w:p w14:paraId="24034D60">
      <w:pPr>
        <w:ind w:firstLine="369" w:firstLineChars="176"/>
        <w:rPr>
          <w:color w:val="auto"/>
          <w:highlight w:val="none"/>
          <w:u w:val="none" w:color="auto"/>
          <w:lang w:eastAsia="zh-CN"/>
        </w:rPr>
      </w:pPr>
      <w:r>
        <w:rPr>
          <w:color w:val="auto"/>
          <w:highlight w:val="none"/>
          <w:u w:val="none" w:color="auto"/>
          <w:lang w:eastAsia="zh-CN"/>
        </w:rPr>
        <w:t>管道出线、拐弯等处， 应设人孔或手孔（根据项目当地标准确定） ，人孔（手孔） 水平距离不宜超过 60m;</w:t>
      </w:r>
    </w:p>
    <w:p w14:paraId="35A438CF">
      <w:pPr>
        <w:ind w:firstLine="369" w:firstLineChars="176"/>
        <w:rPr>
          <w:color w:val="auto"/>
          <w:highlight w:val="none"/>
          <w:u w:val="none" w:color="auto"/>
          <w:lang w:eastAsia="zh-CN"/>
        </w:rPr>
      </w:pPr>
      <w:r>
        <w:rPr>
          <w:color w:val="auto"/>
          <w:highlight w:val="none"/>
          <w:u w:val="none" w:color="auto"/>
          <w:lang w:eastAsia="zh-CN"/>
        </w:rPr>
        <w:t>3.4.3 室外景观照明线路采用穿钢管敷设；</w:t>
      </w:r>
    </w:p>
    <w:p w14:paraId="54D338A5">
      <w:pPr>
        <w:ind w:firstLine="369" w:firstLineChars="176"/>
        <w:rPr>
          <w:color w:val="auto"/>
          <w:highlight w:val="none"/>
          <w:u w:val="none" w:color="auto"/>
          <w:lang w:eastAsia="zh-CN"/>
        </w:rPr>
      </w:pPr>
      <w:r>
        <w:rPr>
          <w:color w:val="auto"/>
          <w:highlight w:val="none"/>
          <w:u w:val="none" w:color="auto"/>
          <w:lang w:eastAsia="zh-CN"/>
        </w:rPr>
        <w:t>3.4.4 在地下一层要预留至室外照明的穿线套管，预留方向和位置应根据总图确定.</w:t>
      </w:r>
    </w:p>
    <w:p w14:paraId="5870402F">
      <w:pPr>
        <w:ind w:firstLine="369" w:firstLineChars="176"/>
        <w:rPr>
          <w:color w:val="auto"/>
          <w:highlight w:val="none"/>
          <w:u w:val="none" w:color="auto"/>
          <w:lang w:eastAsia="zh-CN"/>
        </w:rPr>
      </w:pPr>
      <w:r>
        <w:rPr>
          <w:color w:val="auto"/>
          <w:highlight w:val="none"/>
          <w:u w:val="none" w:color="auto"/>
          <w:lang w:eastAsia="zh-CN"/>
        </w:rPr>
        <w:t>3.5 火灾自动报警及消防联动控制系统</w:t>
      </w:r>
    </w:p>
    <w:p w14:paraId="59203376">
      <w:pPr>
        <w:ind w:firstLine="369" w:firstLineChars="176"/>
        <w:rPr>
          <w:color w:val="auto"/>
          <w:highlight w:val="none"/>
          <w:u w:val="none" w:color="auto"/>
          <w:lang w:eastAsia="zh-CN"/>
        </w:rPr>
      </w:pPr>
      <w:r>
        <w:rPr>
          <w:color w:val="auto"/>
          <w:highlight w:val="none"/>
          <w:u w:val="none" w:color="auto"/>
          <w:lang w:eastAsia="zh-CN"/>
        </w:rPr>
        <w:t>3.5.1 火灾报警及联动控制系统严格按规范执行.</w:t>
      </w:r>
    </w:p>
    <w:p w14:paraId="2C0AD804">
      <w:pPr>
        <w:ind w:firstLine="369" w:firstLineChars="176"/>
        <w:rPr>
          <w:color w:val="auto"/>
          <w:highlight w:val="none"/>
          <w:u w:val="none" w:color="auto"/>
          <w:lang w:eastAsia="zh-CN"/>
        </w:rPr>
      </w:pPr>
      <w:r>
        <w:rPr>
          <w:color w:val="auto"/>
          <w:highlight w:val="none"/>
          <w:u w:val="none" w:color="auto"/>
          <w:lang w:eastAsia="zh-CN"/>
        </w:rPr>
        <w:t>3.5.2 消防控制中心机房原则上设置在首层或地下一层，同时与安防监控中心合用.</w:t>
      </w:r>
    </w:p>
    <w:p w14:paraId="2B4966AF">
      <w:pPr>
        <w:ind w:firstLine="369" w:firstLineChars="176"/>
        <w:rPr>
          <w:color w:val="auto"/>
          <w:highlight w:val="none"/>
          <w:u w:val="none" w:color="auto"/>
          <w:lang w:eastAsia="zh-CN"/>
        </w:rPr>
      </w:pPr>
      <w:r>
        <w:rPr>
          <w:color w:val="auto"/>
          <w:highlight w:val="none"/>
          <w:u w:val="none" w:color="auto"/>
          <w:lang w:eastAsia="zh-CN"/>
        </w:rPr>
        <w:t>3.5.3 消防平面应结合结构梁高度、位置等因素合理布置。</w:t>
      </w:r>
    </w:p>
    <w:p w14:paraId="2C320036">
      <w:pPr>
        <w:ind w:firstLine="369" w:firstLineChars="176"/>
        <w:rPr>
          <w:color w:val="auto"/>
          <w:highlight w:val="none"/>
          <w:u w:val="none" w:color="auto"/>
          <w:lang w:eastAsia="zh-CN"/>
        </w:rPr>
      </w:pPr>
      <w:r>
        <w:rPr>
          <w:color w:val="auto"/>
          <w:highlight w:val="none"/>
          <w:u w:val="none" w:color="auto"/>
          <w:lang w:eastAsia="zh-CN"/>
        </w:rPr>
        <w:t>3.5.4 所有需安装设备应明确安装方式和高度，管线规格等标注明晰无遗漏。 按规范设置公共部位应急照明和疏散诱导装置。</w:t>
      </w:r>
    </w:p>
    <w:p w14:paraId="0CF9FC4B">
      <w:pPr>
        <w:ind w:firstLine="369" w:firstLineChars="176"/>
        <w:rPr>
          <w:color w:val="auto"/>
          <w:highlight w:val="none"/>
          <w:u w:val="none" w:color="auto"/>
          <w:lang w:eastAsia="zh-CN"/>
        </w:rPr>
      </w:pPr>
      <w:r>
        <w:rPr>
          <w:color w:val="auto"/>
          <w:highlight w:val="none"/>
          <w:u w:val="none" w:color="auto"/>
          <w:lang w:eastAsia="zh-CN"/>
        </w:rPr>
        <w:t>3.5.6 单体消防与整体消防系统联网线路及接口设备应有图纸反应， 除单体系统图外， 消防控制室按所控区域设计系统图并做设备选型，外接回路数留有足够余量。</w:t>
      </w:r>
    </w:p>
    <w:p w14:paraId="0D3433AB">
      <w:pPr>
        <w:ind w:firstLine="369" w:firstLineChars="176"/>
        <w:rPr>
          <w:color w:val="auto"/>
          <w:highlight w:val="none"/>
          <w:u w:val="none" w:color="auto"/>
          <w:lang w:eastAsia="zh-CN"/>
        </w:rPr>
      </w:pPr>
      <w:r>
        <w:rPr>
          <w:color w:val="auto"/>
          <w:highlight w:val="none"/>
          <w:u w:val="none" w:color="auto"/>
          <w:lang w:eastAsia="zh-CN"/>
        </w:rPr>
        <w:t>3.5.7 消防控制室做平面布置设计，详述外控联动设备及完成功能。</w:t>
      </w:r>
    </w:p>
    <w:p w14:paraId="48052BF3">
      <w:pPr>
        <w:pStyle w:val="22"/>
        <w:spacing w:line="256" w:lineRule="auto"/>
        <w:ind w:firstLine="369" w:firstLineChars="176"/>
        <w:rPr>
          <w:rFonts w:eastAsiaTheme="minorEastAsia"/>
          <w:color w:val="auto"/>
          <w:highlight w:val="none"/>
          <w:u w:val="none" w:color="auto"/>
          <w:lang w:eastAsia="zh-CN"/>
        </w:rPr>
      </w:pPr>
    </w:p>
    <w:p w14:paraId="12A65F02">
      <w:pPr>
        <w:ind w:firstLine="371" w:firstLineChars="176"/>
        <w:rPr>
          <w:rFonts w:hint="eastAsia" w:eastAsia="宋体" w:cs="宋体"/>
          <w:color w:val="auto"/>
          <w:sz w:val="27"/>
          <w:szCs w:val="27"/>
          <w:highlight w:val="yellow"/>
          <w:u w:val="none" w:color="auto"/>
          <w:lang w:eastAsia="zh"/>
        </w:rPr>
      </w:pPr>
      <w:r>
        <w:rPr>
          <w:b/>
          <w:bCs/>
          <w:color w:val="auto"/>
          <w:highlight w:val="yellow"/>
          <w:u w:val="none" w:color="auto"/>
          <w:lang w:eastAsia="zh-CN"/>
        </w:rPr>
        <w:t>二、弱电专业</w:t>
      </w:r>
      <w:r>
        <w:rPr>
          <w:rFonts w:hint="eastAsia"/>
          <w:b/>
          <w:bCs/>
          <w:color w:val="auto"/>
          <w:highlight w:val="yellow"/>
          <w:u w:val="none" w:color="auto"/>
          <w:lang w:eastAsia="zh"/>
        </w:rPr>
        <w:t>（智能化二次深化设计任务书通用）</w:t>
      </w:r>
    </w:p>
    <w:p w14:paraId="07772583">
      <w:pPr>
        <w:ind w:firstLine="369" w:firstLineChars="176"/>
        <w:rPr>
          <w:color w:val="auto"/>
          <w:highlight w:val="none"/>
          <w:u w:val="none" w:color="auto"/>
          <w:lang w:eastAsia="zh-CN"/>
        </w:rPr>
      </w:pPr>
      <w:r>
        <w:rPr>
          <w:color w:val="auto"/>
          <w:highlight w:val="none"/>
          <w:u w:val="none" w:color="auto"/>
          <w:lang w:eastAsia="zh-CN"/>
        </w:rPr>
        <w:t>1.设计范围</w:t>
      </w:r>
    </w:p>
    <w:p w14:paraId="1442486E">
      <w:pPr>
        <w:ind w:firstLine="369" w:firstLineChars="176"/>
        <w:rPr>
          <w:color w:val="auto"/>
          <w:highlight w:val="none"/>
          <w:u w:val="none" w:color="auto"/>
          <w:lang w:eastAsia="zh-CN"/>
        </w:rPr>
      </w:pPr>
      <w:r>
        <w:rPr>
          <w:color w:val="auto"/>
          <w:highlight w:val="none"/>
          <w:u w:val="none" w:color="auto"/>
          <w:lang w:eastAsia="zh-CN"/>
        </w:rPr>
        <w:t>弱电系统设计范围为住宅（户内、楼内公区）、底商、地下车库、住宅园区等.</w:t>
      </w:r>
    </w:p>
    <w:p w14:paraId="4FBCDCD1">
      <w:pPr>
        <w:ind w:firstLine="369" w:firstLineChars="176"/>
        <w:rPr>
          <w:color w:val="auto"/>
          <w:highlight w:val="none"/>
          <w:u w:val="none" w:color="auto"/>
          <w:lang w:eastAsia="zh-CN"/>
        </w:rPr>
      </w:pPr>
      <w:r>
        <w:rPr>
          <w:color w:val="auto"/>
          <w:highlight w:val="none"/>
          <w:u w:val="none" w:color="auto"/>
          <w:lang w:eastAsia="zh-CN"/>
        </w:rPr>
        <w:t>精装修项目，需根据精装二次设计，绘制精装土建配合图纸，包括弱电管线图纸。</w:t>
      </w:r>
    </w:p>
    <w:p w14:paraId="23567C70">
      <w:pPr>
        <w:ind w:firstLine="369" w:firstLineChars="176"/>
        <w:rPr>
          <w:color w:val="auto"/>
          <w:highlight w:val="none"/>
          <w:u w:val="none" w:color="auto"/>
          <w:lang w:eastAsia="zh-CN"/>
        </w:rPr>
      </w:pPr>
      <w:r>
        <w:rPr>
          <w:color w:val="auto"/>
          <w:highlight w:val="none"/>
          <w:u w:val="none" w:color="auto"/>
          <w:lang w:eastAsia="zh-CN"/>
        </w:rPr>
        <w:t>2.设计内容</w:t>
      </w:r>
    </w:p>
    <w:p w14:paraId="3E48E664">
      <w:pPr>
        <w:ind w:firstLine="369" w:firstLineChars="176"/>
        <w:rPr>
          <w:color w:val="auto"/>
          <w:highlight w:val="none"/>
          <w:u w:val="none" w:color="auto"/>
          <w:lang w:eastAsia="zh-CN"/>
        </w:rPr>
      </w:pPr>
      <w:r>
        <w:rPr>
          <w:color w:val="auto"/>
          <w:highlight w:val="none"/>
          <w:u w:val="none" w:color="auto"/>
          <w:lang w:eastAsia="zh-CN"/>
        </w:rPr>
        <w:t>弱电系统深化设计应包含（不限于）下列子系统</w:t>
      </w:r>
    </w:p>
    <w:p w14:paraId="32EDB826">
      <w:pPr>
        <w:pStyle w:val="74"/>
        <w:numPr>
          <w:ilvl w:val="0"/>
          <w:numId w:val="52"/>
        </w:numPr>
        <w:ind w:firstLineChars="0"/>
        <w:rPr>
          <w:color w:val="auto"/>
          <w:highlight w:val="none"/>
          <w:u w:val="none" w:color="auto"/>
          <w:lang w:eastAsia="zh-CN"/>
        </w:rPr>
      </w:pPr>
      <w:r>
        <w:rPr>
          <w:color w:val="auto"/>
          <w:highlight w:val="none"/>
          <w:u w:val="none" w:color="auto"/>
          <w:lang w:eastAsia="zh-CN"/>
        </w:rPr>
        <w:t>综合布线系统</w:t>
      </w:r>
    </w:p>
    <w:p w14:paraId="55FD6753">
      <w:pPr>
        <w:pStyle w:val="74"/>
        <w:numPr>
          <w:ilvl w:val="0"/>
          <w:numId w:val="52"/>
        </w:numPr>
        <w:ind w:firstLineChars="0"/>
        <w:rPr>
          <w:color w:val="auto"/>
          <w:highlight w:val="none"/>
          <w:u w:val="none" w:color="auto"/>
          <w:lang w:eastAsia="zh-CN"/>
        </w:rPr>
      </w:pPr>
      <w:r>
        <w:rPr>
          <w:color w:val="auto"/>
          <w:highlight w:val="none"/>
          <w:u w:val="none" w:color="auto"/>
          <w:lang w:eastAsia="zh-CN"/>
        </w:rPr>
        <w:t>通讯系统</w:t>
      </w:r>
    </w:p>
    <w:p w14:paraId="79DA489E">
      <w:pPr>
        <w:pStyle w:val="74"/>
        <w:numPr>
          <w:ilvl w:val="0"/>
          <w:numId w:val="52"/>
        </w:numPr>
        <w:ind w:firstLineChars="0"/>
        <w:rPr>
          <w:color w:val="auto"/>
          <w:highlight w:val="none"/>
          <w:u w:val="none" w:color="auto"/>
          <w:lang w:eastAsia="zh-CN"/>
        </w:rPr>
      </w:pPr>
      <w:r>
        <w:rPr>
          <w:color w:val="auto"/>
          <w:highlight w:val="none"/>
          <w:u w:val="none" w:color="auto"/>
          <w:lang w:eastAsia="zh-CN"/>
        </w:rPr>
        <w:t>有线电视系统</w:t>
      </w:r>
    </w:p>
    <w:p w14:paraId="430AB622">
      <w:pPr>
        <w:pStyle w:val="74"/>
        <w:numPr>
          <w:ilvl w:val="0"/>
          <w:numId w:val="52"/>
        </w:numPr>
        <w:ind w:firstLineChars="0"/>
        <w:rPr>
          <w:color w:val="auto"/>
          <w:highlight w:val="none"/>
          <w:u w:val="none" w:color="auto"/>
          <w:lang w:eastAsia="zh-CN"/>
        </w:rPr>
      </w:pPr>
      <w:r>
        <w:rPr>
          <w:color w:val="auto"/>
          <w:highlight w:val="none"/>
          <w:u w:val="none" w:color="auto"/>
          <w:lang w:eastAsia="zh-CN"/>
        </w:rPr>
        <w:t>信息发布系统</w:t>
      </w:r>
    </w:p>
    <w:p w14:paraId="19807E31">
      <w:pPr>
        <w:pStyle w:val="74"/>
        <w:numPr>
          <w:ilvl w:val="0"/>
          <w:numId w:val="52"/>
        </w:numPr>
        <w:ind w:firstLineChars="0"/>
        <w:rPr>
          <w:color w:val="auto"/>
          <w:highlight w:val="none"/>
          <w:u w:val="none" w:color="auto"/>
          <w:lang w:eastAsia="zh-CN"/>
        </w:rPr>
      </w:pPr>
      <w:r>
        <w:rPr>
          <w:color w:val="auto"/>
          <w:highlight w:val="none"/>
          <w:u w:val="none" w:color="auto"/>
          <w:lang w:eastAsia="zh-CN"/>
        </w:rPr>
        <w:t>视频安防监控系统</w:t>
      </w:r>
    </w:p>
    <w:p w14:paraId="3C413425">
      <w:pPr>
        <w:pStyle w:val="74"/>
        <w:numPr>
          <w:ilvl w:val="0"/>
          <w:numId w:val="52"/>
        </w:numPr>
        <w:ind w:firstLineChars="0"/>
        <w:rPr>
          <w:color w:val="auto"/>
          <w:highlight w:val="none"/>
          <w:u w:val="none" w:color="auto"/>
          <w:lang w:eastAsia="zh-CN"/>
        </w:rPr>
      </w:pPr>
      <w:r>
        <w:rPr>
          <w:rFonts w:hint="eastAsia"/>
          <w:color w:val="auto"/>
          <w:highlight w:val="none"/>
          <w:u w:val="none" w:color="auto"/>
          <w:lang w:eastAsia="zh-CN"/>
        </w:rPr>
        <w:t>楼宇</w:t>
      </w:r>
      <w:r>
        <w:rPr>
          <w:color w:val="auto"/>
          <w:highlight w:val="none"/>
          <w:u w:val="none" w:color="auto"/>
          <w:lang w:eastAsia="zh-CN"/>
        </w:rPr>
        <w:t>对讲（含门禁）系统</w:t>
      </w:r>
    </w:p>
    <w:p w14:paraId="2EC89A99">
      <w:pPr>
        <w:pStyle w:val="74"/>
        <w:numPr>
          <w:ilvl w:val="0"/>
          <w:numId w:val="52"/>
        </w:numPr>
        <w:ind w:firstLineChars="0"/>
        <w:rPr>
          <w:color w:val="auto"/>
          <w:highlight w:val="none"/>
          <w:u w:val="none" w:color="auto"/>
          <w:lang w:eastAsia="zh-CN"/>
        </w:rPr>
      </w:pPr>
      <w:r>
        <w:rPr>
          <w:rFonts w:hint="eastAsia"/>
          <w:color w:val="auto"/>
          <w:highlight w:val="none"/>
          <w:u w:val="none" w:color="auto"/>
          <w:lang w:eastAsia="zh-CN"/>
        </w:rPr>
        <w:t>家庭安全防范系统</w:t>
      </w:r>
    </w:p>
    <w:p w14:paraId="0A2D5532">
      <w:pPr>
        <w:pStyle w:val="74"/>
        <w:numPr>
          <w:ilvl w:val="0"/>
          <w:numId w:val="52"/>
        </w:numPr>
        <w:ind w:firstLineChars="0"/>
        <w:rPr>
          <w:color w:val="auto"/>
          <w:highlight w:val="none"/>
          <w:u w:val="none" w:color="auto"/>
          <w:lang w:eastAsia="zh-CN"/>
        </w:rPr>
      </w:pPr>
      <w:r>
        <w:rPr>
          <w:rFonts w:hint="eastAsia"/>
          <w:color w:val="auto"/>
          <w:highlight w:val="none"/>
          <w:u w:val="none" w:color="auto"/>
          <w:lang w:eastAsia="zh-CN"/>
        </w:rPr>
        <w:t>智能停车场管理系统</w:t>
      </w:r>
    </w:p>
    <w:p w14:paraId="7E734EAB">
      <w:pPr>
        <w:pStyle w:val="74"/>
        <w:numPr>
          <w:ilvl w:val="0"/>
          <w:numId w:val="52"/>
        </w:numPr>
        <w:ind w:firstLineChars="0"/>
        <w:rPr>
          <w:color w:val="auto"/>
          <w:highlight w:val="none"/>
          <w:u w:val="none" w:color="auto"/>
          <w:lang w:eastAsia="zh-CN"/>
        </w:rPr>
      </w:pPr>
      <w:r>
        <w:rPr>
          <w:rFonts w:hint="eastAsia"/>
          <w:color w:val="auto"/>
          <w:highlight w:val="none"/>
          <w:u w:val="none" w:color="auto"/>
          <w:lang w:eastAsia="zh-CN"/>
        </w:rPr>
        <w:t>周界防范系统</w:t>
      </w:r>
    </w:p>
    <w:p w14:paraId="13EE97EB">
      <w:pPr>
        <w:pStyle w:val="74"/>
        <w:numPr>
          <w:ilvl w:val="0"/>
          <w:numId w:val="52"/>
        </w:numPr>
        <w:ind w:firstLineChars="0"/>
        <w:rPr>
          <w:color w:val="auto"/>
          <w:highlight w:val="none"/>
          <w:u w:val="none" w:color="auto"/>
          <w:lang w:eastAsia="zh-CN"/>
        </w:rPr>
      </w:pPr>
      <w:r>
        <w:rPr>
          <w:rFonts w:hint="eastAsia"/>
          <w:color w:val="auto"/>
          <w:highlight w:val="none"/>
          <w:u w:val="none" w:color="auto"/>
          <w:lang w:eastAsia="zh-CN"/>
        </w:rPr>
        <w:t>电子巡更系统</w:t>
      </w:r>
    </w:p>
    <w:p w14:paraId="57641893">
      <w:pPr>
        <w:pStyle w:val="74"/>
        <w:numPr>
          <w:ilvl w:val="0"/>
          <w:numId w:val="52"/>
        </w:numPr>
        <w:ind w:firstLineChars="0"/>
        <w:rPr>
          <w:color w:val="auto"/>
          <w:highlight w:val="none"/>
          <w:u w:val="none" w:color="auto"/>
          <w:lang w:eastAsia="zh-CN"/>
        </w:rPr>
      </w:pPr>
      <w:r>
        <w:rPr>
          <w:rFonts w:hint="eastAsia"/>
          <w:color w:val="auto"/>
          <w:highlight w:val="none"/>
          <w:u w:val="none" w:color="auto"/>
          <w:lang w:eastAsia="zh-CN"/>
        </w:rPr>
        <w:t>无感通行系统</w:t>
      </w:r>
    </w:p>
    <w:p w14:paraId="6E234F63">
      <w:pPr>
        <w:pStyle w:val="74"/>
        <w:numPr>
          <w:ilvl w:val="0"/>
          <w:numId w:val="52"/>
        </w:numPr>
        <w:ind w:firstLineChars="0"/>
        <w:rPr>
          <w:color w:val="auto"/>
          <w:highlight w:val="none"/>
          <w:u w:val="none" w:color="auto"/>
          <w:lang w:eastAsia="zh-CN"/>
        </w:rPr>
      </w:pPr>
      <w:r>
        <w:rPr>
          <w:rFonts w:hint="eastAsia"/>
          <w:color w:val="auto"/>
          <w:highlight w:val="none"/>
          <w:u w:val="none" w:color="auto"/>
          <w:lang w:eastAsia="zh-CN"/>
        </w:rPr>
        <w:t>五方通话系统</w:t>
      </w:r>
    </w:p>
    <w:p w14:paraId="56517933">
      <w:pPr>
        <w:pStyle w:val="74"/>
        <w:numPr>
          <w:ilvl w:val="0"/>
          <w:numId w:val="52"/>
        </w:numPr>
        <w:ind w:firstLineChars="0"/>
        <w:rPr>
          <w:color w:val="auto"/>
          <w:highlight w:val="none"/>
          <w:u w:val="none" w:color="auto"/>
          <w:lang w:eastAsia="zh-CN"/>
        </w:rPr>
      </w:pPr>
      <w:r>
        <w:rPr>
          <w:color w:val="auto"/>
          <w:highlight w:val="none"/>
          <w:u w:val="none" w:color="auto"/>
          <w:lang w:eastAsia="zh-CN"/>
        </w:rPr>
        <w:t>机房工程</w:t>
      </w:r>
    </w:p>
    <w:p w14:paraId="53A33CD0">
      <w:pPr>
        <w:pStyle w:val="74"/>
        <w:numPr>
          <w:ilvl w:val="0"/>
          <w:numId w:val="52"/>
        </w:numPr>
        <w:ind w:firstLineChars="0"/>
        <w:rPr>
          <w:color w:val="auto"/>
          <w:highlight w:val="none"/>
          <w:u w:val="none" w:color="auto"/>
          <w:lang w:eastAsia="zh-CN"/>
        </w:rPr>
      </w:pPr>
      <w:r>
        <w:rPr>
          <w:color w:val="auto"/>
          <w:highlight w:val="none"/>
          <w:u w:val="none" w:color="auto"/>
          <w:lang w:eastAsia="zh-CN"/>
        </w:rPr>
        <w:t>物业内线电话</w:t>
      </w:r>
    </w:p>
    <w:p w14:paraId="494BFCE1">
      <w:pPr>
        <w:ind w:firstLine="369" w:firstLineChars="176"/>
        <w:rPr>
          <w:color w:val="auto"/>
          <w:highlight w:val="none"/>
          <w:u w:val="none" w:color="auto"/>
          <w:lang w:eastAsia="zh-CN"/>
        </w:rPr>
      </w:pPr>
      <w:r>
        <w:rPr>
          <w:color w:val="auto"/>
          <w:highlight w:val="none"/>
          <w:u w:val="none" w:color="auto"/>
          <w:lang w:eastAsia="zh-CN"/>
        </w:rPr>
        <w:t>3.设计依据</w:t>
      </w:r>
    </w:p>
    <w:p w14:paraId="531C2A92">
      <w:pPr>
        <w:ind w:firstLine="369" w:firstLineChars="176"/>
        <w:rPr>
          <w:color w:val="auto"/>
          <w:highlight w:val="none"/>
          <w:u w:val="none" w:color="auto"/>
          <w:lang w:eastAsia="zh-CN"/>
        </w:rPr>
      </w:pPr>
      <w:r>
        <w:rPr>
          <w:color w:val="auto"/>
          <w:highlight w:val="none"/>
          <w:u w:val="none" w:color="auto"/>
          <w:lang w:eastAsia="zh-CN"/>
        </w:rPr>
        <w:t>建设单位提供的图纸及其他相关资料</w:t>
      </w:r>
    </w:p>
    <w:p w14:paraId="17F4F0F8">
      <w:pPr>
        <w:ind w:firstLine="369" w:firstLineChars="176"/>
        <w:rPr>
          <w:color w:val="auto"/>
          <w:highlight w:val="none"/>
          <w:u w:val="none" w:color="auto"/>
          <w:lang w:eastAsia="zh-CN"/>
        </w:rPr>
      </w:pPr>
      <w:r>
        <w:rPr>
          <w:color w:val="auto"/>
          <w:highlight w:val="none"/>
          <w:u w:val="none" w:color="auto"/>
          <w:lang w:eastAsia="zh-CN"/>
        </w:rPr>
        <w:t>相关国际、国家、行业标准</w:t>
      </w:r>
    </w:p>
    <w:p w14:paraId="0296BB98">
      <w:pPr>
        <w:ind w:firstLine="369" w:firstLineChars="176"/>
        <w:rPr>
          <w:color w:val="auto"/>
          <w:highlight w:val="none"/>
          <w:u w:val="none" w:color="auto"/>
          <w:lang w:eastAsia="zh-CN"/>
        </w:rPr>
      </w:pPr>
      <w:r>
        <w:rPr>
          <w:color w:val="auto"/>
          <w:highlight w:val="none"/>
          <w:u w:val="none" w:color="auto"/>
          <w:lang w:eastAsia="zh-CN"/>
        </w:rPr>
        <w:t>其他适用于本项目的有关国家规范和国家标准，省市有关规范、规定要求，省市公安局有关规范、规定要求等。</w:t>
      </w:r>
    </w:p>
    <w:p w14:paraId="1A4397A0">
      <w:pPr>
        <w:ind w:firstLine="369" w:firstLineChars="176"/>
        <w:rPr>
          <w:color w:val="auto"/>
          <w:highlight w:val="none"/>
          <w:u w:val="none" w:color="auto"/>
          <w:lang w:eastAsia="zh-CN"/>
        </w:rPr>
      </w:pPr>
      <w:r>
        <w:rPr>
          <w:color w:val="auto"/>
          <w:highlight w:val="none"/>
          <w:u w:val="none" w:color="auto"/>
          <w:lang w:eastAsia="zh-CN"/>
        </w:rPr>
        <w:t>4.设计深度</w:t>
      </w:r>
    </w:p>
    <w:p w14:paraId="07B9C270">
      <w:pPr>
        <w:ind w:firstLine="369" w:firstLineChars="176"/>
        <w:rPr>
          <w:color w:val="auto"/>
          <w:highlight w:val="none"/>
          <w:u w:val="none" w:color="auto"/>
          <w:lang w:eastAsia="zh-CN"/>
        </w:rPr>
      </w:pPr>
      <w:r>
        <w:rPr>
          <w:color w:val="auto"/>
          <w:highlight w:val="none"/>
          <w:u w:val="none" w:color="auto"/>
          <w:lang w:eastAsia="zh-CN"/>
        </w:rPr>
        <w:t>弱电系统设计单位针对本项目设计范围、内容应做详细的弱电系统设计， 设计成果应 包含但不限于以下内容：</w:t>
      </w:r>
    </w:p>
    <w:p w14:paraId="516ED2CC">
      <w:pPr>
        <w:ind w:firstLine="369" w:firstLineChars="176"/>
        <w:rPr>
          <w:color w:val="auto"/>
          <w:highlight w:val="none"/>
          <w:u w:val="none" w:color="auto"/>
          <w:lang w:eastAsia="zh-CN"/>
        </w:rPr>
      </w:pPr>
      <w:r>
        <w:rPr>
          <w:color w:val="auto"/>
          <w:highlight w:val="none"/>
          <w:u w:val="none" w:color="auto"/>
          <w:lang w:eastAsia="zh-CN"/>
        </w:rPr>
        <w:t>弱电系统设计说明、系统图、平面图及设备材料表等。</w:t>
      </w:r>
    </w:p>
    <w:p w14:paraId="0CAB2991">
      <w:pPr>
        <w:ind w:firstLine="369" w:firstLineChars="176"/>
        <w:rPr>
          <w:color w:val="auto"/>
          <w:highlight w:val="none"/>
          <w:u w:val="none" w:color="auto"/>
          <w:lang w:eastAsia="zh-CN"/>
        </w:rPr>
      </w:pPr>
      <w:r>
        <w:rPr>
          <w:color w:val="auto"/>
          <w:highlight w:val="none"/>
          <w:u w:val="none" w:color="auto"/>
          <w:lang w:eastAsia="zh-CN"/>
        </w:rPr>
        <w:t>6.设计要求</w:t>
      </w:r>
    </w:p>
    <w:p w14:paraId="235ED64E">
      <w:pPr>
        <w:ind w:firstLine="369" w:firstLineChars="176"/>
        <w:rPr>
          <w:color w:val="auto"/>
          <w:highlight w:val="none"/>
          <w:u w:val="none" w:color="auto"/>
          <w:lang w:eastAsia="zh-CN"/>
        </w:rPr>
      </w:pPr>
      <w:r>
        <w:rPr>
          <w:color w:val="auto"/>
          <w:highlight w:val="none"/>
          <w:u w:val="none" w:color="auto"/>
          <w:lang w:eastAsia="zh-CN"/>
        </w:rPr>
        <w:t>6.1 电话、网络及有线电视系统</w:t>
      </w:r>
    </w:p>
    <w:p w14:paraId="418B99D3">
      <w:pPr>
        <w:ind w:firstLine="369" w:firstLineChars="176"/>
        <w:rPr>
          <w:color w:val="auto"/>
          <w:highlight w:val="none"/>
          <w:u w:val="none" w:color="auto"/>
          <w:lang w:eastAsia="zh-CN"/>
        </w:rPr>
      </w:pPr>
      <w:r>
        <w:rPr>
          <w:color w:val="auto"/>
          <w:highlight w:val="none"/>
          <w:u w:val="none" w:color="auto"/>
          <w:lang w:eastAsia="zh-CN"/>
        </w:rPr>
        <w:t>住宅户内：设置弱电箱，进户管至少预留 2 根 25 套管。</w:t>
      </w:r>
    </w:p>
    <w:p w14:paraId="5998B355">
      <w:pPr>
        <w:ind w:firstLine="369" w:firstLineChars="176"/>
        <w:rPr>
          <w:color w:val="auto"/>
          <w:highlight w:val="none"/>
          <w:u w:val="none" w:color="auto"/>
          <w:lang w:eastAsia="zh-CN"/>
        </w:rPr>
      </w:pPr>
      <w:r>
        <w:rPr>
          <w:color w:val="auto"/>
          <w:highlight w:val="none"/>
          <w:u w:val="none" w:color="auto"/>
          <w:lang w:eastAsia="zh-CN"/>
        </w:rPr>
        <w:t>住宅：每户留多媒体弱电箱一个，箱底距地 0.3m 暗装；结合户型和家具摆放，宜做隐蔽布置；</w:t>
      </w:r>
    </w:p>
    <w:p w14:paraId="197CFB60">
      <w:pPr>
        <w:ind w:firstLine="369" w:firstLineChars="176"/>
        <w:rPr>
          <w:color w:val="auto"/>
          <w:highlight w:val="none"/>
          <w:u w:val="none" w:color="auto"/>
          <w:lang w:eastAsia="zh-CN"/>
        </w:rPr>
      </w:pPr>
      <w:r>
        <w:rPr>
          <w:color w:val="auto"/>
          <w:highlight w:val="none"/>
          <w:u w:val="none" w:color="auto"/>
          <w:lang w:eastAsia="zh-CN"/>
        </w:rPr>
        <w:t>结合户型家具摆放和强电插座布置做户型弱电插座、设备布置图：</w:t>
      </w:r>
    </w:p>
    <w:p w14:paraId="67B98A1B">
      <w:pPr>
        <w:ind w:firstLine="369" w:firstLineChars="176"/>
        <w:rPr>
          <w:color w:val="auto"/>
          <w:highlight w:val="yellow"/>
          <w:u w:val="none" w:color="auto"/>
          <w:lang w:eastAsia="zh-CN"/>
        </w:rPr>
      </w:pPr>
      <w:r>
        <w:rPr>
          <w:rFonts w:hint="eastAsia"/>
          <w:color w:val="auto"/>
          <w:highlight w:val="yellow"/>
          <w:u w:val="none" w:color="auto"/>
          <w:lang w:eastAsia="zh"/>
        </w:rPr>
        <w:t>网络通讯</w:t>
      </w:r>
      <w:r>
        <w:rPr>
          <w:color w:val="auto"/>
          <w:highlight w:val="yellow"/>
          <w:u w:val="none" w:color="auto"/>
          <w:lang w:eastAsia="zh-CN"/>
        </w:rPr>
        <w:t>：</w:t>
      </w:r>
      <w:r>
        <w:rPr>
          <w:rFonts w:hint="eastAsia"/>
          <w:color w:val="auto"/>
          <w:highlight w:val="yellow"/>
          <w:u w:val="none" w:color="auto"/>
          <w:lang w:eastAsia="zh"/>
        </w:rPr>
        <w:t>客厅、主卧、书房（或北侧一个卧室）</w:t>
      </w:r>
      <w:r>
        <w:rPr>
          <w:color w:val="auto"/>
          <w:highlight w:val="yellow"/>
          <w:u w:val="none" w:color="auto"/>
          <w:lang w:eastAsia="zh-CN"/>
        </w:rPr>
        <w:t>预留</w:t>
      </w:r>
      <w:r>
        <w:rPr>
          <w:rFonts w:hint="eastAsia"/>
          <w:color w:val="auto"/>
          <w:highlight w:val="yellow"/>
          <w:u w:val="none" w:color="auto"/>
          <w:lang w:eastAsia="zh"/>
        </w:rPr>
        <w:t>网络通讯</w:t>
      </w:r>
      <w:r>
        <w:rPr>
          <w:color w:val="auto"/>
          <w:highlight w:val="yellow"/>
          <w:u w:val="none" w:color="auto"/>
          <w:lang w:eastAsia="zh-CN"/>
        </w:rPr>
        <w:t>端口。</w:t>
      </w:r>
    </w:p>
    <w:p w14:paraId="46725C68">
      <w:pPr>
        <w:ind w:firstLine="369" w:firstLineChars="176"/>
        <w:rPr>
          <w:rFonts w:hint="eastAsia"/>
          <w:color w:val="auto"/>
          <w:highlight w:val="yellow"/>
          <w:u w:val="none" w:color="auto"/>
          <w:lang w:eastAsia="zh"/>
        </w:rPr>
      </w:pPr>
      <w:r>
        <w:rPr>
          <w:color w:val="auto"/>
          <w:highlight w:val="yellow"/>
          <w:u w:val="none" w:color="auto"/>
          <w:lang w:eastAsia="zh-CN"/>
        </w:rPr>
        <w:t>有线电视：</w:t>
      </w:r>
      <w:r>
        <w:rPr>
          <w:rFonts w:hint="eastAsia"/>
          <w:color w:val="auto"/>
          <w:highlight w:val="yellow"/>
          <w:u w:val="none" w:color="auto"/>
          <w:lang w:eastAsia="zh"/>
        </w:rPr>
        <w:t>客厅、主卧预留端口</w:t>
      </w:r>
    </w:p>
    <w:p w14:paraId="427337D7">
      <w:pPr>
        <w:ind w:firstLine="369" w:firstLineChars="176"/>
        <w:rPr>
          <w:color w:val="auto"/>
          <w:highlight w:val="yellow"/>
          <w:u w:val="none" w:color="auto"/>
          <w:lang w:eastAsia="zh-CN"/>
        </w:rPr>
      </w:pPr>
      <w:r>
        <w:rPr>
          <w:color w:val="auto"/>
          <w:highlight w:val="yellow"/>
          <w:u w:val="none" w:color="auto"/>
          <w:lang w:eastAsia="zh-CN"/>
        </w:rPr>
        <w:t>紧急求救按钮：在客厅和主卧设紧急求助按钮。</w:t>
      </w:r>
    </w:p>
    <w:p w14:paraId="356D470B">
      <w:pPr>
        <w:ind w:firstLine="369" w:firstLineChars="176"/>
        <w:rPr>
          <w:color w:val="auto"/>
          <w:highlight w:val="none"/>
          <w:u w:val="none" w:color="auto"/>
          <w:lang w:eastAsia="zh-CN"/>
        </w:rPr>
      </w:pPr>
      <w:r>
        <w:rPr>
          <w:color w:val="auto"/>
          <w:highlight w:val="none"/>
          <w:u w:val="none" w:color="auto"/>
          <w:lang w:eastAsia="zh-CN"/>
        </w:rPr>
        <w:t>对讲分机： 平层户按单台可视对讲分机在入户门或客厅附近空间合理布置， 跃层户在 上层家庭室空间增加一台对讲分机与下层并机。</w:t>
      </w:r>
    </w:p>
    <w:p w14:paraId="23C2F019">
      <w:pPr>
        <w:ind w:firstLine="369" w:firstLineChars="176"/>
        <w:rPr>
          <w:color w:val="auto"/>
          <w:highlight w:val="none"/>
          <w:u w:val="none" w:color="auto"/>
          <w:lang w:eastAsia="zh-CN"/>
        </w:rPr>
      </w:pPr>
      <w:r>
        <w:rPr>
          <w:color w:val="auto"/>
          <w:highlight w:val="none"/>
          <w:u w:val="none" w:color="auto"/>
          <w:lang w:eastAsia="zh-CN"/>
        </w:rPr>
        <w:t>6.2 移动通信覆盖系统</w:t>
      </w:r>
    </w:p>
    <w:p w14:paraId="3A1FD399">
      <w:pPr>
        <w:ind w:firstLine="369" w:firstLineChars="176"/>
        <w:rPr>
          <w:color w:val="auto"/>
          <w:highlight w:val="none"/>
          <w:u w:val="none" w:color="auto"/>
          <w:lang w:eastAsia="zh-CN"/>
        </w:rPr>
      </w:pPr>
      <w:r>
        <w:rPr>
          <w:color w:val="auto"/>
          <w:highlight w:val="none"/>
          <w:u w:val="none" w:color="auto"/>
          <w:lang w:eastAsia="zh-CN"/>
        </w:rPr>
        <w:t>本系统由运营商进行设计，弱电设计单位需对其设计成果进行核准，复核桥架及 管线预留是否满足其要求以及管线综合要求。</w:t>
      </w:r>
    </w:p>
    <w:p w14:paraId="61263E81">
      <w:pPr>
        <w:ind w:firstLine="369" w:firstLineChars="176"/>
        <w:rPr>
          <w:color w:val="auto"/>
          <w:highlight w:val="none"/>
          <w:u w:val="none" w:color="auto"/>
          <w:lang w:eastAsia="zh-CN"/>
        </w:rPr>
      </w:pPr>
      <w:r>
        <w:rPr>
          <w:color w:val="auto"/>
          <w:highlight w:val="none"/>
          <w:u w:val="none" w:color="auto"/>
          <w:lang w:eastAsia="zh-CN"/>
        </w:rPr>
        <w:t>6.3 信息发布系统</w:t>
      </w:r>
    </w:p>
    <w:p w14:paraId="7922CC74">
      <w:pPr>
        <w:ind w:firstLine="369" w:firstLineChars="176"/>
        <w:rPr>
          <w:color w:val="auto"/>
          <w:highlight w:val="none"/>
          <w:u w:val="none" w:color="auto"/>
          <w:lang w:eastAsia="zh-CN"/>
        </w:rPr>
      </w:pPr>
      <w:r>
        <w:rPr>
          <w:color w:val="auto"/>
          <w:highlight w:val="none"/>
          <w:u w:val="none" w:color="auto"/>
          <w:lang w:eastAsia="zh-CN"/>
        </w:rPr>
        <w:t>单元大堂预留强弱电插座</w:t>
      </w:r>
    </w:p>
    <w:p w14:paraId="43616D56">
      <w:pPr>
        <w:ind w:firstLine="369" w:firstLineChars="176"/>
        <w:rPr>
          <w:color w:val="auto"/>
          <w:highlight w:val="none"/>
          <w:u w:val="none" w:color="auto"/>
          <w:lang w:eastAsia="zh-CN"/>
        </w:rPr>
      </w:pPr>
      <w:r>
        <w:rPr>
          <w:color w:val="auto"/>
          <w:highlight w:val="none"/>
          <w:u w:val="none" w:color="auto"/>
          <w:lang w:eastAsia="zh-CN"/>
        </w:rPr>
        <w:t>6.4 视频安防监控系统</w:t>
      </w:r>
    </w:p>
    <w:p w14:paraId="3EAE1565">
      <w:pPr>
        <w:ind w:firstLine="369" w:firstLineChars="176"/>
        <w:rPr>
          <w:color w:val="auto"/>
          <w:highlight w:val="none"/>
          <w:u w:val="none" w:color="auto"/>
          <w:lang w:eastAsia="zh-CN"/>
        </w:rPr>
      </w:pPr>
      <w:r>
        <w:rPr>
          <w:color w:val="auto"/>
          <w:highlight w:val="none"/>
          <w:u w:val="none" w:color="auto"/>
          <w:lang w:eastAsia="zh-CN"/>
        </w:rPr>
        <w:t>6.4.1 系统功能</w:t>
      </w:r>
    </w:p>
    <w:p w14:paraId="4F9E7B1E">
      <w:pPr>
        <w:ind w:firstLine="369" w:firstLineChars="176"/>
        <w:jc w:val="both"/>
        <w:rPr>
          <w:color w:val="auto"/>
          <w:highlight w:val="none"/>
          <w:u w:val="none" w:color="auto"/>
          <w:lang w:eastAsia="zh-CN"/>
        </w:rPr>
      </w:pPr>
      <w:r>
        <w:rPr>
          <w:color w:val="auto"/>
          <w:highlight w:val="none"/>
          <w:u w:val="none" w:color="auto"/>
          <w:lang w:eastAsia="zh-CN"/>
        </w:rPr>
        <w:t>视项目所在地技防办要求和地方安防技术规定进行设计。如没有要求则按以下要求设计。</w:t>
      </w:r>
    </w:p>
    <w:p w14:paraId="5303B2DD">
      <w:pPr>
        <w:ind w:firstLine="369" w:firstLineChars="176"/>
        <w:rPr>
          <w:color w:val="auto"/>
          <w:highlight w:val="none"/>
          <w:u w:val="none" w:color="auto"/>
          <w:lang w:eastAsia="zh-CN"/>
        </w:rPr>
      </w:pPr>
      <w:r>
        <w:rPr>
          <w:color w:val="auto"/>
          <w:highlight w:val="none"/>
          <w:u w:val="none" w:color="auto"/>
          <w:lang w:eastAsia="zh-CN"/>
        </w:rPr>
        <w:t>采用数字彩色视频监控系统； 视频信号控制切换采用视频阵列或硬盘录像机；视频显示采用液晶监视器组成多屏电视墙；系统可与周界防范系统进行联动。</w:t>
      </w:r>
    </w:p>
    <w:p w14:paraId="6796C15E">
      <w:pPr>
        <w:ind w:firstLine="369" w:firstLineChars="176"/>
        <w:rPr>
          <w:color w:val="auto"/>
          <w:highlight w:val="none"/>
          <w:u w:val="none" w:color="auto"/>
          <w:lang w:eastAsia="zh-CN"/>
        </w:rPr>
      </w:pPr>
      <w:r>
        <w:rPr>
          <w:color w:val="auto"/>
          <w:highlight w:val="none"/>
          <w:u w:val="none" w:color="auto"/>
          <w:lang w:eastAsia="zh-CN"/>
        </w:rPr>
        <w:t>监控图像存储采用数字硬盘录像机，图像存储分辨率不低于 720P，录像时间不小于 30 天。</w:t>
      </w:r>
    </w:p>
    <w:p w14:paraId="59A71803">
      <w:pPr>
        <w:ind w:firstLine="369" w:firstLineChars="176"/>
        <w:rPr>
          <w:color w:val="auto"/>
          <w:highlight w:val="none"/>
          <w:u w:val="none" w:color="auto"/>
        </w:rPr>
      </w:pPr>
      <w:r>
        <w:rPr>
          <w:color w:val="auto"/>
          <w:highlight w:val="none"/>
          <w:u w:val="none" w:color="auto"/>
        </w:rPr>
        <w:t>6.4.2 点位布置</w:t>
      </w:r>
    </w:p>
    <w:tbl>
      <w:tblPr>
        <w:tblStyle w:val="924"/>
        <w:tblW w:w="9120" w:type="dxa"/>
        <w:tblInd w:w="9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660"/>
        <w:gridCol w:w="5460"/>
      </w:tblGrid>
      <w:tr w14:paraId="7EF890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9" w:hRule="atLeast"/>
        </w:trPr>
        <w:tc>
          <w:tcPr>
            <w:tcW w:w="3660" w:type="dxa"/>
            <w:vAlign w:val="center"/>
          </w:tcPr>
          <w:p w14:paraId="2269DECA">
            <w:pPr>
              <w:jc w:val="center"/>
              <w:rPr>
                <w:snapToGrid w:val="0"/>
                <w:color w:val="auto"/>
                <w:highlight w:val="none"/>
                <w:u w:val="none" w:color="auto"/>
              </w:rPr>
            </w:pPr>
            <w:r>
              <w:rPr>
                <w:snapToGrid w:val="0"/>
                <w:color w:val="auto"/>
                <w:highlight w:val="none"/>
                <w:u w:val="none" w:color="auto"/>
              </w:rPr>
              <w:t>类型</w:t>
            </w:r>
          </w:p>
        </w:tc>
        <w:tc>
          <w:tcPr>
            <w:tcW w:w="5460" w:type="dxa"/>
            <w:vAlign w:val="center"/>
          </w:tcPr>
          <w:p w14:paraId="50ED066C">
            <w:pPr>
              <w:jc w:val="center"/>
              <w:rPr>
                <w:snapToGrid w:val="0"/>
                <w:color w:val="auto"/>
                <w:highlight w:val="none"/>
                <w:u w:val="none" w:color="auto"/>
              </w:rPr>
            </w:pPr>
            <w:r>
              <w:rPr>
                <w:snapToGrid w:val="0"/>
                <w:color w:val="auto"/>
                <w:highlight w:val="none"/>
                <w:u w:val="none" w:color="auto"/>
              </w:rPr>
              <w:t>点位</w:t>
            </w:r>
          </w:p>
        </w:tc>
      </w:tr>
      <w:tr w14:paraId="708EA7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4" w:hRule="atLeast"/>
        </w:trPr>
        <w:tc>
          <w:tcPr>
            <w:tcW w:w="3660" w:type="dxa"/>
            <w:vAlign w:val="center"/>
          </w:tcPr>
          <w:p w14:paraId="6AC36308">
            <w:pPr>
              <w:jc w:val="center"/>
              <w:rPr>
                <w:snapToGrid w:val="0"/>
                <w:color w:val="auto"/>
                <w:highlight w:val="none"/>
                <w:u w:val="none" w:color="auto"/>
              </w:rPr>
            </w:pPr>
            <w:r>
              <w:rPr>
                <w:snapToGrid w:val="0"/>
                <w:color w:val="auto"/>
                <w:highlight w:val="none"/>
                <w:u w:val="none" w:color="auto"/>
              </w:rPr>
              <w:t>彩色半球摄像机</w:t>
            </w:r>
          </w:p>
        </w:tc>
        <w:tc>
          <w:tcPr>
            <w:tcW w:w="5460" w:type="dxa"/>
            <w:vAlign w:val="center"/>
          </w:tcPr>
          <w:p w14:paraId="6C7BBB33">
            <w:pPr>
              <w:jc w:val="center"/>
              <w:rPr>
                <w:snapToGrid w:val="0"/>
                <w:color w:val="auto"/>
                <w:highlight w:val="none"/>
                <w:u w:val="none" w:color="auto"/>
                <w:lang w:eastAsia="zh-CN"/>
              </w:rPr>
            </w:pPr>
            <w:r>
              <w:rPr>
                <w:snapToGrid w:val="0"/>
                <w:color w:val="auto"/>
                <w:highlight w:val="none"/>
                <w:u w:val="none" w:color="auto"/>
                <w:lang w:eastAsia="zh-CN"/>
              </w:rPr>
              <w:t>首层电梯厅、首层大堂、地下室电梯厅</w:t>
            </w:r>
          </w:p>
        </w:tc>
      </w:tr>
      <w:tr w14:paraId="730A6A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5" w:hRule="atLeast"/>
        </w:trPr>
        <w:tc>
          <w:tcPr>
            <w:tcW w:w="3660" w:type="dxa"/>
            <w:vAlign w:val="center"/>
          </w:tcPr>
          <w:p w14:paraId="1C0B8293">
            <w:pPr>
              <w:jc w:val="center"/>
              <w:rPr>
                <w:snapToGrid w:val="0"/>
                <w:color w:val="auto"/>
                <w:highlight w:val="none"/>
                <w:u w:val="none" w:color="auto"/>
                <w:lang w:eastAsia="zh-CN"/>
              </w:rPr>
            </w:pPr>
            <w:r>
              <w:rPr>
                <w:snapToGrid w:val="0"/>
                <w:color w:val="auto"/>
                <w:highlight w:val="none"/>
                <w:u w:val="none" w:color="auto"/>
                <w:lang w:eastAsia="zh-CN"/>
              </w:rPr>
              <w:t>电梯专用摄像机（具有电瓶车 监视功能）</w:t>
            </w:r>
          </w:p>
        </w:tc>
        <w:tc>
          <w:tcPr>
            <w:tcW w:w="5460" w:type="dxa"/>
            <w:vAlign w:val="center"/>
          </w:tcPr>
          <w:p w14:paraId="3667AA5D">
            <w:pPr>
              <w:jc w:val="center"/>
              <w:rPr>
                <w:snapToGrid w:val="0"/>
                <w:color w:val="auto"/>
                <w:highlight w:val="none"/>
                <w:u w:val="none" w:color="auto"/>
              </w:rPr>
            </w:pPr>
            <w:r>
              <w:rPr>
                <w:snapToGrid w:val="0"/>
                <w:color w:val="auto"/>
                <w:highlight w:val="none"/>
                <w:u w:val="none" w:color="auto"/>
              </w:rPr>
              <w:t>电梯轿厢</w:t>
            </w:r>
          </w:p>
        </w:tc>
      </w:tr>
      <w:tr w14:paraId="1A0954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3660" w:type="dxa"/>
            <w:vAlign w:val="center"/>
          </w:tcPr>
          <w:p w14:paraId="6801C3F8">
            <w:pPr>
              <w:jc w:val="center"/>
              <w:rPr>
                <w:snapToGrid w:val="0"/>
                <w:color w:val="auto"/>
                <w:highlight w:val="none"/>
                <w:u w:val="none" w:color="auto"/>
              </w:rPr>
            </w:pPr>
            <w:r>
              <w:rPr>
                <w:snapToGrid w:val="0"/>
                <w:color w:val="auto"/>
                <w:highlight w:val="none"/>
                <w:u w:val="none" w:color="auto"/>
              </w:rPr>
              <w:t>红外夜视枪机</w:t>
            </w:r>
          </w:p>
        </w:tc>
        <w:tc>
          <w:tcPr>
            <w:tcW w:w="5460" w:type="dxa"/>
            <w:vAlign w:val="center"/>
          </w:tcPr>
          <w:p w14:paraId="7869830C">
            <w:pPr>
              <w:jc w:val="center"/>
              <w:rPr>
                <w:snapToGrid w:val="0"/>
                <w:color w:val="auto"/>
                <w:highlight w:val="none"/>
                <w:u w:val="none" w:color="auto"/>
                <w:lang w:eastAsia="zh-CN"/>
              </w:rPr>
            </w:pPr>
            <w:r>
              <w:rPr>
                <w:snapToGrid w:val="0"/>
                <w:color w:val="auto"/>
                <w:highlight w:val="none"/>
                <w:u w:val="none" w:color="auto"/>
                <w:lang w:eastAsia="zh-CN"/>
              </w:rPr>
              <w:t>地下车库、屋顶、园区、周界围墙、机 房</w:t>
            </w:r>
          </w:p>
        </w:tc>
      </w:tr>
    </w:tbl>
    <w:p w14:paraId="1D155B09">
      <w:pPr>
        <w:ind w:firstLine="371" w:firstLineChars="177"/>
        <w:rPr>
          <w:color w:val="auto"/>
          <w:highlight w:val="none"/>
          <w:u w:val="none" w:color="auto"/>
          <w:lang w:eastAsia="zh-CN"/>
        </w:rPr>
      </w:pPr>
      <w:r>
        <w:rPr>
          <w:color w:val="auto"/>
          <w:highlight w:val="none"/>
          <w:u w:val="none" w:color="auto"/>
          <w:lang w:eastAsia="zh-CN"/>
        </w:rPr>
        <w:t>注：摄像机分辨率≥720P;室内摄像机应配置护罩应具备防尘功能；室外摄像机应配 置室外护罩，具备防雷、防尘、防水、保温等功能.</w:t>
      </w:r>
    </w:p>
    <w:p w14:paraId="5848C8E4">
      <w:pPr>
        <w:ind w:firstLine="371" w:firstLineChars="177"/>
        <w:rPr>
          <w:color w:val="auto"/>
          <w:highlight w:val="none"/>
          <w:u w:val="none" w:color="auto"/>
          <w:lang w:eastAsia="zh-CN"/>
        </w:rPr>
      </w:pPr>
      <w:r>
        <w:rPr>
          <w:color w:val="auto"/>
          <w:highlight w:val="none"/>
          <w:u w:val="none" w:color="auto"/>
          <w:lang w:eastAsia="zh-CN"/>
        </w:rPr>
        <w:t>6.4.3 设备机房</w:t>
      </w:r>
    </w:p>
    <w:p w14:paraId="36979122">
      <w:pPr>
        <w:ind w:firstLine="371" w:firstLineChars="177"/>
        <w:rPr>
          <w:color w:val="auto"/>
          <w:highlight w:val="none"/>
          <w:u w:val="none" w:color="auto"/>
          <w:lang w:eastAsia="zh-CN"/>
        </w:rPr>
      </w:pPr>
      <w:r>
        <w:rPr>
          <w:color w:val="auto"/>
          <w:highlight w:val="none"/>
          <w:u w:val="none" w:color="auto"/>
          <w:lang w:eastAsia="zh-CN"/>
        </w:rPr>
        <w:t>安防控制室可与消防控制室合用，但应有专用工作区.</w:t>
      </w:r>
    </w:p>
    <w:p w14:paraId="1DA4BE2B">
      <w:pPr>
        <w:ind w:firstLine="371" w:firstLineChars="177"/>
        <w:rPr>
          <w:color w:val="auto"/>
          <w:highlight w:val="none"/>
          <w:u w:val="none" w:color="auto"/>
          <w:lang w:eastAsia="zh-CN"/>
        </w:rPr>
      </w:pPr>
      <w:r>
        <w:rPr>
          <w:color w:val="auto"/>
          <w:highlight w:val="none"/>
          <w:u w:val="none" w:color="auto"/>
          <w:lang w:eastAsia="zh-CN"/>
        </w:rPr>
        <w:t>6.4.4 系统供电</w:t>
      </w:r>
    </w:p>
    <w:p w14:paraId="4C70ECA6">
      <w:pPr>
        <w:ind w:firstLine="371" w:firstLineChars="177"/>
        <w:rPr>
          <w:color w:val="auto"/>
          <w:highlight w:val="none"/>
          <w:u w:val="none" w:color="auto"/>
          <w:lang w:eastAsia="zh-CN"/>
        </w:rPr>
      </w:pPr>
      <w:r>
        <w:rPr>
          <w:color w:val="auto"/>
          <w:highlight w:val="none"/>
          <w:u w:val="none" w:color="auto"/>
          <w:lang w:eastAsia="zh-CN"/>
        </w:rPr>
        <w:t>视频监控系统应具备不间断供电条件， 采用 UPS 作为备用电源， 备用时间满足现规范 要求.</w:t>
      </w:r>
    </w:p>
    <w:p w14:paraId="376595C7">
      <w:pPr>
        <w:ind w:firstLine="371" w:firstLineChars="177"/>
        <w:rPr>
          <w:color w:val="auto"/>
          <w:highlight w:val="none"/>
          <w:u w:val="none" w:color="auto"/>
          <w:lang w:eastAsia="zh-CN"/>
        </w:rPr>
      </w:pPr>
      <w:r>
        <w:rPr>
          <w:color w:val="auto"/>
          <w:highlight w:val="none"/>
          <w:u w:val="none" w:color="auto"/>
          <w:lang w:eastAsia="zh-CN"/>
        </w:rPr>
        <w:t>6.4.5 防雷要求</w:t>
      </w:r>
    </w:p>
    <w:p w14:paraId="3606E31A">
      <w:pPr>
        <w:ind w:firstLine="371" w:firstLineChars="177"/>
        <w:rPr>
          <w:color w:val="auto"/>
          <w:highlight w:val="none"/>
          <w:u w:val="none" w:color="auto"/>
          <w:lang w:eastAsia="zh-CN"/>
        </w:rPr>
      </w:pPr>
      <w:r>
        <w:rPr>
          <w:color w:val="auto"/>
          <w:highlight w:val="none"/>
          <w:u w:val="none" w:color="auto"/>
          <w:lang w:eastAsia="zh-CN"/>
        </w:rPr>
        <w:t>机房内设等电位联结， 与电气系统、防雷接地系统共用接地装置； 系统的电源线、信 号传输线、天线馈线以及进入监控中心的架空电缆人室端，均采取防雷电波侵入  及过电压保护措施（SPD）； 室外前端摄像设备采取防雷措施。</w:t>
      </w:r>
    </w:p>
    <w:p w14:paraId="0A9D3A7B">
      <w:pPr>
        <w:ind w:firstLine="371" w:firstLineChars="177"/>
        <w:rPr>
          <w:color w:val="auto"/>
          <w:highlight w:val="none"/>
          <w:u w:val="none" w:color="auto"/>
          <w:lang w:eastAsia="zh-CN"/>
        </w:rPr>
      </w:pPr>
      <w:r>
        <w:rPr>
          <w:color w:val="auto"/>
          <w:highlight w:val="none"/>
          <w:u w:val="none" w:color="auto"/>
          <w:lang w:eastAsia="zh-CN"/>
        </w:rPr>
        <w:t>6</w:t>
      </w:r>
      <w:r>
        <w:rPr>
          <w:rFonts w:hint="eastAsia"/>
          <w:color w:val="auto"/>
          <w:highlight w:val="none"/>
          <w:u w:val="none" w:color="auto"/>
          <w:lang w:eastAsia="zh-CN"/>
        </w:rPr>
        <w:t>.5</w:t>
      </w:r>
      <w:r>
        <w:rPr>
          <w:color w:val="auto"/>
          <w:highlight w:val="none"/>
          <w:u w:val="none" w:color="auto"/>
          <w:lang w:eastAsia="zh-CN"/>
        </w:rPr>
        <w:t xml:space="preserve"> </w:t>
      </w:r>
      <w:r>
        <w:rPr>
          <w:rFonts w:hint="eastAsia"/>
          <w:color w:val="auto"/>
          <w:highlight w:val="none"/>
          <w:u w:val="none" w:color="auto"/>
          <w:lang w:eastAsia="zh-CN"/>
        </w:rPr>
        <w:t>楼宇</w:t>
      </w:r>
      <w:r>
        <w:rPr>
          <w:color w:val="auto"/>
          <w:highlight w:val="none"/>
          <w:u w:val="none" w:color="auto"/>
          <w:lang w:eastAsia="zh-CN"/>
        </w:rPr>
        <w:t>可视对讲系统（含门禁）</w:t>
      </w:r>
    </w:p>
    <w:p w14:paraId="266E66E0">
      <w:pPr>
        <w:ind w:firstLine="371" w:firstLineChars="177"/>
        <w:rPr>
          <w:color w:val="auto"/>
          <w:highlight w:val="none"/>
          <w:u w:val="none" w:color="auto"/>
          <w:lang w:eastAsia="zh-CN"/>
        </w:rPr>
      </w:pPr>
      <w:r>
        <w:rPr>
          <w:color w:val="auto"/>
          <w:highlight w:val="none"/>
          <w:u w:val="none" w:color="auto"/>
          <w:lang w:eastAsia="zh-CN"/>
        </w:rPr>
        <w:t>6.</w:t>
      </w:r>
      <w:r>
        <w:rPr>
          <w:rFonts w:hint="eastAsia"/>
          <w:color w:val="auto"/>
          <w:highlight w:val="none"/>
          <w:u w:val="none" w:color="auto"/>
          <w:lang w:eastAsia="zh-CN"/>
        </w:rPr>
        <w:t>5</w:t>
      </w:r>
      <w:r>
        <w:rPr>
          <w:color w:val="auto"/>
          <w:highlight w:val="none"/>
          <w:u w:val="none" w:color="auto"/>
          <w:lang w:eastAsia="zh-CN"/>
        </w:rPr>
        <w:t>.1 系统功能</w:t>
      </w:r>
    </w:p>
    <w:p w14:paraId="308FB424">
      <w:pPr>
        <w:ind w:firstLine="371" w:firstLineChars="177"/>
        <w:rPr>
          <w:color w:val="auto"/>
          <w:highlight w:val="none"/>
          <w:u w:val="none" w:color="auto"/>
          <w:lang w:eastAsia="zh-CN"/>
        </w:rPr>
      </w:pPr>
      <w:r>
        <w:rPr>
          <w:color w:val="auto"/>
          <w:highlight w:val="none"/>
          <w:u w:val="none" w:color="auto"/>
          <w:lang w:eastAsia="zh-CN"/>
        </w:rPr>
        <w:t>设置联网彩色可视对讲；</w:t>
      </w:r>
      <w:r>
        <w:rPr>
          <w:rFonts w:hint="eastAsia"/>
          <w:color w:val="auto"/>
          <w:highlight w:val="none"/>
          <w:u w:val="none" w:color="auto"/>
          <w:lang w:eastAsia="zh-CN"/>
        </w:rPr>
        <w:t>信息提取、户内报警、紧急求助、门禁扩展功能</w:t>
      </w:r>
    </w:p>
    <w:p w14:paraId="0D00CC8A">
      <w:pPr>
        <w:ind w:firstLine="371" w:firstLineChars="177"/>
        <w:rPr>
          <w:color w:val="auto"/>
          <w:highlight w:val="none"/>
          <w:u w:val="none" w:color="auto"/>
          <w:lang w:eastAsia="zh-CN"/>
        </w:rPr>
      </w:pPr>
      <w:r>
        <w:rPr>
          <w:color w:val="auto"/>
          <w:highlight w:val="none"/>
          <w:u w:val="none" w:color="auto"/>
          <w:lang w:eastAsia="zh-CN"/>
        </w:rPr>
        <w:t>6.</w:t>
      </w:r>
      <w:r>
        <w:rPr>
          <w:rFonts w:hint="eastAsia"/>
          <w:color w:val="auto"/>
          <w:highlight w:val="none"/>
          <w:u w:val="none" w:color="auto"/>
          <w:lang w:eastAsia="zh-CN"/>
        </w:rPr>
        <w:t>5</w:t>
      </w:r>
      <w:r>
        <w:rPr>
          <w:color w:val="auto"/>
          <w:highlight w:val="none"/>
          <w:u w:val="none" w:color="auto"/>
          <w:lang w:eastAsia="zh-CN"/>
        </w:rPr>
        <w:t>.2 点位布置</w:t>
      </w:r>
    </w:p>
    <w:p w14:paraId="43C432DB">
      <w:pPr>
        <w:ind w:firstLine="371" w:firstLineChars="177"/>
        <w:rPr>
          <w:color w:val="auto"/>
          <w:highlight w:val="none"/>
          <w:u w:val="none" w:color="auto"/>
          <w:lang w:eastAsia="zh-CN"/>
        </w:rPr>
      </w:pPr>
      <w:r>
        <w:rPr>
          <w:color w:val="auto"/>
          <w:highlight w:val="none"/>
          <w:u w:val="none" w:color="auto"/>
          <w:lang w:eastAsia="zh-CN"/>
        </w:rPr>
        <w:t>监控中心及客服中心设置中心管理机， 小区人行入口设置</w:t>
      </w:r>
      <w:r>
        <w:rPr>
          <w:rFonts w:hint="eastAsia"/>
          <w:color w:val="auto"/>
          <w:highlight w:val="none"/>
          <w:u w:val="none" w:color="auto"/>
          <w:lang w:eastAsia="zh-CN"/>
        </w:rPr>
        <w:t>可视对讲门口机、住宅区域首层住宅大堂出入口及地下车库大堂出入口</w:t>
      </w:r>
      <w:r>
        <w:rPr>
          <w:color w:val="auto"/>
          <w:highlight w:val="none"/>
          <w:u w:val="none" w:color="auto"/>
          <w:lang w:eastAsia="zh-CN"/>
        </w:rPr>
        <w:t>设置单元门口机，户内设可视对讲</w:t>
      </w:r>
      <w:r>
        <w:rPr>
          <w:rFonts w:hint="eastAsia"/>
          <w:color w:val="auto"/>
          <w:highlight w:val="none"/>
          <w:u w:val="none" w:color="auto"/>
          <w:lang w:eastAsia="zh-CN"/>
        </w:rPr>
        <w:t>室内机</w:t>
      </w:r>
      <w:r>
        <w:rPr>
          <w:color w:val="auto"/>
          <w:highlight w:val="none"/>
          <w:u w:val="none" w:color="auto"/>
          <w:lang w:eastAsia="zh-CN"/>
        </w:rPr>
        <w:t>.</w:t>
      </w:r>
    </w:p>
    <w:p w14:paraId="0C4EDADE">
      <w:pPr>
        <w:ind w:firstLine="371" w:firstLineChars="177"/>
        <w:rPr>
          <w:color w:val="auto"/>
          <w:highlight w:val="none"/>
          <w:u w:val="none" w:color="auto"/>
          <w:lang w:eastAsia="zh-CN"/>
        </w:rPr>
      </w:pPr>
      <w:r>
        <w:rPr>
          <w:color w:val="auto"/>
          <w:highlight w:val="none"/>
          <w:u w:val="none" w:color="auto"/>
          <w:lang w:eastAsia="zh-CN"/>
        </w:rPr>
        <w:t>6.</w:t>
      </w:r>
      <w:r>
        <w:rPr>
          <w:rFonts w:hint="eastAsia"/>
          <w:color w:val="auto"/>
          <w:highlight w:val="none"/>
          <w:u w:val="none" w:color="auto"/>
          <w:lang w:eastAsia="zh-CN"/>
        </w:rPr>
        <w:t>5</w:t>
      </w:r>
      <w:r>
        <w:rPr>
          <w:color w:val="auto"/>
          <w:highlight w:val="none"/>
          <w:u w:val="none" w:color="auto"/>
          <w:lang w:eastAsia="zh-CN"/>
        </w:rPr>
        <w:t>.3 设备要求</w:t>
      </w:r>
    </w:p>
    <w:p w14:paraId="67B0F9B4">
      <w:pPr>
        <w:ind w:firstLine="371" w:firstLineChars="177"/>
        <w:rPr>
          <w:color w:val="auto"/>
          <w:highlight w:val="none"/>
          <w:u w:val="none" w:color="auto"/>
          <w:lang w:eastAsia="zh-CN"/>
        </w:rPr>
      </w:pPr>
      <w:r>
        <w:rPr>
          <w:rFonts w:hint="eastAsia"/>
          <w:color w:val="auto"/>
          <w:highlight w:val="none"/>
          <w:u w:val="none" w:color="auto"/>
          <w:lang w:eastAsia="zh-CN"/>
        </w:rPr>
        <w:t>单元门口机可实现人脸识别+密码+刷卡开门，并能联动电动门开门实现无感通行.</w:t>
      </w:r>
    </w:p>
    <w:p w14:paraId="48DE5018">
      <w:pPr>
        <w:pStyle w:val="22"/>
        <w:rPr>
          <w:rFonts w:ascii="宋体" w:hAnsi="宋体" w:eastAsia="宋体"/>
          <w:color w:val="auto"/>
          <w:sz w:val="24"/>
          <w:highlight w:val="none"/>
          <w:u w:val="none" w:color="auto"/>
          <w:lang w:eastAsia="zh-CN"/>
        </w:rPr>
      </w:pPr>
      <w:r>
        <w:rPr>
          <w:rFonts w:hint="eastAsia" w:ascii="宋体" w:hAnsi="宋体" w:eastAsia="宋体"/>
          <w:color w:val="auto"/>
          <w:sz w:val="24"/>
          <w:highlight w:val="none"/>
          <w:u w:val="none" w:color="auto"/>
          <w:lang w:eastAsia="zh-CN"/>
        </w:rPr>
        <w:t xml:space="preserve">    室内机设10寸室内高清触屏可视对讲分机，需有8防区报警功能、含有S0S报警按钮，并可接入报警按钮设备.具有呼梯功能.</w:t>
      </w:r>
    </w:p>
    <w:p w14:paraId="1A7FF2DC">
      <w:pPr>
        <w:ind w:firstLine="371" w:firstLineChars="177"/>
        <w:rPr>
          <w:color w:val="auto"/>
          <w:highlight w:val="none"/>
          <w:u w:val="none" w:color="auto"/>
          <w:lang w:eastAsia="zh-CN"/>
        </w:rPr>
      </w:pPr>
      <w:r>
        <w:rPr>
          <w:color w:val="auto"/>
          <w:highlight w:val="none"/>
          <w:u w:val="none" w:color="auto"/>
          <w:lang w:eastAsia="zh-CN"/>
        </w:rPr>
        <w:t>6.</w:t>
      </w:r>
      <w:r>
        <w:rPr>
          <w:rFonts w:hint="eastAsia"/>
          <w:color w:val="auto"/>
          <w:highlight w:val="none"/>
          <w:u w:val="none" w:color="auto"/>
          <w:lang w:eastAsia="zh-CN"/>
        </w:rPr>
        <w:t>6</w:t>
      </w:r>
      <w:r>
        <w:rPr>
          <w:color w:val="auto"/>
          <w:highlight w:val="none"/>
          <w:u w:val="none" w:color="auto"/>
          <w:lang w:eastAsia="zh-CN"/>
        </w:rPr>
        <w:t xml:space="preserve"> </w:t>
      </w:r>
      <w:r>
        <w:rPr>
          <w:rFonts w:hint="eastAsia"/>
          <w:color w:val="auto"/>
          <w:highlight w:val="none"/>
          <w:u w:val="none" w:color="auto"/>
          <w:lang w:eastAsia="zh-CN"/>
        </w:rPr>
        <w:t>家庭安全防范系统</w:t>
      </w:r>
    </w:p>
    <w:p w14:paraId="28F48945">
      <w:pPr>
        <w:ind w:firstLine="371" w:firstLineChars="177"/>
        <w:rPr>
          <w:color w:val="auto"/>
          <w:highlight w:val="none"/>
          <w:u w:val="none" w:color="auto"/>
          <w:lang w:eastAsia="zh-CN"/>
        </w:rPr>
      </w:pPr>
      <w:r>
        <w:rPr>
          <w:color w:val="auto"/>
          <w:highlight w:val="none"/>
          <w:u w:val="none" w:color="auto"/>
          <w:lang w:eastAsia="zh-CN"/>
        </w:rPr>
        <w:t>6.</w:t>
      </w:r>
      <w:r>
        <w:rPr>
          <w:rFonts w:hint="eastAsia"/>
          <w:color w:val="auto"/>
          <w:highlight w:val="none"/>
          <w:u w:val="none" w:color="auto"/>
          <w:lang w:eastAsia="zh-CN"/>
        </w:rPr>
        <w:t>6</w:t>
      </w:r>
      <w:r>
        <w:rPr>
          <w:color w:val="auto"/>
          <w:highlight w:val="none"/>
          <w:u w:val="none" w:color="auto"/>
          <w:lang w:eastAsia="zh-CN"/>
        </w:rPr>
        <w:t>.1 系统功能</w:t>
      </w:r>
    </w:p>
    <w:p w14:paraId="7444D933">
      <w:pPr>
        <w:ind w:firstLine="371" w:firstLineChars="177"/>
        <w:rPr>
          <w:color w:val="auto"/>
          <w:highlight w:val="none"/>
          <w:u w:val="none" w:color="auto"/>
          <w:lang w:eastAsia="zh-CN"/>
        </w:rPr>
      </w:pPr>
      <w:r>
        <w:rPr>
          <w:color w:val="auto"/>
          <w:highlight w:val="none"/>
          <w:u w:val="none" w:color="auto"/>
          <w:lang w:eastAsia="zh-CN"/>
        </w:rPr>
        <w:t>按国家规范要求设置紧急求助按钮及红外幕帘报警，信号接入可视对讲分机.</w:t>
      </w:r>
    </w:p>
    <w:p w14:paraId="205947A0">
      <w:pPr>
        <w:ind w:firstLine="371" w:firstLineChars="177"/>
        <w:rPr>
          <w:color w:val="auto"/>
          <w:highlight w:val="none"/>
          <w:u w:val="none" w:color="auto"/>
          <w:lang w:eastAsia="zh-CN"/>
        </w:rPr>
      </w:pPr>
      <w:r>
        <w:rPr>
          <w:rFonts w:hint="eastAsia"/>
          <w:color w:val="auto"/>
          <w:highlight w:val="none"/>
          <w:u w:val="none" w:color="auto"/>
          <w:lang w:eastAsia="zh-CN"/>
        </w:rPr>
        <w:t>6.6.2 点位布置</w:t>
      </w:r>
    </w:p>
    <w:p w14:paraId="466F8980">
      <w:pPr>
        <w:ind w:firstLine="371" w:firstLineChars="177"/>
        <w:rPr>
          <w:color w:val="auto"/>
          <w:highlight w:val="none"/>
          <w:u w:val="none" w:color="auto"/>
          <w:lang w:eastAsia="zh-CN"/>
        </w:rPr>
      </w:pPr>
      <w:r>
        <w:rPr>
          <w:rFonts w:hint="eastAsia"/>
          <w:color w:val="auto"/>
          <w:highlight w:val="none"/>
          <w:u w:val="none" w:color="auto"/>
          <w:lang w:eastAsia="zh-CN"/>
        </w:rPr>
        <w:t>单元楼住户楼层一、二层及顶层外墙门窗设置红外幕帘</w:t>
      </w:r>
    </w:p>
    <w:p w14:paraId="21EF2FB1">
      <w:pPr>
        <w:ind w:firstLine="371" w:firstLineChars="177"/>
        <w:rPr>
          <w:color w:val="auto"/>
          <w:highlight w:val="none"/>
          <w:u w:val="none" w:color="auto"/>
          <w:lang w:eastAsia="zh-CN"/>
        </w:rPr>
      </w:pPr>
      <w:r>
        <w:rPr>
          <w:rFonts w:hint="eastAsia"/>
          <w:color w:val="auto"/>
          <w:highlight w:val="none"/>
          <w:u w:val="none" w:color="auto"/>
          <w:lang w:eastAsia="zh-CN"/>
        </w:rPr>
        <w:t xml:space="preserve"> 所有住户客厅、主卧、卫生间安装紧急按钮</w:t>
      </w:r>
    </w:p>
    <w:p w14:paraId="0E00173A">
      <w:pPr>
        <w:ind w:firstLine="371" w:firstLineChars="177"/>
        <w:rPr>
          <w:color w:val="auto"/>
          <w:highlight w:val="none"/>
          <w:u w:val="none" w:color="auto"/>
          <w:lang w:eastAsia="zh-CN"/>
        </w:rPr>
      </w:pPr>
      <w:r>
        <w:rPr>
          <w:color w:val="auto"/>
          <w:highlight w:val="none"/>
          <w:u w:val="none" w:color="auto"/>
          <w:lang w:eastAsia="zh-CN"/>
        </w:rPr>
        <w:t>6.</w:t>
      </w:r>
      <w:r>
        <w:rPr>
          <w:rFonts w:hint="eastAsia"/>
          <w:color w:val="auto"/>
          <w:highlight w:val="none"/>
          <w:u w:val="none" w:color="auto"/>
          <w:lang w:eastAsia="zh-CN"/>
        </w:rPr>
        <w:t>6.3</w:t>
      </w:r>
      <w:r>
        <w:rPr>
          <w:color w:val="auto"/>
          <w:highlight w:val="none"/>
          <w:u w:val="none" w:color="auto"/>
          <w:lang w:eastAsia="zh-CN"/>
        </w:rPr>
        <w:t>供电要求</w:t>
      </w:r>
    </w:p>
    <w:p w14:paraId="2AFAF2B2">
      <w:pPr>
        <w:ind w:firstLine="371" w:firstLineChars="177"/>
        <w:rPr>
          <w:color w:val="auto"/>
          <w:highlight w:val="none"/>
          <w:u w:val="none" w:color="auto"/>
          <w:lang w:eastAsia="zh-CN"/>
        </w:rPr>
      </w:pPr>
      <w:r>
        <w:rPr>
          <w:color w:val="auto"/>
          <w:highlight w:val="none"/>
          <w:u w:val="none" w:color="auto"/>
          <w:lang w:eastAsia="zh-CN"/>
        </w:rPr>
        <w:t>系统主机与视频监控合用机房，供电要求同视频监控系统.</w:t>
      </w:r>
    </w:p>
    <w:p w14:paraId="4C925EE5">
      <w:pPr>
        <w:ind w:firstLine="371" w:firstLineChars="177"/>
        <w:rPr>
          <w:color w:val="auto"/>
          <w:highlight w:val="none"/>
          <w:u w:val="none" w:color="auto"/>
          <w:lang w:eastAsia="zh-CN"/>
        </w:rPr>
      </w:pPr>
      <w:r>
        <w:rPr>
          <w:rFonts w:hint="eastAsia"/>
          <w:color w:val="auto"/>
          <w:highlight w:val="none"/>
          <w:u w:val="none" w:color="auto"/>
          <w:lang w:eastAsia="zh-CN"/>
        </w:rPr>
        <w:t xml:space="preserve"> 6.7智能停车场管理系统</w:t>
      </w:r>
    </w:p>
    <w:p w14:paraId="5BD77224">
      <w:pPr>
        <w:ind w:firstLine="371" w:firstLineChars="177"/>
        <w:rPr>
          <w:color w:val="auto"/>
          <w:highlight w:val="none"/>
          <w:u w:val="none" w:color="auto"/>
          <w:lang w:eastAsia="zh-CN"/>
        </w:rPr>
      </w:pPr>
      <w:r>
        <w:rPr>
          <w:rFonts w:hint="eastAsia"/>
          <w:color w:val="auto"/>
          <w:highlight w:val="none"/>
          <w:u w:val="none" w:color="auto"/>
          <w:lang w:eastAsia="zh-CN"/>
        </w:rPr>
        <w:t>（1）小区出入口、地下停车库出入口设置挡车装置，车辆出入采用车牌识别系统。并具备访客车辆预约和收费功能，车牌号码的整牌信息准确率要求≥95%。</w:t>
      </w:r>
    </w:p>
    <w:p w14:paraId="61E3E01D">
      <w:pPr>
        <w:ind w:firstLine="371" w:firstLineChars="177"/>
        <w:rPr>
          <w:color w:val="auto"/>
          <w:highlight w:val="none"/>
          <w:u w:val="none" w:color="auto"/>
          <w:lang w:eastAsia="zh-CN"/>
        </w:rPr>
      </w:pPr>
      <w:r>
        <w:rPr>
          <w:rFonts w:hint="eastAsia"/>
          <w:color w:val="auto"/>
          <w:highlight w:val="none"/>
          <w:u w:val="none" w:color="auto"/>
          <w:lang w:eastAsia="zh-CN"/>
        </w:rPr>
        <w:t>（2）各出入口联网，使系统具有集中管理及收费功能。管理软件采用C/S架构，并能与门禁系统、楼宇设备自动化控制系统集成。</w:t>
      </w:r>
    </w:p>
    <w:p w14:paraId="12E4D8E6">
      <w:pPr>
        <w:ind w:firstLine="371" w:firstLineChars="177"/>
        <w:rPr>
          <w:color w:val="auto"/>
          <w:highlight w:val="none"/>
          <w:u w:val="none" w:color="auto"/>
          <w:lang w:eastAsia="zh-CN"/>
        </w:rPr>
      </w:pPr>
      <w:r>
        <w:rPr>
          <w:rFonts w:hint="eastAsia"/>
          <w:color w:val="auto"/>
          <w:highlight w:val="none"/>
          <w:u w:val="none" w:color="auto"/>
          <w:lang w:eastAsia="zh-CN"/>
        </w:rPr>
        <w:t>（3）应配置车辆检测器、压力波防砸车等防砸车装置，防跟车装置。</w:t>
      </w:r>
    </w:p>
    <w:p w14:paraId="5596DB1F">
      <w:pPr>
        <w:ind w:firstLine="371" w:firstLineChars="177"/>
        <w:rPr>
          <w:color w:val="auto"/>
          <w:highlight w:val="none"/>
          <w:u w:val="none" w:color="auto"/>
          <w:lang w:eastAsia="zh-CN"/>
        </w:rPr>
      </w:pPr>
      <w:r>
        <w:rPr>
          <w:rFonts w:hint="eastAsia"/>
          <w:color w:val="auto"/>
          <w:highlight w:val="none"/>
          <w:u w:val="none" w:color="auto"/>
          <w:lang w:eastAsia="zh-CN"/>
        </w:rPr>
        <w:t>（4）小区入口有人值班的道闸具有车辆图像对比功能，无人值班的地库入口道闸具有应急对讲功能。</w:t>
      </w:r>
    </w:p>
    <w:p w14:paraId="6CA86926">
      <w:pPr>
        <w:ind w:firstLine="371" w:firstLineChars="177"/>
        <w:rPr>
          <w:color w:val="auto"/>
          <w:highlight w:val="none"/>
          <w:u w:val="none" w:color="auto"/>
          <w:lang w:eastAsia="zh-CN"/>
        </w:rPr>
      </w:pPr>
      <w:r>
        <w:rPr>
          <w:rFonts w:hint="eastAsia"/>
          <w:color w:val="auto"/>
          <w:highlight w:val="none"/>
          <w:u w:val="none" w:color="auto"/>
          <w:lang w:eastAsia="zh-CN"/>
        </w:rPr>
        <w:t>（5）系统宜采用快速道闸，地库入口高度限制的采用可折叠档杆。</w:t>
      </w:r>
    </w:p>
    <w:p w14:paraId="6FD352D8">
      <w:pPr>
        <w:rPr>
          <w:color w:val="auto"/>
          <w:highlight w:val="none"/>
          <w:u w:val="none" w:color="auto"/>
          <w:lang w:eastAsia="zh-CN"/>
        </w:rPr>
      </w:pPr>
      <w:r>
        <w:rPr>
          <w:rFonts w:hint="eastAsia"/>
          <w:color w:val="auto"/>
          <w:highlight w:val="none"/>
          <w:u w:val="none" w:color="auto"/>
          <w:lang w:eastAsia="zh-CN"/>
        </w:rPr>
        <w:t xml:space="preserve">  6.8 周界报警系统</w:t>
      </w:r>
    </w:p>
    <w:p w14:paraId="15A7A84A">
      <w:pPr>
        <w:ind w:firstLine="420" w:firstLineChars="200"/>
        <w:rPr>
          <w:rFonts w:cs="宋体"/>
          <w:color w:val="auto"/>
          <w:highlight w:val="none"/>
          <w:u w:val="none" w:color="auto"/>
          <w:lang w:eastAsia="zh-CN"/>
        </w:rPr>
      </w:pPr>
      <w:r>
        <w:rPr>
          <w:rFonts w:hint="eastAsia" w:cs="宋体"/>
          <w:color w:val="auto"/>
          <w:highlight w:val="none"/>
          <w:u w:val="none" w:color="auto"/>
          <w:lang w:eastAsia="zh-CN"/>
        </w:rPr>
        <w:t>（1）在小区室外周界实体围墙上设置电子围栏或红外对射，系统防区的划分应利于报警时准确定位。设计单位提出方案优缺点及投资概算。</w:t>
      </w:r>
    </w:p>
    <w:p w14:paraId="3D8B0E39">
      <w:pPr>
        <w:ind w:firstLine="420" w:firstLineChars="200"/>
        <w:rPr>
          <w:rFonts w:cs="宋体"/>
          <w:color w:val="auto"/>
          <w:highlight w:val="none"/>
          <w:u w:val="none" w:color="auto"/>
          <w:lang w:eastAsia="zh-CN"/>
        </w:rPr>
      </w:pPr>
      <w:r>
        <w:rPr>
          <w:rFonts w:hint="eastAsia" w:cs="宋体"/>
          <w:color w:val="auto"/>
          <w:highlight w:val="none"/>
          <w:u w:val="none" w:color="auto"/>
          <w:lang w:eastAsia="zh-CN"/>
        </w:rPr>
        <w:t>（2）系统具有阻挡和防破坏功能。整个系统在短路、断线、通讯失败及主机机壳被打开时，系统会发出相应的报警信息。</w:t>
      </w:r>
    </w:p>
    <w:p w14:paraId="07F39756">
      <w:pPr>
        <w:ind w:firstLine="420" w:firstLineChars="200"/>
        <w:rPr>
          <w:rFonts w:cs="宋体"/>
          <w:color w:val="auto"/>
          <w:highlight w:val="none"/>
          <w:u w:val="none" w:color="auto"/>
          <w:lang w:eastAsia="zh-CN"/>
        </w:rPr>
      </w:pPr>
      <w:r>
        <w:rPr>
          <w:rFonts w:hint="eastAsia" w:cs="宋体"/>
          <w:color w:val="auto"/>
          <w:highlight w:val="none"/>
          <w:u w:val="none" w:color="auto"/>
          <w:lang w:eastAsia="zh-CN"/>
        </w:rPr>
        <w:t>（3）系统软件的操作界面采用电子地图方式，有警情时，自动弹出电子地图，可直观的显示报警防区的准确位置，并显示报警类型；报警类型、报警时间的记录可直接查询和打印。</w:t>
      </w:r>
    </w:p>
    <w:p w14:paraId="098D61E5">
      <w:pPr>
        <w:pStyle w:val="22"/>
        <w:rPr>
          <w:rFonts w:eastAsiaTheme="minorEastAsia"/>
          <w:color w:val="auto"/>
          <w:highlight w:val="none"/>
          <w:u w:val="none" w:color="auto"/>
          <w:lang w:eastAsia="zh-CN"/>
        </w:rPr>
      </w:pPr>
      <w:r>
        <w:rPr>
          <w:rFonts w:hint="eastAsia" w:eastAsiaTheme="minorEastAsia"/>
          <w:color w:val="auto"/>
          <w:highlight w:val="none"/>
          <w:u w:val="none" w:color="auto"/>
          <w:lang w:eastAsia="zh-CN"/>
        </w:rPr>
        <w:t xml:space="preserve">   6.9 电子巡更系统</w:t>
      </w:r>
    </w:p>
    <w:p w14:paraId="5B210D3B">
      <w:pPr>
        <w:spacing w:after="120"/>
        <w:ind w:firstLine="420" w:firstLineChars="200"/>
        <w:rPr>
          <w:rFonts w:cs="宋体"/>
          <w:color w:val="auto"/>
          <w:highlight w:val="none"/>
          <w:u w:val="none" w:color="auto"/>
          <w:lang w:eastAsia="zh-CN"/>
        </w:rPr>
      </w:pPr>
      <w:r>
        <w:rPr>
          <w:rFonts w:hint="eastAsia" w:cs="宋体"/>
          <w:color w:val="auto"/>
          <w:highlight w:val="none"/>
          <w:u w:val="none" w:color="auto"/>
          <w:lang w:eastAsia="zh-CN"/>
        </w:rPr>
        <w:t>（1）采用离线式巡更系统，系统由中央控制设备、手持式信息采集器、巡查信息点等组成，巡更系统纳入门禁管理系统。</w:t>
      </w:r>
    </w:p>
    <w:p w14:paraId="72E788CA">
      <w:pPr>
        <w:spacing w:after="120"/>
        <w:ind w:firstLine="420" w:firstLineChars="200"/>
        <w:rPr>
          <w:rFonts w:cs="宋体"/>
          <w:color w:val="auto"/>
          <w:highlight w:val="none"/>
          <w:u w:val="none" w:color="auto"/>
          <w:lang w:eastAsia="zh-CN"/>
        </w:rPr>
      </w:pPr>
      <w:r>
        <w:rPr>
          <w:rFonts w:hint="eastAsia" w:cs="宋体"/>
          <w:color w:val="auto"/>
          <w:highlight w:val="none"/>
          <w:u w:val="none" w:color="auto"/>
          <w:lang w:eastAsia="zh-CN"/>
        </w:rPr>
        <w:t xml:space="preserve">（2）用户可根据物业管理要求自行定义巡更路线和巡更值勤的排班，巡更软件具有自动提醒、自动启动监视、全程检测的功能，并可以自动统计归档值勤进行的信息，同时提供灵活的查询与打印功能。 </w:t>
      </w:r>
    </w:p>
    <w:p w14:paraId="587A2CAE">
      <w:pPr>
        <w:rPr>
          <w:rFonts w:hint="eastAsia" w:eastAsia="宋体" w:cs="宋体"/>
          <w:color w:val="auto"/>
          <w:highlight w:val="none"/>
          <w:u w:val="none" w:color="auto"/>
          <w:lang w:eastAsia="zh"/>
        </w:rPr>
      </w:pPr>
      <w:r>
        <w:rPr>
          <w:rFonts w:hint="eastAsia" w:cs="宋体"/>
          <w:color w:val="auto"/>
          <w:highlight w:val="none"/>
          <w:u w:val="none" w:color="auto"/>
          <w:lang w:eastAsia="zh-CN"/>
        </w:rPr>
        <w:t xml:space="preserve">  6.9 无感通行系统</w:t>
      </w:r>
      <w:r>
        <w:rPr>
          <w:rFonts w:hint="eastAsia" w:cs="宋体"/>
          <w:color w:val="auto"/>
          <w:highlight w:val="none"/>
          <w:u w:val="none" w:color="auto"/>
          <w:lang w:eastAsia="zh"/>
        </w:rPr>
        <w:t>（删除）</w:t>
      </w:r>
    </w:p>
    <w:p w14:paraId="415DC665">
      <w:pPr>
        <w:pStyle w:val="22"/>
        <w:rPr>
          <w:rFonts w:ascii="宋体" w:hAnsi="宋体" w:eastAsia="宋体" w:cs="宋体"/>
          <w:color w:val="auto"/>
          <w:sz w:val="24"/>
          <w:highlight w:val="none"/>
          <w:u w:val="none" w:color="auto"/>
          <w:lang w:eastAsia="zh-CN"/>
        </w:rPr>
      </w:pPr>
      <w:r>
        <w:rPr>
          <w:rFonts w:hint="eastAsia" w:ascii="宋体" w:hAnsi="宋体" w:eastAsia="宋体" w:cs="宋体"/>
          <w:color w:val="auto"/>
          <w:sz w:val="24"/>
          <w:highlight w:val="none"/>
          <w:u w:val="none" w:color="auto"/>
          <w:lang w:eastAsia="zh-CN"/>
        </w:rPr>
        <w:t xml:space="preserve">       可视系统通过智能电梯控制器与电梯通讯联动，实现呼梯等联动功能。电梯控制读卡器具备人脸识别、二维码识别和刷卡功能，可实现以下三个功能：</w:t>
      </w:r>
    </w:p>
    <w:p w14:paraId="263F3535">
      <w:pPr>
        <w:rPr>
          <w:rFonts w:cs="宋体"/>
          <w:color w:val="auto"/>
          <w:highlight w:val="none"/>
          <w:u w:val="none" w:color="auto"/>
          <w:lang w:eastAsia="zh-CN"/>
        </w:rPr>
      </w:pPr>
      <w:r>
        <w:rPr>
          <w:rFonts w:hint="eastAsia" w:cs="宋体"/>
          <w:color w:val="auto"/>
          <w:highlight w:val="none"/>
          <w:u w:val="none" w:color="auto"/>
          <w:lang w:eastAsia="zh-CN"/>
        </w:rPr>
        <w:t>1）门口机人脸识别或刷卡识别后，联动大堂电动门自动开启，电梯自动呼至相应楼层，业主可实现从单元大门到电梯内无感通行。</w:t>
      </w:r>
    </w:p>
    <w:p w14:paraId="71CC9403">
      <w:pPr>
        <w:pStyle w:val="22"/>
        <w:rPr>
          <w:rFonts w:ascii="宋体" w:hAnsi="宋体" w:eastAsia="宋体" w:cs="宋体"/>
          <w:color w:val="auto"/>
          <w:sz w:val="24"/>
          <w:highlight w:val="none"/>
          <w:u w:val="none" w:color="auto"/>
          <w:lang w:eastAsia="zh-CN"/>
        </w:rPr>
      </w:pPr>
      <w:r>
        <w:rPr>
          <w:rFonts w:hint="eastAsia" w:ascii="宋体" w:hAnsi="宋体" w:eastAsia="宋体" w:cs="宋体"/>
          <w:color w:val="auto"/>
          <w:sz w:val="24"/>
          <w:highlight w:val="none"/>
          <w:u w:val="none" w:color="auto"/>
          <w:lang w:eastAsia="zh-CN"/>
        </w:rPr>
        <w:t>2）业主可在进入电梯内刷卡/人脸识别后将电梯呼至对应楼层；</w:t>
      </w:r>
    </w:p>
    <w:p w14:paraId="0CA83898">
      <w:pPr>
        <w:rPr>
          <w:rFonts w:cs="宋体"/>
          <w:color w:val="auto"/>
          <w:highlight w:val="none"/>
          <w:u w:val="none" w:color="auto"/>
          <w:lang w:eastAsia="zh-CN"/>
        </w:rPr>
      </w:pPr>
      <w:r>
        <w:rPr>
          <w:rFonts w:hint="eastAsia" w:cs="宋体"/>
          <w:color w:val="auto"/>
          <w:highlight w:val="none"/>
          <w:u w:val="none" w:color="auto"/>
          <w:lang w:eastAsia="zh-CN"/>
        </w:rPr>
        <w:t>3）访客拜访，业主可在APP内预约后生成二维码发送给访客，访客通过二维码实现解锁梯控功能；</w:t>
      </w:r>
    </w:p>
    <w:p w14:paraId="7654BEBD">
      <w:pPr>
        <w:ind w:firstLine="371" w:firstLineChars="177"/>
        <w:rPr>
          <w:color w:val="auto"/>
          <w:highlight w:val="none"/>
          <w:u w:val="none" w:color="auto"/>
          <w:lang w:eastAsia="zh-CN"/>
        </w:rPr>
      </w:pPr>
      <w:r>
        <w:rPr>
          <w:color w:val="auto"/>
          <w:highlight w:val="none"/>
          <w:u w:val="none" w:color="auto"/>
          <w:lang w:eastAsia="zh-CN"/>
        </w:rPr>
        <w:t>6.10 电梯五方对讲系统</w:t>
      </w:r>
    </w:p>
    <w:p w14:paraId="17ABCF72">
      <w:pPr>
        <w:ind w:firstLine="371" w:firstLineChars="177"/>
        <w:rPr>
          <w:color w:val="auto"/>
          <w:highlight w:val="none"/>
          <w:u w:val="none" w:color="auto"/>
          <w:lang w:eastAsia="zh-CN"/>
        </w:rPr>
      </w:pPr>
      <w:r>
        <w:rPr>
          <w:color w:val="auto"/>
          <w:highlight w:val="none"/>
          <w:u w:val="none" w:color="auto"/>
          <w:lang w:eastAsia="zh-CN"/>
        </w:rPr>
        <w:t>应设置电梯五方对讲系统， 可以实现电梯轿厢、电梯机房、电梯顶部、电梯井道底部、 消控中心之间的紧急通话。</w:t>
      </w:r>
    </w:p>
    <w:p w14:paraId="59E0A8EF">
      <w:pPr>
        <w:ind w:firstLine="371" w:firstLineChars="177"/>
        <w:rPr>
          <w:color w:val="auto"/>
          <w:highlight w:val="none"/>
          <w:u w:val="none" w:color="auto"/>
          <w:lang w:eastAsia="zh-CN"/>
        </w:rPr>
      </w:pPr>
      <w:r>
        <w:rPr>
          <w:color w:val="auto"/>
          <w:highlight w:val="none"/>
          <w:u w:val="none" w:color="auto"/>
          <w:lang w:eastAsia="zh-CN"/>
        </w:rPr>
        <w:t>6.11 物业管理内线电话：</w:t>
      </w:r>
    </w:p>
    <w:p w14:paraId="6BD48651">
      <w:pPr>
        <w:ind w:firstLine="371" w:firstLineChars="177"/>
        <w:rPr>
          <w:color w:val="auto"/>
          <w:highlight w:val="none"/>
          <w:u w:val="none" w:color="auto"/>
          <w:lang w:eastAsia="zh-CN"/>
        </w:rPr>
      </w:pPr>
      <w:r>
        <w:rPr>
          <w:color w:val="auto"/>
          <w:highlight w:val="none"/>
          <w:u w:val="none" w:color="auto"/>
          <w:lang w:eastAsia="zh-CN"/>
        </w:rPr>
        <w:t>6.</w:t>
      </w:r>
      <w:r>
        <w:rPr>
          <w:rFonts w:hint="eastAsia"/>
          <w:color w:val="auto"/>
          <w:highlight w:val="none"/>
          <w:u w:val="none" w:color="auto"/>
          <w:lang w:eastAsia="zh-CN"/>
        </w:rPr>
        <w:t>11</w:t>
      </w:r>
      <w:r>
        <w:rPr>
          <w:color w:val="auto"/>
          <w:highlight w:val="none"/>
          <w:u w:val="none" w:color="auto"/>
          <w:lang w:eastAsia="zh-CN"/>
        </w:rPr>
        <w:t>.1 安防中心设置≥100 门内部程控交换机一台。</w:t>
      </w:r>
    </w:p>
    <w:p w14:paraId="76593DB8">
      <w:pPr>
        <w:ind w:firstLine="371" w:firstLineChars="177"/>
        <w:rPr>
          <w:color w:val="auto"/>
          <w:highlight w:val="none"/>
          <w:u w:val="none" w:color="auto"/>
          <w:lang w:eastAsia="zh-CN"/>
        </w:rPr>
      </w:pPr>
      <w:r>
        <w:rPr>
          <w:color w:val="auto"/>
          <w:highlight w:val="none"/>
          <w:u w:val="none" w:color="auto"/>
          <w:lang w:eastAsia="zh-CN"/>
        </w:rPr>
        <w:t>6.</w:t>
      </w:r>
      <w:r>
        <w:rPr>
          <w:rFonts w:hint="eastAsia"/>
          <w:color w:val="auto"/>
          <w:highlight w:val="none"/>
          <w:u w:val="none" w:color="auto"/>
          <w:lang w:eastAsia="zh-CN"/>
        </w:rPr>
        <w:t>11</w:t>
      </w:r>
      <w:r>
        <w:rPr>
          <w:color w:val="auto"/>
          <w:highlight w:val="none"/>
          <w:u w:val="none" w:color="auto"/>
          <w:lang w:eastAsia="zh-CN"/>
        </w:rPr>
        <w:t>.2 内线电话布点位置： 小区出入口值班室、车库管理室、各类公共设备站房（水 泵房、换热站、变电所）、物业管理服务用房、物业生活辅助用房等。</w:t>
      </w:r>
    </w:p>
    <w:p w14:paraId="1182A3A3">
      <w:pPr>
        <w:ind w:firstLine="371" w:firstLineChars="177"/>
        <w:rPr>
          <w:color w:val="auto"/>
          <w:highlight w:val="none"/>
          <w:u w:val="none" w:color="auto"/>
          <w:lang w:eastAsia="zh-CN"/>
        </w:rPr>
      </w:pPr>
      <w:r>
        <w:rPr>
          <w:color w:val="auto"/>
          <w:highlight w:val="none"/>
          <w:u w:val="none" w:color="auto"/>
          <w:lang w:eastAsia="zh-CN"/>
        </w:rPr>
        <w:t>6.</w:t>
      </w:r>
      <w:r>
        <w:rPr>
          <w:rFonts w:hint="eastAsia"/>
          <w:color w:val="auto"/>
          <w:highlight w:val="none"/>
          <w:u w:val="none" w:color="auto"/>
          <w:lang w:eastAsia="zh-CN"/>
        </w:rPr>
        <w:t>11</w:t>
      </w:r>
      <w:r>
        <w:rPr>
          <w:color w:val="auto"/>
          <w:highlight w:val="none"/>
          <w:u w:val="none" w:color="auto"/>
          <w:lang w:eastAsia="zh-CN"/>
        </w:rPr>
        <w:t>.3 按电缆走向在各区域地下车库设电话缆交接箱， 各内线电话语音信号由就近交 接箱引线。</w:t>
      </w:r>
    </w:p>
    <w:p w14:paraId="3251EDAA">
      <w:pPr>
        <w:ind w:firstLine="371" w:firstLineChars="177"/>
        <w:rPr>
          <w:color w:val="auto"/>
          <w:highlight w:val="none"/>
          <w:u w:val="none" w:color="auto"/>
          <w:lang w:eastAsia="zh-CN"/>
        </w:rPr>
      </w:pPr>
      <w:r>
        <w:rPr>
          <w:color w:val="auto"/>
          <w:highlight w:val="none"/>
          <w:u w:val="none" w:color="auto"/>
          <w:lang w:eastAsia="zh-CN"/>
        </w:rPr>
        <w:t>6.</w:t>
      </w:r>
      <w:r>
        <w:rPr>
          <w:rFonts w:hint="eastAsia"/>
          <w:color w:val="auto"/>
          <w:highlight w:val="none"/>
          <w:u w:val="none" w:color="auto"/>
          <w:lang w:eastAsia="zh-CN"/>
        </w:rPr>
        <w:t xml:space="preserve">12 </w:t>
      </w:r>
      <w:r>
        <w:rPr>
          <w:color w:val="auto"/>
          <w:highlight w:val="none"/>
          <w:u w:val="none" w:color="auto"/>
          <w:lang w:eastAsia="zh-CN"/>
        </w:rPr>
        <w:t xml:space="preserve">机房工程 </w:t>
      </w:r>
    </w:p>
    <w:p w14:paraId="49123A2E">
      <w:pPr>
        <w:ind w:firstLine="371" w:firstLineChars="177"/>
        <w:rPr>
          <w:color w:val="auto"/>
          <w:highlight w:val="none"/>
          <w:u w:val="none" w:color="auto"/>
          <w:lang w:eastAsia="zh-CN"/>
        </w:rPr>
      </w:pPr>
      <w:r>
        <w:rPr>
          <w:rFonts w:hint="eastAsia"/>
          <w:color w:val="auto"/>
          <w:highlight w:val="none"/>
          <w:u w:val="none" w:color="auto"/>
          <w:lang w:eastAsia="zh-CN"/>
        </w:rPr>
        <w:t>6.12.1</w:t>
      </w:r>
      <w:r>
        <w:rPr>
          <w:color w:val="auto"/>
          <w:highlight w:val="none"/>
          <w:u w:val="none" w:color="auto"/>
          <w:lang w:eastAsia="zh-CN"/>
        </w:rPr>
        <w:t>机房分类</w:t>
      </w:r>
    </w:p>
    <w:p w14:paraId="4B6F192C">
      <w:pPr>
        <w:ind w:firstLine="371" w:firstLineChars="177"/>
        <w:rPr>
          <w:color w:val="auto"/>
          <w:highlight w:val="none"/>
          <w:u w:val="none" w:color="auto"/>
          <w:lang w:eastAsia="zh-CN"/>
        </w:rPr>
      </w:pPr>
      <w:r>
        <w:rPr>
          <w:color w:val="auto"/>
          <w:highlight w:val="none"/>
          <w:u w:val="none" w:color="auto"/>
          <w:lang w:eastAsia="zh-CN"/>
        </w:rPr>
        <w:t>各弱电系统宜分类合设弱电机房， 小区综合布线设备间宜与网络机房及电话交换机房 靠近或合并；消防控制室与安防系统、建筑设备监控系统合用控制室。</w:t>
      </w:r>
    </w:p>
    <w:p w14:paraId="4A8C5174">
      <w:pPr>
        <w:ind w:firstLine="371" w:firstLineChars="177"/>
        <w:rPr>
          <w:color w:val="auto"/>
          <w:highlight w:val="none"/>
          <w:u w:val="none" w:color="auto"/>
          <w:lang w:eastAsia="zh-CN"/>
        </w:rPr>
      </w:pPr>
      <w:r>
        <w:rPr>
          <w:color w:val="auto"/>
          <w:highlight w:val="none"/>
          <w:u w:val="none" w:color="auto"/>
          <w:lang w:eastAsia="zh-CN"/>
        </w:rPr>
        <w:t>6.</w:t>
      </w:r>
      <w:r>
        <w:rPr>
          <w:rFonts w:hint="eastAsia"/>
          <w:color w:val="auto"/>
          <w:highlight w:val="none"/>
          <w:u w:val="none" w:color="auto"/>
          <w:lang w:eastAsia="zh-CN"/>
        </w:rPr>
        <w:t>12.2</w:t>
      </w:r>
      <w:r>
        <w:rPr>
          <w:color w:val="auto"/>
          <w:highlight w:val="none"/>
          <w:u w:val="none" w:color="auto"/>
          <w:lang w:eastAsia="zh-CN"/>
        </w:rPr>
        <w:t xml:space="preserve"> 供电要求</w:t>
      </w:r>
    </w:p>
    <w:p w14:paraId="62A2886F">
      <w:pPr>
        <w:ind w:firstLine="371" w:firstLineChars="177"/>
        <w:rPr>
          <w:color w:val="auto"/>
          <w:highlight w:val="none"/>
          <w:u w:val="none" w:color="auto"/>
          <w:lang w:eastAsia="zh-CN"/>
        </w:rPr>
      </w:pPr>
      <w:r>
        <w:rPr>
          <w:color w:val="auto"/>
          <w:highlight w:val="none"/>
          <w:u w:val="none" w:color="auto"/>
          <w:lang w:eastAsia="zh-CN"/>
        </w:rPr>
        <w:t>各弱电系统供电等级应与项目负荷等级相适应，通常采用双路电源供电，末端互投， 各系统设备自带 UPS 备电。</w:t>
      </w:r>
    </w:p>
    <w:p w14:paraId="4A6F3A2C">
      <w:pPr>
        <w:ind w:firstLine="371" w:firstLineChars="177"/>
        <w:rPr>
          <w:color w:val="auto"/>
          <w:highlight w:val="none"/>
          <w:u w:val="none" w:color="auto"/>
          <w:lang w:eastAsia="zh-CN"/>
        </w:rPr>
      </w:pPr>
      <w:r>
        <w:rPr>
          <w:color w:val="auto"/>
          <w:highlight w:val="none"/>
          <w:u w:val="none" w:color="auto"/>
          <w:lang w:eastAsia="zh-CN"/>
        </w:rPr>
        <w:t>6.</w:t>
      </w:r>
      <w:r>
        <w:rPr>
          <w:rFonts w:hint="eastAsia"/>
          <w:color w:val="auto"/>
          <w:highlight w:val="none"/>
          <w:u w:val="none" w:color="auto"/>
          <w:lang w:eastAsia="zh-CN"/>
        </w:rPr>
        <w:t>12.3</w:t>
      </w:r>
      <w:r>
        <w:rPr>
          <w:color w:val="auto"/>
          <w:highlight w:val="none"/>
          <w:u w:val="none" w:color="auto"/>
          <w:lang w:eastAsia="zh-CN"/>
        </w:rPr>
        <w:t xml:space="preserve"> 防雷要求</w:t>
      </w:r>
    </w:p>
    <w:p w14:paraId="4C3ED45D">
      <w:pPr>
        <w:ind w:firstLine="371" w:firstLineChars="177"/>
        <w:rPr>
          <w:color w:val="auto"/>
          <w:highlight w:val="none"/>
          <w:u w:val="none" w:color="auto"/>
          <w:lang w:eastAsia="zh-CN"/>
        </w:rPr>
      </w:pPr>
      <w:r>
        <w:rPr>
          <w:color w:val="auto"/>
          <w:highlight w:val="none"/>
          <w:u w:val="none" w:color="auto"/>
          <w:lang w:eastAsia="zh-CN"/>
        </w:rPr>
        <w:t>交流供电电源箱采用 TN-S 系统； 稳压（UPS）电源之后的交流电源设备外壳接地、直 流地、屏蔽地、防静电接地都在机房内设置专用接地线引向总接地板。室外前端设备 增加 SPD 电涌保护器。</w:t>
      </w:r>
    </w:p>
    <w:p w14:paraId="6C585D6A">
      <w:pPr>
        <w:pStyle w:val="22"/>
        <w:rPr>
          <w:u w:val="none" w:color="auto"/>
          <w:lang w:eastAsia="zh-CN"/>
        </w:rPr>
      </w:pPr>
    </w:p>
    <w:p w14:paraId="42B4EA4D">
      <w:pPr>
        <w:pStyle w:val="3"/>
        <w:ind w:firstLine="565" w:firstLineChars="176"/>
        <w:rPr>
          <w:u w:val="none" w:color="auto"/>
          <w:lang w:eastAsia="zh-CN"/>
        </w:rPr>
      </w:pPr>
      <w:r>
        <w:rPr>
          <w:rFonts w:hint="eastAsia"/>
          <w:color w:val="auto"/>
          <w:highlight w:val="none"/>
          <w:u w:val="none" w:color="auto"/>
          <w:lang w:eastAsia="zh-CN"/>
        </w:rPr>
        <w:t>燃气专业</w:t>
      </w:r>
      <w:r>
        <w:rPr>
          <w:u w:val="none" w:color="auto"/>
          <w:lang w:eastAsia="zh-CN"/>
        </w:rPr>
        <w:t>（天燃气公司专项设计，在建筑设计时应综合考虑）</w:t>
      </w:r>
    </w:p>
    <w:p w14:paraId="2A1E6E01">
      <w:pPr>
        <w:ind w:firstLine="371" w:firstLineChars="177"/>
        <w:rPr>
          <w:u w:val="none" w:color="auto"/>
          <w:lang w:eastAsia="zh-CN"/>
        </w:rPr>
      </w:pPr>
      <w:r>
        <w:rPr>
          <w:u w:val="none" w:color="auto"/>
          <w:lang w:eastAsia="zh-CN"/>
        </w:rPr>
        <w:t>1、按国家相关规定计算商业部分餐饮用气量等指标。</w:t>
      </w:r>
    </w:p>
    <w:p w14:paraId="6BE07101">
      <w:pPr>
        <w:ind w:firstLine="371" w:firstLineChars="177"/>
        <w:rPr>
          <w:u w:val="none" w:color="auto"/>
          <w:lang w:eastAsia="zh-CN"/>
        </w:rPr>
      </w:pPr>
      <w:r>
        <w:rPr>
          <w:u w:val="none" w:color="auto"/>
          <w:lang w:eastAsia="zh-CN"/>
        </w:rPr>
        <w:t>2、室外燃气管与电力电缆、弱电电缆以及给排水水管等保持规范要求的安全距离。</w:t>
      </w:r>
    </w:p>
    <w:p w14:paraId="6DECEF46">
      <w:pPr>
        <w:ind w:firstLine="371" w:firstLineChars="177"/>
        <w:rPr>
          <w:u w:val="none" w:color="auto"/>
          <w:lang w:eastAsia="zh-CN"/>
        </w:rPr>
      </w:pPr>
      <w:r>
        <w:rPr>
          <w:u w:val="none" w:color="auto"/>
          <w:lang w:eastAsia="zh-CN"/>
        </w:rPr>
        <w:t>3、燃气管与地下室须保持距离，若不能满足规范要求，须在地下室安装燃气报警器。</w:t>
      </w:r>
    </w:p>
    <w:p w14:paraId="2FF84743">
      <w:pPr>
        <w:ind w:firstLine="371" w:firstLineChars="177"/>
        <w:rPr>
          <w:u w:val="none" w:color="auto"/>
          <w:lang w:eastAsia="zh-CN"/>
        </w:rPr>
      </w:pPr>
      <w:r>
        <w:rPr>
          <w:u w:val="none" w:color="auto"/>
          <w:lang w:eastAsia="zh-CN"/>
        </w:rPr>
        <w:t>4、为了燃气工程的报建和验收，请设计院统一考虑燃气系统（室外管网、各楼栋内的管线布置、户内燃气表的安装位置等），并且将其在总图及各楼栋的各层平面图上标注出来。</w:t>
      </w:r>
    </w:p>
    <w:p w14:paraId="682CF598">
      <w:pPr>
        <w:ind w:firstLine="371" w:firstLineChars="177"/>
        <w:rPr>
          <w:u w:val="none" w:color="auto"/>
          <w:lang w:eastAsia="zh-CN"/>
        </w:rPr>
      </w:pPr>
      <w:r>
        <w:rPr>
          <w:u w:val="none" w:color="auto"/>
          <w:lang w:eastAsia="zh-CN"/>
        </w:rPr>
        <w:t>5、设计应考虑户内燃气立管及气表安装位置。</w:t>
      </w:r>
    </w:p>
    <w:p w14:paraId="11F561DF">
      <w:pPr>
        <w:numPr>
          <w:ilvl w:val="0"/>
          <w:numId w:val="0"/>
        </w:numPr>
        <w:rPr>
          <w:u w:val="none" w:color="auto"/>
          <w:lang w:eastAsia="zh-CN"/>
        </w:rPr>
      </w:pPr>
    </w:p>
    <w:p w14:paraId="60801ACF">
      <w:pPr>
        <w:rPr>
          <w:color w:val="auto"/>
          <w:highlight w:val="none"/>
          <w:u w:val="none" w:color="auto"/>
          <w:lang w:eastAsia="zh-CN"/>
        </w:rPr>
      </w:pPr>
    </w:p>
    <w:p w14:paraId="3B0ACE4A">
      <w:pPr>
        <w:pStyle w:val="2"/>
        <w:rPr>
          <w:color w:val="auto"/>
          <w:highlight w:val="none"/>
          <w:u w:val="none" w:color="auto"/>
          <w:lang w:eastAsia="zh-CN"/>
        </w:rPr>
      </w:pPr>
      <w:r>
        <w:rPr>
          <w:color w:val="auto"/>
          <w:highlight w:val="none"/>
          <w:u w:val="none" w:color="auto"/>
          <w:lang w:eastAsia="zh-CN"/>
        </w:rPr>
        <w:t>第五部分装配式部分</w:t>
      </w:r>
    </w:p>
    <w:p w14:paraId="61AFF8EE">
      <w:pPr>
        <w:ind w:firstLine="371" w:firstLineChars="177"/>
        <w:rPr>
          <w:color w:val="auto"/>
          <w:highlight w:val="none"/>
          <w:u w:val="none" w:color="auto"/>
          <w:lang w:eastAsia="zh-CN"/>
        </w:rPr>
      </w:pPr>
      <w:r>
        <w:rPr>
          <w:color w:val="auto"/>
          <w:highlight w:val="none"/>
          <w:u w:val="none" w:color="auto"/>
          <w:lang w:eastAsia="zh-CN"/>
        </w:rPr>
        <w:t>1.概念方案设计阶段：</w:t>
      </w:r>
    </w:p>
    <w:p w14:paraId="0C6FD274">
      <w:pPr>
        <w:ind w:firstLine="371" w:firstLineChars="177"/>
        <w:rPr>
          <w:color w:val="auto"/>
          <w:highlight w:val="none"/>
          <w:u w:val="none" w:color="auto"/>
          <w:lang w:eastAsia="zh-CN"/>
        </w:rPr>
      </w:pPr>
      <w:r>
        <w:rPr>
          <w:color w:val="auto"/>
          <w:highlight w:val="none"/>
          <w:u w:val="none" w:color="auto"/>
          <w:lang w:eastAsia="zh-CN"/>
        </w:rPr>
        <w:t>1.1 配合我司方完成当地 PC 政策咨询（含政府监管方式及力度）以及类似项目实际操作情况调研并形成书面专题报告。</w:t>
      </w:r>
    </w:p>
    <w:p w14:paraId="693368FA">
      <w:pPr>
        <w:ind w:firstLine="371" w:firstLineChars="177"/>
        <w:rPr>
          <w:color w:val="auto"/>
          <w:highlight w:val="none"/>
          <w:u w:val="none" w:color="auto"/>
          <w:lang w:eastAsia="zh-CN"/>
        </w:rPr>
      </w:pPr>
      <w:r>
        <w:rPr>
          <w:color w:val="auto"/>
          <w:highlight w:val="none"/>
          <w:u w:val="none" w:color="auto"/>
          <w:lang w:eastAsia="zh-CN"/>
        </w:rPr>
        <w:t>1.2 配合我司完成 PC 专项策划报告。</w:t>
      </w:r>
    </w:p>
    <w:p w14:paraId="4A17E3BC">
      <w:pPr>
        <w:ind w:firstLine="371" w:firstLineChars="177"/>
        <w:rPr>
          <w:color w:val="auto"/>
          <w:highlight w:val="none"/>
          <w:u w:val="none" w:color="auto"/>
          <w:lang w:eastAsia="zh-CN"/>
        </w:rPr>
      </w:pPr>
      <w:r>
        <w:rPr>
          <w:color w:val="auto"/>
          <w:highlight w:val="none"/>
          <w:u w:val="none" w:color="auto"/>
          <w:lang w:eastAsia="zh-CN"/>
        </w:rPr>
        <w:t>报告中针对本项目要提出可操作性强的意见。</w:t>
      </w:r>
    </w:p>
    <w:p w14:paraId="16BB40C0">
      <w:pPr>
        <w:ind w:firstLine="371" w:firstLineChars="177"/>
        <w:rPr>
          <w:color w:val="auto"/>
          <w:highlight w:val="none"/>
          <w:u w:val="none" w:color="auto"/>
          <w:lang w:eastAsia="zh-CN"/>
        </w:rPr>
      </w:pPr>
      <w:r>
        <w:rPr>
          <w:color w:val="auto"/>
          <w:highlight w:val="none"/>
          <w:u w:val="none" w:color="auto"/>
          <w:lang w:eastAsia="zh-CN"/>
        </w:rPr>
        <w:t>2. 方案及总体设计阶段</w:t>
      </w:r>
    </w:p>
    <w:p w14:paraId="52DCC33E">
      <w:pPr>
        <w:ind w:firstLine="371" w:firstLineChars="177"/>
        <w:rPr>
          <w:color w:val="auto"/>
          <w:highlight w:val="none"/>
          <w:u w:val="none" w:color="auto"/>
          <w:lang w:eastAsia="zh-CN"/>
        </w:rPr>
      </w:pPr>
      <w:r>
        <w:rPr>
          <w:color w:val="auto"/>
          <w:highlight w:val="none"/>
          <w:u w:val="none" w:color="auto"/>
          <w:lang w:eastAsia="zh-CN"/>
        </w:rPr>
        <w:t>2.1 按照我司要求提交 PC 方案评审文本并落实业主组织的 PC 内部跨职能方案评 审会议要求。</w:t>
      </w:r>
    </w:p>
    <w:p w14:paraId="61AFE4A1">
      <w:pPr>
        <w:ind w:firstLine="371" w:firstLineChars="177"/>
        <w:rPr>
          <w:color w:val="auto"/>
          <w:highlight w:val="none"/>
          <w:u w:val="none" w:color="auto"/>
          <w:lang w:eastAsia="zh-CN"/>
        </w:rPr>
      </w:pPr>
      <w:r>
        <w:rPr>
          <w:color w:val="auto"/>
          <w:highlight w:val="none"/>
          <w:u w:val="none" w:color="auto"/>
          <w:lang w:eastAsia="zh-CN"/>
        </w:rPr>
        <w:t>2.2 按照我司要求提交 PC 方案官方评审文本。并协助业主完成官方评审。</w:t>
      </w:r>
    </w:p>
    <w:p w14:paraId="252CBF23">
      <w:pPr>
        <w:ind w:firstLine="371" w:firstLineChars="177"/>
        <w:rPr>
          <w:color w:val="auto"/>
          <w:highlight w:val="none"/>
          <w:u w:val="none" w:color="auto"/>
          <w:lang w:eastAsia="zh-CN"/>
        </w:rPr>
      </w:pPr>
      <w:r>
        <w:rPr>
          <w:color w:val="auto"/>
          <w:highlight w:val="none"/>
          <w:u w:val="none" w:color="auto"/>
          <w:lang w:eastAsia="zh-CN"/>
        </w:rPr>
        <w:t>3. 施工图设计阶段</w:t>
      </w:r>
    </w:p>
    <w:p w14:paraId="347E01E2">
      <w:pPr>
        <w:ind w:firstLine="371" w:firstLineChars="177"/>
        <w:rPr>
          <w:color w:val="auto"/>
          <w:highlight w:val="none"/>
          <w:u w:val="none" w:color="auto"/>
          <w:lang w:eastAsia="zh-CN"/>
        </w:rPr>
      </w:pPr>
      <w:r>
        <w:rPr>
          <w:color w:val="auto"/>
          <w:highlight w:val="none"/>
          <w:u w:val="none" w:color="auto"/>
          <w:lang w:eastAsia="zh-CN"/>
        </w:rPr>
        <w:t>3.1 参加我司组织的建筑方案成果向施工图设计方交底会议， 并提交有关意见专 题报告。</w:t>
      </w:r>
    </w:p>
    <w:p w14:paraId="16092E82">
      <w:pPr>
        <w:ind w:firstLine="371" w:firstLineChars="177"/>
        <w:rPr>
          <w:color w:val="auto"/>
          <w:highlight w:val="none"/>
          <w:u w:val="none" w:color="auto"/>
          <w:lang w:eastAsia="zh-CN"/>
        </w:rPr>
      </w:pPr>
      <w:r>
        <w:rPr>
          <w:color w:val="auto"/>
          <w:highlight w:val="none"/>
          <w:u w:val="none" w:color="auto"/>
          <w:lang w:eastAsia="zh-CN"/>
        </w:rPr>
        <w:t>3.2 协助我司完善 PC 工程清单、有关招标文件之技术标并解答总包及 PC 构件厂 招标过程中的问题。参加我司组织的有关关键招标考察活动。</w:t>
      </w:r>
    </w:p>
    <w:p w14:paraId="05D6C7D9">
      <w:pPr>
        <w:ind w:firstLine="371" w:firstLineChars="177"/>
        <w:rPr>
          <w:color w:val="auto"/>
          <w:highlight w:val="none"/>
          <w:u w:val="none" w:color="auto"/>
          <w:lang w:eastAsia="zh-CN"/>
        </w:rPr>
      </w:pPr>
      <w:r>
        <w:rPr>
          <w:color w:val="auto"/>
          <w:highlight w:val="none"/>
          <w:u w:val="none" w:color="auto"/>
          <w:lang w:eastAsia="zh-CN"/>
        </w:rPr>
        <w:t>3.3 协助我司完成 PC 施工方案评审。</w:t>
      </w:r>
    </w:p>
    <w:p w14:paraId="68F5DEFA">
      <w:pPr>
        <w:ind w:firstLine="371" w:firstLineChars="177"/>
        <w:rPr>
          <w:color w:val="auto"/>
          <w:highlight w:val="none"/>
          <w:u w:val="none" w:color="auto"/>
          <w:lang w:eastAsia="zh-CN"/>
        </w:rPr>
      </w:pPr>
      <w:r>
        <w:rPr>
          <w:color w:val="auto"/>
          <w:highlight w:val="none"/>
          <w:u w:val="none" w:color="auto"/>
          <w:lang w:eastAsia="zh-CN"/>
        </w:rPr>
        <w:t>3.4 协助我司完成图纸送审过程中的专业沟通并取得审图合格证。</w:t>
      </w:r>
    </w:p>
    <w:p w14:paraId="1695AAB1">
      <w:pPr>
        <w:ind w:firstLine="371" w:firstLineChars="177"/>
        <w:rPr>
          <w:color w:val="auto"/>
          <w:highlight w:val="none"/>
          <w:u w:val="none" w:color="auto"/>
          <w:lang w:eastAsia="zh-CN"/>
        </w:rPr>
      </w:pPr>
      <w:r>
        <w:rPr>
          <w:color w:val="auto"/>
          <w:highlight w:val="none"/>
          <w:u w:val="none" w:color="auto"/>
          <w:lang w:eastAsia="zh-CN"/>
        </w:rPr>
        <w:t>3.5 落实我司组织的正式施工图纸跨职能内审有关意见。</w:t>
      </w:r>
    </w:p>
    <w:p w14:paraId="558C9566">
      <w:pPr>
        <w:ind w:firstLine="371" w:firstLineChars="177"/>
        <w:rPr>
          <w:color w:val="auto"/>
          <w:highlight w:val="none"/>
          <w:u w:val="none" w:color="auto"/>
          <w:lang w:eastAsia="zh-CN"/>
        </w:rPr>
      </w:pPr>
      <w:r>
        <w:rPr>
          <w:color w:val="auto"/>
          <w:highlight w:val="none"/>
          <w:u w:val="none" w:color="auto"/>
          <w:lang w:eastAsia="zh-CN"/>
        </w:rPr>
        <w:t>4. PC 深化设计阶段</w:t>
      </w:r>
    </w:p>
    <w:p w14:paraId="74718F32">
      <w:pPr>
        <w:ind w:firstLine="371" w:firstLineChars="177"/>
        <w:rPr>
          <w:color w:val="auto"/>
          <w:highlight w:val="none"/>
          <w:u w:val="none" w:color="auto"/>
          <w:lang w:eastAsia="zh-CN"/>
        </w:rPr>
      </w:pPr>
      <w:r>
        <w:rPr>
          <w:color w:val="auto"/>
          <w:highlight w:val="none"/>
          <w:u w:val="none" w:color="auto"/>
          <w:lang w:eastAsia="zh-CN"/>
        </w:rPr>
        <w:t>4.1 参加我司组织的 pc 深化设计关联提资会议。协助业主完成所有关联提资的书面签收工作。注意：用于 PC 深化设计提资的完整机电系统提资图纸必须由主体施 工图设计方提交，设计方不得与室内设计方进行单线沟通。</w:t>
      </w:r>
    </w:p>
    <w:p w14:paraId="76379DE4">
      <w:pPr>
        <w:ind w:firstLine="371" w:firstLineChars="177"/>
        <w:rPr>
          <w:color w:val="auto"/>
          <w:highlight w:val="none"/>
          <w:u w:val="none" w:color="auto"/>
          <w:lang w:eastAsia="zh-CN"/>
        </w:rPr>
      </w:pPr>
      <w:r>
        <w:rPr>
          <w:color w:val="auto"/>
          <w:highlight w:val="none"/>
          <w:u w:val="none" w:color="auto"/>
          <w:lang w:eastAsia="zh-CN"/>
        </w:rPr>
        <w:t>4.2 提交满足我司深度要求的 PC 深化设计图纸。</w:t>
      </w:r>
    </w:p>
    <w:p w14:paraId="14D423E1">
      <w:pPr>
        <w:ind w:firstLine="371" w:firstLineChars="177"/>
        <w:rPr>
          <w:color w:val="auto"/>
          <w:highlight w:val="none"/>
          <w:u w:val="none" w:color="auto"/>
          <w:lang w:eastAsia="zh-CN"/>
        </w:rPr>
      </w:pPr>
      <w:r>
        <w:rPr>
          <w:color w:val="auto"/>
          <w:highlight w:val="none"/>
          <w:u w:val="none" w:color="auto"/>
          <w:lang w:eastAsia="zh-CN"/>
        </w:rPr>
        <w:t>4.3 参加我司组织的正式 PC 深化施工图纸讲图、交底会议。落实有关内审意见。</w:t>
      </w:r>
    </w:p>
    <w:p w14:paraId="46D31D70">
      <w:pPr>
        <w:ind w:firstLine="371" w:firstLineChars="177"/>
        <w:rPr>
          <w:color w:val="auto"/>
          <w:highlight w:val="none"/>
          <w:u w:val="none" w:color="auto"/>
          <w:lang w:eastAsia="zh-CN"/>
        </w:rPr>
      </w:pPr>
      <w:r>
        <w:rPr>
          <w:color w:val="auto"/>
          <w:highlight w:val="none"/>
          <w:u w:val="none" w:color="auto"/>
          <w:lang w:eastAsia="zh-CN"/>
        </w:rPr>
        <w:t>4.4 落实我司主导的 PC 典型楼栋成本分析及控制工作。对不满足成本目标的 PC</w:t>
      </w:r>
    </w:p>
    <w:p w14:paraId="6B221E19">
      <w:pPr>
        <w:ind w:firstLine="371" w:firstLineChars="177"/>
        <w:rPr>
          <w:color w:val="auto"/>
          <w:highlight w:val="none"/>
          <w:u w:val="none" w:color="auto"/>
          <w:lang w:eastAsia="zh-CN"/>
        </w:rPr>
      </w:pPr>
      <w:r>
        <w:rPr>
          <w:color w:val="auto"/>
          <w:highlight w:val="none"/>
          <w:u w:val="none" w:color="auto"/>
          <w:lang w:eastAsia="zh-CN"/>
        </w:rPr>
        <w:t>深化图纸进行优化至目标成本范围内。</w:t>
      </w:r>
    </w:p>
    <w:p w14:paraId="5FCF6208">
      <w:pPr>
        <w:ind w:firstLine="371" w:firstLineChars="177"/>
        <w:rPr>
          <w:color w:val="auto"/>
          <w:highlight w:val="none"/>
          <w:u w:val="none" w:color="auto"/>
          <w:lang w:eastAsia="zh-CN"/>
        </w:rPr>
      </w:pPr>
      <w:r>
        <w:rPr>
          <w:color w:val="auto"/>
          <w:highlight w:val="none"/>
          <w:u w:val="none" w:color="auto"/>
          <w:lang w:eastAsia="zh-CN"/>
        </w:rPr>
        <w:t>5、PC 生产及施工阶段</w:t>
      </w:r>
    </w:p>
    <w:p w14:paraId="412578A0">
      <w:pPr>
        <w:ind w:firstLine="371" w:firstLineChars="177"/>
        <w:rPr>
          <w:color w:val="auto"/>
          <w:highlight w:val="none"/>
          <w:u w:val="none" w:color="auto"/>
          <w:lang w:eastAsia="zh-CN"/>
        </w:rPr>
      </w:pPr>
      <w:r>
        <w:rPr>
          <w:color w:val="auto"/>
          <w:highlight w:val="none"/>
          <w:u w:val="none" w:color="auto"/>
          <w:lang w:eastAsia="zh-CN"/>
        </w:rPr>
        <w:t>5.1 协助我司审核 PC 构件模具设计合理性与用量。</w:t>
      </w:r>
    </w:p>
    <w:p w14:paraId="233FCD1A">
      <w:pPr>
        <w:ind w:firstLine="371" w:firstLineChars="177"/>
        <w:rPr>
          <w:color w:val="auto"/>
          <w:highlight w:val="none"/>
          <w:u w:val="none" w:color="auto"/>
          <w:lang w:eastAsia="zh-CN"/>
        </w:rPr>
      </w:pPr>
      <w:r>
        <w:rPr>
          <w:color w:val="auto"/>
          <w:highlight w:val="none"/>
          <w:u w:val="none" w:color="auto"/>
          <w:lang w:eastAsia="zh-CN"/>
        </w:rPr>
        <w:t>5.2 协助我司完成 PC 有关材料封样确认及签收工作。</w:t>
      </w:r>
    </w:p>
    <w:p w14:paraId="16064A20">
      <w:pPr>
        <w:ind w:firstLine="371" w:firstLineChars="177"/>
        <w:rPr>
          <w:color w:val="auto"/>
          <w:highlight w:val="none"/>
          <w:u w:val="none" w:color="auto"/>
          <w:lang w:eastAsia="zh-CN"/>
        </w:rPr>
      </w:pPr>
      <w:r>
        <w:rPr>
          <w:color w:val="auto"/>
          <w:highlight w:val="none"/>
          <w:u w:val="none" w:color="auto"/>
          <w:lang w:eastAsia="zh-CN"/>
        </w:rPr>
        <w:t>5.3 协助我司完成 PC 监理方案评审。</w:t>
      </w:r>
    </w:p>
    <w:p w14:paraId="3B8407DC">
      <w:pPr>
        <w:ind w:firstLine="371" w:firstLineChars="177"/>
        <w:rPr>
          <w:color w:val="auto"/>
          <w:highlight w:val="none"/>
          <w:u w:val="none" w:color="auto"/>
          <w:lang w:eastAsia="zh-CN"/>
        </w:rPr>
      </w:pPr>
      <w:r>
        <w:rPr>
          <w:color w:val="auto"/>
          <w:highlight w:val="none"/>
          <w:u w:val="none" w:color="auto"/>
          <w:lang w:eastAsia="zh-CN"/>
        </w:rPr>
        <w:t>5.4 协助我司完成 PC 样板楼施工点评并提交专项反馈报告。</w:t>
      </w:r>
    </w:p>
    <w:p w14:paraId="6A4FCA49">
      <w:pPr>
        <w:ind w:firstLine="371" w:firstLineChars="177"/>
        <w:rPr>
          <w:color w:val="auto"/>
          <w:highlight w:val="none"/>
          <w:u w:val="none" w:color="auto"/>
          <w:lang w:eastAsia="zh-CN"/>
        </w:rPr>
      </w:pPr>
      <w:r>
        <w:rPr>
          <w:color w:val="auto"/>
          <w:highlight w:val="none"/>
          <w:u w:val="none" w:color="auto"/>
          <w:lang w:eastAsia="zh-CN"/>
        </w:rPr>
        <w:t>5.5 参加我司组织的 PC 生产首件联合点评及 PC 施工手段联合点评并提交专项反</w:t>
      </w:r>
    </w:p>
    <w:p w14:paraId="47E8136A">
      <w:pPr>
        <w:ind w:firstLine="371" w:firstLineChars="177"/>
        <w:rPr>
          <w:color w:val="auto"/>
          <w:highlight w:val="none"/>
          <w:u w:val="none" w:color="auto"/>
          <w:lang w:eastAsia="zh-CN"/>
        </w:rPr>
      </w:pPr>
      <w:r>
        <w:rPr>
          <w:color w:val="auto"/>
          <w:highlight w:val="none"/>
          <w:u w:val="none" w:color="auto"/>
          <w:lang w:eastAsia="zh-CN"/>
        </w:rPr>
        <w:t>馈报告。</w:t>
      </w:r>
    </w:p>
    <w:p w14:paraId="1A2EFE19">
      <w:pPr>
        <w:ind w:firstLine="371" w:firstLineChars="177"/>
        <w:rPr>
          <w:color w:val="auto"/>
          <w:highlight w:val="none"/>
          <w:u w:val="none" w:color="auto"/>
          <w:lang w:eastAsia="zh-CN"/>
        </w:rPr>
      </w:pPr>
      <w:r>
        <w:rPr>
          <w:color w:val="auto"/>
          <w:highlight w:val="none"/>
          <w:u w:val="none" w:color="auto"/>
          <w:lang w:eastAsia="zh-CN"/>
        </w:rPr>
        <w:t>5.6 参加我司组织的 PC 施工期间定期设计、成本、施工、客服、物业联合巡检 活动并提交专项反馈报告。</w:t>
      </w:r>
    </w:p>
    <w:p w14:paraId="56D270F8">
      <w:pPr>
        <w:ind w:firstLine="371" w:firstLineChars="177"/>
        <w:rPr>
          <w:color w:val="auto"/>
          <w:highlight w:val="none"/>
          <w:u w:val="none" w:color="auto"/>
          <w:lang w:eastAsia="zh-CN"/>
        </w:rPr>
      </w:pPr>
      <w:r>
        <w:rPr>
          <w:color w:val="auto"/>
          <w:highlight w:val="none"/>
          <w:u w:val="none" w:color="auto"/>
          <w:lang w:eastAsia="zh-CN"/>
        </w:rPr>
        <w:t>5.7 视具体情况不定期参加项目例会，协助业主解决 PC 相关问题。</w:t>
      </w:r>
    </w:p>
    <w:p w14:paraId="35D5E7B0">
      <w:pPr>
        <w:ind w:firstLine="371" w:firstLineChars="177"/>
        <w:rPr>
          <w:color w:val="auto"/>
          <w:highlight w:val="none"/>
          <w:u w:val="none" w:color="auto"/>
          <w:lang w:eastAsia="zh-CN"/>
        </w:rPr>
      </w:pPr>
      <w:r>
        <w:rPr>
          <w:color w:val="auto"/>
          <w:highlight w:val="none"/>
          <w:u w:val="none" w:color="auto"/>
          <w:lang w:eastAsia="zh-CN"/>
        </w:rPr>
        <w:t>5.8 视具体情况参加业主组织的 PC 生产及施工关键节点的验收工作。</w:t>
      </w:r>
    </w:p>
    <w:p w14:paraId="4BA0998B">
      <w:pPr>
        <w:ind w:firstLine="371" w:firstLineChars="177"/>
        <w:rPr>
          <w:color w:val="auto"/>
          <w:highlight w:val="none"/>
          <w:u w:val="none" w:color="auto"/>
          <w:lang w:eastAsia="zh-CN"/>
        </w:rPr>
      </w:pPr>
      <w:r>
        <w:rPr>
          <w:color w:val="auto"/>
          <w:highlight w:val="none"/>
          <w:u w:val="none" w:color="auto"/>
          <w:lang w:eastAsia="zh-CN"/>
        </w:rPr>
        <w:t>5.9 对 PC 深化图纸出现的问题高效提交设计变更。</w:t>
      </w:r>
    </w:p>
    <w:p w14:paraId="2C3DDD8A">
      <w:pPr>
        <w:ind w:firstLine="371" w:firstLineChars="177"/>
        <w:rPr>
          <w:color w:val="auto"/>
          <w:highlight w:val="none"/>
          <w:u w:val="none" w:color="auto"/>
          <w:lang w:eastAsia="zh-CN"/>
        </w:rPr>
      </w:pPr>
      <w:r>
        <w:rPr>
          <w:color w:val="auto"/>
          <w:highlight w:val="none"/>
          <w:u w:val="none" w:color="auto"/>
          <w:lang w:eastAsia="zh-CN"/>
        </w:rPr>
        <w:t>6.项目营销阶段</w:t>
      </w:r>
    </w:p>
    <w:p w14:paraId="7A202E86">
      <w:pPr>
        <w:ind w:firstLine="371" w:firstLineChars="177"/>
        <w:rPr>
          <w:color w:val="auto"/>
          <w:highlight w:val="none"/>
          <w:u w:val="none" w:color="auto"/>
          <w:lang w:eastAsia="zh-CN"/>
        </w:rPr>
      </w:pPr>
      <w:r>
        <w:rPr>
          <w:color w:val="auto"/>
          <w:highlight w:val="none"/>
          <w:u w:val="none" w:color="auto"/>
          <w:lang w:eastAsia="zh-CN"/>
        </w:rPr>
        <w:t>6.1 协助我司完成对项目营销、客服、物业相关人员针对项目 PC 相关知识及有关客户提问回答的培训工作。</w:t>
      </w:r>
    </w:p>
    <w:p w14:paraId="77AA0099">
      <w:pPr>
        <w:ind w:firstLine="371" w:firstLineChars="177"/>
        <w:rPr>
          <w:color w:val="auto"/>
          <w:highlight w:val="none"/>
          <w:u w:val="none" w:color="auto"/>
          <w:lang w:eastAsia="zh-CN"/>
        </w:rPr>
      </w:pPr>
      <w:r>
        <w:rPr>
          <w:color w:val="auto"/>
          <w:highlight w:val="none"/>
          <w:u w:val="none" w:color="auto"/>
          <w:lang w:eastAsia="zh-CN"/>
        </w:rPr>
        <w:t>7.项目交付阶段</w:t>
      </w:r>
    </w:p>
    <w:p w14:paraId="1CEE283C">
      <w:pPr>
        <w:ind w:firstLine="371" w:firstLineChars="177"/>
        <w:rPr>
          <w:color w:val="auto"/>
          <w:highlight w:val="none"/>
          <w:u w:val="none" w:color="auto"/>
          <w:lang w:eastAsia="zh-CN"/>
        </w:rPr>
      </w:pPr>
      <w:r>
        <w:rPr>
          <w:color w:val="auto"/>
          <w:highlight w:val="none"/>
          <w:u w:val="none" w:color="auto"/>
          <w:lang w:eastAsia="zh-CN"/>
        </w:rPr>
        <w:t>7.1 协助我司完成对客户的交付楼书中 PC 相关图纸、风险提示资料的提交及对 物业的 PC 竣工蓝图的提交工作。</w:t>
      </w:r>
    </w:p>
    <w:p w14:paraId="78E8C0A6">
      <w:pPr>
        <w:rPr>
          <w:color w:val="auto"/>
          <w:highlight w:val="none"/>
          <w:u w:val="none" w:color="auto"/>
          <w:lang w:eastAsia="zh-CN"/>
        </w:rPr>
      </w:pPr>
    </w:p>
    <w:p w14:paraId="319D46A8">
      <w:pPr>
        <w:pStyle w:val="2"/>
        <w:rPr>
          <w:color w:val="auto"/>
          <w:highlight w:val="none"/>
          <w:u w:val="none" w:color="auto"/>
          <w:lang w:eastAsia="zh-CN"/>
        </w:rPr>
      </w:pPr>
      <w:r>
        <w:rPr>
          <w:color w:val="auto"/>
          <w:highlight w:val="none"/>
          <w:u w:val="none" w:color="auto"/>
          <w:lang w:eastAsia="zh-CN"/>
        </w:rPr>
        <w:t>第六部分其他</w:t>
      </w:r>
    </w:p>
    <w:p w14:paraId="71EA90FB">
      <w:pPr>
        <w:ind w:firstLine="371" w:firstLineChars="177"/>
        <w:rPr>
          <w:color w:val="auto"/>
          <w:highlight w:val="none"/>
          <w:u w:val="none" w:color="auto"/>
          <w:lang w:eastAsia="zh-CN"/>
        </w:rPr>
      </w:pPr>
      <w:r>
        <w:rPr>
          <w:color w:val="auto"/>
          <w:highlight w:val="none"/>
          <w:u w:val="none" w:color="auto"/>
          <w:lang w:eastAsia="zh-CN"/>
        </w:rPr>
        <w:t>一 、附件</w:t>
      </w:r>
    </w:p>
    <w:p w14:paraId="7837C167">
      <w:pPr>
        <w:ind w:firstLine="371" w:firstLineChars="177"/>
        <w:rPr>
          <w:color w:val="auto"/>
          <w:highlight w:val="none"/>
          <w:u w:val="none" w:color="auto"/>
          <w:lang w:eastAsia="zh-CN"/>
        </w:rPr>
      </w:pPr>
      <w:r>
        <w:rPr>
          <w:color w:val="auto"/>
          <w:highlight w:val="none"/>
          <w:u w:val="none" w:color="auto"/>
          <w:lang w:eastAsia="zh-CN"/>
        </w:rPr>
        <w:t>1、审图要点</w:t>
      </w:r>
    </w:p>
    <w:p w14:paraId="40D7DED8">
      <w:pPr>
        <w:ind w:firstLine="371" w:firstLineChars="177"/>
        <w:rPr>
          <w:color w:val="auto"/>
          <w:highlight w:val="none"/>
          <w:u w:val="none" w:color="auto"/>
          <w:lang w:eastAsia="zh-CN"/>
        </w:rPr>
      </w:pPr>
      <w:r>
        <w:rPr>
          <w:color w:val="auto"/>
          <w:highlight w:val="none"/>
          <w:u w:val="none" w:color="auto"/>
          <w:lang w:eastAsia="zh-CN"/>
        </w:rPr>
        <w:t>二、说明</w:t>
      </w:r>
    </w:p>
    <w:p w14:paraId="66159D60">
      <w:pPr>
        <w:ind w:firstLine="371" w:firstLineChars="177"/>
        <w:rPr>
          <w:color w:val="auto"/>
          <w:highlight w:val="none"/>
          <w:u w:val="none" w:color="auto"/>
          <w:lang w:eastAsia="zh-CN"/>
        </w:rPr>
      </w:pPr>
      <w:r>
        <w:rPr>
          <w:color w:val="auto"/>
          <w:highlight w:val="none"/>
          <w:u w:val="none" w:color="auto"/>
          <w:lang w:eastAsia="zh-CN"/>
        </w:rPr>
        <w:t>1、物业用房具体位置建议、面积、功能、水暖电专业的要求由施工图设计单位与我司另行商议确定（水， 暖， 电， 热需在设计时充分考虑余量， 在具体方案确定后出详细的施工图）。</w:t>
      </w:r>
    </w:p>
    <w:p w14:paraId="552B89F3">
      <w:pPr>
        <w:ind w:firstLine="371" w:firstLineChars="177"/>
        <w:rPr>
          <w:color w:val="auto"/>
          <w:highlight w:val="none"/>
          <w:u w:val="none" w:color="auto"/>
          <w:lang w:eastAsia="zh-CN"/>
        </w:rPr>
      </w:pPr>
      <w:r>
        <w:rPr>
          <w:color w:val="auto"/>
          <w:highlight w:val="none"/>
          <w:u w:val="none" w:color="auto"/>
          <w:lang w:eastAsia="zh-CN"/>
        </w:rPr>
        <w:t>2、本任务书所提供的“参考标准、做法”，设计方须仔细阅读、推敲，若有异议、遗 漏或好的建议可及时与我司联系、商定。对遗漏、须修改的， 我司会及时通知设计方进行补充与修改。</w:t>
      </w:r>
    </w:p>
    <w:p w14:paraId="289A2257">
      <w:pPr>
        <w:rPr>
          <w:rFonts w:asciiTheme="minorEastAsia" w:hAnsiTheme="minorEastAsia" w:eastAsiaTheme="minorEastAsia"/>
          <w:color w:val="auto"/>
          <w:szCs w:val="21"/>
          <w:highlight w:val="none"/>
        </w:rPr>
      </w:pPr>
    </w:p>
    <w:sectPr>
      <w:footerReference r:id="rId26" w:type="default"/>
      <w:pgSz w:w="12240" w:h="15840"/>
      <w:pgMar w:top="1440" w:right="1440" w:bottom="1440" w:left="1440" w:header="720" w:footer="720" w:gutter="0"/>
      <w:pgBorders>
        <w:top w:val="none" w:sz="0" w:space="0"/>
        <w:left w:val="none" w:sz="0" w:space="0"/>
        <w:bottom w:val="none" w:sz="0" w:space="0"/>
        <w:right w:val="none" w:sz="0" w:space="0"/>
      </w:pgBorders>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S Sans Serif">
    <w:altName w:val="Arial"/>
    <w:panose1 w:val="00000000000000000000"/>
    <w:charset w:val="00"/>
    <w:family w:val="swiss"/>
    <w:pitch w:val="default"/>
    <w:sig w:usb0="00000000" w:usb1="00000000" w:usb2="00000000" w:usb3="00000000" w:csb0="00000001" w:csb1="00000000"/>
  </w:font>
  <w:font w:name="monospace">
    <w:altName w:val="Segoe Print"/>
    <w:panose1 w:val="00000000000000000000"/>
    <w:charset w:val="00"/>
    <w:family w:val="auto"/>
    <w:pitch w:val="default"/>
    <w:sig w:usb0="00000000" w:usb1="00000000" w:usb2="00000000" w:usb3="00000000" w:csb0="00040001" w:csb1="00000000"/>
  </w:font>
  <w:font w:name="Segoe Print">
    <w:panose1 w:val="02000600000000000000"/>
    <w:charset w:val="00"/>
    <w:family w:val="auto"/>
    <w:pitch w:val="default"/>
    <w:sig w:usb0="0000028F" w:usb1="00000000" w:usb2="00000000" w:usb3="00000000" w:csb0="2000009F" w:csb1="47010000"/>
  </w:font>
  <w:font w:name="Times">
    <w:altName w:val="Times New Roman"/>
    <w:panose1 w:val="02020603050405020304"/>
    <w:charset w:val="00"/>
    <w:family w:val="roman"/>
    <w:pitch w:val="default"/>
    <w:sig w:usb0="00000000" w:usb1="00000000" w:usb2="00000009" w:usb3="00000000" w:csb0="000001FF" w:csb1="00000000"/>
  </w:font>
  <w:font w:name="TimesNewRomanPSMT">
    <w:altName w:val="Times New Roman"/>
    <w:panose1 w:val="00000000000000000000"/>
    <w:charset w:val="00"/>
    <w:family w:val="roman"/>
    <w:pitch w:val="default"/>
    <w:sig w:usb0="00000000" w:usb1="00000000" w:usb2="00000000" w:usb3="00000000" w:csb0="00000001" w:csb1="00000000"/>
  </w:font>
  <w:font w:name="微软雅黑">
    <w:panose1 w:val="020B0503020204020204"/>
    <w:charset w:val="86"/>
    <w:family w:val="swiss"/>
    <w:pitch w:val="default"/>
    <w:sig w:usb0="80000287" w:usb1="2ACF3C50" w:usb2="00000016" w:usb3="00000000" w:csb0="0004001F" w:csb1="00000000"/>
  </w:font>
  <w:font w:name="Century Gothic">
    <w:altName w:val="AmdtSymbols"/>
    <w:panose1 w:val="020B0502020202020204"/>
    <w:charset w:val="00"/>
    <w:family w:val="swiss"/>
    <w:pitch w:val="default"/>
    <w:sig w:usb0="00000000" w:usb1="00000000" w:usb2="00000000" w:usb3="00000000" w:csb0="2000009F" w:csb1="DFD70000"/>
  </w:font>
  <w:font w:name="方正书宋简体">
    <w:altName w:val="宋体"/>
    <w:panose1 w:val="00000000000000000000"/>
    <w:charset w:val="86"/>
    <w:family w:val="script"/>
    <w:pitch w:val="default"/>
    <w:sig w:usb0="00000000" w:usb1="00000000" w:usb2="00000012"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Ђˎ̥">
    <w:altName w:val="Times New Roman"/>
    <w:panose1 w:val="00000000000000000000"/>
    <w:charset w:val="00"/>
    <w:family w:val="auto"/>
    <w:pitch w:val="default"/>
    <w:sig w:usb0="00000000" w:usb1="00000000" w:usb2="00000000" w:usb3="00000000" w:csb0="00040001" w:csb1="00000000"/>
  </w:font>
  <w:font w:name="Arial Black">
    <w:panose1 w:val="020B0A04020102020204"/>
    <w:charset w:val="00"/>
    <w:family w:val="swiss"/>
    <w:pitch w:val="default"/>
    <w:sig w:usb0="A00002AF" w:usb1="400078FB" w:usb2="00000000" w:usb3="00000000" w:csb0="6000009F" w:csb1="DFD70000"/>
  </w:font>
  <w:font w:name="Bodoni MT">
    <w:altName w:val="Segoe Print"/>
    <w:panose1 w:val="02070603080606020203"/>
    <w:charset w:val="00"/>
    <w:family w:val="roman"/>
    <w:pitch w:val="default"/>
    <w:sig w:usb0="00000000" w:usb1="00000000" w:usb2="00000000" w:usb3="00000000" w:csb0="20000001" w:csb1="0000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全真中明體">
    <w:altName w:val="MingLiU-ExtB"/>
    <w:panose1 w:val="00000000000000000000"/>
    <w:charset w:val="88"/>
    <w:family w:val="auto"/>
    <w:pitch w:val="default"/>
    <w:sig w:usb0="00000000" w:usb1="00000000" w:usb2="00000010" w:usb3="00000000" w:csb0="00100000" w:csb1="00000000"/>
  </w:font>
  <w:font w:name="MingLiU-ExtB">
    <w:panose1 w:val="02020500000000000000"/>
    <w:charset w:val="88"/>
    <w:family w:val="auto"/>
    <w:pitch w:val="default"/>
    <w:sig w:usb0="8000002F" w:usb1="02000008" w:usb2="00000000" w:usb3="00000000" w:csb0="00100001" w:csb1="00000000"/>
  </w:font>
  <w:font w:name="华文细黑">
    <w:altName w:val="微软雅黑"/>
    <w:panose1 w:val="02010600040101010101"/>
    <w:charset w:val="86"/>
    <w:family w:val="auto"/>
    <w:pitch w:val="default"/>
    <w:sig w:usb0="00000000" w:usb1="00000000" w:usb2="00000000" w:usb3="00000000" w:csb0="0004009F" w:csb1="DFD70000"/>
  </w:font>
  <w:font w:name="Microsoft YaHei UI">
    <w:panose1 w:val="020B0503020204020204"/>
    <w:charset w:val="86"/>
    <w:family w:val="swiss"/>
    <w:pitch w:val="default"/>
    <w:sig w:usb0="80000287" w:usb1="2ACF3C50" w:usb2="00000016" w:usb3="00000000" w:csb0="0004001F" w:csb1="00000000"/>
  </w:font>
  <w:font w:name="Arial Unicode MS">
    <w:altName w:val="宋体"/>
    <w:panose1 w:val="020B0604020202020204"/>
    <w:charset w:val="86"/>
    <w:family w:val="swiss"/>
    <w:pitch w:val="default"/>
    <w:sig w:usb0="00000000" w:usb1="00000000" w:usb2="0000003F" w:usb3="00000000" w:csb0="603F01FF" w:csb1="FFFF0000"/>
  </w:font>
  <w:font w:name="宋?">
    <w:altName w:val="Times New Roman"/>
    <w:panose1 w:val="00000000000000000000"/>
    <w:charset w:val="00"/>
    <w:family w:val="auto"/>
    <w:pitch w:val="default"/>
    <w:sig w:usb0="00000000" w:usb1="00000000" w:usb2="00000000" w:usb3="00000000" w:csb0="00000001" w:csb1="00000000"/>
  </w:font>
  <w:font w:name="Arial Narrow">
    <w:altName w:val="Arial"/>
    <w:panose1 w:val="020B0606020202030204"/>
    <w:charset w:val="00"/>
    <w:family w:val="swiss"/>
    <w:pitch w:val="default"/>
    <w:sig w:usb0="00000000" w:usb1="00000000" w:usb2="00000000" w:usb3="00000000" w:csb0="2000009F" w:csb1="DFD70000"/>
  </w:font>
  <w:font w:name="Adobe 宋体 Std L">
    <w:altName w:val="宋体"/>
    <w:panose1 w:val="00000000000000000000"/>
    <w:charset w:val="80"/>
    <w:family w:val="roman"/>
    <w:pitch w:val="default"/>
    <w:sig w:usb0="00000000" w:usb1="00000000" w:usb2="00000016" w:usb3="00000000" w:csb0="00060007" w:csb1="00000000"/>
  </w:font>
  <w:font w:name="Footlight MT Light">
    <w:altName w:val="Segoe Print"/>
    <w:panose1 w:val="0204060206030A020304"/>
    <w:charset w:val="00"/>
    <w:family w:val="roman"/>
    <w:pitch w:val="default"/>
    <w:sig w:usb0="00000000" w:usb1="00000000" w:usb2="00000000" w:usb3="00000000" w:csb0="20000001" w:csb1="00000000"/>
  </w:font>
  <w:font w:name="方正小标宋简体">
    <w:altName w:val="黑体"/>
    <w:panose1 w:val="02010601030101010101"/>
    <w:charset w:val="86"/>
    <w:family w:val="script"/>
    <w:pitch w:val="default"/>
    <w:sig w:usb0="00000000" w:usb1="00000000" w:usb2="0000000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 w:name="MS Mincho">
    <w:altName w:val="Yu Gothic UI"/>
    <w:panose1 w:val="02020609040205080304"/>
    <w:charset w:val="80"/>
    <w:family w:val="modern"/>
    <w:pitch w:val="default"/>
    <w:sig w:usb0="00000000" w:usb1="00000000" w:usb2="00000012" w:usb3="00000000" w:csb0="4002009F" w:csb1="DFD70000"/>
  </w:font>
  <w:font w:name="KSOF0B7949D1">
    <w:panose1 w:val="02010600040101010101"/>
    <w:charset w:val="86"/>
    <w:family w:val="auto"/>
    <w:pitch w:val="default"/>
    <w:sig w:usb0="00000001" w:usb1="00000000" w:usb2="00000000" w:usb3="00000000" w:csb0="00040001" w:csb1="0000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B0ED6E">
    <w:pPr>
      <w:pStyle w:val="36"/>
    </w:pPr>
    <w:r>
      <w:rPr>
        <w:sz w:val="18"/>
      </w:rPr>
      <mc:AlternateContent>
        <mc:Choice Requires="wps">
          <w:drawing>
            <wp:anchor distT="0" distB="0" distL="114300" distR="114300" simplePos="0" relativeHeight="2519572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C54C6C">
                          <w:pPr>
                            <w:pStyle w:val="3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572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Meuo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m4x66jICAABjBAAADgAAAAAAAAABACAAAAAfAQAAZHJzL2Uyb0RvYy54bWxQSwUG&#10;AAAAAAYABgBZAQAAwwUAAAAA&#10;">
              <v:fill on="f" focussize="0,0"/>
              <v:stroke on="f" weight="0.5pt"/>
              <v:imagedata o:title=""/>
              <o:lock v:ext="edit" aspectratio="f"/>
              <v:textbox inset="0mm,0mm,0mm,0mm" style="mso-fit-shape-to-text:t;">
                <w:txbxContent>
                  <w:p w14:paraId="0FC54C6C">
                    <w:pPr>
                      <w:pStyle w:val="3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5716FA">
    <w:pPr>
      <w:pStyle w:val="36"/>
      <w:jc w:val="center"/>
    </w:pPr>
    <w:r>
      <w:rPr>
        <w:sz w:val="18"/>
      </w:rPr>
      <mc:AlternateContent>
        <mc:Choice Requires="wps">
          <w:drawing>
            <wp:anchor distT="0" distB="0" distL="114300" distR="114300" simplePos="0" relativeHeight="251964416"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A277E6">
                          <w:pPr>
                            <w:pStyle w:val="36"/>
                          </w:pPr>
                          <w:r>
                            <w:fldChar w:fldCharType="begin"/>
                          </w:r>
                          <w:r>
                            <w:instrText xml:space="preserve"> PAGE  \* MERGEFORMAT </w:instrText>
                          </w:r>
                          <w:r>
                            <w:fldChar w:fldCharType="separate"/>
                          </w:r>
                          <w:r>
                            <w:t>311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644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2FA277E6">
                    <w:pPr>
                      <w:pStyle w:val="36"/>
                    </w:pPr>
                    <w:r>
                      <w:fldChar w:fldCharType="begin"/>
                    </w:r>
                    <w:r>
                      <w:instrText xml:space="preserve"> PAGE  \* MERGEFORMAT </w:instrText>
                    </w:r>
                    <w:r>
                      <w:fldChar w:fldCharType="separate"/>
                    </w:r>
                    <w:r>
                      <w:t>311</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EB12A2">
    <w:pPr>
      <w:pStyle w:val="36"/>
      <w:spacing w:after="120"/>
      <w:ind w:firstLine="360"/>
      <w:jc w:val="center"/>
    </w:pPr>
    <w:r>
      <w:rPr>
        <w:sz w:val="18"/>
      </w:rPr>
      <mc:AlternateContent>
        <mc:Choice Requires="wps">
          <w:drawing>
            <wp:anchor distT="0" distB="0" distL="114300" distR="114300" simplePos="0" relativeHeight="2519654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F3640D">
                          <w:pPr>
                            <w:pStyle w:val="36"/>
                          </w:pPr>
                          <w:r>
                            <w:fldChar w:fldCharType="begin"/>
                          </w:r>
                          <w:r>
                            <w:instrText xml:space="preserve"> PAGE  \* MERGEFORMAT </w:instrText>
                          </w:r>
                          <w:r>
                            <w:fldChar w:fldCharType="separate"/>
                          </w:r>
                          <w:r>
                            <w:t>361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654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p w14:paraId="6CF3640D">
                    <w:pPr>
                      <w:pStyle w:val="36"/>
                    </w:pPr>
                    <w:r>
                      <w:fldChar w:fldCharType="begin"/>
                    </w:r>
                    <w:r>
                      <w:instrText xml:space="preserve"> PAGE  \* MERGEFORMAT </w:instrText>
                    </w:r>
                    <w:r>
                      <w:fldChar w:fldCharType="separate"/>
                    </w:r>
                    <w:r>
                      <w:t>361</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2135EC">
    <w:pPr>
      <w:pStyle w:val="36"/>
      <w:spacing w:after="120"/>
      <w:ind w:firstLine="360"/>
      <w:jc w:val="center"/>
    </w:pPr>
    <w:r>
      <w:rPr>
        <w:sz w:val="18"/>
      </w:rPr>
      <mc:AlternateContent>
        <mc:Choice Requires="wps">
          <w:drawing>
            <wp:anchor distT="0" distB="0" distL="114300" distR="114300" simplePos="0" relativeHeight="2519664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8E8F3B">
                          <w:pPr>
                            <w:pStyle w:val="36"/>
                          </w:pPr>
                          <w:r>
                            <w:fldChar w:fldCharType="begin"/>
                          </w:r>
                          <w:r>
                            <w:instrText xml:space="preserve"> PAGE  \* MERGEFORMAT </w:instrText>
                          </w:r>
                          <w:r>
                            <w:fldChar w:fldCharType="separate"/>
                          </w:r>
                          <w:r>
                            <w:t>370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664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Sb3G8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Sb3G8zAgAAYwQAAA4AAAAAAAAAAQAgAAAAHwEAAGRycy9lMm9Eb2MueG1sUEsF&#10;BgAAAAAGAAYAWQEAAMQFAAAAAA==&#10;">
              <v:fill on="f" focussize="0,0"/>
              <v:stroke on="f" weight="0.5pt"/>
              <v:imagedata o:title=""/>
              <o:lock v:ext="edit" aspectratio="f"/>
              <v:textbox inset="0mm,0mm,0mm,0mm" style="mso-fit-shape-to-text:t;">
                <w:txbxContent>
                  <w:p w14:paraId="0B8E8F3B">
                    <w:pPr>
                      <w:pStyle w:val="36"/>
                    </w:pPr>
                    <w:r>
                      <w:fldChar w:fldCharType="begin"/>
                    </w:r>
                    <w:r>
                      <w:instrText xml:space="preserve"> PAGE  \* MERGEFORMAT </w:instrText>
                    </w:r>
                    <w:r>
                      <w:fldChar w:fldCharType="separate"/>
                    </w:r>
                    <w:r>
                      <w:t>370</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546F71">
    <w:pPr>
      <w:pStyle w:val="36"/>
      <w:spacing w:after="120"/>
      <w:ind w:firstLine="360"/>
      <w:jc w:val="center"/>
    </w:pPr>
    <w:r>
      <w:rPr>
        <w:sz w:val="18"/>
      </w:rPr>
      <mc:AlternateContent>
        <mc:Choice Requires="wps">
          <w:drawing>
            <wp:anchor distT="0" distB="0" distL="114300" distR="114300" simplePos="0" relativeHeight="2519674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883615">
                          <w:pPr>
                            <w:pStyle w:val="36"/>
                          </w:pPr>
                          <w:r>
                            <w:fldChar w:fldCharType="begin"/>
                          </w:r>
                          <w:r>
                            <w:instrText xml:space="preserve"> PAGE  \* MERGEFORMAT </w:instrText>
                          </w:r>
                          <w:r>
                            <w:fldChar w:fldCharType="separate"/>
                          </w:r>
                          <w:r>
                            <w:t>369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674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YzS4A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YzS4AzAgAAYwQAAA4AAAAAAAAAAQAgAAAAHwEAAGRycy9lMm9Eb2MueG1sUEsF&#10;BgAAAAAGAAYAWQEAAMQFAAAAAA==&#10;">
              <v:fill on="f" focussize="0,0"/>
              <v:stroke on="f" weight="0.5pt"/>
              <v:imagedata o:title=""/>
              <o:lock v:ext="edit" aspectratio="f"/>
              <v:textbox inset="0mm,0mm,0mm,0mm" style="mso-fit-shape-to-text:t;">
                <w:txbxContent>
                  <w:p w14:paraId="3F883615">
                    <w:pPr>
                      <w:pStyle w:val="36"/>
                    </w:pPr>
                    <w:r>
                      <w:fldChar w:fldCharType="begin"/>
                    </w:r>
                    <w:r>
                      <w:instrText xml:space="preserve"> PAGE  \* MERGEFORMAT </w:instrText>
                    </w:r>
                    <w:r>
                      <w:fldChar w:fldCharType="separate"/>
                    </w:r>
                    <w:r>
                      <w:t>369</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2C19C5">
    <w:pPr>
      <w:pStyle w:val="36"/>
      <w:jc w:val="center"/>
    </w:pPr>
    <w:r>
      <w:rPr>
        <w:sz w:val="18"/>
      </w:rPr>
      <mc:AlternateContent>
        <mc:Choice Requires="wps">
          <w:drawing>
            <wp:anchor distT="0" distB="0" distL="114300" distR="114300" simplePos="0" relativeHeight="2519685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635147">
                          <w:pPr>
                            <w:pStyle w:val="36"/>
                          </w:pPr>
                          <w:r>
                            <w:fldChar w:fldCharType="begin"/>
                          </w:r>
                          <w:r>
                            <w:instrText xml:space="preserve"> PAGE  \* MERGEFORMAT </w:instrText>
                          </w:r>
                          <w:r>
                            <w:fldChar w:fldCharType="separate"/>
                          </w:r>
                          <w:r>
                            <w:t>383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685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7J9wA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0kMUyj4qcf308/&#10;H06/vhGcQaDGhRni7h0iY/vOtmib4TzgMPFuK6/TF4wI/MA6XuQVbSQ8XZpOptMcLg7fsAF+9njd&#10;+RDfC6tJMgrqUb9OVnbYhNiHDiEpm7FrqVRXQ2VIU9Cr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7J9wAzAgAAYwQAAA4AAAAAAAAAAQAgAAAAHwEAAGRycy9lMm9Eb2MueG1sUEsF&#10;BgAAAAAGAAYAWQEAAMQFAAAAAA==&#10;">
              <v:fill on="f" focussize="0,0"/>
              <v:stroke on="f" weight="0.5pt"/>
              <v:imagedata o:title=""/>
              <o:lock v:ext="edit" aspectratio="f"/>
              <v:textbox inset="0mm,0mm,0mm,0mm" style="mso-fit-shape-to-text:t;">
                <w:txbxContent>
                  <w:p w14:paraId="74635147">
                    <w:pPr>
                      <w:pStyle w:val="36"/>
                    </w:pPr>
                    <w:r>
                      <w:fldChar w:fldCharType="begin"/>
                    </w:r>
                    <w:r>
                      <w:instrText xml:space="preserve"> PAGE  \* MERGEFORMAT </w:instrText>
                    </w:r>
                    <w:r>
                      <w:fldChar w:fldCharType="separate"/>
                    </w:r>
                    <w:r>
                      <w:t>383</w:t>
                    </w:r>
                    <w:r>
                      <w:fldChar w:fldCharType="end"/>
                    </w:r>
                  </w:p>
                </w:txbxContent>
              </v:textbox>
            </v:shape>
          </w:pict>
        </mc:Fallback>
      </mc:AlternateContent>
    </w:r>
  </w:p>
  <w:p w14:paraId="0EF173EB">
    <w:pPr>
      <w:pStyle w:val="36"/>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3FE0E2">
    <w:pPr>
      <w:pStyle w:val="36"/>
      <w:jc w:val="center"/>
    </w:pPr>
    <w:r>
      <w:rPr>
        <w:sz w:val="18"/>
      </w:rPr>
      <mc:AlternateContent>
        <mc:Choice Requires="wps">
          <w:drawing>
            <wp:anchor distT="0" distB="0" distL="114300" distR="114300" simplePos="0" relativeHeight="2519695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74DB84">
                          <w:pPr>
                            <w:pStyle w:val="36"/>
                          </w:pPr>
                          <w:r>
                            <w:fldChar w:fldCharType="begin"/>
                          </w:r>
                          <w:r>
                            <w:instrText xml:space="preserve"> PAGE  \* MERGEFORMAT </w:instrText>
                          </w:r>
                          <w:r>
                            <w:fldChar w:fldCharType="separate"/>
                          </w:r>
                          <w:r>
                            <w:t>382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695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1gw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1gwzAgAAYwQAAA4AAAAAAAAAAQAgAAAAHwEAAGRycy9lMm9Eb2MueG1sUEsF&#10;BgAAAAAGAAYAWQEAAMQFAAAAAA==&#10;">
              <v:fill on="f" focussize="0,0"/>
              <v:stroke on="f" weight="0.5pt"/>
              <v:imagedata o:title=""/>
              <o:lock v:ext="edit" aspectratio="f"/>
              <v:textbox inset="0mm,0mm,0mm,0mm" style="mso-fit-shape-to-text:t;">
                <w:txbxContent>
                  <w:p w14:paraId="0C74DB84">
                    <w:pPr>
                      <w:pStyle w:val="36"/>
                    </w:pPr>
                    <w:r>
                      <w:fldChar w:fldCharType="begin"/>
                    </w:r>
                    <w:r>
                      <w:instrText xml:space="preserve"> PAGE  \* MERGEFORMAT </w:instrText>
                    </w:r>
                    <w:r>
                      <w:fldChar w:fldCharType="separate"/>
                    </w:r>
                    <w:r>
                      <w:t>382</w:t>
                    </w:r>
                    <w:r>
                      <w:fldChar w:fldCharType="end"/>
                    </w:r>
                  </w:p>
                </w:txbxContent>
              </v:textbox>
            </v:shape>
          </w:pict>
        </mc:Fallback>
      </mc:AlternateContent>
    </w:r>
    <w:sdt>
      <w:sdtPr>
        <w:id w:val="-137890554"/>
        <w:showingPlcHdr/>
      </w:sdtPr>
      <w:sdtContent/>
    </w:sdt>
  </w:p>
  <w:p w14:paraId="56A20DFD">
    <w:pPr>
      <w:pStyle w:val="36"/>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7C3A35">
    <w:pPr>
      <w:pStyle w:val="36"/>
    </w:pPr>
    <w:r>
      <w:rPr>
        <w:sz w:val="18"/>
      </w:rPr>
      <mc:AlternateContent>
        <mc:Choice Requires="wps">
          <w:drawing>
            <wp:anchor distT="0" distB="0" distL="114300" distR="114300" simplePos="0" relativeHeight="2519705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F64526">
                          <w:pPr>
                            <w:pStyle w:val="36"/>
                          </w:pPr>
                          <w:r>
                            <w:fldChar w:fldCharType="begin"/>
                          </w:r>
                          <w:r>
                            <w:instrText xml:space="preserve"> PAGE  \* MERGEFORMAT </w:instrText>
                          </w:r>
                          <w:r>
                            <w:fldChar w:fldCharType="separate"/>
                          </w:r>
                          <w:r>
                            <w:t>508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705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14:paraId="75F64526">
                    <w:pPr>
                      <w:pStyle w:val="36"/>
                    </w:pPr>
                    <w:r>
                      <w:fldChar w:fldCharType="begin"/>
                    </w:r>
                    <w:r>
                      <w:instrText xml:space="preserve"> PAGE  \* MERGEFORMAT </w:instrText>
                    </w:r>
                    <w:r>
                      <w:fldChar w:fldCharType="separate"/>
                    </w:r>
                    <w:r>
                      <w:t>508</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A43A62">
    <w:pPr>
      <w:pStyle w:val="36"/>
    </w:pPr>
    <w:r>
      <mc:AlternateContent>
        <mc:Choice Requires="wps">
          <w:drawing>
            <wp:anchor distT="0" distB="0" distL="114300" distR="114300" simplePos="0" relativeHeight="251956224" behindDoc="0" locked="0" layoutInCell="1" allowOverlap="1">
              <wp:simplePos x="0" y="0"/>
              <wp:positionH relativeFrom="margin">
                <wp:align>outside</wp:align>
              </wp:positionH>
              <wp:positionV relativeFrom="paragraph">
                <wp:posOffset>-234315</wp:posOffset>
              </wp:positionV>
              <wp:extent cx="1828800" cy="1828800"/>
              <wp:effectExtent l="0" t="0" r="0" b="0"/>
              <wp:wrapNone/>
              <wp:docPr id="263"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F8416F7">
                          <w:pPr>
                            <w:pStyle w:val="36"/>
                            <w:ind w:firstLine="560"/>
                            <w:jc w:val="right"/>
                            <w:rPr>
                              <w:rFonts w:ascii="宋体" w:hAnsi="宋体" w:cs="宋体"/>
                              <w:sz w:val="28"/>
                              <w:szCs w:val="28"/>
                            </w:rPr>
                          </w:pP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ascii="宋体" w:hAnsi="宋体" w:cs="宋体"/>
                              <w:sz w:val="28"/>
                              <w:szCs w:val="28"/>
                            </w:rPr>
                            <w:t>- 1 -</w:t>
                          </w:r>
                          <w:r>
                            <w:rPr>
                              <w:rFonts w:hint="eastAsia" w:ascii="宋体" w:hAnsi="宋体" w:cs="宋体"/>
                              <w:sz w:val="28"/>
                              <w:szCs w:val="28"/>
                            </w:rPr>
                            <w:fldChar w:fldCharType="end"/>
                          </w:r>
                        </w:p>
                      </w:txbxContent>
                    </wps:txbx>
                    <wps:bodyPr wrap="none" lIns="0" tIns="0" rIns="0" bIns="0">
                      <a:spAutoFit/>
                    </wps:bodyPr>
                  </wps:wsp>
                </a:graphicData>
              </a:graphic>
            </wp:anchor>
          </w:drawing>
        </mc:Choice>
        <mc:Fallback>
          <w:pict>
            <v:shape id="文本框 1" o:spid="_x0000_s1026" o:spt="202" type="#_x0000_t202" style="position:absolute;left:0pt;margin-top:-18.45pt;height:144pt;width:144pt;mso-position-horizontal:outside;mso-position-horizontal-relative:margin;mso-wrap-style:none;z-index:251956224;mso-width-relative:page;mso-height-relative:page;" filled="f" stroked="f" coordsize="21600,21600" o:gfxdata="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s1f1EtUAAAAIAQAADwAAAAAAAAABACAAAAAiAAAAZHJzL2Rvd25y&#10;ZXYueG1sUEsBAhQAFAAAAAgAh07iQGxiv5vIAQAAnQMAAA4AAAAAAAAAAQAgAAAAJAEAAGRycy9l&#10;Mm9Eb2MueG1sUEsFBgAAAAAGAAYAWQEAAF4FAAAAAA==&#10;">
              <v:fill on="f" focussize="0,0"/>
              <v:stroke on="f"/>
              <v:imagedata o:title=""/>
              <o:lock v:ext="edit" aspectratio="f"/>
              <v:textbox inset="0mm,0mm,0mm,0mm" style="mso-fit-shape-to-text:t;">
                <w:txbxContent>
                  <w:p w14:paraId="2F8416F7">
                    <w:pPr>
                      <w:pStyle w:val="36"/>
                      <w:ind w:firstLine="560"/>
                      <w:jc w:val="right"/>
                      <w:rPr>
                        <w:rFonts w:ascii="宋体" w:hAnsi="宋体" w:cs="宋体"/>
                        <w:sz w:val="28"/>
                        <w:szCs w:val="28"/>
                      </w:rPr>
                    </w:pP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ascii="宋体" w:hAnsi="宋体" w:cs="宋体"/>
                        <w:sz w:val="28"/>
                        <w:szCs w:val="28"/>
                      </w:rPr>
                      <w:t>- 1 -</w:t>
                    </w:r>
                    <w:r>
                      <w:rPr>
                        <w:rFonts w:hint="eastAsia" w:ascii="宋体" w:hAnsi="宋体" w:cs="宋体"/>
                        <w:sz w:val="28"/>
                        <w:szCs w:val="28"/>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7AD459">
    <w:pPr>
      <w:pStyle w:val="36"/>
      <w:spacing w:after="120"/>
      <w:ind w:firstLine="360"/>
    </w:pPr>
    <w:r>
      <w:rPr>
        <w:sz w:val="18"/>
      </w:rPr>
      <mc:AlternateContent>
        <mc:Choice Requires="wps">
          <w:drawing>
            <wp:anchor distT="0" distB="0" distL="114300" distR="114300" simplePos="0" relativeHeight="251958272"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88B454">
                          <w:pPr>
                            <w:pStyle w:val="36"/>
                          </w:pPr>
                          <w:r>
                            <w:fldChar w:fldCharType="begin"/>
                          </w:r>
                          <w:r>
                            <w:instrText xml:space="preserve"> PAGE  \* MERGEFORMAT </w:instrText>
                          </w:r>
                          <w:r>
                            <w:fldChar w:fldCharType="separate"/>
                          </w:r>
                          <w:r>
                            <w:t>193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582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p w14:paraId="3B88B454">
                    <w:pPr>
                      <w:pStyle w:val="36"/>
                    </w:pPr>
                    <w:r>
                      <w:fldChar w:fldCharType="begin"/>
                    </w:r>
                    <w:r>
                      <w:instrText xml:space="preserve"> PAGE  \* MERGEFORMAT </w:instrText>
                    </w:r>
                    <w:r>
                      <w:fldChar w:fldCharType="separate"/>
                    </w:r>
                    <w:r>
                      <w:t>193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6BD85A">
    <w:pPr>
      <w:pStyle w:val="36"/>
    </w:pPr>
    <w:r>
      <w:rPr>
        <w:sz w:val="18"/>
      </w:rPr>
      <mc:AlternateContent>
        <mc:Choice Requires="wps">
          <w:drawing>
            <wp:anchor distT="0" distB="0" distL="114300" distR="114300" simplePos="0" relativeHeight="251959296"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5B5ED3">
                          <w:pPr>
                            <w:pStyle w:val="36"/>
                          </w:pPr>
                          <w:r>
                            <w:fldChar w:fldCharType="begin"/>
                          </w:r>
                          <w:r>
                            <w:instrText xml:space="preserve"> PAGE  \* MERGEFORMAT </w:instrText>
                          </w:r>
                          <w:r>
                            <w:fldChar w:fldCharType="separate"/>
                          </w:r>
                          <w:r>
                            <w:t>288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592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As4fc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lF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Czh9zICAABjBAAADgAAAAAAAAABACAAAAAfAQAAZHJzL2Uyb0RvYy54bWxQSwUG&#10;AAAAAAYABgBZAQAAwwUAAAAA&#10;">
              <v:fill on="f" focussize="0,0"/>
              <v:stroke on="f" weight="0.5pt"/>
              <v:imagedata o:title=""/>
              <o:lock v:ext="edit" aspectratio="f"/>
              <v:textbox inset="0mm,0mm,0mm,0mm" style="mso-fit-shape-to-text:t;">
                <w:txbxContent>
                  <w:p w14:paraId="5E5B5ED3">
                    <w:pPr>
                      <w:pStyle w:val="36"/>
                    </w:pPr>
                    <w:r>
                      <w:fldChar w:fldCharType="begin"/>
                    </w:r>
                    <w:r>
                      <w:instrText xml:space="preserve"> PAGE  \* MERGEFORMAT </w:instrText>
                    </w:r>
                    <w:r>
                      <w:fldChar w:fldCharType="separate"/>
                    </w:r>
                    <w:r>
                      <w:t>288</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4E8A9E">
    <w:pPr>
      <w:pStyle w:val="36"/>
      <w:spacing w:after="120"/>
      <w:ind w:firstLine="360"/>
    </w:pPr>
    <w:r>
      <w:rPr>
        <w:sz w:val="18"/>
      </w:rPr>
      <mc:AlternateContent>
        <mc:Choice Requires="wps">
          <w:drawing>
            <wp:anchor distT="0" distB="0" distL="114300" distR="114300" simplePos="0" relativeHeight="2519603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FA6EFB">
                          <w:pPr>
                            <w:pStyle w:val="36"/>
                          </w:pPr>
                          <w:r>
                            <w:fldChar w:fldCharType="begin"/>
                          </w:r>
                          <w:r>
                            <w:instrText xml:space="preserve"> PAGE  \* MERGEFORMAT </w:instrText>
                          </w:r>
                          <w:r>
                            <w:fldChar w:fldCharType="separate"/>
                          </w:r>
                          <w:r>
                            <w:t>294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603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14:paraId="4AFA6EFB">
                    <w:pPr>
                      <w:pStyle w:val="36"/>
                    </w:pPr>
                    <w:r>
                      <w:fldChar w:fldCharType="begin"/>
                    </w:r>
                    <w:r>
                      <w:instrText xml:space="preserve"> PAGE  \* MERGEFORMAT </w:instrText>
                    </w:r>
                    <w:r>
                      <w:fldChar w:fldCharType="separate"/>
                    </w:r>
                    <w:r>
                      <w:t>294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D16C19">
    <w:pPr>
      <w:pStyle w:val="36"/>
      <w:spacing w:after="120"/>
      <w:ind w:firstLine="360"/>
      <w:jc w:val="center"/>
    </w:pPr>
    <w:r>
      <w:rPr>
        <w:sz w:val="18"/>
      </w:rPr>
      <mc:AlternateContent>
        <mc:Choice Requires="wps">
          <w:drawing>
            <wp:anchor distT="0" distB="0" distL="114300" distR="114300" simplePos="0" relativeHeight="25196134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52C278">
                          <w:pPr>
                            <w:pStyle w:val="36"/>
                          </w:pPr>
                          <w:r>
                            <w:fldChar w:fldCharType="begin"/>
                          </w:r>
                          <w:r>
                            <w:instrText xml:space="preserve"> PAGE  \* MERGEFORMAT </w:instrText>
                          </w:r>
                          <w:r>
                            <w:fldChar w:fldCharType="separate"/>
                          </w:r>
                          <w:r>
                            <w:t>308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613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14:paraId="0752C278">
                    <w:pPr>
                      <w:pStyle w:val="36"/>
                    </w:pPr>
                    <w:r>
                      <w:fldChar w:fldCharType="begin"/>
                    </w:r>
                    <w:r>
                      <w:instrText xml:space="preserve"> PAGE  \* MERGEFORMAT </w:instrText>
                    </w:r>
                    <w:r>
                      <w:fldChar w:fldCharType="separate"/>
                    </w:r>
                    <w:r>
                      <w:t>308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D52E98">
    <w:pPr>
      <w:pStyle w:val="36"/>
      <w:spacing w:after="120"/>
      <w:ind w:firstLine="360"/>
      <w:jc w:val="center"/>
    </w:pPr>
    <w:r>
      <w:rPr>
        <w:sz w:val="18"/>
      </w:rPr>
      <mc:AlternateContent>
        <mc:Choice Requires="wps">
          <w:drawing>
            <wp:anchor distT="0" distB="0" distL="114300" distR="114300" simplePos="0" relativeHeight="251962368"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5CDB6E">
                          <w:pPr>
                            <w:pStyle w:val="36"/>
                          </w:pPr>
                          <w:r>
                            <w:fldChar w:fldCharType="begin"/>
                          </w:r>
                          <w:r>
                            <w:instrText xml:space="preserve"> PAGE  \* MERGEFORMAT </w:instrText>
                          </w:r>
                          <w:r>
                            <w:fldChar w:fldCharType="separate"/>
                          </w:r>
                          <w:r>
                            <w:t>307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623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p w14:paraId="065CDB6E">
                    <w:pPr>
                      <w:pStyle w:val="36"/>
                    </w:pPr>
                    <w:r>
                      <w:fldChar w:fldCharType="begin"/>
                    </w:r>
                    <w:r>
                      <w:instrText xml:space="preserve"> PAGE  \* MERGEFORMAT </w:instrText>
                    </w:r>
                    <w:r>
                      <w:fldChar w:fldCharType="separate"/>
                    </w:r>
                    <w:r>
                      <w:t>307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903A7E">
    <w:pPr>
      <w:pStyle w:val="36"/>
      <w:jc w:val="center"/>
    </w:pPr>
    <w:r>
      <w:rPr>
        <w:sz w:val="18"/>
      </w:rPr>
      <mc:AlternateContent>
        <mc:Choice Requires="wps">
          <w:drawing>
            <wp:anchor distT="0" distB="0" distL="114300" distR="114300" simplePos="0" relativeHeight="251963392"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B771EF">
                          <w:pPr>
                            <w:pStyle w:val="36"/>
                          </w:pPr>
                          <w:r>
                            <w:fldChar w:fldCharType="begin"/>
                          </w:r>
                          <w:r>
                            <w:instrText xml:space="preserve"> PAGE  \* MERGEFORMAT </w:instrText>
                          </w:r>
                          <w:r>
                            <w:fldChar w:fldCharType="separate"/>
                          </w:r>
                          <w:r>
                            <w:t>319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9633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14:paraId="7CB771EF">
                    <w:pPr>
                      <w:pStyle w:val="36"/>
                    </w:pPr>
                    <w:r>
                      <w:fldChar w:fldCharType="begin"/>
                    </w:r>
                    <w:r>
                      <w:instrText xml:space="preserve"> PAGE  \* MERGEFORMAT </w:instrText>
                    </w:r>
                    <w:r>
                      <w:fldChar w:fldCharType="separate"/>
                    </w:r>
                    <w:r>
                      <w:t>319</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9E2F24">
    <w:pPr>
      <w:pStyle w:val="36"/>
      <w:framePr w:wrap="around" w:vAnchor="text" w:hAnchor="margin" w:xAlign="center" w:y="1"/>
      <w:rPr>
        <w:rStyle w:val="60"/>
      </w:rPr>
    </w:pPr>
    <w:r>
      <w:fldChar w:fldCharType="begin"/>
    </w:r>
    <w:r>
      <w:rPr>
        <w:rStyle w:val="60"/>
      </w:rPr>
      <w:instrText xml:space="preserve">PAGE  </w:instrText>
    </w:r>
    <w:r>
      <w:fldChar w:fldCharType="end"/>
    </w:r>
  </w:p>
  <w:p w14:paraId="706E4A23">
    <w:pPr>
      <w:pStyle w:val="36"/>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40E6D9">
    <w:pPr>
      <w:pStyle w:val="37"/>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ED15F">
    <w:pPr>
      <w:pStyle w:val="37"/>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C6C9F6">
    <w:pPr>
      <w:pStyle w:val="37"/>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8FB3C7">
    <w:pPr>
      <w:pStyle w:val="37"/>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F9BCB4">
    <w:pPr>
      <w:pStyle w:val="37"/>
      <w:pBdr>
        <w:bottom w:val="none" w:color="auto" w:sz="0" w:space="0"/>
      </w:pBdr>
      <w:wordWrap w:val="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3DE7E4">
    <w:pPr>
      <w:pStyle w:val="37"/>
      <w:pBdr>
        <w:bottom w:val="none" w:color="auto" w:sz="0" w:space="0"/>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7851E2">
    <w:pPr>
      <w:pStyle w:val="37"/>
      <w:pBdr>
        <w:bottom w:val="none" w:color="auto" w:sz="0" w:space="0"/>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D7870C">
    <w:pPr>
      <w:pStyle w:val="37"/>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2C987A"/>
    <w:multiLevelType w:val="singleLevel"/>
    <w:tmpl w:val="882C987A"/>
    <w:lvl w:ilvl="0" w:tentative="0">
      <w:start w:val="1"/>
      <w:numFmt w:val="decimal"/>
      <w:suff w:val="nothing"/>
      <w:lvlText w:val="%1）"/>
      <w:lvlJc w:val="left"/>
    </w:lvl>
  </w:abstractNum>
  <w:abstractNum w:abstractNumId="1">
    <w:nsid w:val="924764A2"/>
    <w:multiLevelType w:val="singleLevel"/>
    <w:tmpl w:val="924764A2"/>
    <w:lvl w:ilvl="0" w:tentative="0">
      <w:start w:val="1"/>
      <w:numFmt w:val="decimal"/>
      <w:suff w:val="nothing"/>
      <w:lvlText w:val="%1）"/>
      <w:lvlJc w:val="left"/>
    </w:lvl>
  </w:abstractNum>
  <w:abstractNum w:abstractNumId="2">
    <w:nsid w:val="9287E9A9"/>
    <w:multiLevelType w:val="singleLevel"/>
    <w:tmpl w:val="9287E9A9"/>
    <w:lvl w:ilvl="0" w:tentative="0">
      <w:start w:val="1"/>
      <w:numFmt w:val="decimal"/>
      <w:suff w:val="nothing"/>
      <w:lvlText w:val="%1）"/>
      <w:lvlJc w:val="left"/>
    </w:lvl>
  </w:abstractNum>
  <w:abstractNum w:abstractNumId="3">
    <w:nsid w:val="95D48B5C"/>
    <w:multiLevelType w:val="singleLevel"/>
    <w:tmpl w:val="95D48B5C"/>
    <w:lvl w:ilvl="0" w:tentative="0">
      <w:start w:val="1"/>
      <w:numFmt w:val="decimal"/>
      <w:suff w:val="nothing"/>
      <w:lvlText w:val="（%1）"/>
      <w:lvlJc w:val="left"/>
    </w:lvl>
  </w:abstractNum>
  <w:abstractNum w:abstractNumId="4">
    <w:nsid w:val="A0282AA6"/>
    <w:multiLevelType w:val="singleLevel"/>
    <w:tmpl w:val="A0282AA6"/>
    <w:lvl w:ilvl="0" w:tentative="0">
      <w:start w:val="1"/>
      <w:numFmt w:val="decimal"/>
      <w:lvlText w:val="%1."/>
      <w:lvlJc w:val="left"/>
      <w:pPr>
        <w:ind w:left="425" w:hanging="425"/>
      </w:pPr>
      <w:rPr>
        <w:rFonts w:hint="default"/>
      </w:rPr>
    </w:lvl>
  </w:abstractNum>
  <w:abstractNum w:abstractNumId="5">
    <w:nsid w:val="A4C94422"/>
    <w:multiLevelType w:val="singleLevel"/>
    <w:tmpl w:val="A4C94422"/>
    <w:lvl w:ilvl="0" w:tentative="0">
      <w:start w:val="1"/>
      <w:numFmt w:val="decimal"/>
      <w:suff w:val="nothing"/>
      <w:lvlText w:val="%1）"/>
      <w:lvlJc w:val="left"/>
    </w:lvl>
  </w:abstractNum>
  <w:abstractNum w:abstractNumId="6">
    <w:nsid w:val="B0979463"/>
    <w:multiLevelType w:val="singleLevel"/>
    <w:tmpl w:val="B0979463"/>
    <w:lvl w:ilvl="0" w:tentative="0">
      <w:start w:val="1"/>
      <w:numFmt w:val="decimal"/>
      <w:suff w:val="nothing"/>
      <w:lvlText w:val="%1）"/>
      <w:lvlJc w:val="left"/>
    </w:lvl>
  </w:abstractNum>
  <w:abstractNum w:abstractNumId="7">
    <w:nsid w:val="B6504B2A"/>
    <w:multiLevelType w:val="singleLevel"/>
    <w:tmpl w:val="B6504B2A"/>
    <w:lvl w:ilvl="0" w:tentative="0">
      <w:start w:val="1"/>
      <w:numFmt w:val="decimal"/>
      <w:suff w:val="nothing"/>
      <w:lvlText w:val="%1）"/>
      <w:lvlJc w:val="left"/>
    </w:lvl>
  </w:abstractNum>
  <w:abstractNum w:abstractNumId="8">
    <w:nsid w:val="B8177E2D"/>
    <w:multiLevelType w:val="singleLevel"/>
    <w:tmpl w:val="B8177E2D"/>
    <w:lvl w:ilvl="0" w:tentative="0">
      <w:start w:val="1"/>
      <w:numFmt w:val="decimal"/>
      <w:lvlText w:val="%1."/>
      <w:lvlJc w:val="left"/>
      <w:pPr>
        <w:ind w:left="425" w:hanging="425"/>
      </w:pPr>
      <w:rPr>
        <w:rFonts w:hint="default"/>
      </w:rPr>
    </w:lvl>
  </w:abstractNum>
  <w:abstractNum w:abstractNumId="9">
    <w:nsid w:val="BCE2E5C2"/>
    <w:multiLevelType w:val="singleLevel"/>
    <w:tmpl w:val="BCE2E5C2"/>
    <w:lvl w:ilvl="0" w:tentative="0">
      <w:start w:val="4"/>
      <w:numFmt w:val="chineseCounting"/>
      <w:suff w:val="nothing"/>
      <w:lvlText w:val="%1、"/>
      <w:lvlJc w:val="left"/>
      <w:rPr>
        <w:rFonts w:hint="eastAsia"/>
      </w:rPr>
    </w:lvl>
  </w:abstractNum>
  <w:abstractNum w:abstractNumId="10">
    <w:nsid w:val="CA58CE4B"/>
    <w:multiLevelType w:val="singleLevel"/>
    <w:tmpl w:val="CA58CE4B"/>
    <w:lvl w:ilvl="0" w:tentative="0">
      <w:start w:val="1"/>
      <w:numFmt w:val="decimal"/>
      <w:suff w:val="nothing"/>
      <w:lvlText w:val="%1）"/>
      <w:lvlJc w:val="left"/>
    </w:lvl>
  </w:abstractNum>
  <w:abstractNum w:abstractNumId="11">
    <w:nsid w:val="D20B393E"/>
    <w:multiLevelType w:val="singleLevel"/>
    <w:tmpl w:val="D20B393E"/>
    <w:lvl w:ilvl="0" w:tentative="0">
      <w:start w:val="1"/>
      <w:numFmt w:val="decimal"/>
      <w:lvlText w:val="%1."/>
      <w:lvlJc w:val="left"/>
      <w:pPr>
        <w:ind w:left="425" w:hanging="425"/>
      </w:pPr>
      <w:rPr>
        <w:rFonts w:hint="default"/>
      </w:rPr>
    </w:lvl>
  </w:abstractNum>
  <w:abstractNum w:abstractNumId="12">
    <w:nsid w:val="DC7BFE7C"/>
    <w:multiLevelType w:val="singleLevel"/>
    <w:tmpl w:val="DC7BFE7C"/>
    <w:lvl w:ilvl="0" w:tentative="0">
      <w:start w:val="1"/>
      <w:numFmt w:val="decimal"/>
      <w:suff w:val="nothing"/>
      <w:lvlText w:val="%1）"/>
      <w:lvlJc w:val="left"/>
    </w:lvl>
  </w:abstractNum>
  <w:abstractNum w:abstractNumId="13">
    <w:nsid w:val="E5A233D8"/>
    <w:multiLevelType w:val="singleLevel"/>
    <w:tmpl w:val="E5A233D8"/>
    <w:lvl w:ilvl="0" w:tentative="0">
      <w:start w:val="1"/>
      <w:numFmt w:val="chineseCounting"/>
      <w:suff w:val="nothing"/>
      <w:lvlText w:val="（%1）"/>
      <w:lvlJc w:val="left"/>
      <w:rPr>
        <w:rFonts w:hint="eastAsia"/>
      </w:rPr>
    </w:lvl>
  </w:abstractNum>
  <w:abstractNum w:abstractNumId="14">
    <w:nsid w:val="E619A970"/>
    <w:multiLevelType w:val="singleLevel"/>
    <w:tmpl w:val="E619A970"/>
    <w:lvl w:ilvl="0" w:tentative="0">
      <w:start w:val="1"/>
      <w:numFmt w:val="decimal"/>
      <w:suff w:val="nothing"/>
      <w:lvlText w:val="%1）"/>
      <w:lvlJc w:val="left"/>
    </w:lvl>
  </w:abstractNum>
  <w:abstractNum w:abstractNumId="15">
    <w:nsid w:val="E7897CDA"/>
    <w:multiLevelType w:val="singleLevel"/>
    <w:tmpl w:val="E7897CDA"/>
    <w:lvl w:ilvl="0" w:tentative="0">
      <w:start w:val="1"/>
      <w:numFmt w:val="decimal"/>
      <w:suff w:val="nothing"/>
      <w:lvlText w:val="%1）"/>
      <w:lvlJc w:val="left"/>
    </w:lvl>
  </w:abstractNum>
  <w:abstractNum w:abstractNumId="16">
    <w:nsid w:val="EE01E46E"/>
    <w:multiLevelType w:val="singleLevel"/>
    <w:tmpl w:val="EE01E46E"/>
    <w:lvl w:ilvl="0" w:tentative="0">
      <w:start w:val="1"/>
      <w:numFmt w:val="chineseCounting"/>
      <w:suff w:val="nothing"/>
      <w:lvlText w:val="（%1）"/>
      <w:lvlJc w:val="left"/>
      <w:rPr>
        <w:rFonts w:hint="eastAsia"/>
      </w:rPr>
    </w:lvl>
  </w:abstractNum>
  <w:abstractNum w:abstractNumId="17">
    <w:nsid w:val="EFE883ED"/>
    <w:multiLevelType w:val="singleLevel"/>
    <w:tmpl w:val="EFE883ED"/>
    <w:lvl w:ilvl="0" w:tentative="0">
      <w:start w:val="1"/>
      <w:numFmt w:val="decimal"/>
      <w:suff w:val="nothing"/>
      <w:lvlText w:val="%1）"/>
      <w:lvlJc w:val="left"/>
    </w:lvl>
  </w:abstractNum>
  <w:abstractNum w:abstractNumId="18">
    <w:nsid w:val="025DC5C5"/>
    <w:multiLevelType w:val="singleLevel"/>
    <w:tmpl w:val="025DC5C5"/>
    <w:lvl w:ilvl="0" w:tentative="0">
      <w:start w:val="1"/>
      <w:numFmt w:val="decimal"/>
      <w:suff w:val="nothing"/>
      <w:lvlText w:val="%1）"/>
      <w:lvlJc w:val="left"/>
    </w:lvl>
  </w:abstractNum>
  <w:abstractNum w:abstractNumId="19">
    <w:nsid w:val="03F61960"/>
    <w:multiLevelType w:val="multilevel"/>
    <w:tmpl w:val="03F61960"/>
    <w:lvl w:ilvl="0" w:tentative="0">
      <w:start w:val="1"/>
      <w:numFmt w:val="decimal"/>
      <w:lvlText w:val="%1)"/>
      <w:lvlJc w:val="left"/>
      <w:pPr>
        <w:ind w:left="360" w:hanging="360"/>
      </w:pPr>
      <w:rPr>
        <w:rFonts w:hint="default"/>
        <w:color w:val="00000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05693E29"/>
    <w:multiLevelType w:val="multilevel"/>
    <w:tmpl w:val="05693E2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07A964BF"/>
    <w:multiLevelType w:val="singleLevel"/>
    <w:tmpl w:val="07A964BF"/>
    <w:lvl w:ilvl="0" w:tentative="0">
      <w:start w:val="1"/>
      <w:numFmt w:val="decimal"/>
      <w:suff w:val="nothing"/>
      <w:lvlText w:val="%1、"/>
      <w:lvlJc w:val="left"/>
    </w:lvl>
  </w:abstractNum>
  <w:abstractNum w:abstractNumId="22">
    <w:nsid w:val="0A773AF5"/>
    <w:multiLevelType w:val="multilevel"/>
    <w:tmpl w:val="0A773AF5"/>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0B920B4E"/>
    <w:multiLevelType w:val="multilevel"/>
    <w:tmpl w:val="0B920B4E"/>
    <w:lvl w:ilvl="0" w:tentative="0">
      <w:start w:val="1"/>
      <w:numFmt w:val="japaneseCounting"/>
      <w:lvlText w:val="%1、"/>
      <w:lvlJc w:val="left"/>
      <w:pPr>
        <w:tabs>
          <w:tab w:val="left" w:pos="840"/>
        </w:tabs>
        <w:ind w:left="840" w:hanging="360"/>
      </w:pPr>
      <w:rPr>
        <w:rFonts w:ascii="Times New Roman" w:hAnsi="Times New Roman" w:eastAsia="Times New Roman" w:cs="Times New Roman"/>
      </w:rPr>
    </w:lvl>
    <w:lvl w:ilvl="1" w:tentative="0">
      <w:start w:val="1"/>
      <w:numFmt w:val="decimalEnclosedCircle"/>
      <w:lvlText w:val="%2"/>
      <w:lvlJc w:val="left"/>
      <w:pPr>
        <w:tabs>
          <w:tab w:val="left" w:pos="1260"/>
        </w:tabs>
        <w:ind w:left="1260" w:hanging="360"/>
      </w:pPr>
      <w:rPr>
        <w:rFonts w:hint="default"/>
      </w:rPr>
    </w:lvl>
    <w:lvl w:ilvl="2" w:tentative="0">
      <w:start w:val="1"/>
      <w:numFmt w:val="decimal"/>
      <w:lvlText w:val="%3."/>
      <w:lvlJc w:val="left"/>
      <w:pPr>
        <w:tabs>
          <w:tab w:val="left" w:pos="1680"/>
        </w:tabs>
        <w:ind w:left="1680" w:hanging="360"/>
      </w:pPr>
      <w:rPr>
        <w:rFonts w:hint="default"/>
      </w:r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24">
    <w:nsid w:val="0D77525F"/>
    <w:multiLevelType w:val="singleLevel"/>
    <w:tmpl w:val="0D77525F"/>
    <w:lvl w:ilvl="0" w:tentative="0">
      <w:start w:val="1"/>
      <w:numFmt w:val="decimal"/>
      <w:suff w:val="nothing"/>
      <w:lvlText w:val="%1、"/>
      <w:lvlJc w:val="left"/>
    </w:lvl>
  </w:abstractNum>
  <w:abstractNum w:abstractNumId="25">
    <w:nsid w:val="13601BB3"/>
    <w:multiLevelType w:val="singleLevel"/>
    <w:tmpl w:val="13601BB3"/>
    <w:lvl w:ilvl="0" w:tentative="0">
      <w:start w:val="1"/>
      <w:numFmt w:val="chineseCounting"/>
      <w:suff w:val="nothing"/>
      <w:lvlText w:val="%1、"/>
      <w:lvlJc w:val="left"/>
      <w:rPr>
        <w:rFonts w:hint="eastAsia"/>
      </w:rPr>
    </w:lvl>
  </w:abstractNum>
  <w:abstractNum w:abstractNumId="26">
    <w:nsid w:val="1571527F"/>
    <w:multiLevelType w:val="multilevel"/>
    <w:tmpl w:val="1571527F"/>
    <w:lvl w:ilvl="0" w:tentative="0">
      <w:start w:val="1"/>
      <w:numFmt w:val="lowerLetter"/>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169F94BF"/>
    <w:multiLevelType w:val="singleLevel"/>
    <w:tmpl w:val="169F94BF"/>
    <w:lvl w:ilvl="0" w:tentative="0">
      <w:start w:val="12"/>
      <w:numFmt w:val="decimal"/>
      <w:suff w:val="space"/>
      <w:lvlText w:val="%1."/>
      <w:lvlJc w:val="left"/>
    </w:lvl>
  </w:abstractNum>
  <w:abstractNum w:abstractNumId="28">
    <w:nsid w:val="175814DC"/>
    <w:multiLevelType w:val="singleLevel"/>
    <w:tmpl w:val="175814DC"/>
    <w:lvl w:ilvl="0" w:tentative="0">
      <w:start w:val="1"/>
      <w:numFmt w:val="chineseCounting"/>
      <w:suff w:val="nothing"/>
      <w:lvlText w:val="%1、"/>
      <w:lvlJc w:val="left"/>
      <w:rPr>
        <w:rFonts w:hint="eastAsia"/>
      </w:rPr>
    </w:lvl>
  </w:abstractNum>
  <w:abstractNum w:abstractNumId="29">
    <w:nsid w:val="1AF9EECB"/>
    <w:multiLevelType w:val="singleLevel"/>
    <w:tmpl w:val="1AF9EECB"/>
    <w:lvl w:ilvl="0" w:tentative="0">
      <w:start w:val="1"/>
      <w:numFmt w:val="decimal"/>
      <w:suff w:val="nothing"/>
      <w:lvlText w:val="（%1）"/>
      <w:lvlJc w:val="left"/>
    </w:lvl>
  </w:abstractNum>
  <w:abstractNum w:abstractNumId="30">
    <w:nsid w:val="238717C5"/>
    <w:multiLevelType w:val="multilevel"/>
    <w:tmpl w:val="238717C5"/>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1">
    <w:nsid w:val="23D13B87"/>
    <w:multiLevelType w:val="multilevel"/>
    <w:tmpl w:val="23D13B87"/>
    <w:lvl w:ilvl="0" w:tentative="0">
      <w:start w:val="1"/>
      <w:numFmt w:val="bullet"/>
      <w:lvlText w:val=""/>
      <w:lvlJc w:val="left"/>
      <w:pPr>
        <w:ind w:left="862" w:hanging="440"/>
      </w:pPr>
      <w:rPr>
        <w:rFonts w:hint="default" w:ascii="Wingdings" w:hAnsi="Wingdings"/>
      </w:rPr>
    </w:lvl>
    <w:lvl w:ilvl="1" w:tentative="0">
      <w:start w:val="1"/>
      <w:numFmt w:val="bullet"/>
      <w:lvlText w:val=""/>
      <w:lvlJc w:val="left"/>
      <w:pPr>
        <w:ind w:left="1302" w:hanging="440"/>
      </w:pPr>
      <w:rPr>
        <w:rFonts w:hint="default" w:ascii="Wingdings" w:hAnsi="Wingdings"/>
      </w:rPr>
    </w:lvl>
    <w:lvl w:ilvl="2" w:tentative="0">
      <w:start w:val="1"/>
      <w:numFmt w:val="bullet"/>
      <w:lvlText w:val=""/>
      <w:lvlJc w:val="left"/>
      <w:pPr>
        <w:ind w:left="1742" w:hanging="440"/>
      </w:pPr>
      <w:rPr>
        <w:rFonts w:hint="default" w:ascii="Wingdings" w:hAnsi="Wingdings"/>
      </w:rPr>
    </w:lvl>
    <w:lvl w:ilvl="3" w:tentative="0">
      <w:start w:val="1"/>
      <w:numFmt w:val="bullet"/>
      <w:lvlText w:val=""/>
      <w:lvlJc w:val="left"/>
      <w:pPr>
        <w:ind w:left="2182" w:hanging="440"/>
      </w:pPr>
      <w:rPr>
        <w:rFonts w:hint="default" w:ascii="Wingdings" w:hAnsi="Wingdings"/>
      </w:rPr>
    </w:lvl>
    <w:lvl w:ilvl="4" w:tentative="0">
      <w:start w:val="1"/>
      <w:numFmt w:val="bullet"/>
      <w:lvlText w:val=""/>
      <w:lvlJc w:val="left"/>
      <w:pPr>
        <w:ind w:left="2622" w:hanging="440"/>
      </w:pPr>
      <w:rPr>
        <w:rFonts w:hint="default" w:ascii="Wingdings" w:hAnsi="Wingdings"/>
      </w:rPr>
    </w:lvl>
    <w:lvl w:ilvl="5" w:tentative="0">
      <w:start w:val="1"/>
      <w:numFmt w:val="bullet"/>
      <w:lvlText w:val=""/>
      <w:lvlJc w:val="left"/>
      <w:pPr>
        <w:ind w:left="3062" w:hanging="440"/>
      </w:pPr>
      <w:rPr>
        <w:rFonts w:hint="default" w:ascii="Wingdings" w:hAnsi="Wingdings"/>
      </w:rPr>
    </w:lvl>
    <w:lvl w:ilvl="6" w:tentative="0">
      <w:start w:val="1"/>
      <w:numFmt w:val="bullet"/>
      <w:lvlText w:val=""/>
      <w:lvlJc w:val="left"/>
      <w:pPr>
        <w:ind w:left="3502" w:hanging="440"/>
      </w:pPr>
      <w:rPr>
        <w:rFonts w:hint="default" w:ascii="Wingdings" w:hAnsi="Wingdings"/>
      </w:rPr>
    </w:lvl>
    <w:lvl w:ilvl="7" w:tentative="0">
      <w:start w:val="1"/>
      <w:numFmt w:val="bullet"/>
      <w:lvlText w:val=""/>
      <w:lvlJc w:val="left"/>
      <w:pPr>
        <w:ind w:left="3942" w:hanging="440"/>
      </w:pPr>
      <w:rPr>
        <w:rFonts w:hint="default" w:ascii="Wingdings" w:hAnsi="Wingdings"/>
      </w:rPr>
    </w:lvl>
    <w:lvl w:ilvl="8" w:tentative="0">
      <w:start w:val="1"/>
      <w:numFmt w:val="bullet"/>
      <w:lvlText w:val=""/>
      <w:lvlJc w:val="left"/>
      <w:pPr>
        <w:ind w:left="4382" w:hanging="440"/>
      </w:pPr>
      <w:rPr>
        <w:rFonts w:hint="default" w:ascii="Wingdings" w:hAnsi="Wingdings"/>
      </w:rPr>
    </w:lvl>
  </w:abstractNum>
  <w:abstractNum w:abstractNumId="32">
    <w:nsid w:val="2965B5F8"/>
    <w:multiLevelType w:val="singleLevel"/>
    <w:tmpl w:val="2965B5F8"/>
    <w:lvl w:ilvl="0" w:tentative="0">
      <w:start w:val="1"/>
      <w:numFmt w:val="decimal"/>
      <w:suff w:val="nothing"/>
      <w:lvlText w:val="%1）"/>
      <w:lvlJc w:val="left"/>
    </w:lvl>
  </w:abstractNum>
  <w:abstractNum w:abstractNumId="33">
    <w:nsid w:val="30FB411D"/>
    <w:multiLevelType w:val="multilevel"/>
    <w:tmpl w:val="30FB411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324116AB"/>
    <w:multiLevelType w:val="multilevel"/>
    <w:tmpl w:val="324116AB"/>
    <w:lvl w:ilvl="0" w:tentative="0">
      <w:start w:val="1"/>
      <w:numFmt w:val="decimal"/>
      <w:lvlText w:val="%1、"/>
      <w:lvlJc w:val="left"/>
      <w:pPr>
        <w:tabs>
          <w:tab w:val="left" w:pos="360"/>
        </w:tabs>
        <w:ind w:left="360" w:hanging="360"/>
      </w:pPr>
      <w:rPr>
        <w:rFonts w:hint="default" w:ascii="宋体" w:hAnsi="宋体"/>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5">
    <w:nsid w:val="335D9B25"/>
    <w:multiLevelType w:val="singleLevel"/>
    <w:tmpl w:val="335D9B25"/>
    <w:lvl w:ilvl="0" w:tentative="0">
      <w:start w:val="1"/>
      <w:numFmt w:val="decimal"/>
      <w:suff w:val="nothing"/>
      <w:lvlText w:val="%1）"/>
      <w:lvlJc w:val="left"/>
    </w:lvl>
  </w:abstractNum>
  <w:abstractNum w:abstractNumId="36">
    <w:nsid w:val="34ED1362"/>
    <w:multiLevelType w:val="singleLevel"/>
    <w:tmpl w:val="34ED1362"/>
    <w:lvl w:ilvl="0" w:tentative="0">
      <w:start w:val="1"/>
      <w:numFmt w:val="decimal"/>
      <w:lvlText w:val="%1."/>
      <w:lvlJc w:val="left"/>
      <w:pPr>
        <w:ind w:left="425" w:hanging="425"/>
      </w:pPr>
      <w:rPr>
        <w:rFonts w:hint="default"/>
      </w:rPr>
    </w:lvl>
  </w:abstractNum>
  <w:abstractNum w:abstractNumId="37">
    <w:nsid w:val="37A0293A"/>
    <w:multiLevelType w:val="multilevel"/>
    <w:tmpl w:val="37A0293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3ABD7AA7"/>
    <w:multiLevelType w:val="singleLevel"/>
    <w:tmpl w:val="3ABD7AA7"/>
    <w:lvl w:ilvl="0" w:tentative="0">
      <w:start w:val="1"/>
      <w:numFmt w:val="chineseCounting"/>
      <w:suff w:val="nothing"/>
      <w:lvlText w:val="%1、"/>
      <w:lvlJc w:val="left"/>
      <w:rPr>
        <w:rFonts w:hint="eastAsia"/>
      </w:rPr>
    </w:lvl>
  </w:abstractNum>
  <w:abstractNum w:abstractNumId="39">
    <w:nsid w:val="3C7E8424"/>
    <w:multiLevelType w:val="singleLevel"/>
    <w:tmpl w:val="3C7E8424"/>
    <w:lvl w:ilvl="0" w:tentative="0">
      <w:start w:val="1"/>
      <w:numFmt w:val="decimal"/>
      <w:suff w:val="nothing"/>
      <w:lvlText w:val="%1）"/>
      <w:lvlJc w:val="left"/>
    </w:lvl>
  </w:abstractNum>
  <w:abstractNum w:abstractNumId="40">
    <w:nsid w:val="3E7B6337"/>
    <w:multiLevelType w:val="singleLevel"/>
    <w:tmpl w:val="3E7B6337"/>
    <w:lvl w:ilvl="0" w:tentative="0">
      <w:start w:val="1"/>
      <w:numFmt w:val="decimal"/>
      <w:suff w:val="nothing"/>
      <w:lvlText w:val="%1）"/>
      <w:lvlJc w:val="left"/>
    </w:lvl>
  </w:abstractNum>
  <w:abstractNum w:abstractNumId="41">
    <w:nsid w:val="452F0644"/>
    <w:multiLevelType w:val="singleLevel"/>
    <w:tmpl w:val="452F0644"/>
    <w:lvl w:ilvl="0" w:tentative="0">
      <w:start w:val="1"/>
      <w:numFmt w:val="decimal"/>
      <w:suff w:val="nothing"/>
      <w:lvlText w:val="（%1）"/>
      <w:lvlJc w:val="left"/>
    </w:lvl>
  </w:abstractNum>
  <w:abstractNum w:abstractNumId="42">
    <w:nsid w:val="46056C8D"/>
    <w:multiLevelType w:val="multilevel"/>
    <w:tmpl w:val="46056C8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3">
    <w:nsid w:val="4CCF2A56"/>
    <w:multiLevelType w:val="singleLevel"/>
    <w:tmpl w:val="4CCF2A56"/>
    <w:lvl w:ilvl="0" w:tentative="0">
      <w:start w:val="1"/>
      <w:numFmt w:val="decimal"/>
      <w:suff w:val="nothing"/>
      <w:lvlText w:val="%1）"/>
      <w:lvlJc w:val="left"/>
    </w:lvl>
  </w:abstractNum>
  <w:abstractNum w:abstractNumId="44">
    <w:nsid w:val="4DF44594"/>
    <w:multiLevelType w:val="multilevel"/>
    <w:tmpl w:val="4DF44594"/>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5">
    <w:nsid w:val="507426E0"/>
    <w:multiLevelType w:val="multilevel"/>
    <w:tmpl w:val="507426E0"/>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6">
    <w:nsid w:val="51230496"/>
    <w:multiLevelType w:val="multilevel"/>
    <w:tmpl w:val="5123049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7">
    <w:nsid w:val="5B608ED5"/>
    <w:multiLevelType w:val="singleLevel"/>
    <w:tmpl w:val="5B608ED5"/>
    <w:lvl w:ilvl="0" w:tentative="0">
      <w:start w:val="1"/>
      <w:numFmt w:val="decimal"/>
      <w:suff w:val="space"/>
      <w:lvlText w:val="%1."/>
      <w:lvlJc w:val="left"/>
    </w:lvl>
  </w:abstractNum>
  <w:abstractNum w:abstractNumId="48">
    <w:nsid w:val="5C59EDFC"/>
    <w:multiLevelType w:val="singleLevel"/>
    <w:tmpl w:val="5C59EDFC"/>
    <w:lvl w:ilvl="0" w:tentative="0">
      <w:start w:val="1"/>
      <w:numFmt w:val="decimal"/>
      <w:suff w:val="nothing"/>
      <w:lvlText w:val="%1）"/>
      <w:lvlJc w:val="left"/>
    </w:lvl>
  </w:abstractNum>
  <w:abstractNum w:abstractNumId="49">
    <w:nsid w:val="605BB817"/>
    <w:multiLevelType w:val="singleLevel"/>
    <w:tmpl w:val="605BB817"/>
    <w:lvl w:ilvl="0" w:tentative="0">
      <w:start w:val="1"/>
      <w:numFmt w:val="decimal"/>
      <w:suff w:val="nothing"/>
      <w:lvlText w:val="%1）"/>
      <w:lvlJc w:val="left"/>
    </w:lvl>
  </w:abstractNum>
  <w:abstractNum w:abstractNumId="50">
    <w:nsid w:val="6E659979"/>
    <w:multiLevelType w:val="singleLevel"/>
    <w:tmpl w:val="6E659979"/>
    <w:lvl w:ilvl="0" w:tentative="0">
      <w:start w:val="1"/>
      <w:numFmt w:val="decimal"/>
      <w:suff w:val="nothing"/>
      <w:lvlText w:val="%1）"/>
      <w:lvlJc w:val="left"/>
    </w:lvl>
  </w:abstractNum>
  <w:abstractNum w:abstractNumId="51">
    <w:nsid w:val="7CAB6417"/>
    <w:multiLevelType w:val="singleLevel"/>
    <w:tmpl w:val="7CAB6417"/>
    <w:lvl w:ilvl="0" w:tentative="0">
      <w:start w:val="2"/>
      <w:numFmt w:val="chineseCounting"/>
      <w:suff w:val="nothing"/>
      <w:lvlText w:val="（%1）"/>
      <w:lvlJc w:val="left"/>
      <w:rPr>
        <w:rFonts w:hint="eastAsia"/>
      </w:rPr>
    </w:lvl>
  </w:abstractNum>
  <w:num w:numId="1">
    <w:abstractNumId w:val="25"/>
  </w:num>
  <w:num w:numId="2">
    <w:abstractNumId w:val="45"/>
  </w:num>
  <w:num w:numId="3">
    <w:abstractNumId w:val="34"/>
  </w:num>
  <w:num w:numId="4">
    <w:abstractNumId w:val="38"/>
  </w:num>
  <w:num w:numId="5">
    <w:abstractNumId w:val="13"/>
  </w:num>
  <w:num w:numId="6">
    <w:abstractNumId w:val="51"/>
  </w:num>
  <w:num w:numId="7">
    <w:abstractNumId w:val="23"/>
  </w:num>
  <w:num w:numId="8">
    <w:abstractNumId w:val="30"/>
  </w:num>
  <w:num w:numId="9">
    <w:abstractNumId w:val="9"/>
  </w:num>
  <w:num w:numId="10">
    <w:abstractNumId w:val="3"/>
  </w:num>
  <w:num w:numId="11">
    <w:abstractNumId w:val="41"/>
  </w:num>
  <w:num w:numId="12">
    <w:abstractNumId w:val="29"/>
  </w:num>
  <w:num w:numId="13">
    <w:abstractNumId w:val="47"/>
  </w:num>
  <w:num w:numId="14">
    <w:abstractNumId w:val="21"/>
  </w:num>
  <w:num w:numId="15">
    <w:abstractNumId w:val="24"/>
  </w:num>
  <w:num w:numId="16">
    <w:abstractNumId w:val="26"/>
  </w:num>
  <w:num w:numId="17">
    <w:abstractNumId w:val="28"/>
  </w:num>
  <w:num w:numId="18">
    <w:abstractNumId w:val="16"/>
  </w:num>
  <w:num w:numId="19">
    <w:abstractNumId w:val="36"/>
  </w:num>
  <w:num w:numId="20">
    <w:abstractNumId w:val="11"/>
  </w:num>
  <w:num w:numId="21">
    <w:abstractNumId w:val="4"/>
  </w:num>
  <w:num w:numId="22">
    <w:abstractNumId w:val="8"/>
  </w:num>
  <w:num w:numId="23">
    <w:abstractNumId w:val="46"/>
  </w:num>
  <w:num w:numId="24">
    <w:abstractNumId w:val="44"/>
  </w:num>
  <w:num w:numId="25">
    <w:abstractNumId w:val="22"/>
  </w:num>
  <w:num w:numId="26">
    <w:abstractNumId w:val="20"/>
  </w:num>
  <w:num w:numId="27">
    <w:abstractNumId w:val="37"/>
  </w:num>
  <w:num w:numId="28">
    <w:abstractNumId w:val="42"/>
  </w:num>
  <w:num w:numId="29">
    <w:abstractNumId w:val="33"/>
  </w:num>
  <w:num w:numId="30">
    <w:abstractNumId w:val="19"/>
  </w:num>
  <w:num w:numId="31">
    <w:abstractNumId w:val="35"/>
  </w:num>
  <w:num w:numId="32">
    <w:abstractNumId w:val="18"/>
  </w:num>
  <w:num w:numId="33">
    <w:abstractNumId w:val="0"/>
  </w:num>
  <w:num w:numId="34">
    <w:abstractNumId w:val="39"/>
  </w:num>
  <w:num w:numId="35">
    <w:abstractNumId w:val="40"/>
  </w:num>
  <w:num w:numId="36">
    <w:abstractNumId w:val="43"/>
  </w:num>
  <w:num w:numId="37">
    <w:abstractNumId w:val="1"/>
  </w:num>
  <w:num w:numId="38">
    <w:abstractNumId w:val="50"/>
  </w:num>
  <w:num w:numId="39">
    <w:abstractNumId w:val="7"/>
  </w:num>
  <w:num w:numId="40">
    <w:abstractNumId w:val="32"/>
  </w:num>
  <w:num w:numId="41">
    <w:abstractNumId w:val="48"/>
  </w:num>
  <w:num w:numId="42">
    <w:abstractNumId w:val="2"/>
  </w:num>
  <w:num w:numId="43">
    <w:abstractNumId w:val="12"/>
  </w:num>
  <w:num w:numId="44">
    <w:abstractNumId w:val="6"/>
  </w:num>
  <w:num w:numId="45">
    <w:abstractNumId w:val="17"/>
  </w:num>
  <w:num w:numId="46">
    <w:abstractNumId w:val="15"/>
  </w:num>
  <w:num w:numId="47">
    <w:abstractNumId w:val="14"/>
  </w:num>
  <w:num w:numId="48">
    <w:abstractNumId w:val="5"/>
  </w:num>
  <w:num w:numId="49">
    <w:abstractNumId w:val="10"/>
  </w:num>
  <w:num w:numId="50">
    <w:abstractNumId w:val="49"/>
  </w:num>
  <w:num w:numId="51">
    <w:abstractNumId w:val="27"/>
  </w:num>
  <w:num w:numId="5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9"/>
  <w:embedSystemFonts/>
  <w:bordersDoNotSurroundHeader w:val="0"/>
  <w:bordersDoNotSurroundFooter w:val="0"/>
  <w:hideSpellingErrors/>
  <w:hideGrammaticalErrors/>
  <w:documentProtection w:edit="trackedChanges"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c4ZmY1ODQzYmU0MjFhYjU4YTRmN2U3NGFiNmY1YWQifQ=="/>
  </w:docVars>
  <w:rsids>
    <w:rsidRoot w:val="325A5FC6"/>
    <w:rsid w:val="00002C55"/>
    <w:rsid w:val="000037D6"/>
    <w:rsid w:val="000038AE"/>
    <w:rsid w:val="000066B0"/>
    <w:rsid w:val="000070D7"/>
    <w:rsid w:val="000156B3"/>
    <w:rsid w:val="00015B17"/>
    <w:rsid w:val="00021C05"/>
    <w:rsid w:val="00026B36"/>
    <w:rsid w:val="00031E8E"/>
    <w:rsid w:val="000330A7"/>
    <w:rsid w:val="00033B55"/>
    <w:rsid w:val="0004100E"/>
    <w:rsid w:val="000476F0"/>
    <w:rsid w:val="000477D7"/>
    <w:rsid w:val="00051F9E"/>
    <w:rsid w:val="000532FA"/>
    <w:rsid w:val="00053C20"/>
    <w:rsid w:val="00053C74"/>
    <w:rsid w:val="00053D4F"/>
    <w:rsid w:val="00062A18"/>
    <w:rsid w:val="000734FD"/>
    <w:rsid w:val="00077133"/>
    <w:rsid w:val="00077E12"/>
    <w:rsid w:val="00080A19"/>
    <w:rsid w:val="000847D7"/>
    <w:rsid w:val="00086EA9"/>
    <w:rsid w:val="00087DA8"/>
    <w:rsid w:val="00090FE1"/>
    <w:rsid w:val="00094E3B"/>
    <w:rsid w:val="00095C3A"/>
    <w:rsid w:val="00097F5D"/>
    <w:rsid w:val="000A2B3F"/>
    <w:rsid w:val="000A2F90"/>
    <w:rsid w:val="000A4366"/>
    <w:rsid w:val="000C2BA1"/>
    <w:rsid w:val="000C52F7"/>
    <w:rsid w:val="000D28E8"/>
    <w:rsid w:val="000E2055"/>
    <w:rsid w:val="000E55F5"/>
    <w:rsid w:val="000F5180"/>
    <w:rsid w:val="000F5C31"/>
    <w:rsid w:val="001022BC"/>
    <w:rsid w:val="00105CDB"/>
    <w:rsid w:val="0010651C"/>
    <w:rsid w:val="00107B03"/>
    <w:rsid w:val="001167A6"/>
    <w:rsid w:val="001311CB"/>
    <w:rsid w:val="00134D33"/>
    <w:rsid w:val="00140AF8"/>
    <w:rsid w:val="0014218F"/>
    <w:rsid w:val="00150D4B"/>
    <w:rsid w:val="0015397B"/>
    <w:rsid w:val="00157F80"/>
    <w:rsid w:val="00160695"/>
    <w:rsid w:val="001625D8"/>
    <w:rsid w:val="001673B4"/>
    <w:rsid w:val="00170E2F"/>
    <w:rsid w:val="00174E84"/>
    <w:rsid w:val="0017797C"/>
    <w:rsid w:val="00181A88"/>
    <w:rsid w:val="00191630"/>
    <w:rsid w:val="001A31CB"/>
    <w:rsid w:val="001B5565"/>
    <w:rsid w:val="001B6F2D"/>
    <w:rsid w:val="001C0824"/>
    <w:rsid w:val="001C23D2"/>
    <w:rsid w:val="001C4A28"/>
    <w:rsid w:val="001D1685"/>
    <w:rsid w:val="001D5565"/>
    <w:rsid w:val="001E1C7E"/>
    <w:rsid w:val="001E45A9"/>
    <w:rsid w:val="0020094A"/>
    <w:rsid w:val="00201D59"/>
    <w:rsid w:val="00206DB0"/>
    <w:rsid w:val="002070A7"/>
    <w:rsid w:val="00216D2B"/>
    <w:rsid w:val="0022014D"/>
    <w:rsid w:val="002215AD"/>
    <w:rsid w:val="002276EA"/>
    <w:rsid w:val="00240F3E"/>
    <w:rsid w:val="00245E21"/>
    <w:rsid w:val="00247ED7"/>
    <w:rsid w:val="00251A32"/>
    <w:rsid w:val="002541EE"/>
    <w:rsid w:val="00272E96"/>
    <w:rsid w:val="00274D84"/>
    <w:rsid w:val="002774E7"/>
    <w:rsid w:val="002A048E"/>
    <w:rsid w:val="002B7754"/>
    <w:rsid w:val="002C3D04"/>
    <w:rsid w:val="002C526F"/>
    <w:rsid w:val="002C7734"/>
    <w:rsid w:val="002D1713"/>
    <w:rsid w:val="002D2BB5"/>
    <w:rsid w:val="002D31C6"/>
    <w:rsid w:val="002D3BE0"/>
    <w:rsid w:val="002E2A93"/>
    <w:rsid w:val="002E3A98"/>
    <w:rsid w:val="002E732B"/>
    <w:rsid w:val="002E7925"/>
    <w:rsid w:val="002F2D23"/>
    <w:rsid w:val="002F3852"/>
    <w:rsid w:val="00304443"/>
    <w:rsid w:val="00304CAA"/>
    <w:rsid w:val="003064EA"/>
    <w:rsid w:val="0031702C"/>
    <w:rsid w:val="00317411"/>
    <w:rsid w:val="00322A5E"/>
    <w:rsid w:val="00327FBD"/>
    <w:rsid w:val="003357D8"/>
    <w:rsid w:val="00353514"/>
    <w:rsid w:val="00360345"/>
    <w:rsid w:val="0036140A"/>
    <w:rsid w:val="00364605"/>
    <w:rsid w:val="003679EB"/>
    <w:rsid w:val="00372E38"/>
    <w:rsid w:val="003758EB"/>
    <w:rsid w:val="003860F9"/>
    <w:rsid w:val="00387A20"/>
    <w:rsid w:val="00390F02"/>
    <w:rsid w:val="003A15CA"/>
    <w:rsid w:val="003A35C4"/>
    <w:rsid w:val="003A78C6"/>
    <w:rsid w:val="003B1C88"/>
    <w:rsid w:val="003B4074"/>
    <w:rsid w:val="003D1278"/>
    <w:rsid w:val="003D3F93"/>
    <w:rsid w:val="003D4BB3"/>
    <w:rsid w:val="003E0480"/>
    <w:rsid w:val="003E559B"/>
    <w:rsid w:val="003E5CE2"/>
    <w:rsid w:val="003E61CE"/>
    <w:rsid w:val="004001BA"/>
    <w:rsid w:val="00407562"/>
    <w:rsid w:val="00427BF8"/>
    <w:rsid w:val="00445434"/>
    <w:rsid w:val="00446AA5"/>
    <w:rsid w:val="00451AB2"/>
    <w:rsid w:val="0045224B"/>
    <w:rsid w:val="00453E70"/>
    <w:rsid w:val="0046595C"/>
    <w:rsid w:val="004675AD"/>
    <w:rsid w:val="004710E5"/>
    <w:rsid w:val="00471412"/>
    <w:rsid w:val="00474883"/>
    <w:rsid w:val="004771AE"/>
    <w:rsid w:val="0047775F"/>
    <w:rsid w:val="00480995"/>
    <w:rsid w:val="00480FEE"/>
    <w:rsid w:val="004939A5"/>
    <w:rsid w:val="00497F09"/>
    <w:rsid w:val="004A0677"/>
    <w:rsid w:val="004A0BE0"/>
    <w:rsid w:val="004A145F"/>
    <w:rsid w:val="004A2623"/>
    <w:rsid w:val="004A3453"/>
    <w:rsid w:val="004A694F"/>
    <w:rsid w:val="004B46C8"/>
    <w:rsid w:val="004B742F"/>
    <w:rsid w:val="004C22C9"/>
    <w:rsid w:val="004C46BD"/>
    <w:rsid w:val="004C5C9E"/>
    <w:rsid w:val="004D32B4"/>
    <w:rsid w:val="004D70E2"/>
    <w:rsid w:val="004D7E32"/>
    <w:rsid w:val="004E3D7F"/>
    <w:rsid w:val="004F0E9A"/>
    <w:rsid w:val="00502FC9"/>
    <w:rsid w:val="00515309"/>
    <w:rsid w:val="00515D9A"/>
    <w:rsid w:val="00537B71"/>
    <w:rsid w:val="005419C2"/>
    <w:rsid w:val="005504FA"/>
    <w:rsid w:val="00551F99"/>
    <w:rsid w:val="00557DE3"/>
    <w:rsid w:val="00567CA5"/>
    <w:rsid w:val="00570865"/>
    <w:rsid w:val="00590FDC"/>
    <w:rsid w:val="00596269"/>
    <w:rsid w:val="005A2D54"/>
    <w:rsid w:val="005A5D92"/>
    <w:rsid w:val="005A60E0"/>
    <w:rsid w:val="005A6B7F"/>
    <w:rsid w:val="005C70E3"/>
    <w:rsid w:val="005D0011"/>
    <w:rsid w:val="005D0F27"/>
    <w:rsid w:val="005D75B1"/>
    <w:rsid w:val="005E2AFF"/>
    <w:rsid w:val="005E6D36"/>
    <w:rsid w:val="005E7E14"/>
    <w:rsid w:val="005F651D"/>
    <w:rsid w:val="006019D0"/>
    <w:rsid w:val="006034E2"/>
    <w:rsid w:val="00610304"/>
    <w:rsid w:val="006103B5"/>
    <w:rsid w:val="00615AD6"/>
    <w:rsid w:val="00615BF1"/>
    <w:rsid w:val="00617D05"/>
    <w:rsid w:val="00627BFF"/>
    <w:rsid w:val="00627E88"/>
    <w:rsid w:val="006309DE"/>
    <w:rsid w:val="006313CD"/>
    <w:rsid w:val="00633E4E"/>
    <w:rsid w:val="00642407"/>
    <w:rsid w:val="00644AF4"/>
    <w:rsid w:val="0065128A"/>
    <w:rsid w:val="00651805"/>
    <w:rsid w:val="0066474C"/>
    <w:rsid w:val="00673859"/>
    <w:rsid w:val="00681A72"/>
    <w:rsid w:val="0068563E"/>
    <w:rsid w:val="00690F97"/>
    <w:rsid w:val="006A0193"/>
    <w:rsid w:val="006A1977"/>
    <w:rsid w:val="006A30CC"/>
    <w:rsid w:val="006A352C"/>
    <w:rsid w:val="006B104A"/>
    <w:rsid w:val="006B141F"/>
    <w:rsid w:val="006B1DD2"/>
    <w:rsid w:val="006C0BE0"/>
    <w:rsid w:val="006C113D"/>
    <w:rsid w:val="006C60C5"/>
    <w:rsid w:val="006C66EC"/>
    <w:rsid w:val="006C7751"/>
    <w:rsid w:val="006D068B"/>
    <w:rsid w:val="006D11B5"/>
    <w:rsid w:val="006D5951"/>
    <w:rsid w:val="006E5F8B"/>
    <w:rsid w:val="006F0586"/>
    <w:rsid w:val="006F3C5D"/>
    <w:rsid w:val="006F4764"/>
    <w:rsid w:val="006F4E3F"/>
    <w:rsid w:val="007341AC"/>
    <w:rsid w:val="0073557D"/>
    <w:rsid w:val="00735E7D"/>
    <w:rsid w:val="00745F90"/>
    <w:rsid w:val="00745FB6"/>
    <w:rsid w:val="00753C0F"/>
    <w:rsid w:val="007614CB"/>
    <w:rsid w:val="00766F2E"/>
    <w:rsid w:val="007738E5"/>
    <w:rsid w:val="007815C8"/>
    <w:rsid w:val="0078463F"/>
    <w:rsid w:val="007913A7"/>
    <w:rsid w:val="0079590F"/>
    <w:rsid w:val="007A2340"/>
    <w:rsid w:val="007A2D1B"/>
    <w:rsid w:val="007A2D45"/>
    <w:rsid w:val="007B0611"/>
    <w:rsid w:val="007B1718"/>
    <w:rsid w:val="007B1993"/>
    <w:rsid w:val="007B53C4"/>
    <w:rsid w:val="007C0ECF"/>
    <w:rsid w:val="007C5ED2"/>
    <w:rsid w:val="007D6C7F"/>
    <w:rsid w:val="007E4A8B"/>
    <w:rsid w:val="0080175C"/>
    <w:rsid w:val="00802BE2"/>
    <w:rsid w:val="00813B95"/>
    <w:rsid w:val="00813E25"/>
    <w:rsid w:val="00815168"/>
    <w:rsid w:val="00815A3D"/>
    <w:rsid w:val="008361BA"/>
    <w:rsid w:val="00843D24"/>
    <w:rsid w:val="00850F59"/>
    <w:rsid w:val="00852482"/>
    <w:rsid w:val="0085276D"/>
    <w:rsid w:val="00856CA0"/>
    <w:rsid w:val="00863BA2"/>
    <w:rsid w:val="00872E7E"/>
    <w:rsid w:val="00885348"/>
    <w:rsid w:val="00885884"/>
    <w:rsid w:val="00887FCD"/>
    <w:rsid w:val="00893FA2"/>
    <w:rsid w:val="0089682F"/>
    <w:rsid w:val="008A0F7F"/>
    <w:rsid w:val="008A60BE"/>
    <w:rsid w:val="008B190B"/>
    <w:rsid w:val="008B769A"/>
    <w:rsid w:val="008D2265"/>
    <w:rsid w:val="008D3AE9"/>
    <w:rsid w:val="008D7918"/>
    <w:rsid w:val="008D7C77"/>
    <w:rsid w:val="008E0379"/>
    <w:rsid w:val="008E0FD4"/>
    <w:rsid w:val="008E1A4F"/>
    <w:rsid w:val="008E2046"/>
    <w:rsid w:val="008F182D"/>
    <w:rsid w:val="008F653C"/>
    <w:rsid w:val="00901EED"/>
    <w:rsid w:val="00917800"/>
    <w:rsid w:val="00924A51"/>
    <w:rsid w:val="00926BF0"/>
    <w:rsid w:val="00936A84"/>
    <w:rsid w:val="009375FA"/>
    <w:rsid w:val="00937826"/>
    <w:rsid w:val="00942C29"/>
    <w:rsid w:val="00943BA9"/>
    <w:rsid w:val="009469C4"/>
    <w:rsid w:val="00950F7E"/>
    <w:rsid w:val="009515BC"/>
    <w:rsid w:val="00952008"/>
    <w:rsid w:val="00953FF1"/>
    <w:rsid w:val="0096473E"/>
    <w:rsid w:val="00964AD7"/>
    <w:rsid w:val="00964B52"/>
    <w:rsid w:val="009661BB"/>
    <w:rsid w:val="00967105"/>
    <w:rsid w:val="0097174C"/>
    <w:rsid w:val="00975772"/>
    <w:rsid w:val="00991436"/>
    <w:rsid w:val="009924C1"/>
    <w:rsid w:val="009A0B9C"/>
    <w:rsid w:val="009A0F5B"/>
    <w:rsid w:val="009A2A2B"/>
    <w:rsid w:val="009B2C52"/>
    <w:rsid w:val="009B3578"/>
    <w:rsid w:val="009B5A9C"/>
    <w:rsid w:val="009B79A5"/>
    <w:rsid w:val="009D35F9"/>
    <w:rsid w:val="009E65EA"/>
    <w:rsid w:val="009F2B47"/>
    <w:rsid w:val="00A12CBB"/>
    <w:rsid w:val="00A156CB"/>
    <w:rsid w:val="00A252E9"/>
    <w:rsid w:val="00A261A7"/>
    <w:rsid w:val="00A431F4"/>
    <w:rsid w:val="00A4345D"/>
    <w:rsid w:val="00A4362F"/>
    <w:rsid w:val="00A5052C"/>
    <w:rsid w:val="00A5157B"/>
    <w:rsid w:val="00A6240E"/>
    <w:rsid w:val="00A650F1"/>
    <w:rsid w:val="00A656A6"/>
    <w:rsid w:val="00A73143"/>
    <w:rsid w:val="00A82334"/>
    <w:rsid w:val="00A84051"/>
    <w:rsid w:val="00A85F28"/>
    <w:rsid w:val="00A953B5"/>
    <w:rsid w:val="00A95F7B"/>
    <w:rsid w:val="00AA03A3"/>
    <w:rsid w:val="00AB0AE2"/>
    <w:rsid w:val="00AD7114"/>
    <w:rsid w:val="00AE5302"/>
    <w:rsid w:val="00AE5FFF"/>
    <w:rsid w:val="00AE66FC"/>
    <w:rsid w:val="00AE6B58"/>
    <w:rsid w:val="00AE6EB9"/>
    <w:rsid w:val="00AE7A6E"/>
    <w:rsid w:val="00AF44A1"/>
    <w:rsid w:val="00AF6860"/>
    <w:rsid w:val="00B20349"/>
    <w:rsid w:val="00B2609E"/>
    <w:rsid w:val="00B430B1"/>
    <w:rsid w:val="00B51913"/>
    <w:rsid w:val="00B51936"/>
    <w:rsid w:val="00B618C2"/>
    <w:rsid w:val="00B62091"/>
    <w:rsid w:val="00B709C8"/>
    <w:rsid w:val="00B7127E"/>
    <w:rsid w:val="00B74BB6"/>
    <w:rsid w:val="00B76542"/>
    <w:rsid w:val="00B76D98"/>
    <w:rsid w:val="00B85662"/>
    <w:rsid w:val="00B8613F"/>
    <w:rsid w:val="00BA05BE"/>
    <w:rsid w:val="00BA2ECF"/>
    <w:rsid w:val="00BA3E3C"/>
    <w:rsid w:val="00BA4B3A"/>
    <w:rsid w:val="00BA7DC9"/>
    <w:rsid w:val="00BB0305"/>
    <w:rsid w:val="00BD0795"/>
    <w:rsid w:val="00BD6ACD"/>
    <w:rsid w:val="00BF09F2"/>
    <w:rsid w:val="00C00412"/>
    <w:rsid w:val="00C007E1"/>
    <w:rsid w:val="00C06497"/>
    <w:rsid w:val="00C07818"/>
    <w:rsid w:val="00C07C1E"/>
    <w:rsid w:val="00C12A1E"/>
    <w:rsid w:val="00C21795"/>
    <w:rsid w:val="00C25875"/>
    <w:rsid w:val="00C464BB"/>
    <w:rsid w:val="00C52D02"/>
    <w:rsid w:val="00C54AF0"/>
    <w:rsid w:val="00C56AB0"/>
    <w:rsid w:val="00C630B8"/>
    <w:rsid w:val="00C66216"/>
    <w:rsid w:val="00C735FB"/>
    <w:rsid w:val="00C77D27"/>
    <w:rsid w:val="00C82DAB"/>
    <w:rsid w:val="00C83683"/>
    <w:rsid w:val="00C845AE"/>
    <w:rsid w:val="00C85AED"/>
    <w:rsid w:val="00C86CE3"/>
    <w:rsid w:val="00C96239"/>
    <w:rsid w:val="00C97558"/>
    <w:rsid w:val="00C9766F"/>
    <w:rsid w:val="00CA0777"/>
    <w:rsid w:val="00CA1A07"/>
    <w:rsid w:val="00CA263D"/>
    <w:rsid w:val="00CA26A2"/>
    <w:rsid w:val="00CA7B74"/>
    <w:rsid w:val="00CA7E04"/>
    <w:rsid w:val="00CC110A"/>
    <w:rsid w:val="00CD13B2"/>
    <w:rsid w:val="00CE58AA"/>
    <w:rsid w:val="00CE65A7"/>
    <w:rsid w:val="00CF0C4A"/>
    <w:rsid w:val="00CF1605"/>
    <w:rsid w:val="00CF7842"/>
    <w:rsid w:val="00D007B0"/>
    <w:rsid w:val="00D03D22"/>
    <w:rsid w:val="00D20F7D"/>
    <w:rsid w:val="00D32078"/>
    <w:rsid w:val="00D345CD"/>
    <w:rsid w:val="00D3772A"/>
    <w:rsid w:val="00D45546"/>
    <w:rsid w:val="00D546B7"/>
    <w:rsid w:val="00D601E3"/>
    <w:rsid w:val="00D63C89"/>
    <w:rsid w:val="00D71F27"/>
    <w:rsid w:val="00D7415E"/>
    <w:rsid w:val="00D7770A"/>
    <w:rsid w:val="00D92882"/>
    <w:rsid w:val="00D92D66"/>
    <w:rsid w:val="00D95182"/>
    <w:rsid w:val="00DA42E4"/>
    <w:rsid w:val="00DB00A4"/>
    <w:rsid w:val="00DB0A9E"/>
    <w:rsid w:val="00DB45A1"/>
    <w:rsid w:val="00DC1D46"/>
    <w:rsid w:val="00DC4B42"/>
    <w:rsid w:val="00DC5E65"/>
    <w:rsid w:val="00DC6784"/>
    <w:rsid w:val="00DC69E9"/>
    <w:rsid w:val="00DD516B"/>
    <w:rsid w:val="00DE0DF8"/>
    <w:rsid w:val="00DE1BE0"/>
    <w:rsid w:val="00E0282E"/>
    <w:rsid w:val="00E1370C"/>
    <w:rsid w:val="00E1578E"/>
    <w:rsid w:val="00E15A32"/>
    <w:rsid w:val="00E161E2"/>
    <w:rsid w:val="00E20F84"/>
    <w:rsid w:val="00E30A4C"/>
    <w:rsid w:val="00E37B45"/>
    <w:rsid w:val="00E407F3"/>
    <w:rsid w:val="00E448DD"/>
    <w:rsid w:val="00E45B50"/>
    <w:rsid w:val="00E47CB1"/>
    <w:rsid w:val="00E674B9"/>
    <w:rsid w:val="00E716EA"/>
    <w:rsid w:val="00E80EBC"/>
    <w:rsid w:val="00E82CB6"/>
    <w:rsid w:val="00E947FA"/>
    <w:rsid w:val="00EA32A3"/>
    <w:rsid w:val="00EA5CB2"/>
    <w:rsid w:val="00EB1C83"/>
    <w:rsid w:val="00EC48A4"/>
    <w:rsid w:val="00EC67DF"/>
    <w:rsid w:val="00ED6A4A"/>
    <w:rsid w:val="00EF3087"/>
    <w:rsid w:val="00EF77DF"/>
    <w:rsid w:val="00F009EB"/>
    <w:rsid w:val="00F068C2"/>
    <w:rsid w:val="00F0775C"/>
    <w:rsid w:val="00F23064"/>
    <w:rsid w:val="00F23B39"/>
    <w:rsid w:val="00F318B7"/>
    <w:rsid w:val="00F31F76"/>
    <w:rsid w:val="00F34544"/>
    <w:rsid w:val="00F40F0A"/>
    <w:rsid w:val="00F40F89"/>
    <w:rsid w:val="00F4440A"/>
    <w:rsid w:val="00F45EE0"/>
    <w:rsid w:val="00F54FA6"/>
    <w:rsid w:val="00F61D96"/>
    <w:rsid w:val="00F63145"/>
    <w:rsid w:val="00F704AC"/>
    <w:rsid w:val="00F74E70"/>
    <w:rsid w:val="00F8601E"/>
    <w:rsid w:val="00F91CE8"/>
    <w:rsid w:val="00FA207F"/>
    <w:rsid w:val="00FB19A4"/>
    <w:rsid w:val="00FB4BE5"/>
    <w:rsid w:val="00FB5E05"/>
    <w:rsid w:val="00FC2713"/>
    <w:rsid w:val="00FD0B88"/>
    <w:rsid w:val="00FD52C8"/>
    <w:rsid w:val="00FD70A0"/>
    <w:rsid w:val="00FE6F38"/>
    <w:rsid w:val="00FE7CC9"/>
    <w:rsid w:val="00FF3FB5"/>
    <w:rsid w:val="016C5132"/>
    <w:rsid w:val="01D6028D"/>
    <w:rsid w:val="02E50728"/>
    <w:rsid w:val="030A6CC4"/>
    <w:rsid w:val="03751745"/>
    <w:rsid w:val="0594361C"/>
    <w:rsid w:val="059F2E60"/>
    <w:rsid w:val="05EA7D64"/>
    <w:rsid w:val="063258B8"/>
    <w:rsid w:val="067C78F6"/>
    <w:rsid w:val="068205AF"/>
    <w:rsid w:val="07A30151"/>
    <w:rsid w:val="07C063B2"/>
    <w:rsid w:val="093E327F"/>
    <w:rsid w:val="099D2DC6"/>
    <w:rsid w:val="09F87A11"/>
    <w:rsid w:val="0B4E3D5A"/>
    <w:rsid w:val="0BA31C61"/>
    <w:rsid w:val="0BAF7405"/>
    <w:rsid w:val="0BE42BFC"/>
    <w:rsid w:val="0D993599"/>
    <w:rsid w:val="0DCA5F49"/>
    <w:rsid w:val="0E8915C6"/>
    <w:rsid w:val="0ED600FE"/>
    <w:rsid w:val="0F0804C8"/>
    <w:rsid w:val="0F1669F0"/>
    <w:rsid w:val="0F295F6C"/>
    <w:rsid w:val="10253BD9"/>
    <w:rsid w:val="10FA731A"/>
    <w:rsid w:val="1104640C"/>
    <w:rsid w:val="11611A29"/>
    <w:rsid w:val="11624C34"/>
    <w:rsid w:val="11C42692"/>
    <w:rsid w:val="121C28E7"/>
    <w:rsid w:val="12C0739F"/>
    <w:rsid w:val="134654BA"/>
    <w:rsid w:val="136A2E67"/>
    <w:rsid w:val="1380270E"/>
    <w:rsid w:val="138A6184"/>
    <w:rsid w:val="13A62350"/>
    <w:rsid w:val="13C32B03"/>
    <w:rsid w:val="14327EBB"/>
    <w:rsid w:val="15662F3E"/>
    <w:rsid w:val="15FE38BC"/>
    <w:rsid w:val="18D6258B"/>
    <w:rsid w:val="19047CBC"/>
    <w:rsid w:val="19B54F63"/>
    <w:rsid w:val="1AF958D9"/>
    <w:rsid w:val="1B44565F"/>
    <w:rsid w:val="1BC1113D"/>
    <w:rsid w:val="1CA31E18"/>
    <w:rsid w:val="1CF17784"/>
    <w:rsid w:val="1D434E54"/>
    <w:rsid w:val="1DDA69CB"/>
    <w:rsid w:val="1E93235E"/>
    <w:rsid w:val="20F06BEA"/>
    <w:rsid w:val="23873EB9"/>
    <w:rsid w:val="23DD2BD3"/>
    <w:rsid w:val="248F459F"/>
    <w:rsid w:val="249930A4"/>
    <w:rsid w:val="249E4CFA"/>
    <w:rsid w:val="263F3AEB"/>
    <w:rsid w:val="26E07053"/>
    <w:rsid w:val="28F32A48"/>
    <w:rsid w:val="29252BA6"/>
    <w:rsid w:val="296E6CC5"/>
    <w:rsid w:val="2A4F2343"/>
    <w:rsid w:val="2A746F4B"/>
    <w:rsid w:val="2AC74907"/>
    <w:rsid w:val="2B253DEB"/>
    <w:rsid w:val="2C3C128C"/>
    <w:rsid w:val="2CF67EF8"/>
    <w:rsid w:val="2D0A0C43"/>
    <w:rsid w:val="2D2340E3"/>
    <w:rsid w:val="2E53757D"/>
    <w:rsid w:val="2EC81F28"/>
    <w:rsid w:val="2F9212AE"/>
    <w:rsid w:val="2F9423F4"/>
    <w:rsid w:val="30183FF6"/>
    <w:rsid w:val="30BA20C4"/>
    <w:rsid w:val="314F4BE1"/>
    <w:rsid w:val="31F93BDA"/>
    <w:rsid w:val="32175BF5"/>
    <w:rsid w:val="32540D22"/>
    <w:rsid w:val="325A5FC6"/>
    <w:rsid w:val="333374B6"/>
    <w:rsid w:val="33997124"/>
    <w:rsid w:val="340C5B48"/>
    <w:rsid w:val="34160775"/>
    <w:rsid w:val="34330868"/>
    <w:rsid w:val="36392E40"/>
    <w:rsid w:val="3641261F"/>
    <w:rsid w:val="36960592"/>
    <w:rsid w:val="36FE36D2"/>
    <w:rsid w:val="389107E6"/>
    <w:rsid w:val="392F36D0"/>
    <w:rsid w:val="3A90794F"/>
    <w:rsid w:val="3AC15813"/>
    <w:rsid w:val="3B986E73"/>
    <w:rsid w:val="3C270204"/>
    <w:rsid w:val="3DA125B8"/>
    <w:rsid w:val="3DA83E54"/>
    <w:rsid w:val="3EF04A2D"/>
    <w:rsid w:val="3FAE03FB"/>
    <w:rsid w:val="404A048A"/>
    <w:rsid w:val="40B56D2A"/>
    <w:rsid w:val="43593690"/>
    <w:rsid w:val="43934F79"/>
    <w:rsid w:val="43CA5612"/>
    <w:rsid w:val="44194898"/>
    <w:rsid w:val="446D7477"/>
    <w:rsid w:val="451F31B4"/>
    <w:rsid w:val="45260A34"/>
    <w:rsid w:val="460D1FE4"/>
    <w:rsid w:val="46BA5643"/>
    <w:rsid w:val="46C82509"/>
    <w:rsid w:val="46EE423B"/>
    <w:rsid w:val="487C7B55"/>
    <w:rsid w:val="49940F29"/>
    <w:rsid w:val="4B0E1D4E"/>
    <w:rsid w:val="4B2F3F16"/>
    <w:rsid w:val="4B8A45AB"/>
    <w:rsid w:val="4B9F6690"/>
    <w:rsid w:val="4C8565EF"/>
    <w:rsid w:val="4CA8092A"/>
    <w:rsid w:val="4CB400A6"/>
    <w:rsid w:val="4CFD6F7C"/>
    <w:rsid w:val="4D4079E6"/>
    <w:rsid w:val="4F0871FF"/>
    <w:rsid w:val="504722A8"/>
    <w:rsid w:val="50905323"/>
    <w:rsid w:val="50C4524B"/>
    <w:rsid w:val="51960CEF"/>
    <w:rsid w:val="519E78C1"/>
    <w:rsid w:val="54DC3E8F"/>
    <w:rsid w:val="55AB55AF"/>
    <w:rsid w:val="56977129"/>
    <w:rsid w:val="56D54068"/>
    <w:rsid w:val="56E441A7"/>
    <w:rsid w:val="57AF7172"/>
    <w:rsid w:val="57D6591B"/>
    <w:rsid w:val="57EB6225"/>
    <w:rsid w:val="58781FEF"/>
    <w:rsid w:val="5898359F"/>
    <w:rsid w:val="59441D06"/>
    <w:rsid w:val="5A4B3A12"/>
    <w:rsid w:val="5B004DCF"/>
    <w:rsid w:val="5B485DB8"/>
    <w:rsid w:val="5B761F14"/>
    <w:rsid w:val="5C4B31E4"/>
    <w:rsid w:val="5CC27C58"/>
    <w:rsid w:val="5CE62B2B"/>
    <w:rsid w:val="5E4C10B3"/>
    <w:rsid w:val="60CD7ACE"/>
    <w:rsid w:val="61A50F19"/>
    <w:rsid w:val="61FC6CF1"/>
    <w:rsid w:val="623E1082"/>
    <w:rsid w:val="6312467C"/>
    <w:rsid w:val="635B1C4B"/>
    <w:rsid w:val="64862F3F"/>
    <w:rsid w:val="65F1085A"/>
    <w:rsid w:val="679F4A2F"/>
    <w:rsid w:val="68A91668"/>
    <w:rsid w:val="68A95236"/>
    <w:rsid w:val="6946722A"/>
    <w:rsid w:val="69AC616C"/>
    <w:rsid w:val="69C2096E"/>
    <w:rsid w:val="69CC54F0"/>
    <w:rsid w:val="6AD95E72"/>
    <w:rsid w:val="6B2D3826"/>
    <w:rsid w:val="6BB84DDA"/>
    <w:rsid w:val="6C620C11"/>
    <w:rsid w:val="6C9D260E"/>
    <w:rsid w:val="6E1D791F"/>
    <w:rsid w:val="6E6B2BED"/>
    <w:rsid w:val="6EC67CD5"/>
    <w:rsid w:val="6F74749F"/>
    <w:rsid w:val="6FEB6530"/>
    <w:rsid w:val="70007875"/>
    <w:rsid w:val="70CA2A1A"/>
    <w:rsid w:val="711955DA"/>
    <w:rsid w:val="73A16B8E"/>
    <w:rsid w:val="73B00D29"/>
    <w:rsid w:val="73C65A80"/>
    <w:rsid w:val="74784559"/>
    <w:rsid w:val="75F0011F"/>
    <w:rsid w:val="766E1E5B"/>
    <w:rsid w:val="772207AC"/>
    <w:rsid w:val="772941F3"/>
    <w:rsid w:val="773A5FA7"/>
    <w:rsid w:val="779F2186"/>
    <w:rsid w:val="77A45A0D"/>
    <w:rsid w:val="77F72548"/>
    <w:rsid w:val="780C66D9"/>
    <w:rsid w:val="783375CC"/>
    <w:rsid w:val="78493FEE"/>
    <w:rsid w:val="78782D79"/>
    <w:rsid w:val="79B266D5"/>
    <w:rsid w:val="79D2311C"/>
    <w:rsid w:val="7A1457AC"/>
    <w:rsid w:val="7B27743D"/>
    <w:rsid w:val="7B4D60BB"/>
    <w:rsid w:val="7B6953A0"/>
    <w:rsid w:val="7C610D25"/>
    <w:rsid w:val="7C815C6E"/>
    <w:rsid w:val="7E5869BC"/>
    <w:rsid w:val="7E7754F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 w:semiHidden="0" w:name="heading 2"/>
    <w:lsdException w:qFormat="1" w:uiPriority="9" w:semiHidden="0" w:name="heading 3"/>
    <w:lsdException w:qFormat="1" w:unhideWhenUsed="0" w:uiPriority="0" w:semiHidden="0" w:name="heading 4"/>
    <w:lsdException w:qFormat="1" w:uiPriority="0" w:semiHidden="0" w:name="heading 5"/>
    <w:lsdException w:qFormat="1" w:uiPriority="0" w:semiHidden="0" w:name="heading 6"/>
    <w:lsdException w:qFormat="1" w:uiPriority="0" w:semiHidden="0" w:name="heading 7"/>
    <w:lsdException w:qFormat="1" w:unhideWhenUsed="0" w:uiPriority="0" w:semiHidden="0" w:name="heading 8"/>
    <w:lsdException w:qFormat="1" w:unhideWhenUsed="0" w:uiPriority="0" w:semiHidden="0" w:name="heading 9"/>
    <w:lsdException w:qFormat="1" w:unhideWhenUsed="0" w:uiPriority="99" w:semiHidden="0" w:name="index 1"/>
    <w:lsdException w:uiPriority="0" w:name="index 2"/>
    <w:lsdException w:uiPriority="0" w:name="index 3"/>
    <w:lsdException w:qFormat="1" w:unhideWhenUsed="0" w:uiPriority="0" w:semiHidden="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0" w:semiHidden="0" w:name="toc 3"/>
    <w:lsdException w:qFormat="1" w:unhideWhenUsed="0" w:uiPriority="0" w:semiHidden="0" w:name="toc 4"/>
    <w:lsdException w:qFormat="1" w:unhideWhenUsed="0" w:uiPriority="32" w:semiHidden="0" w:name="toc 5"/>
    <w:lsdException w:qFormat="1" w:unhideWhenUsed="0" w:uiPriority="33" w:semiHidden="0" w:name="toc 6"/>
    <w:lsdException w:qFormat="1" w:unhideWhenUsed="0" w:uiPriority="34" w:semiHidden="0" w:name="toc 7"/>
    <w:lsdException w:qFormat="1" w:unhideWhenUsed="0" w:uiPriority="35" w:semiHidden="0" w:name="toc 8"/>
    <w:lsdException w:qFormat="1" w:unhideWhenUsed="0" w:uiPriority="36" w:semiHidden="0" w:name="toc 9"/>
    <w:lsdException w:qFormat="1" w:unhideWhenUsed="0" w:uiPriority="99" w:semiHidden="0" w:name="Normal Indent"/>
    <w:lsdException w:qFormat="1" w:unhideWhenUsed="0" w:uiPriority="99" w:semiHidden="0" w:name="footnote text"/>
    <w:lsdException w:qFormat="1" w:uiPriority="99" w:semiHidden="0" w:name="annotation text"/>
    <w:lsdException w:qFormat="1" w:unhideWhenUsed="0" w:uiPriority="0" w:semiHidden="0" w:name="header"/>
    <w:lsdException w:qFormat="1" w:unhideWhenUsed="0" w:uiPriority="99" w:semiHidden="0" w:name="footer"/>
    <w:lsdException w:uiPriority="0" w:name="index heading"/>
    <w:lsdException w:qFormat="1" w:unhideWhenUsed="0" w:uiPriority="35" w:semiHidden="0" w:name="caption"/>
    <w:lsdException w:uiPriority="0" w:name="table of figures"/>
    <w:lsdException w:uiPriority="0" w:name="envelope address"/>
    <w:lsdException w:uiPriority="0" w:name="envelope return"/>
    <w:lsdException w:qFormat="1" w:unhideWhenUsed="0" w:uiPriority="99" w:semiHidden="0" w:name="footnote reference"/>
    <w:lsdException w:qFormat="1" w:unhideWhenUsed="0" w:uiPriority="99" w:semiHidden="0" w:name="annotation reference"/>
    <w:lsdException w:uiPriority="0" w:name="line number"/>
    <w:lsdException w:qFormat="1" w:unhideWhenUsed="0" w:uiPriority="0" w:semiHidden="0" w:name="page number"/>
    <w:lsdException w:uiPriority="0" w:name="endnote reference"/>
    <w:lsdException w:qFormat="1" w:unhideWhenUsed="0" w:uiPriority="99" w:semiHidden="0" w:name="endnote text"/>
    <w:lsdException w:uiPriority="0" w:name="table of authorities"/>
    <w:lsdException w:uiPriority="0" w:name="macro"/>
    <w:lsdException w:uiPriority="0" w:name="toa heading"/>
    <w:lsdException w:qFormat="1" w:unhideWhenUsed="0" w:uiPriority="0" w:semiHidden="0" w:name="List"/>
    <w:lsdException w:uiPriority="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iPriority="0" w:name="List Bullet 2"/>
    <w:lsdException w:qFormat="1" w:unhideWhenUsed="0" w:uiPriority="0" w:semiHidden="0" w:name="List Bullet 3"/>
    <w:lsdException w:uiPriority="0" w:name="List Bullet 4"/>
    <w:lsdException w:uiPriority="0" w:name="List Bullet 5"/>
    <w:lsdException w:qFormat="1" w:unhideWhenUsed="0" w:uiPriority="0" w:semiHidden="0" w:name="List Number 2"/>
    <w:lsdException w:uiPriority="0" w:name="List Number 3"/>
    <w:lsdException w:uiPriority="0" w:name="List Number 4"/>
    <w:lsdException w:uiPriority="0" w:name="List Number 5"/>
    <w:lsdException w:qFormat="1" w:unhideWhenUsed="0" w:uiPriority="10" w:semiHidden="0" w:name="Title"/>
    <w:lsdException w:qFormat="1" w:uiPriority="99" w:semiHidden="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uiPriority="0" w:name="List Continue 3"/>
    <w:lsdException w:uiPriority="0" w:name="List Continue 4"/>
    <w:lsdException w:uiPriority="0" w:name="List Continue 5"/>
    <w:lsdException w:uiPriority="0" w:name="Message Header"/>
    <w:lsdException w:qFormat="1" w:unhideWhenUsed="0" w:uiPriority="99" w:semiHidden="0" w:name="Subtitle"/>
    <w:lsdException w:qFormat="1" w:unhideWhenUsed="0" w:uiPriority="99" w:semiHidden="0" w:name="Salutation"/>
    <w:lsdException w:qFormat="1" w:unhideWhenUsed="0" w:uiPriority="0" w:semiHidden="0" w:name="Date"/>
    <w:lsdException w:qFormat="1" w:uiPriority="99" w:semiHidden="0" w:name="Body Text First Indent"/>
    <w:lsdException w:qFormat="1" w:unhideWhenUsed="0" w:uiPriority="99" w:semiHidden="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99" w:semiHidden="0" w:name="FollowedHyperlink"/>
    <w:lsdException w:qFormat="1" w:unhideWhenUsed="0" w:uiPriority="22" w:semiHidden="0" w:name="Strong"/>
    <w:lsdException w:qFormat="1" w:unhideWhenUsed="0" w:uiPriority="18"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99" w:semiHidden="0" w:name="Normal (Web)"/>
    <w:lsdException w:qFormat="1" w:uiPriority="99" w:semiHidden="0" w:name="HTML Acronym"/>
    <w:lsdException w:uiPriority="0" w:name="HTML Address"/>
    <w:lsdException w:qFormat="1" w:unhideWhenUsed="0" w:uiPriority="99" w:semiHidden="0" w:name="HTML Cite"/>
    <w:lsdException w:qFormat="1" w:unhideWhenUsed="0" w:uiPriority="99" w:semiHidden="0" w:name="HTML Code"/>
    <w:lsdException w:qFormat="1" w:unhideWhenUsed="0" w:uiPriority="99" w:semiHidden="0" w:name="HTML Definition"/>
    <w:lsdException w:qFormat="1" w:unhideWhenUsed="0" w:uiPriority="99" w:semiHidden="0" w:name="HTML Keyboard"/>
    <w:lsdException w:qFormat="1" w:unhideWhenUsed="0" w:uiPriority="0" w:semiHidden="0" w:name="HTML Preformatted"/>
    <w:lsdException w:qFormat="1" w:unhideWhenUsed="0" w:uiPriority="99" w:semiHidden="0" w:name="HTML Sample"/>
    <w:lsdException w:qFormat="1" w:uiPriority="99" w:semiHidden="0" w:name="HTML Typewriter"/>
    <w:lsdException w:qFormat="1" w:unhideWhenUsed="0" w:uiPriority="99"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99" w:semiHidden="0" w:name="Quote"/>
    <w:lsdException w:qFormat="1" w:unhideWhenUsed="0" w:uiPriority="99"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76"/>
    <w:qFormat/>
    <w:uiPriority w:val="99"/>
    <w:pPr>
      <w:keepNext/>
      <w:keepLines/>
      <w:spacing w:before="340" w:after="330" w:line="578" w:lineRule="auto"/>
      <w:outlineLvl w:val="0"/>
    </w:pPr>
    <w:rPr>
      <w:b/>
      <w:bCs/>
      <w:kern w:val="44"/>
      <w:sz w:val="44"/>
      <w:szCs w:val="44"/>
    </w:rPr>
  </w:style>
  <w:style w:type="paragraph" w:styleId="3">
    <w:name w:val="heading 2"/>
    <w:basedOn w:val="1"/>
    <w:next w:val="1"/>
    <w:link w:val="77"/>
    <w:unhideWhenUsed/>
    <w:qFormat/>
    <w:uiPriority w:val="9"/>
    <w:pPr>
      <w:keepNext/>
      <w:keepLines/>
      <w:spacing w:before="260" w:after="260" w:line="416" w:lineRule="auto"/>
      <w:outlineLvl w:val="1"/>
    </w:pPr>
    <w:rPr>
      <w:rFonts w:ascii="Cambria" w:hAnsi="Cambria"/>
      <w:b/>
      <w:bCs/>
      <w:sz w:val="32"/>
      <w:szCs w:val="32"/>
    </w:rPr>
  </w:style>
  <w:style w:type="paragraph" w:styleId="4">
    <w:name w:val="heading 3"/>
    <w:basedOn w:val="1"/>
    <w:next w:val="1"/>
    <w:link w:val="78"/>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75"/>
    <w:qFormat/>
    <w:uiPriority w:val="0"/>
    <w:pPr>
      <w:keepNext/>
      <w:keepLines/>
      <w:spacing w:before="280" w:after="290" w:line="376" w:lineRule="auto"/>
      <w:outlineLvl w:val="3"/>
    </w:pPr>
    <w:rPr>
      <w:rFonts w:ascii="Arial" w:hAnsi="Arial" w:eastAsia="黑体"/>
      <w:b/>
      <w:bCs/>
      <w:sz w:val="28"/>
      <w:szCs w:val="28"/>
    </w:rPr>
  </w:style>
  <w:style w:type="paragraph" w:styleId="6">
    <w:name w:val="heading 5"/>
    <w:basedOn w:val="1"/>
    <w:next w:val="1"/>
    <w:link w:val="79"/>
    <w:unhideWhenUsed/>
    <w:qFormat/>
    <w:uiPriority w:val="0"/>
    <w:pPr>
      <w:keepNext/>
      <w:keepLines/>
      <w:spacing w:before="280" w:after="290" w:line="376" w:lineRule="auto"/>
      <w:outlineLvl w:val="4"/>
    </w:pPr>
    <w:rPr>
      <w:b/>
      <w:bCs/>
      <w:sz w:val="28"/>
      <w:szCs w:val="28"/>
    </w:rPr>
  </w:style>
  <w:style w:type="paragraph" w:styleId="7">
    <w:name w:val="heading 6"/>
    <w:basedOn w:val="1"/>
    <w:next w:val="1"/>
    <w:link w:val="80"/>
    <w:unhideWhenUsed/>
    <w:qFormat/>
    <w:uiPriority w:val="0"/>
    <w:pPr>
      <w:keepNext/>
      <w:keepLines/>
      <w:spacing w:before="240" w:after="64" w:line="320" w:lineRule="auto"/>
      <w:outlineLvl w:val="5"/>
    </w:pPr>
    <w:rPr>
      <w:rFonts w:asciiTheme="majorHAnsi" w:hAnsiTheme="majorHAnsi" w:eastAsiaTheme="majorEastAsia" w:cstheme="majorBidi"/>
      <w:b/>
      <w:bCs/>
      <w:sz w:val="24"/>
    </w:rPr>
  </w:style>
  <w:style w:type="paragraph" w:styleId="8">
    <w:name w:val="heading 7"/>
    <w:basedOn w:val="1"/>
    <w:next w:val="1"/>
    <w:link w:val="81"/>
    <w:unhideWhenUsed/>
    <w:qFormat/>
    <w:uiPriority w:val="0"/>
    <w:pPr>
      <w:keepNext/>
      <w:keepLines/>
      <w:spacing w:before="240" w:after="64" w:line="320" w:lineRule="auto"/>
      <w:outlineLvl w:val="6"/>
    </w:pPr>
    <w:rPr>
      <w:b/>
      <w:bCs/>
      <w:sz w:val="24"/>
    </w:rPr>
  </w:style>
  <w:style w:type="paragraph" w:styleId="9">
    <w:name w:val="heading 8"/>
    <w:basedOn w:val="1"/>
    <w:next w:val="1"/>
    <w:link w:val="82"/>
    <w:qFormat/>
    <w:uiPriority w:val="0"/>
    <w:pPr>
      <w:keepNext/>
      <w:keepLines/>
      <w:widowControl/>
      <w:tabs>
        <w:tab w:val="left" w:pos="1440"/>
      </w:tabs>
      <w:spacing w:before="240" w:after="64" w:line="317" w:lineRule="auto"/>
      <w:ind w:left="1440" w:hanging="1440"/>
      <w:jc w:val="left"/>
      <w:outlineLvl w:val="7"/>
    </w:pPr>
    <w:rPr>
      <w:rFonts w:ascii="Arial" w:hAnsi="Arial" w:eastAsia="黑体"/>
      <w:sz w:val="24"/>
      <w:szCs w:val="20"/>
    </w:rPr>
  </w:style>
  <w:style w:type="paragraph" w:styleId="10">
    <w:name w:val="heading 9"/>
    <w:basedOn w:val="1"/>
    <w:next w:val="1"/>
    <w:link w:val="83"/>
    <w:qFormat/>
    <w:uiPriority w:val="0"/>
    <w:pPr>
      <w:keepNext/>
      <w:keepLines/>
      <w:widowControl/>
      <w:tabs>
        <w:tab w:val="left" w:pos="1584"/>
      </w:tabs>
      <w:spacing w:before="240" w:after="64" w:line="317" w:lineRule="auto"/>
      <w:ind w:left="1584" w:hanging="1584"/>
      <w:jc w:val="left"/>
      <w:outlineLvl w:val="8"/>
    </w:pPr>
    <w:rPr>
      <w:rFonts w:ascii="Arial" w:hAnsi="Arial" w:eastAsia="黑体"/>
      <w:szCs w:val="20"/>
    </w:rPr>
  </w:style>
  <w:style w:type="character" w:default="1" w:styleId="58">
    <w:name w:val="Default Paragraph Font"/>
    <w:semiHidden/>
    <w:unhideWhenUsed/>
    <w:qFormat/>
    <w:uiPriority w:val="1"/>
  </w:style>
  <w:style w:type="table" w:default="1" w:styleId="56">
    <w:name w:val="Normal Table"/>
    <w:semiHidden/>
    <w:unhideWhenUsed/>
    <w:qFormat/>
    <w:uiPriority w:val="99"/>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CellMar>
        <w:top w:w="0" w:type="dxa"/>
        <w:left w:w="108" w:type="dxa"/>
        <w:bottom w:w="0" w:type="dxa"/>
        <w:right w:w="108" w:type="dxa"/>
      </w:tblCellMar>
    </w:tblPr>
  </w:style>
  <w:style w:type="paragraph" w:styleId="11">
    <w:name w:val="List 3"/>
    <w:basedOn w:val="1"/>
    <w:qFormat/>
    <w:uiPriority w:val="0"/>
    <w:pPr>
      <w:widowControl/>
      <w:tabs>
        <w:tab w:val="left" w:pos="360"/>
      </w:tabs>
      <w:spacing w:after="120" w:line="360" w:lineRule="auto"/>
      <w:jc w:val="left"/>
    </w:pPr>
    <w:rPr>
      <w:rFonts w:ascii="Calibri" w:hAnsi="Calibri"/>
      <w:kern w:val="0"/>
      <w:sz w:val="28"/>
      <w:szCs w:val="20"/>
    </w:rPr>
  </w:style>
  <w:style w:type="paragraph" w:styleId="12">
    <w:name w:val="toc 7"/>
    <w:basedOn w:val="1"/>
    <w:next w:val="1"/>
    <w:qFormat/>
    <w:uiPriority w:val="34"/>
    <w:pPr>
      <w:widowControl/>
      <w:ind w:left="1260"/>
      <w:jc w:val="left"/>
    </w:pPr>
    <w:rPr>
      <w:rFonts w:ascii="Calibri" w:hAnsi="Calibri"/>
      <w:sz w:val="18"/>
      <w:szCs w:val="18"/>
    </w:rPr>
  </w:style>
  <w:style w:type="paragraph" w:styleId="13">
    <w:name w:val="List Number 2"/>
    <w:basedOn w:val="1"/>
    <w:qFormat/>
    <w:uiPriority w:val="0"/>
    <w:rPr>
      <w:rFonts w:ascii="Calibri" w:hAnsi="Calibri"/>
      <w:sz w:val="28"/>
      <w:szCs w:val="20"/>
    </w:rPr>
  </w:style>
  <w:style w:type="paragraph" w:styleId="14">
    <w:name w:val="Normal Indent"/>
    <w:basedOn w:val="1"/>
    <w:next w:val="1"/>
    <w:qFormat/>
    <w:uiPriority w:val="99"/>
    <w:pPr>
      <w:ind w:firstLine="420"/>
    </w:pPr>
    <w:rPr>
      <w:rFonts w:eastAsia="仿宋_GB2312"/>
      <w:sz w:val="30"/>
      <w:szCs w:val="30"/>
    </w:rPr>
  </w:style>
  <w:style w:type="paragraph" w:styleId="15">
    <w:name w:val="caption"/>
    <w:basedOn w:val="1"/>
    <w:next w:val="1"/>
    <w:qFormat/>
    <w:uiPriority w:val="35"/>
    <w:rPr>
      <w:rFonts w:ascii="Cambria" w:hAnsi="Cambria" w:eastAsia="黑体"/>
      <w:sz w:val="20"/>
      <w:szCs w:val="20"/>
    </w:rPr>
  </w:style>
  <w:style w:type="paragraph" w:styleId="16">
    <w:name w:val="Document Map"/>
    <w:basedOn w:val="1"/>
    <w:link w:val="121"/>
    <w:qFormat/>
    <w:uiPriority w:val="0"/>
    <w:pPr>
      <w:widowControl/>
      <w:shd w:val="clear" w:color="auto" w:fill="000080"/>
      <w:jc w:val="left"/>
    </w:pPr>
  </w:style>
  <w:style w:type="paragraph" w:styleId="17">
    <w:name w:val="annotation text"/>
    <w:basedOn w:val="1"/>
    <w:link w:val="84"/>
    <w:unhideWhenUsed/>
    <w:qFormat/>
    <w:uiPriority w:val="99"/>
  </w:style>
  <w:style w:type="paragraph" w:styleId="18">
    <w:name w:val="Salutation"/>
    <w:basedOn w:val="1"/>
    <w:next w:val="1"/>
    <w:link w:val="336"/>
    <w:qFormat/>
    <w:uiPriority w:val="99"/>
    <w:rPr>
      <w:rFonts w:ascii="楷体_GB2312" w:hAnsi="Calibri" w:eastAsia="楷体_GB2312"/>
      <w:sz w:val="32"/>
    </w:rPr>
  </w:style>
  <w:style w:type="paragraph" w:styleId="19">
    <w:name w:val="Body Text 3"/>
    <w:basedOn w:val="1"/>
    <w:link w:val="85"/>
    <w:qFormat/>
    <w:uiPriority w:val="0"/>
    <w:pPr>
      <w:spacing w:after="120"/>
    </w:pPr>
    <w:rPr>
      <w:sz w:val="16"/>
      <w:szCs w:val="16"/>
    </w:rPr>
  </w:style>
  <w:style w:type="paragraph" w:styleId="20">
    <w:name w:val="Closing"/>
    <w:basedOn w:val="1"/>
    <w:link w:val="925"/>
    <w:unhideWhenUsed/>
    <w:qFormat/>
    <w:uiPriority w:val="99"/>
    <w:pPr>
      <w:ind w:left="100" w:leftChars="2100"/>
    </w:pPr>
    <w:rPr>
      <w:rFonts w:asciiTheme="minorHAnsi" w:hAnsiTheme="minorHAnsi" w:eastAsiaTheme="minorEastAsia" w:cstheme="minorBidi"/>
      <w:b/>
      <w:sz w:val="28"/>
      <w:szCs w:val="28"/>
    </w:rPr>
  </w:style>
  <w:style w:type="paragraph" w:styleId="21">
    <w:name w:val="List Bullet 3"/>
    <w:basedOn w:val="1"/>
    <w:qFormat/>
    <w:uiPriority w:val="0"/>
    <w:pPr>
      <w:widowControl/>
      <w:tabs>
        <w:tab w:val="left" w:pos="780"/>
      </w:tabs>
      <w:spacing w:after="120" w:line="360" w:lineRule="auto"/>
      <w:ind w:left="780" w:hanging="360"/>
      <w:jc w:val="left"/>
    </w:pPr>
    <w:rPr>
      <w:rFonts w:ascii="Calibri" w:hAnsi="Calibri" w:cs="Arial"/>
      <w:kern w:val="0"/>
      <w:sz w:val="20"/>
      <w:szCs w:val="20"/>
    </w:rPr>
  </w:style>
  <w:style w:type="paragraph" w:styleId="22">
    <w:name w:val="Body Text"/>
    <w:basedOn w:val="1"/>
    <w:link w:val="86"/>
    <w:qFormat/>
    <w:uiPriority w:val="0"/>
    <w:rPr>
      <w:rFonts w:ascii="宋体" w:hAnsi="宋体" w:cs="宋体"/>
      <w:szCs w:val="21"/>
      <w:lang w:val="zh-CN" w:bidi="zh-CN"/>
    </w:rPr>
  </w:style>
  <w:style w:type="paragraph" w:styleId="23">
    <w:name w:val="Body Text Indent"/>
    <w:basedOn w:val="1"/>
    <w:link w:val="87"/>
    <w:qFormat/>
    <w:uiPriority w:val="0"/>
    <w:pPr>
      <w:widowControl/>
      <w:overflowPunct w:val="0"/>
      <w:autoSpaceDE w:val="0"/>
      <w:autoSpaceDN w:val="0"/>
      <w:adjustRightInd w:val="0"/>
      <w:spacing w:line="360" w:lineRule="auto"/>
      <w:ind w:firstLine="540"/>
      <w:textAlignment w:val="baseline"/>
    </w:pPr>
    <w:rPr>
      <w:rFonts w:ascii="宋体" w:hAnsi="MS Sans Serif"/>
      <w:spacing w:val="12"/>
      <w:kern w:val="0"/>
      <w:sz w:val="20"/>
      <w:szCs w:val="20"/>
    </w:rPr>
  </w:style>
  <w:style w:type="paragraph" w:styleId="24">
    <w:name w:val="List 2"/>
    <w:basedOn w:val="1"/>
    <w:qFormat/>
    <w:uiPriority w:val="0"/>
    <w:pPr>
      <w:ind w:left="100" w:hanging="200"/>
    </w:pPr>
    <w:rPr>
      <w:rFonts w:ascii="Calibri" w:hAnsi="Calibri"/>
    </w:rPr>
  </w:style>
  <w:style w:type="paragraph" w:styleId="25">
    <w:name w:val="List Continue"/>
    <w:basedOn w:val="1"/>
    <w:qFormat/>
    <w:uiPriority w:val="0"/>
    <w:pPr>
      <w:widowControl/>
      <w:spacing w:after="120" w:line="360" w:lineRule="auto"/>
      <w:ind w:left="420"/>
      <w:jc w:val="left"/>
    </w:pPr>
    <w:rPr>
      <w:rFonts w:ascii="Calibri" w:hAnsi="Calibri"/>
      <w:kern w:val="0"/>
      <w:sz w:val="20"/>
      <w:szCs w:val="20"/>
    </w:rPr>
  </w:style>
  <w:style w:type="paragraph" w:styleId="26">
    <w:name w:val="Block Text"/>
    <w:basedOn w:val="1"/>
    <w:qFormat/>
    <w:uiPriority w:val="0"/>
    <w:pPr>
      <w:adjustRightInd w:val="0"/>
      <w:ind w:left="420" w:right="33"/>
      <w:jc w:val="left"/>
      <w:textAlignment w:val="baseline"/>
    </w:pPr>
    <w:rPr>
      <w:rFonts w:ascii="Calibri" w:hAnsi="Calibri"/>
      <w:kern w:val="0"/>
      <w:sz w:val="24"/>
      <w:szCs w:val="20"/>
    </w:rPr>
  </w:style>
  <w:style w:type="paragraph" w:styleId="27">
    <w:name w:val="index 4"/>
    <w:basedOn w:val="1"/>
    <w:next w:val="1"/>
    <w:qFormat/>
    <w:uiPriority w:val="0"/>
    <w:pPr>
      <w:ind w:left="600" w:leftChars="600"/>
    </w:pPr>
  </w:style>
  <w:style w:type="paragraph" w:styleId="28">
    <w:name w:val="toc 5"/>
    <w:basedOn w:val="1"/>
    <w:next w:val="1"/>
    <w:qFormat/>
    <w:uiPriority w:val="32"/>
    <w:pPr>
      <w:widowControl/>
      <w:ind w:left="840"/>
      <w:jc w:val="left"/>
    </w:pPr>
    <w:rPr>
      <w:rFonts w:ascii="Calibri" w:hAnsi="Calibri"/>
      <w:sz w:val="18"/>
      <w:szCs w:val="18"/>
    </w:rPr>
  </w:style>
  <w:style w:type="paragraph" w:styleId="29">
    <w:name w:val="toc 3"/>
    <w:basedOn w:val="1"/>
    <w:next w:val="1"/>
    <w:unhideWhenUsed/>
    <w:qFormat/>
    <w:uiPriority w:val="0"/>
    <w:pPr>
      <w:widowControl/>
      <w:spacing w:after="100" w:line="276" w:lineRule="auto"/>
      <w:ind w:left="440"/>
      <w:jc w:val="left"/>
    </w:pPr>
    <w:rPr>
      <w:rFonts w:ascii="Calibri" w:hAnsi="Calibri"/>
      <w:kern w:val="0"/>
      <w:sz w:val="22"/>
      <w:szCs w:val="22"/>
    </w:rPr>
  </w:style>
  <w:style w:type="paragraph" w:styleId="30">
    <w:name w:val="Plain Text"/>
    <w:basedOn w:val="1"/>
    <w:link w:val="88"/>
    <w:qFormat/>
    <w:uiPriority w:val="0"/>
    <w:rPr>
      <w:rFonts w:ascii="宋体" w:hAnsi="Courier New"/>
      <w:kern w:val="0"/>
      <w:sz w:val="20"/>
      <w:szCs w:val="20"/>
    </w:rPr>
  </w:style>
  <w:style w:type="paragraph" w:styleId="31">
    <w:name w:val="toc 8"/>
    <w:basedOn w:val="1"/>
    <w:next w:val="1"/>
    <w:qFormat/>
    <w:uiPriority w:val="35"/>
    <w:pPr>
      <w:widowControl/>
      <w:ind w:left="1470"/>
      <w:jc w:val="left"/>
    </w:pPr>
    <w:rPr>
      <w:rFonts w:ascii="Calibri" w:hAnsi="Calibri"/>
      <w:sz w:val="18"/>
      <w:szCs w:val="18"/>
    </w:rPr>
  </w:style>
  <w:style w:type="paragraph" w:styleId="32">
    <w:name w:val="Date"/>
    <w:basedOn w:val="1"/>
    <w:next w:val="1"/>
    <w:link w:val="122"/>
    <w:qFormat/>
    <w:uiPriority w:val="0"/>
    <w:pPr>
      <w:widowControl/>
      <w:ind w:left="100" w:leftChars="2500"/>
      <w:jc w:val="left"/>
    </w:pPr>
    <w:rPr>
      <w:sz w:val="28"/>
    </w:rPr>
  </w:style>
  <w:style w:type="paragraph" w:styleId="33">
    <w:name w:val="Body Text Indent 2"/>
    <w:basedOn w:val="1"/>
    <w:link w:val="89"/>
    <w:qFormat/>
    <w:uiPriority w:val="0"/>
    <w:pPr>
      <w:spacing w:after="120" w:line="480" w:lineRule="auto"/>
      <w:ind w:left="420" w:leftChars="200"/>
    </w:pPr>
  </w:style>
  <w:style w:type="paragraph" w:styleId="34">
    <w:name w:val="endnote text"/>
    <w:basedOn w:val="1"/>
    <w:link w:val="123"/>
    <w:qFormat/>
    <w:uiPriority w:val="99"/>
    <w:pPr>
      <w:widowControl/>
      <w:snapToGrid w:val="0"/>
      <w:jc w:val="left"/>
    </w:pPr>
    <w:rPr>
      <w:kern w:val="0"/>
      <w:sz w:val="24"/>
    </w:rPr>
  </w:style>
  <w:style w:type="paragraph" w:styleId="35">
    <w:name w:val="Balloon Text"/>
    <w:basedOn w:val="1"/>
    <w:link w:val="118"/>
    <w:qFormat/>
    <w:uiPriority w:val="0"/>
    <w:rPr>
      <w:sz w:val="18"/>
      <w:szCs w:val="18"/>
    </w:rPr>
  </w:style>
  <w:style w:type="paragraph" w:styleId="36">
    <w:name w:val="footer"/>
    <w:basedOn w:val="1"/>
    <w:link w:val="90"/>
    <w:qFormat/>
    <w:uiPriority w:val="99"/>
    <w:pPr>
      <w:tabs>
        <w:tab w:val="center" w:pos="4153"/>
        <w:tab w:val="right" w:pos="8306"/>
      </w:tabs>
      <w:snapToGrid w:val="0"/>
      <w:jc w:val="left"/>
    </w:pPr>
    <w:rPr>
      <w:sz w:val="18"/>
      <w:szCs w:val="18"/>
    </w:rPr>
  </w:style>
  <w:style w:type="paragraph" w:styleId="37">
    <w:name w:val="header"/>
    <w:basedOn w:val="1"/>
    <w:link w:val="91"/>
    <w:qFormat/>
    <w:uiPriority w:val="0"/>
    <w:pPr>
      <w:pBdr>
        <w:bottom w:val="single" w:color="auto" w:sz="6" w:space="1"/>
      </w:pBdr>
      <w:tabs>
        <w:tab w:val="center" w:pos="4153"/>
        <w:tab w:val="right" w:pos="8306"/>
      </w:tabs>
      <w:snapToGrid w:val="0"/>
      <w:jc w:val="center"/>
    </w:pPr>
    <w:rPr>
      <w:sz w:val="18"/>
      <w:szCs w:val="18"/>
    </w:rPr>
  </w:style>
  <w:style w:type="paragraph" w:styleId="38">
    <w:name w:val="toc 1"/>
    <w:basedOn w:val="1"/>
    <w:next w:val="1"/>
    <w:unhideWhenUsed/>
    <w:qFormat/>
    <w:uiPriority w:val="39"/>
    <w:pPr>
      <w:widowControl/>
      <w:spacing w:after="100" w:line="276" w:lineRule="auto"/>
      <w:jc w:val="left"/>
    </w:pPr>
    <w:rPr>
      <w:rFonts w:ascii="Calibri" w:hAnsi="Calibri"/>
      <w:kern w:val="0"/>
      <w:sz w:val="22"/>
      <w:szCs w:val="22"/>
    </w:rPr>
  </w:style>
  <w:style w:type="paragraph" w:styleId="39">
    <w:name w:val="toc 4"/>
    <w:basedOn w:val="1"/>
    <w:next w:val="1"/>
    <w:qFormat/>
    <w:uiPriority w:val="0"/>
    <w:pPr>
      <w:widowControl/>
      <w:ind w:left="630"/>
      <w:jc w:val="left"/>
    </w:pPr>
    <w:rPr>
      <w:rFonts w:ascii="Calibri" w:hAnsi="Calibri"/>
      <w:sz w:val="18"/>
      <w:szCs w:val="18"/>
    </w:rPr>
  </w:style>
  <w:style w:type="paragraph" w:styleId="40">
    <w:name w:val="Subtitle"/>
    <w:basedOn w:val="1"/>
    <w:next w:val="1"/>
    <w:link w:val="124"/>
    <w:qFormat/>
    <w:uiPriority w:val="99"/>
    <w:pPr>
      <w:widowControl/>
      <w:spacing w:after="60"/>
      <w:jc w:val="center"/>
      <w:outlineLvl w:val="1"/>
    </w:pPr>
    <w:rPr>
      <w:rFonts w:ascii="Cambria" w:hAnsi="Cambria"/>
      <w:kern w:val="0"/>
      <w:sz w:val="24"/>
      <w:lang w:eastAsia="en-US"/>
    </w:rPr>
  </w:style>
  <w:style w:type="paragraph" w:styleId="41">
    <w:name w:val="List"/>
    <w:basedOn w:val="1"/>
    <w:qFormat/>
    <w:uiPriority w:val="0"/>
    <w:pPr>
      <w:widowControl/>
      <w:tabs>
        <w:tab w:val="left" w:pos="454"/>
        <w:tab w:val="left" w:pos="1050"/>
      </w:tabs>
      <w:spacing w:after="120" w:line="360" w:lineRule="auto"/>
      <w:ind w:left="454" w:hanging="454"/>
      <w:jc w:val="left"/>
    </w:pPr>
    <w:rPr>
      <w:rFonts w:ascii="Calibri" w:hAnsi="Calibri"/>
      <w:kern w:val="0"/>
      <w:sz w:val="28"/>
      <w:szCs w:val="20"/>
    </w:rPr>
  </w:style>
  <w:style w:type="paragraph" w:styleId="42">
    <w:name w:val="footnote text"/>
    <w:basedOn w:val="1"/>
    <w:link w:val="337"/>
    <w:qFormat/>
    <w:uiPriority w:val="99"/>
    <w:pPr>
      <w:adjustRightInd w:val="0"/>
      <w:spacing w:line="312" w:lineRule="atLeast"/>
      <w:jc w:val="left"/>
      <w:textAlignment w:val="baseline"/>
    </w:pPr>
    <w:rPr>
      <w:rFonts w:ascii="Calibri" w:hAnsi="Calibri"/>
      <w:kern w:val="0"/>
      <w:sz w:val="18"/>
      <w:szCs w:val="20"/>
    </w:rPr>
  </w:style>
  <w:style w:type="paragraph" w:styleId="43">
    <w:name w:val="toc 6"/>
    <w:basedOn w:val="1"/>
    <w:next w:val="1"/>
    <w:qFormat/>
    <w:uiPriority w:val="33"/>
    <w:pPr>
      <w:widowControl/>
      <w:ind w:left="1050"/>
      <w:jc w:val="left"/>
    </w:pPr>
    <w:rPr>
      <w:rFonts w:ascii="Calibri" w:hAnsi="Calibri"/>
      <w:sz w:val="18"/>
      <w:szCs w:val="18"/>
    </w:rPr>
  </w:style>
  <w:style w:type="paragraph" w:styleId="44">
    <w:name w:val="Body Text Indent 3"/>
    <w:basedOn w:val="1"/>
    <w:link w:val="125"/>
    <w:qFormat/>
    <w:uiPriority w:val="0"/>
    <w:pPr>
      <w:widowControl/>
      <w:spacing w:line="360" w:lineRule="auto"/>
      <w:ind w:left="200" w:firstLine="480"/>
      <w:jc w:val="left"/>
    </w:pPr>
    <w:rPr>
      <w:rFonts w:ascii="宋体" w:hAnsi="宋体"/>
      <w:color w:val="000000"/>
      <w:sz w:val="28"/>
    </w:rPr>
  </w:style>
  <w:style w:type="paragraph" w:styleId="45">
    <w:name w:val="toc 2"/>
    <w:basedOn w:val="1"/>
    <w:next w:val="1"/>
    <w:unhideWhenUsed/>
    <w:qFormat/>
    <w:uiPriority w:val="39"/>
    <w:pPr>
      <w:widowControl/>
      <w:spacing w:after="100" w:line="276" w:lineRule="auto"/>
      <w:ind w:left="220"/>
      <w:jc w:val="left"/>
    </w:pPr>
    <w:rPr>
      <w:rFonts w:ascii="Calibri" w:hAnsi="Calibri"/>
      <w:kern w:val="0"/>
      <w:sz w:val="22"/>
      <w:szCs w:val="22"/>
    </w:rPr>
  </w:style>
  <w:style w:type="paragraph" w:styleId="46">
    <w:name w:val="toc 9"/>
    <w:basedOn w:val="1"/>
    <w:next w:val="1"/>
    <w:qFormat/>
    <w:uiPriority w:val="36"/>
    <w:pPr>
      <w:widowControl/>
      <w:ind w:left="1680"/>
      <w:jc w:val="left"/>
    </w:pPr>
    <w:rPr>
      <w:rFonts w:ascii="Calibri" w:hAnsi="Calibri"/>
      <w:sz w:val="18"/>
      <w:szCs w:val="18"/>
    </w:rPr>
  </w:style>
  <w:style w:type="paragraph" w:styleId="47">
    <w:name w:val="Body Text 2"/>
    <w:basedOn w:val="1"/>
    <w:link w:val="126"/>
    <w:qFormat/>
    <w:uiPriority w:val="0"/>
    <w:pPr>
      <w:widowControl/>
      <w:jc w:val="left"/>
    </w:pPr>
    <w:rPr>
      <w:rFonts w:eastAsia="楷体_GB2312"/>
      <w:sz w:val="24"/>
    </w:rPr>
  </w:style>
  <w:style w:type="paragraph" w:styleId="48">
    <w:name w:val="List Continue 2"/>
    <w:basedOn w:val="1"/>
    <w:qFormat/>
    <w:uiPriority w:val="0"/>
    <w:pPr>
      <w:widowControl/>
      <w:spacing w:after="120"/>
      <w:ind w:left="840" w:leftChars="400"/>
      <w:jc w:val="left"/>
    </w:pPr>
  </w:style>
  <w:style w:type="paragraph" w:styleId="49">
    <w:name w:val="HTML Preformatted"/>
    <w:basedOn w:val="1"/>
    <w:link w:val="127"/>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kern w:val="0"/>
      <w:sz w:val="24"/>
    </w:rPr>
  </w:style>
  <w:style w:type="paragraph" w:styleId="50">
    <w:name w:val="Normal (Web)"/>
    <w:basedOn w:val="1"/>
    <w:qFormat/>
    <w:uiPriority w:val="99"/>
    <w:pPr>
      <w:widowControl/>
      <w:spacing w:before="100" w:beforeAutospacing="1" w:after="100" w:afterAutospacing="1"/>
      <w:jc w:val="left"/>
    </w:pPr>
    <w:rPr>
      <w:rFonts w:ascii="宋体" w:hAnsi="宋体"/>
      <w:kern w:val="0"/>
      <w:sz w:val="24"/>
    </w:rPr>
  </w:style>
  <w:style w:type="paragraph" w:styleId="51">
    <w:name w:val="index 1"/>
    <w:basedOn w:val="1"/>
    <w:next w:val="1"/>
    <w:qFormat/>
    <w:uiPriority w:val="99"/>
    <w:pPr>
      <w:spacing w:line="360" w:lineRule="auto"/>
      <w:jc w:val="center"/>
    </w:pPr>
    <w:rPr>
      <w:rFonts w:eastAsia="仿宋_GB2312"/>
      <w:sz w:val="28"/>
      <w:szCs w:val="28"/>
    </w:rPr>
  </w:style>
  <w:style w:type="paragraph" w:styleId="52">
    <w:name w:val="Title"/>
    <w:basedOn w:val="1"/>
    <w:next w:val="1"/>
    <w:link w:val="128"/>
    <w:qFormat/>
    <w:uiPriority w:val="10"/>
    <w:pPr>
      <w:spacing w:before="240" w:after="60"/>
      <w:jc w:val="center"/>
      <w:outlineLvl w:val="0"/>
    </w:pPr>
    <w:rPr>
      <w:rFonts w:ascii="Cambria" w:hAnsi="Cambria"/>
      <w:b/>
      <w:bCs/>
      <w:sz w:val="32"/>
      <w:szCs w:val="32"/>
    </w:rPr>
  </w:style>
  <w:style w:type="paragraph" w:styleId="53">
    <w:name w:val="annotation subject"/>
    <w:basedOn w:val="17"/>
    <w:next w:val="17"/>
    <w:link w:val="119"/>
    <w:qFormat/>
    <w:uiPriority w:val="99"/>
    <w:pPr>
      <w:jc w:val="left"/>
    </w:pPr>
    <w:rPr>
      <w:b/>
      <w:bCs/>
    </w:rPr>
  </w:style>
  <w:style w:type="paragraph" w:styleId="54">
    <w:name w:val="Body Text First Indent"/>
    <w:basedOn w:val="22"/>
    <w:link w:val="92"/>
    <w:unhideWhenUsed/>
    <w:qFormat/>
    <w:uiPriority w:val="99"/>
    <w:pPr>
      <w:spacing w:after="120"/>
      <w:ind w:firstLine="420" w:firstLineChars="100"/>
    </w:pPr>
    <w:rPr>
      <w:rFonts w:asciiTheme="minorHAnsi" w:hAnsiTheme="minorHAnsi" w:eastAsiaTheme="minorEastAsia" w:cstheme="minorBidi"/>
      <w:szCs w:val="22"/>
      <w:lang w:val="en-US" w:bidi="ar-SA"/>
    </w:rPr>
  </w:style>
  <w:style w:type="paragraph" w:styleId="55">
    <w:name w:val="Body Text First Indent 2"/>
    <w:basedOn w:val="23"/>
    <w:link w:val="93"/>
    <w:qFormat/>
    <w:uiPriority w:val="99"/>
    <w:pPr>
      <w:ind w:firstLine="420" w:firstLineChars="200"/>
    </w:pPr>
    <w:rPr>
      <w:rFonts w:ascii="Times New Roman" w:hAnsi="Times New Roman"/>
      <w:kern w:val="2"/>
      <w:sz w:val="24"/>
    </w:rPr>
  </w:style>
  <w:style w:type="table" w:styleId="57">
    <w:name w:val="Table Grid"/>
    <w:basedOn w:val="56"/>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59">
    <w:name w:val="Strong"/>
    <w:qFormat/>
    <w:uiPriority w:val="22"/>
    <w:rPr>
      <w:b/>
    </w:rPr>
  </w:style>
  <w:style w:type="character" w:styleId="60">
    <w:name w:val="page number"/>
    <w:basedOn w:val="58"/>
    <w:qFormat/>
    <w:uiPriority w:val="0"/>
  </w:style>
  <w:style w:type="character" w:styleId="61">
    <w:name w:val="FollowedHyperlink"/>
    <w:basedOn w:val="58"/>
    <w:qFormat/>
    <w:uiPriority w:val="99"/>
    <w:rPr>
      <w:color w:val="800080"/>
      <w:u w:val="none"/>
    </w:rPr>
  </w:style>
  <w:style w:type="character" w:styleId="62">
    <w:name w:val="Emphasis"/>
    <w:basedOn w:val="58"/>
    <w:qFormat/>
    <w:uiPriority w:val="18"/>
  </w:style>
  <w:style w:type="character" w:styleId="63">
    <w:name w:val="HTML Definition"/>
    <w:basedOn w:val="58"/>
    <w:qFormat/>
    <w:uiPriority w:val="99"/>
  </w:style>
  <w:style w:type="character" w:styleId="64">
    <w:name w:val="HTML Typewriter"/>
    <w:unhideWhenUsed/>
    <w:qFormat/>
    <w:uiPriority w:val="99"/>
    <w:rPr>
      <w:rFonts w:hint="default" w:ascii="monospace" w:hAnsi="monospace" w:eastAsia="monospace" w:cs="monospace"/>
      <w:sz w:val="20"/>
    </w:rPr>
  </w:style>
  <w:style w:type="character" w:styleId="65">
    <w:name w:val="HTML Acronym"/>
    <w:unhideWhenUsed/>
    <w:qFormat/>
    <w:uiPriority w:val="99"/>
  </w:style>
  <w:style w:type="character" w:styleId="66">
    <w:name w:val="HTML Variable"/>
    <w:basedOn w:val="58"/>
    <w:qFormat/>
    <w:uiPriority w:val="99"/>
  </w:style>
  <w:style w:type="character" w:styleId="67">
    <w:name w:val="Hyperlink"/>
    <w:basedOn w:val="58"/>
    <w:unhideWhenUsed/>
    <w:qFormat/>
    <w:uiPriority w:val="99"/>
    <w:rPr>
      <w:color w:val="0563C1" w:themeColor="hyperlink"/>
      <w:u w:val="single"/>
      <w14:textFill>
        <w14:solidFill>
          <w14:schemeClr w14:val="hlink"/>
        </w14:solidFill>
      </w14:textFill>
    </w:rPr>
  </w:style>
  <w:style w:type="character" w:styleId="68">
    <w:name w:val="HTML Code"/>
    <w:basedOn w:val="58"/>
    <w:qFormat/>
    <w:uiPriority w:val="99"/>
    <w:rPr>
      <w:rFonts w:hint="default" w:ascii="Courier New" w:hAnsi="Courier New" w:eastAsia="Courier New" w:cs="Courier New"/>
      <w:sz w:val="20"/>
    </w:rPr>
  </w:style>
  <w:style w:type="character" w:styleId="69">
    <w:name w:val="annotation reference"/>
    <w:basedOn w:val="58"/>
    <w:qFormat/>
    <w:uiPriority w:val="99"/>
    <w:rPr>
      <w:sz w:val="21"/>
      <w:szCs w:val="21"/>
    </w:rPr>
  </w:style>
  <w:style w:type="character" w:styleId="70">
    <w:name w:val="HTML Cite"/>
    <w:basedOn w:val="58"/>
    <w:qFormat/>
    <w:uiPriority w:val="99"/>
  </w:style>
  <w:style w:type="character" w:styleId="71">
    <w:name w:val="footnote reference"/>
    <w:qFormat/>
    <w:uiPriority w:val="99"/>
    <w:rPr>
      <w:vertAlign w:val="superscript"/>
    </w:rPr>
  </w:style>
  <w:style w:type="character" w:styleId="72">
    <w:name w:val="HTML Keyboard"/>
    <w:basedOn w:val="58"/>
    <w:qFormat/>
    <w:uiPriority w:val="99"/>
    <w:rPr>
      <w:rFonts w:hint="default" w:ascii="Courier New" w:hAnsi="Courier New" w:eastAsia="Courier New" w:cs="Courier New"/>
      <w:sz w:val="20"/>
    </w:rPr>
  </w:style>
  <w:style w:type="character" w:styleId="73">
    <w:name w:val="HTML Sample"/>
    <w:basedOn w:val="58"/>
    <w:qFormat/>
    <w:uiPriority w:val="99"/>
    <w:rPr>
      <w:rFonts w:ascii="Courier New" w:hAnsi="Courier New" w:eastAsia="Courier New" w:cs="Courier New"/>
    </w:rPr>
  </w:style>
  <w:style w:type="paragraph" w:styleId="74">
    <w:name w:val="List Paragraph"/>
    <w:basedOn w:val="1"/>
    <w:link w:val="106"/>
    <w:qFormat/>
    <w:uiPriority w:val="99"/>
    <w:pPr>
      <w:ind w:left="1230" w:hanging="527"/>
    </w:pPr>
    <w:rPr>
      <w:rFonts w:ascii="宋体" w:hAnsi="宋体" w:cs="宋体"/>
      <w:lang w:val="zh-CN" w:bidi="zh-CN"/>
    </w:rPr>
  </w:style>
  <w:style w:type="character" w:customStyle="1" w:styleId="75">
    <w:name w:val="标题 4 Char"/>
    <w:basedOn w:val="58"/>
    <w:link w:val="5"/>
    <w:qFormat/>
    <w:uiPriority w:val="0"/>
    <w:rPr>
      <w:rFonts w:ascii="Arial" w:hAnsi="Arial" w:eastAsia="黑体"/>
      <w:b/>
      <w:bCs/>
      <w:kern w:val="2"/>
      <w:sz w:val="28"/>
      <w:szCs w:val="28"/>
    </w:rPr>
  </w:style>
  <w:style w:type="character" w:customStyle="1" w:styleId="76">
    <w:name w:val="标题 1 Char"/>
    <w:basedOn w:val="58"/>
    <w:link w:val="2"/>
    <w:qFormat/>
    <w:uiPriority w:val="9"/>
    <w:rPr>
      <w:b/>
      <w:bCs/>
      <w:kern w:val="44"/>
      <w:sz w:val="44"/>
      <w:szCs w:val="44"/>
    </w:rPr>
  </w:style>
  <w:style w:type="character" w:customStyle="1" w:styleId="77">
    <w:name w:val="标题 2 Char"/>
    <w:basedOn w:val="58"/>
    <w:link w:val="3"/>
    <w:qFormat/>
    <w:uiPriority w:val="9"/>
    <w:rPr>
      <w:rFonts w:ascii="Cambria" w:hAnsi="Cambria"/>
      <w:b/>
      <w:bCs/>
      <w:kern w:val="2"/>
      <w:sz w:val="32"/>
      <w:szCs w:val="32"/>
    </w:rPr>
  </w:style>
  <w:style w:type="character" w:customStyle="1" w:styleId="78">
    <w:name w:val="标题 3 Char"/>
    <w:link w:val="4"/>
    <w:qFormat/>
    <w:uiPriority w:val="9"/>
    <w:rPr>
      <w:b/>
      <w:bCs/>
      <w:kern w:val="2"/>
      <w:sz w:val="32"/>
      <w:szCs w:val="32"/>
    </w:rPr>
  </w:style>
  <w:style w:type="character" w:customStyle="1" w:styleId="79">
    <w:name w:val="标题 5 Char"/>
    <w:basedOn w:val="58"/>
    <w:link w:val="6"/>
    <w:qFormat/>
    <w:uiPriority w:val="0"/>
    <w:rPr>
      <w:b/>
      <w:bCs/>
      <w:kern w:val="2"/>
      <w:sz w:val="28"/>
      <w:szCs w:val="28"/>
    </w:rPr>
  </w:style>
  <w:style w:type="character" w:customStyle="1" w:styleId="80">
    <w:name w:val="标题 6 Char"/>
    <w:basedOn w:val="58"/>
    <w:link w:val="7"/>
    <w:qFormat/>
    <w:uiPriority w:val="0"/>
    <w:rPr>
      <w:rFonts w:asciiTheme="majorHAnsi" w:hAnsiTheme="majorHAnsi" w:eastAsiaTheme="majorEastAsia" w:cstheme="majorBidi"/>
      <w:b/>
      <w:bCs/>
      <w:kern w:val="2"/>
      <w:sz w:val="24"/>
      <w:szCs w:val="24"/>
    </w:rPr>
  </w:style>
  <w:style w:type="character" w:customStyle="1" w:styleId="81">
    <w:name w:val="标题 7 Char"/>
    <w:basedOn w:val="58"/>
    <w:link w:val="8"/>
    <w:qFormat/>
    <w:uiPriority w:val="0"/>
    <w:rPr>
      <w:b/>
      <w:bCs/>
      <w:kern w:val="2"/>
      <w:sz w:val="24"/>
      <w:szCs w:val="24"/>
    </w:rPr>
  </w:style>
  <w:style w:type="character" w:customStyle="1" w:styleId="82">
    <w:name w:val="标题 8 Char"/>
    <w:basedOn w:val="58"/>
    <w:link w:val="9"/>
    <w:qFormat/>
    <w:uiPriority w:val="0"/>
    <w:rPr>
      <w:rFonts w:ascii="Arial" w:hAnsi="Arial" w:eastAsia="黑体"/>
      <w:kern w:val="2"/>
      <w:sz w:val="24"/>
    </w:rPr>
  </w:style>
  <w:style w:type="character" w:customStyle="1" w:styleId="83">
    <w:name w:val="标题 9 Char"/>
    <w:basedOn w:val="58"/>
    <w:link w:val="10"/>
    <w:qFormat/>
    <w:uiPriority w:val="0"/>
    <w:rPr>
      <w:rFonts w:ascii="Arial" w:hAnsi="Arial" w:eastAsia="黑体"/>
      <w:kern w:val="2"/>
      <w:sz w:val="21"/>
    </w:rPr>
  </w:style>
  <w:style w:type="character" w:customStyle="1" w:styleId="84">
    <w:name w:val="批注文字 Char"/>
    <w:basedOn w:val="58"/>
    <w:link w:val="17"/>
    <w:qFormat/>
    <w:uiPriority w:val="99"/>
    <w:rPr>
      <w:kern w:val="2"/>
      <w:sz w:val="21"/>
      <w:szCs w:val="24"/>
    </w:rPr>
  </w:style>
  <w:style w:type="character" w:customStyle="1" w:styleId="85">
    <w:name w:val="正文文本 3 Char"/>
    <w:basedOn w:val="58"/>
    <w:link w:val="19"/>
    <w:qFormat/>
    <w:uiPriority w:val="0"/>
    <w:rPr>
      <w:kern w:val="2"/>
      <w:sz w:val="16"/>
      <w:szCs w:val="16"/>
    </w:rPr>
  </w:style>
  <w:style w:type="character" w:customStyle="1" w:styleId="86">
    <w:name w:val="正文文本 Char"/>
    <w:basedOn w:val="58"/>
    <w:link w:val="22"/>
    <w:qFormat/>
    <w:uiPriority w:val="1"/>
    <w:rPr>
      <w:rFonts w:ascii="宋体" w:hAnsi="宋体" w:cs="宋体"/>
      <w:kern w:val="2"/>
      <w:sz w:val="21"/>
      <w:szCs w:val="21"/>
      <w:lang w:val="zh-CN" w:bidi="zh-CN"/>
    </w:rPr>
  </w:style>
  <w:style w:type="character" w:customStyle="1" w:styleId="87">
    <w:name w:val="正文文本缩进 Char"/>
    <w:basedOn w:val="58"/>
    <w:link w:val="23"/>
    <w:qFormat/>
    <w:uiPriority w:val="0"/>
    <w:rPr>
      <w:rFonts w:ascii="宋体" w:hAnsi="MS Sans Serif"/>
      <w:spacing w:val="12"/>
    </w:rPr>
  </w:style>
  <w:style w:type="character" w:customStyle="1" w:styleId="88">
    <w:name w:val="纯文本 Char"/>
    <w:basedOn w:val="58"/>
    <w:link w:val="30"/>
    <w:qFormat/>
    <w:uiPriority w:val="0"/>
    <w:rPr>
      <w:rFonts w:ascii="宋体" w:hAnsi="Courier New"/>
    </w:rPr>
  </w:style>
  <w:style w:type="character" w:customStyle="1" w:styleId="89">
    <w:name w:val="正文文本缩进 2 Char"/>
    <w:basedOn w:val="58"/>
    <w:link w:val="33"/>
    <w:qFormat/>
    <w:uiPriority w:val="0"/>
    <w:rPr>
      <w:kern w:val="2"/>
      <w:sz w:val="21"/>
      <w:szCs w:val="24"/>
    </w:rPr>
  </w:style>
  <w:style w:type="character" w:customStyle="1" w:styleId="90">
    <w:name w:val="页脚 Char"/>
    <w:basedOn w:val="58"/>
    <w:link w:val="36"/>
    <w:qFormat/>
    <w:uiPriority w:val="99"/>
    <w:rPr>
      <w:kern w:val="2"/>
      <w:sz w:val="18"/>
      <w:szCs w:val="18"/>
    </w:rPr>
  </w:style>
  <w:style w:type="character" w:customStyle="1" w:styleId="91">
    <w:name w:val="页眉 Char"/>
    <w:basedOn w:val="58"/>
    <w:link w:val="37"/>
    <w:qFormat/>
    <w:uiPriority w:val="99"/>
    <w:rPr>
      <w:kern w:val="2"/>
      <w:sz w:val="18"/>
      <w:szCs w:val="18"/>
    </w:rPr>
  </w:style>
  <w:style w:type="character" w:customStyle="1" w:styleId="92">
    <w:name w:val="正文首行缩进 Char"/>
    <w:basedOn w:val="86"/>
    <w:link w:val="54"/>
    <w:qFormat/>
    <w:uiPriority w:val="99"/>
    <w:rPr>
      <w:rFonts w:asciiTheme="minorHAnsi" w:hAnsiTheme="minorHAnsi" w:eastAsiaTheme="minorEastAsia" w:cstheme="minorBidi"/>
      <w:kern w:val="2"/>
      <w:sz w:val="21"/>
      <w:szCs w:val="22"/>
      <w:lang w:val="zh-CN" w:bidi="zh-CN"/>
    </w:rPr>
  </w:style>
  <w:style w:type="character" w:customStyle="1" w:styleId="93">
    <w:name w:val="正文首行缩进 2 Char"/>
    <w:basedOn w:val="87"/>
    <w:link w:val="55"/>
    <w:qFormat/>
    <w:uiPriority w:val="99"/>
    <w:rPr>
      <w:rFonts w:ascii="宋体" w:hAnsi="MS Sans Serif"/>
      <w:spacing w:val="12"/>
      <w:kern w:val="2"/>
      <w:sz w:val="24"/>
    </w:rPr>
  </w:style>
  <w:style w:type="paragraph" w:customStyle="1" w:styleId="94">
    <w:name w:val="Table Paragraph"/>
    <w:basedOn w:val="1"/>
    <w:qFormat/>
    <w:uiPriority w:val="1"/>
    <w:rPr>
      <w:rFonts w:ascii="宋体" w:hAnsi="宋体" w:cs="宋体"/>
      <w:lang w:val="zh-CN" w:bidi="zh-CN"/>
    </w:rPr>
  </w:style>
  <w:style w:type="paragraph" w:customStyle="1" w:styleId="95">
    <w:name w:val="TOC 标题2"/>
    <w:basedOn w:val="2"/>
    <w:next w:val="1"/>
    <w:qFormat/>
    <w:uiPriority w:val="0"/>
    <w:pPr>
      <w:widowControl/>
      <w:spacing w:before="480" w:after="0" w:line="276" w:lineRule="auto"/>
      <w:jc w:val="left"/>
      <w:outlineLvl w:val="9"/>
    </w:pPr>
    <w:rPr>
      <w:rFonts w:ascii="Cambria" w:hAnsi="Cambria"/>
      <w:color w:val="365F91"/>
      <w:kern w:val="0"/>
      <w:sz w:val="28"/>
      <w:szCs w:val="28"/>
    </w:rPr>
  </w:style>
  <w:style w:type="paragraph" w:customStyle="1" w:styleId="96">
    <w:name w:val="协议书标题2"/>
    <w:basedOn w:val="3"/>
    <w:next w:val="1"/>
    <w:qFormat/>
    <w:uiPriority w:val="0"/>
    <w:pPr>
      <w:keepNext w:val="0"/>
      <w:keepLines w:val="0"/>
      <w:widowControl/>
      <w:tabs>
        <w:tab w:val="left" w:pos="567"/>
      </w:tabs>
      <w:wordWrap w:val="0"/>
      <w:topLinePunct/>
      <w:adjustRightInd w:val="0"/>
      <w:snapToGrid w:val="0"/>
      <w:spacing w:before="0" w:afterLines="50" w:line="360" w:lineRule="auto"/>
      <w:ind w:left="425"/>
      <w:jc w:val="left"/>
    </w:pPr>
    <w:rPr>
      <w:rFonts w:ascii="宋体" w:hAnsi="宋体"/>
      <w:bCs w:val="0"/>
      <w:kern w:val="0"/>
      <w:sz w:val="24"/>
      <w:szCs w:val="20"/>
    </w:rPr>
  </w:style>
  <w:style w:type="paragraph" w:customStyle="1" w:styleId="97">
    <w:name w:val="table"/>
    <w:qFormat/>
    <w:uiPriority w:val="0"/>
    <w:pPr>
      <w:framePr w:hSpace="180" w:wrap="around" w:vAnchor="text" w:hAnchor="margin" w:y="1418"/>
      <w:adjustRightInd w:val="0"/>
      <w:snapToGrid w:val="0"/>
    </w:pPr>
    <w:rPr>
      <w:rFonts w:ascii="宋体" w:hAnsi="Calibri" w:eastAsia="宋体" w:cs="Times New Roman"/>
      <w:kern w:val="2"/>
      <w:sz w:val="24"/>
      <w:szCs w:val="22"/>
      <w:lang w:val="en-US" w:eastAsia="zh-CN" w:bidi="ar-SA"/>
    </w:rPr>
  </w:style>
  <w:style w:type="paragraph" w:customStyle="1" w:styleId="98">
    <w:name w:val="通用标题2"/>
    <w:basedOn w:val="3"/>
    <w:next w:val="1"/>
    <w:qFormat/>
    <w:uiPriority w:val="0"/>
    <w:pPr>
      <w:keepNext w:val="0"/>
      <w:keepLines w:val="0"/>
      <w:widowControl/>
      <w:tabs>
        <w:tab w:val="left" w:pos="993"/>
      </w:tabs>
      <w:wordWrap w:val="0"/>
      <w:topLinePunct/>
      <w:adjustRightInd w:val="0"/>
      <w:snapToGrid w:val="0"/>
      <w:spacing w:before="0" w:afterLines="50" w:line="360" w:lineRule="auto"/>
    </w:pPr>
    <w:rPr>
      <w:rFonts w:ascii="黑体" w:hAnsi="黑体" w:eastAsia="黑体"/>
      <w:bCs w:val="0"/>
      <w:kern w:val="0"/>
      <w:sz w:val="28"/>
      <w:szCs w:val="20"/>
    </w:rPr>
  </w:style>
  <w:style w:type="paragraph" w:customStyle="1" w:styleId="99">
    <w:name w:val="通用标题3"/>
    <w:next w:val="1"/>
    <w:qFormat/>
    <w:uiPriority w:val="0"/>
    <w:pPr>
      <w:widowControl w:val="0"/>
      <w:tabs>
        <w:tab w:val="left" w:pos="851"/>
      </w:tabs>
      <w:adjustRightInd w:val="0"/>
      <w:snapToGrid w:val="0"/>
      <w:spacing w:afterLines="50" w:line="360" w:lineRule="auto"/>
      <w:ind w:left="1843"/>
      <w:jc w:val="both"/>
      <w:outlineLvl w:val="2"/>
    </w:pPr>
    <w:rPr>
      <w:rFonts w:ascii="黑体" w:hAnsi="黑体" w:eastAsia="黑体" w:cs="Times New Roman"/>
      <w:b/>
      <w:kern w:val="2"/>
      <w:sz w:val="24"/>
      <w:szCs w:val="24"/>
      <w:lang w:val="en-US" w:eastAsia="zh-CN" w:bidi="ar-SA"/>
    </w:rPr>
  </w:style>
  <w:style w:type="paragraph" w:customStyle="1" w:styleId="100">
    <w:name w:val="通用标题4"/>
    <w:next w:val="1"/>
    <w:qFormat/>
    <w:uiPriority w:val="0"/>
    <w:pPr>
      <w:tabs>
        <w:tab w:val="left" w:pos="851"/>
      </w:tabs>
      <w:adjustRightInd w:val="0"/>
      <w:snapToGrid w:val="0"/>
      <w:spacing w:afterLines="50" w:line="360" w:lineRule="auto"/>
      <w:ind w:left="2126"/>
      <w:jc w:val="both"/>
      <w:outlineLvl w:val="3"/>
    </w:pPr>
    <w:rPr>
      <w:rFonts w:ascii="宋体" w:hAnsi="宋体" w:eastAsia="宋体" w:cs="Times New Roman"/>
      <w:kern w:val="2"/>
      <w:sz w:val="24"/>
      <w:szCs w:val="21"/>
      <w:lang w:val="en-US" w:eastAsia="zh-CN" w:bidi="ar-SA"/>
    </w:rPr>
  </w:style>
  <w:style w:type="paragraph" w:customStyle="1" w:styleId="101">
    <w:name w:val="通用标题5"/>
    <w:qFormat/>
    <w:uiPriority w:val="0"/>
    <w:pPr>
      <w:widowControl w:val="0"/>
      <w:tabs>
        <w:tab w:val="left" w:pos="1134"/>
      </w:tabs>
      <w:autoSpaceDE w:val="0"/>
      <w:autoSpaceDN w:val="0"/>
      <w:adjustRightInd w:val="0"/>
      <w:snapToGrid w:val="0"/>
      <w:spacing w:afterLines="50" w:line="360" w:lineRule="auto"/>
      <w:ind w:left="710"/>
      <w:jc w:val="both"/>
    </w:pPr>
    <w:rPr>
      <w:rFonts w:ascii="宋体" w:hAnsi="宋体" w:eastAsia="宋体" w:cs="Times New Roman"/>
      <w:kern w:val="2"/>
      <w:sz w:val="24"/>
      <w:szCs w:val="21"/>
      <w:lang w:val="en-US" w:eastAsia="zh-CN" w:bidi="ar-SA"/>
    </w:rPr>
  </w:style>
  <w:style w:type="paragraph" w:customStyle="1" w:styleId="102">
    <w:name w:val="通用标题6"/>
    <w:basedOn w:val="1"/>
    <w:qFormat/>
    <w:uiPriority w:val="0"/>
    <w:pPr>
      <w:widowControl/>
      <w:tabs>
        <w:tab w:val="left" w:pos="993"/>
      </w:tabs>
      <w:adjustRightInd w:val="0"/>
      <w:snapToGrid w:val="0"/>
      <w:spacing w:afterLines="50" w:line="360" w:lineRule="auto"/>
      <w:ind w:left="310"/>
    </w:pPr>
    <w:rPr>
      <w:rFonts w:ascii="宋体" w:hAnsi="宋体"/>
      <w:kern w:val="0"/>
      <w:sz w:val="24"/>
      <w:szCs w:val="20"/>
    </w:rPr>
  </w:style>
  <w:style w:type="paragraph" w:customStyle="1" w:styleId="103">
    <w:name w:val="专用标题2"/>
    <w:basedOn w:val="3"/>
    <w:next w:val="1"/>
    <w:qFormat/>
    <w:uiPriority w:val="0"/>
    <w:pPr>
      <w:keepNext w:val="0"/>
      <w:keepLines w:val="0"/>
      <w:widowControl/>
      <w:tabs>
        <w:tab w:val="left" w:pos="993"/>
      </w:tabs>
      <w:adjustRightInd w:val="0"/>
      <w:snapToGrid w:val="0"/>
      <w:spacing w:before="0" w:afterLines="50" w:line="360" w:lineRule="auto"/>
    </w:pPr>
    <w:rPr>
      <w:rFonts w:ascii="宋体" w:hAnsi="宋体" w:cs="Times"/>
      <w:bCs w:val="0"/>
      <w:kern w:val="0"/>
      <w:sz w:val="28"/>
      <w:szCs w:val="20"/>
    </w:rPr>
  </w:style>
  <w:style w:type="paragraph" w:customStyle="1" w:styleId="104">
    <w:name w:val="附件标题"/>
    <w:basedOn w:val="3"/>
    <w:next w:val="1"/>
    <w:qFormat/>
    <w:uiPriority w:val="0"/>
    <w:pPr>
      <w:widowControl/>
      <w:tabs>
        <w:tab w:val="left" w:pos="1134"/>
      </w:tabs>
      <w:wordWrap w:val="0"/>
      <w:topLinePunct/>
      <w:adjustRightInd w:val="0"/>
      <w:snapToGrid w:val="0"/>
      <w:spacing w:before="0" w:afterLines="50" w:line="360" w:lineRule="auto"/>
      <w:ind w:left="3681"/>
      <w:jc w:val="center"/>
    </w:pPr>
    <w:rPr>
      <w:rFonts w:ascii="黑体" w:hAnsi="黑体" w:eastAsia="黑体"/>
      <w:bCs w:val="0"/>
      <w:kern w:val="0"/>
      <w:sz w:val="30"/>
      <w:szCs w:val="30"/>
    </w:rPr>
  </w:style>
  <w:style w:type="paragraph" w:customStyle="1" w:styleId="105">
    <w:name w:val="标4"/>
    <w:basedOn w:val="1"/>
    <w:qFormat/>
    <w:uiPriority w:val="0"/>
    <w:pPr>
      <w:spacing w:line="240" w:lineRule="exact"/>
      <w:outlineLvl w:val="3"/>
    </w:pPr>
    <w:rPr>
      <w:rFonts w:ascii="Arial" w:hAnsi="Arial" w:cs="Arial"/>
      <w:b/>
      <w:bCs/>
      <w:kern w:val="24"/>
    </w:rPr>
  </w:style>
  <w:style w:type="character" w:customStyle="1" w:styleId="106">
    <w:name w:val="列出段落 Char"/>
    <w:basedOn w:val="58"/>
    <w:link w:val="74"/>
    <w:qFormat/>
    <w:uiPriority w:val="99"/>
    <w:rPr>
      <w:rFonts w:ascii="宋体" w:hAnsi="宋体" w:cs="宋体"/>
      <w:kern w:val="2"/>
      <w:sz w:val="21"/>
      <w:szCs w:val="24"/>
      <w:lang w:val="zh-CN" w:bidi="zh-CN"/>
    </w:rPr>
  </w:style>
  <w:style w:type="paragraph" w:customStyle="1" w:styleId="107">
    <w:name w:val="TOC 标题1"/>
    <w:basedOn w:val="2"/>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108">
    <w:name w:val="Main Title"/>
    <w:next w:val="1"/>
    <w:qFormat/>
    <w:uiPriority w:val="0"/>
    <w:pPr>
      <w:adjustRightInd w:val="0"/>
      <w:snapToGrid w:val="0"/>
      <w:spacing w:afterLines="50" w:line="360" w:lineRule="auto"/>
      <w:ind w:firstLine="200" w:firstLineChars="200"/>
      <w:jc w:val="center"/>
    </w:pPr>
    <w:rPr>
      <w:rFonts w:ascii="黑体" w:hAnsi="黑体" w:eastAsia="黑体" w:cs="Times New Roman"/>
      <w:b/>
      <w:kern w:val="2"/>
      <w:sz w:val="36"/>
      <w:szCs w:val="22"/>
      <w:lang w:val="zh-CN" w:eastAsia="zh-CN" w:bidi="ar-SA"/>
    </w:rPr>
  </w:style>
  <w:style w:type="paragraph" w:customStyle="1" w:styleId="109">
    <w:name w:val="Char"/>
    <w:basedOn w:val="1"/>
    <w:qFormat/>
    <w:uiPriority w:val="0"/>
    <w:rPr>
      <w:rFonts w:ascii="仿宋_GB2312" w:eastAsia="仿宋_GB2312"/>
      <w:b/>
      <w:sz w:val="32"/>
      <w:szCs w:val="32"/>
    </w:rPr>
  </w:style>
  <w:style w:type="character" w:customStyle="1" w:styleId="110">
    <w:name w:val="fontstyle01"/>
    <w:basedOn w:val="58"/>
    <w:qFormat/>
    <w:uiPriority w:val="0"/>
    <w:rPr>
      <w:rFonts w:hint="eastAsia" w:ascii="宋体" w:hAnsi="宋体" w:eastAsia="宋体"/>
      <w:color w:val="000000"/>
      <w:sz w:val="24"/>
      <w:szCs w:val="24"/>
    </w:rPr>
  </w:style>
  <w:style w:type="character" w:customStyle="1" w:styleId="111">
    <w:name w:val="fontstyle21"/>
    <w:basedOn w:val="58"/>
    <w:qFormat/>
    <w:uiPriority w:val="0"/>
    <w:rPr>
      <w:rFonts w:hint="default" w:ascii="TimesNewRomanPSMT" w:hAnsi="TimesNewRomanPSMT"/>
      <w:color w:val="000000"/>
      <w:sz w:val="24"/>
      <w:szCs w:val="24"/>
    </w:rPr>
  </w:style>
  <w:style w:type="paragraph" w:customStyle="1" w:styleId="112">
    <w:name w:val="Default"/>
    <w:link w:val="113"/>
    <w:qFormat/>
    <w:uiPriority w:val="0"/>
    <w:pPr>
      <w:widowControl w:val="0"/>
      <w:autoSpaceDE w:val="0"/>
      <w:autoSpaceDN w:val="0"/>
      <w:adjustRightInd w:val="0"/>
      <w:ind w:firstLine="200" w:firstLineChars="200"/>
    </w:pPr>
    <w:rPr>
      <w:rFonts w:ascii="黑体" w:hAnsi="Times New Roman" w:eastAsia="黑体" w:cs="Times New Roman"/>
      <w:lang w:val="en-US" w:eastAsia="zh-CN" w:bidi="ar-SA"/>
    </w:rPr>
  </w:style>
  <w:style w:type="character" w:customStyle="1" w:styleId="113">
    <w:name w:val="Default Char"/>
    <w:link w:val="112"/>
    <w:qFormat/>
    <w:uiPriority w:val="0"/>
    <w:rPr>
      <w:rFonts w:ascii="黑体" w:eastAsia="黑体"/>
    </w:rPr>
  </w:style>
  <w:style w:type="paragraph" w:customStyle="1" w:styleId="114">
    <w:name w:val="标题 31"/>
    <w:basedOn w:val="1"/>
    <w:qFormat/>
    <w:uiPriority w:val="1"/>
    <w:pPr>
      <w:autoSpaceDE w:val="0"/>
      <w:autoSpaceDN w:val="0"/>
      <w:spacing w:line="606" w:lineRule="exact"/>
      <w:ind w:left="122"/>
      <w:outlineLvl w:val="3"/>
    </w:pPr>
    <w:rPr>
      <w:rFonts w:ascii="微软雅黑" w:hAnsi="微软雅黑" w:eastAsia="微软雅黑" w:cs="微软雅黑"/>
      <w:b/>
      <w:bCs/>
      <w:kern w:val="0"/>
      <w:sz w:val="36"/>
      <w:szCs w:val="36"/>
      <w:lang w:eastAsia="en-US"/>
    </w:rPr>
  </w:style>
  <w:style w:type="paragraph" w:customStyle="1" w:styleId="115">
    <w:name w:val="列表段落1"/>
    <w:basedOn w:val="1"/>
    <w:qFormat/>
    <w:uiPriority w:val="34"/>
    <w:pPr>
      <w:ind w:firstLine="420"/>
    </w:pPr>
  </w:style>
  <w:style w:type="paragraph" w:customStyle="1" w:styleId="116">
    <w:name w:val="列出段落1"/>
    <w:basedOn w:val="1"/>
    <w:qFormat/>
    <w:uiPriority w:val="34"/>
    <w:pPr>
      <w:ind w:firstLine="420"/>
    </w:pPr>
  </w:style>
  <w:style w:type="paragraph" w:customStyle="1" w:styleId="117">
    <w:name w:val="List Paragraph1"/>
    <w:basedOn w:val="1"/>
    <w:qFormat/>
    <w:uiPriority w:val="0"/>
    <w:pPr>
      <w:ind w:firstLine="420"/>
    </w:pPr>
    <w:rPr>
      <w:szCs w:val="22"/>
    </w:rPr>
  </w:style>
  <w:style w:type="character" w:customStyle="1" w:styleId="118">
    <w:name w:val="批注框文本 Char"/>
    <w:basedOn w:val="58"/>
    <w:link w:val="35"/>
    <w:qFormat/>
    <w:uiPriority w:val="99"/>
    <w:rPr>
      <w:kern w:val="2"/>
      <w:sz w:val="18"/>
      <w:szCs w:val="18"/>
    </w:rPr>
  </w:style>
  <w:style w:type="character" w:customStyle="1" w:styleId="119">
    <w:name w:val="批注主题 Char"/>
    <w:basedOn w:val="84"/>
    <w:link w:val="53"/>
    <w:qFormat/>
    <w:uiPriority w:val="99"/>
    <w:rPr>
      <w:kern w:val="2"/>
      <w:sz w:val="21"/>
      <w:szCs w:val="24"/>
    </w:rPr>
  </w:style>
  <w:style w:type="paragraph" w:customStyle="1" w:styleId="120">
    <w:name w:val="修订1"/>
    <w:hidden/>
    <w:unhideWhenUsed/>
    <w:qFormat/>
    <w:uiPriority w:val="99"/>
    <w:rPr>
      <w:rFonts w:ascii="Times New Roman" w:hAnsi="Times New Roman" w:eastAsia="宋体" w:cs="Times New Roman"/>
      <w:kern w:val="2"/>
      <w:sz w:val="21"/>
      <w:szCs w:val="24"/>
      <w:lang w:val="en-US" w:eastAsia="zh-CN" w:bidi="ar-SA"/>
    </w:rPr>
  </w:style>
  <w:style w:type="character" w:customStyle="1" w:styleId="121">
    <w:name w:val="文档结构图 Char"/>
    <w:basedOn w:val="58"/>
    <w:link w:val="16"/>
    <w:qFormat/>
    <w:uiPriority w:val="0"/>
    <w:rPr>
      <w:kern w:val="2"/>
      <w:sz w:val="21"/>
      <w:szCs w:val="24"/>
      <w:shd w:val="clear" w:color="auto" w:fill="000080"/>
    </w:rPr>
  </w:style>
  <w:style w:type="character" w:customStyle="1" w:styleId="122">
    <w:name w:val="日期 Char"/>
    <w:basedOn w:val="58"/>
    <w:link w:val="32"/>
    <w:qFormat/>
    <w:uiPriority w:val="0"/>
    <w:rPr>
      <w:kern w:val="2"/>
      <w:sz w:val="28"/>
      <w:szCs w:val="24"/>
    </w:rPr>
  </w:style>
  <w:style w:type="character" w:customStyle="1" w:styleId="123">
    <w:name w:val="尾注文本 Char"/>
    <w:basedOn w:val="58"/>
    <w:link w:val="34"/>
    <w:qFormat/>
    <w:uiPriority w:val="99"/>
    <w:rPr>
      <w:sz w:val="24"/>
      <w:szCs w:val="24"/>
    </w:rPr>
  </w:style>
  <w:style w:type="character" w:customStyle="1" w:styleId="124">
    <w:name w:val="副标题 Char"/>
    <w:basedOn w:val="58"/>
    <w:link w:val="40"/>
    <w:qFormat/>
    <w:uiPriority w:val="99"/>
    <w:rPr>
      <w:rFonts w:ascii="Cambria" w:hAnsi="Cambria"/>
      <w:sz w:val="24"/>
      <w:szCs w:val="24"/>
      <w:lang w:eastAsia="en-US"/>
    </w:rPr>
  </w:style>
  <w:style w:type="character" w:customStyle="1" w:styleId="125">
    <w:name w:val="正文文本缩进 3 Char"/>
    <w:basedOn w:val="58"/>
    <w:link w:val="44"/>
    <w:qFormat/>
    <w:uiPriority w:val="0"/>
    <w:rPr>
      <w:rFonts w:ascii="宋体" w:hAnsi="宋体"/>
      <w:color w:val="000000"/>
      <w:kern w:val="2"/>
      <w:sz w:val="28"/>
      <w:szCs w:val="24"/>
    </w:rPr>
  </w:style>
  <w:style w:type="character" w:customStyle="1" w:styleId="126">
    <w:name w:val="正文文本 2 Char"/>
    <w:basedOn w:val="58"/>
    <w:link w:val="47"/>
    <w:qFormat/>
    <w:uiPriority w:val="0"/>
    <w:rPr>
      <w:rFonts w:eastAsia="楷体_GB2312"/>
      <w:kern w:val="2"/>
      <w:sz w:val="24"/>
      <w:szCs w:val="24"/>
    </w:rPr>
  </w:style>
  <w:style w:type="character" w:customStyle="1" w:styleId="127">
    <w:name w:val="HTML 预设格式 Char"/>
    <w:basedOn w:val="58"/>
    <w:link w:val="49"/>
    <w:qFormat/>
    <w:uiPriority w:val="0"/>
    <w:rPr>
      <w:rFonts w:ascii="Arial" w:hAnsi="Arial"/>
      <w:sz w:val="24"/>
      <w:szCs w:val="24"/>
    </w:rPr>
  </w:style>
  <w:style w:type="character" w:customStyle="1" w:styleId="128">
    <w:name w:val="标题 Char"/>
    <w:basedOn w:val="58"/>
    <w:link w:val="52"/>
    <w:qFormat/>
    <w:uiPriority w:val="10"/>
    <w:rPr>
      <w:rFonts w:ascii="Cambria" w:hAnsi="Cambria"/>
      <w:b/>
      <w:bCs/>
      <w:kern w:val="2"/>
      <w:sz w:val="32"/>
      <w:szCs w:val="32"/>
    </w:rPr>
  </w:style>
  <w:style w:type="paragraph" w:customStyle="1" w:styleId="129">
    <w:name w:val="章节"/>
    <w:basedOn w:val="1"/>
    <w:qFormat/>
    <w:uiPriority w:val="0"/>
    <w:pPr>
      <w:jc w:val="center"/>
    </w:pPr>
    <w:rPr>
      <w:rFonts w:ascii="Century Gothic" w:hAnsi="Century Gothic" w:eastAsia="方正书宋简体"/>
      <w:b/>
      <w:sz w:val="24"/>
      <w:szCs w:val="22"/>
    </w:rPr>
  </w:style>
  <w:style w:type="paragraph" w:customStyle="1" w:styleId="130">
    <w:name w:val="特点"/>
    <w:basedOn w:val="1"/>
    <w:next w:val="26"/>
    <w:qFormat/>
    <w:uiPriority w:val="0"/>
    <w:pPr>
      <w:spacing w:after="120"/>
      <w:ind w:left="1440" w:leftChars="700" w:right="1440" w:rightChars="700"/>
    </w:pPr>
    <w:rPr>
      <w:szCs w:val="21"/>
    </w:rPr>
  </w:style>
  <w:style w:type="character" w:customStyle="1" w:styleId="131">
    <w:name w:val="书籍标题1"/>
    <w:qFormat/>
    <w:uiPriority w:val="25"/>
    <w:rPr>
      <w:b/>
      <w:i/>
      <w:w w:val="100"/>
      <w:sz w:val="21"/>
      <w:szCs w:val="21"/>
      <w:shd w:val="clear" w:color="auto" w:fill="auto"/>
    </w:rPr>
  </w:style>
  <w:style w:type="character" w:customStyle="1" w:styleId="132">
    <w:name w:val="Document Map Char"/>
    <w:qFormat/>
    <w:locked/>
    <w:uiPriority w:val="99"/>
    <w:rPr>
      <w:rFonts w:cs="Times New Roman"/>
      <w:shd w:val="clear" w:color="auto" w:fill="000080"/>
    </w:rPr>
  </w:style>
  <w:style w:type="character" w:customStyle="1" w:styleId="133">
    <w:name w:val="Body Text Indent 3 Char1"/>
    <w:qFormat/>
    <w:locked/>
    <w:uiPriority w:val="99"/>
    <w:rPr>
      <w:rFonts w:ascii="宋体" w:hAnsi="MS Sans Serif" w:cs="Times New Roman"/>
      <w:color w:val="000000"/>
      <w:sz w:val="24"/>
    </w:rPr>
  </w:style>
  <w:style w:type="character" w:customStyle="1" w:styleId="134">
    <w:name w:val="rili11"/>
    <w:qFormat/>
    <w:uiPriority w:val="0"/>
    <w:rPr>
      <w:sz w:val="21"/>
      <w:szCs w:val="21"/>
    </w:rPr>
  </w:style>
  <w:style w:type="character" w:customStyle="1" w:styleId="135">
    <w:name w:val="at_1"/>
    <w:qFormat/>
    <w:uiPriority w:val="0"/>
  </w:style>
  <w:style w:type="character" w:customStyle="1" w:styleId="136">
    <w:name w:val="z-窗体顶端 Char"/>
    <w:link w:val="137"/>
    <w:qFormat/>
    <w:uiPriority w:val="99"/>
    <w:rPr>
      <w:rFonts w:ascii="Arial" w:hAnsi="Arial" w:cs="Arial"/>
      <w:vanish/>
      <w:sz w:val="16"/>
      <w:szCs w:val="16"/>
    </w:rPr>
  </w:style>
  <w:style w:type="paragraph" w:customStyle="1" w:styleId="137">
    <w:name w:val="z-窗体顶端1"/>
    <w:basedOn w:val="1"/>
    <w:next w:val="1"/>
    <w:link w:val="136"/>
    <w:qFormat/>
    <w:uiPriority w:val="99"/>
    <w:pPr>
      <w:pBdr>
        <w:bottom w:val="single" w:color="auto" w:sz="6" w:space="1"/>
      </w:pBdr>
      <w:jc w:val="center"/>
    </w:pPr>
    <w:rPr>
      <w:rFonts w:ascii="Arial" w:hAnsi="Arial" w:cs="Arial"/>
      <w:vanish/>
      <w:kern w:val="0"/>
      <w:sz w:val="16"/>
      <w:szCs w:val="16"/>
    </w:rPr>
  </w:style>
  <w:style w:type="character" w:customStyle="1" w:styleId="138">
    <w:name w:val="ҳŻ"/>
    <w:link w:val="139"/>
    <w:qFormat/>
    <w:uiPriority w:val="0"/>
    <w:rPr>
      <w:rFonts w:ascii="Arial" w:hAnsi="Arial" w:cs="Arial"/>
      <w:sz w:val="32"/>
      <w:szCs w:val="32"/>
    </w:rPr>
  </w:style>
  <w:style w:type="paragraph" w:customStyle="1" w:styleId="139">
    <w:name w:val="ҳŠChar1"/>
    <w:basedOn w:val="1"/>
    <w:link w:val="138"/>
    <w:qFormat/>
    <w:uiPriority w:val="0"/>
    <w:pPr>
      <w:keepNext/>
      <w:widowControl/>
      <w:spacing w:after="120" w:line="400" w:lineRule="atLeast"/>
      <w:jc w:val="center"/>
    </w:pPr>
    <w:rPr>
      <w:rFonts w:ascii="Arial" w:hAnsi="Arial" w:cs="Arial"/>
      <w:kern w:val="0"/>
      <w:sz w:val="32"/>
      <w:szCs w:val="32"/>
    </w:rPr>
  </w:style>
  <w:style w:type="character" w:customStyle="1" w:styleId="140">
    <w:name w:val="z-窗体底端 Char"/>
    <w:link w:val="141"/>
    <w:qFormat/>
    <w:uiPriority w:val="99"/>
    <w:rPr>
      <w:rFonts w:ascii="Arial" w:hAnsi="Arial" w:cs="Arial"/>
      <w:vanish/>
      <w:sz w:val="16"/>
      <w:szCs w:val="16"/>
    </w:rPr>
  </w:style>
  <w:style w:type="paragraph" w:customStyle="1" w:styleId="141">
    <w:name w:val="z-窗体底端1"/>
    <w:basedOn w:val="1"/>
    <w:next w:val="1"/>
    <w:link w:val="140"/>
    <w:qFormat/>
    <w:uiPriority w:val="99"/>
    <w:pPr>
      <w:pBdr>
        <w:top w:val="single" w:color="auto" w:sz="6" w:space="1"/>
      </w:pBdr>
      <w:jc w:val="center"/>
    </w:pPr>
    <w:rPr>
      <w:rFonts w:ascii="Arial" w:hAnsi="Arial" w:cs="Arial"/>
      <w:vanish/>
      <w:kern w:val="0"/>
      <w:sz w:val="16"/>
      <w:szCs w:val="16"/>
    </w:rPr>
  </w:style>
  <w:style w:type="character" w:customStyle="1" w:styleId="142">
    <w:name w:val="Date Char1"/>
    <w:qFormat/>
    <w:locked/>
    <w:uiPriority w:val="99"/>
    <w:rPr>
      <w:rFonts w:cs="Times New Roman"/>
      <w:sz w:val="24"/>
    </w:rPr>
  </w:style>
  <w:style w:type="character" w:customStyle="1" w:styleId="143">
    <w:name w:val="Comment Subject Char1"/>
    <w:qFormat/>
    <w:locked/>
    <w:uiPriority w:val="99"/>
    <w:rPr>
      <w:rFonts w:cs="Times New Roman"/>
      <w:b/>
      <w:bCs/>
      <w:sz w:val="24"/>
    </w:rPr>
  </w:style>
  <w:style w:type="character" w:customStyle="1" w:styleId="144">
    <w:name w:val="green1"/>
    <w:qFormat/>
    <w:uiPriority w:val="0"/>
    <w:rPr>
      <w:rFonts w:hint="default" w:ascii="ˎ̥" w:hAnsi="ˎ̥"/>
      <w:color w:val="224716"/>
      <w:sz w:val="18"/>
    </w:rPr>
  </w:style>
  <w:style w:type="character" w:customStyle="1" w:styleId="145">
    <w:name w:val="明显强调1"/>
    <w:qFormat/>
    <w:uiPriority w:val="19"/>
    <w:rPr>
      <w:rFonts w:cs="Times New Roman"/>
      <w:b/>
      <w:i/>
      <w:sz w:val="24"/>
      <w:szCs w:val="24"/>
      <w:u w:val="single"/>
    </w:rPr>
  </w:style>
  <w:style w:type="character" w:customStyle="1" w:styleId="146">
    <w:name w:val="Char Char21"/>
    <w:qFormat/>
    <w:uiPriority w:val="0"/>
    <w:rPr>
      <w:rFonts w:ascii="宋体" w:hAnsi="宋体" w:eastAsia="宋体" w:cs="Times New Roman"/>
      <w:b/>
      <w:kern w:val="0"/>
      <w:sz w:val="24"/>
      <w:szCs w:val="20"/>
    </w:rPr>
  </w:style>
  <w:style w:type="character" w:customStyle="1" w:styleId="147">
    <w:name w:val="无间隔 Char"/>
    <w:link w:val="148"/>
    <w:qFormat/>
    <w:uiPriority w:val="5"/>
    <w:rPr>
      <w:sz w:val="22"/>
    </w:rPr>
  </w:style>
  <w:style w:type="paragraph" w:styleId="148">
    <w:name w:val="No Spacing"/>
    <w:link w:val="147"/>
    <w:qFormat/>
    <w:uiPriority w:val="0"/>
    <w:rPr>
      <w:rFonts w:ascii="Times New Roman" w:hAnsi="Times New Roman" w:eastAsia="宋体" w:cs="Times New Roman"/>
      <w:sz w:val="22"/>
      <w:lang w:val="en-US" w:eastAsia="zh-CN" w:bidi="ar-SA"/>
    </w:rPr>
  </w:style>
  <w:style w:type="character" w:customStyle="1" w:styleId="149">
    <w:name w:val="Comment Text Char"/>
    <w:qFormat/>
    <w:locked/>
    <w:uiPriority w:val="99"/>
    <w:rPr>
      <w:sz w:val="24"/>
    </w:rPr>
  </w:style>
  <w:style w:type="character" w:customStyle="1" w:styleId="150">
    <w:name w:val="明显参考1"/>
    <w:qFormat/>
    <w:uiPriority w:val="24"/>
    <w:rPr>
      <w:b/>
      <w:smallCaps/>
      <w:color w:val="5B9BD5"/>
      <w:w w:val="100"/>
      <w:sz w:val="21"/>
      <w:szCs w:val="21"/>
      <w:shd w:val="clear" w:color="auto" w:fill="auto"/>
    </w:rPr>
  </w:style>
  <w:style w:type="character" w:customStyle="1" w:styleId="151">
    <w:name w:val="Body Text Indent 3 Char"/>
    <w:qFormat/>
    <w:locked/>
    <w:uiPriority w:val="99"/>
    <w:rPr>
      <w:rFonts w:ascii="宋体" w:hAnsi="MS Sans Serif" w:cs="Times New Roman"/>
      <w:color w:val="000000"/>
      <w:sz w:val="24"/>
    </w:rPr>
  </w:style>
  <w:style w:type="character" w:customStyle="1" w:styleId="152">
    <w:name w:val="filiale-name"/>
    <w:qFormat/>
    <w:uiPriority w:val="0"/>
  </w:style>
  <w:style w:type="character" w:customStyle="1" w:styleId="153">
    <w:name w:val="Body Text 2 Char1"/>
    <w:qFormat/>
    <w:locked/>
    <w:uiPriority w:val="99"/>
    <w:rPr>
      <w:rFonts w:cs="Times New Roman"/>
    </w:rPr>
  </w:style>
  <w:style w:type="character" w:customStyle="1" w:styleId="154">
    <w:name w:val="Document Map Char1"/>
    <w:qFormat/>
    <w:locked/>
    <w:uiPriority w:val="99"/>
    <w:rPr>
      <w:rFonts w:cs="Times New Roman"/>
      <w:shd w:val="clear" w:color="auto" w:fill="000080"/>
    </w:rPr>
  </w:style>
  <w:style w:type="character" w:customStyle="1" w:styleId="155">
    <w:name w:val="Body Text Char"/>
    <w:qFormat/>
    <w:locked/>
    <w:uiPriority w:val="99"/>
    <w:rPr>
      <w:rFonts w:cs="Times New Roman"/>
      <w:sz w:val="30"/>
    </w:rPr>
  </w:style>
  <w:style w:type="character" w:customStyle="1" w:styleId="156">
    <w:name w:val="borderl borderr"/>
    <w:qFormat/>
    <w:uiPriority w:val="0"/>
  </w:style>
  <w:style w:type="character" w:customStyle="1" w:styleId="157">
    <w:name w:val="style11"/>
    <w:qFormat/>
    <w:uiPriority w:val="0"/>
    <w:rPr>
      <w:sz w:val="20"/>
      <w:szCs w:val="20"/>
    </w:rPr>
  </w:style>
  <w:style w:type="character" w:customStyle="1" w:styleId="158">
    <w:name w:val="style121"/>
    <w:qFormat/>
    <w:uiPriority w:val="0"/>
    <w:rPr>
      <w:sz w:val="18"/>
    </w:rPr>
  </w:style>
  <w:style w:type="character" w:customStyle="1" w:styleId="159">
    <w:name w:val="msonormal"/>
    <w:qFormat/>
    <w:uiPriority w:val="0"/>
  </w:style>
  <w:style w:type="character" w:customStyle="1" w:styleId="160">
    <w:name w:val="Comment Text Char1"/>
    <w:qFormat/>
    <w:locked/>
    <w:uiPriority w:val="99"/>
    <w:rPr>
      <w:rFonts w:cs="Times New Roman"/>
      <w:sz w:val="24"/>
    </w:rPr>
  </w:style>
  <w:style w:type="character" w:customStyle="1" w:styleId="161">
    <w:name w:val="ꌢ 3 Char"/>
    <w:link w:val="162"/>
    <w:qFormat/>
    <w:uiPriority w:val="0"/>
    <w:rPr>
      <w:rFonts w:ascii="Ђˎ̥" w:hAnsi="Ђˎ̥"/>
      <w:b/>
      <w:bCs/>
    </w:rPr>
  </w:style>
  <w:style w:type="paragraph" w:customStyle="1" w:styleId="162">
    <w:name w:val="ꌢ 3"/>
    <w:basedOn w:val="1"/>
    <w:link w:val="161"/>
    <w:qFormat/>
    <w:uiPriority w:val="0"/>
    <w:pPr>
      <w:widowControl/>
      <w:jc w:val="left"/>
    </w:pPr>
    <w:rPr>
      <w:rFonts w:ascii="Ђˎ̥" w:hAnsi="Ђˎ̥"/>
      <w:b/>
      <w:bCs/>
      <w:kern w:val="0"/>
      <w:sz w:val="20"/>
      <w:szCs w:val="20"/>
    </w:rPr>
  </w:style>
  <w:style w:type="character" w:customStyle="1" w:styleId="163">
    <w:name w:val="Header Char"/>
    <w:qFormat/>
    <w:locked/>
    <w:uiPriority w:val="99"/>
    <w:rPr>
      <w:rFonts w:cs="Times New Roman"/>
      <w:sz w:val="18"/>
    </w:rPr>
  </w:style>
  <w:style w:type="character" w:customStyle="1" w:styleId="164">
    <w:name w:val="Char Char18"/>
    <w:qFormat/>
    <w:uiPriority w:val="0"/>
    <w:rPr>
      <w:rFonts w:ascii="Arial" w:hAnsi="Arial" w:eastAsia="黑体" w:cs="Times New Roman"/>
      <w:kern w:val="0"/>
      <w:sz w:val="24"/>
      <w:szCs w:val="20"/>
    </w:rPr>
  </w:style>
  <w:style w:type="character" w:customStyle="1" w:styleId="165">
    <w:name w:val="Date Char"/>
    <w:qFormat/>
    <w:locked/>
    <w:uiPriority w:val="99"/>
    <w:rPr>
      <w:rFonts w:cs="Times New Roman"/>
      <w:sz w:val="24"/>
    </w:rPr>
  </w:style>
  <w:style w:type="character" w:customStyle="1" w:styleId="166">
    <w:name w:val="Body Text Indent Char"/>
    <w:qFormat/>
    <w:locked/>
    <w:uiPriority w:val="99"/>
    <w:rPr>
      <w:rFonts w:cs="Times New Roman"/>
      <w:sz w:val="24"/>
    </w:rPr>
  </w:style>
  <w:style w:type="character" w:customStyle="1" w:styleId="167">
    <w:name w:val="Blockquote Char"/>
    <w:link w:val="168"/>
    <w:qFormat/>
    <w:uiPriority w:val="0"/>
    <w:rPr>
      <w:sz w:val="24"/>
      <w:szCs w:val="24"/>
    </w:rPr>
  </w:style>
  <w:style w:type="paragraph" w:customStyle="1" w:styleId="168">
    <w:name w:val="Blockquote"/>
    <w:basedOn w:val="1"/>
    <w:link w:val="167"/>
    <w:qFormat/>
    <w:uiPriority w:val="0"/>
    <w:pPr>
      <w:widowControl/>
      <w:autoSpaceDE w:val="0"/>
      <w:autoSpaceDN w:val="0"/>
      <w:adjustRightInd w:val="0"/>
      <w:spacing w:before="100" w:after="100"/>
      <w:ind w:left="360" w:right="360"/>
      <w:jc w:val="left"/>
    </w:pPr>
    <w:rPr>
      <w:kern w:val="0"/>
      <w:sz w:val="24"/>
    </w:rPr>
  </w:style>
  <w:style w:type="character" w:customStyle="1" w:styleId="169">
    <w:name w:val="unnamed11"/>
    <w:qFormat/>
    <w:uiPriority w:val="0"/>
  </w:style>
  <w:style w:type="character" w:customStyle="1" w:styleId="170">
    <w:name w:val="不明显参考1"/>
    <w:qFormat/>
    <w:uiPriority w:val="23"/>
    <w:rPr>
      <w:rFonts w:cs="Times New Roman"/>
      <w:sz w:val="24"/>
      <w:szCs w:val="24"/>
      <w:u w:val="single"/>
    </w:rPr>
  </w:style>
  <w:style w:type="character" w:customStyle="1" w:styleId="171">
    <w:name w:val="text2"/>
    <w:qFormat/>
    <w:uiPriority w:val="0"/>
  </w:style>
  <w:style w:type="character" w:customStyle="1" w:styleId="172">
    <w:name w:val="不明显强调1"/>
    <w:qFormat/>
    <w:uiPriority w:val="17"/>
    <w:rPr>
      <w:rFonts w:cs="Times New Roman"/>
      <w:i/>
      <w:color w:val="5A5A5A"/>
    </w:rPr>
  </w:style>
  <w:style w:type="character" w:customStyle="1" w:styleId="173">
    <w:name w:val="消息标题标签"/>
    <w:qFormat/>
    <w:uiPriority w:val="99"/>
    <w:rPr>
      <w:rFonts w:ascii="Arial Black" w:hAnsi="Arial Black" w:eastAsia="黑体"/>
      <w:b/>
      <w:sz w:val="18"/>
      <w:lang w:eastAsia="zh-CN"/>
    </w:rPr>
  </w:style>
  <w:style w:type="character" w:customStyle="1" w:styleId="174">
    <w:name w:val="apple-converted-space"/>
    <w:qFormat/>
    <w:uiPriority w:val="0"/>
  </w:style>
  <w:style w:type="character" w:customStyle="1" w:styleId="175">
    <w:name w:val="明显参考2"/>
    <w:qFormat/>
    <w:uiPriority w:val="99"/>
    <w:rPr>
      <w:rFonts w:cs="Times New Roman"/>
      <w:b/>
      <w:sz w:val="24"/>
      <w:u w:val="single"/>
    </w:rPr>
  </w:style>
  <w:style w:type="character" w:customStyle="1" w:styleId="176">
    <w:name w:val="Body Text Indent Char1"/>
    <w:qFormat/>
    <w:locked/>
    <w:uiPriority w:val="99"/>
    <w:rPr>
      <w:rFonts w:ascii="Bodoni MT" w:hAnsi="Bodoni MT"/>
    </w:rPr>
  </w:style>
  <w:style w:type="character" w:customStyle="1" w:styleId="177">
    <w:name w:val="Balloon Text Char"/>
    <w:qFormat/>
    <w:locked/>
    <w:uiPriority w:val="99"/>
    <w:rPr>
      <w:rFonts w:cs="Times New Roman"/>
      <w:sz w:val="18"/>
    </w:rPr>
  </w:style>
  <w:style w:type="character" w:customStyle="1" w:styleId="178">
    <w:name w:val="明显强调111"/>
    <w:qFormat/>
    <w:uiPriority w:val="19"/>
    <w:rPr>
      <w:i/>
      <w:color w:val="5B9BD5"/>
      <w:w w:val="100"/>
      <w:sz w:val="21"/>
      <w:szCs w:val="21"/>
      <w:shd w:val="clear" w:color="auto" w:fill="auto"/>
    </w:rPr>
  </w:style>
  <w:style w:type="character" w:customStyle="1" w:styleId="179">
    <w:name w:val="Body Text 2 Char"/>
    <w:qFormat/>
    <w:locked/>
    <w:uiPriority w:val="99"/>
    <w:rPr>
      <w:rFonts w:cs="Times New Roman"/>
    </w:rPr>
  </w:style>
  <w:style w:type="character" w:customStyle="1" w:styleId="180">
    <w:name w:val="普通文字 Char1"/>
    <w:qFormat/>
    <w:uiPriority w:val="0"/>
    <w:rPr>
      <w:rFonts w:ascii="宋体" w:hAnsi="宋体" w:eastAsia="宋体" w:cs="宋体"/>
      <w:sz w:val="21"/>
      <w:szCs w:val="21"/>
      <w:lang w:val="en-US" w:eastAsia="zh-CN" w:bidi="ar-SA"/>
    </w:rPr>
  </w:style>
  <w:style w:type="character" w:customStyle="1" w:styleId="181">
    <w:name w:val="Body Text Indent 2 Char1"/>
    <w:qFormat/>
    <w:locked/>
    <w:uiPriority w:val="99"/>
    <w:rPr>
      <w:rFonts w:ascii="宋体" w:eastAsia="宋体" w:cs="Times New Roman"/>
      <w:sz w:val="28"/>
      <w:u w:val="single"/>
    </w:rPr>
  </w:style>
  <w:style w:type="character" w:customStyle="1" w:styleId="182">
    <w:name w:val="书籍标题2"/>
    <w:qFormat/>
    <w:uiPriority w:val="99"/>
    <w:rPr>
      <w:rFonts w:ascii="Cambria" w:hAnsi="Cambria" w:eastAsia="宋体" w:cs="Times New Roman"/>
      <w:b/>
      <w:i/>
      <w:sz w:val="24"/>
      <w:szCs w:val="24"/>
    </w:rPr>
  </w:style>
  <w:style w:type="character" w:customStyle="1" w:styleId="183">
    <w:name w:val="不明显强调111"/>
    <w:qFormat/>
    <w:uiPriority w:val="17"/>
    <w:rPr>
      <w:i/>
      <w:color w:val="404040"/>
      <w:w w:val="100"/>
      <w:sz w:val="21"/>
      <w:szCs w:val="21"/>
      <w:shd w:val="clear" w:color="auto" w:fill="auto"/>
    </w:rPr>
  </w:style>
  <w:style w:type="character" w:customStyle="1" w:styleId="184">
    <w:name w:val="Body Text Indent 2 Char"/>
    <w:qFormat/>
    <w:locked/>
    <w:uiPriority w:val="99"/>
    <w:rPr>
      <w:rFonts w:ascii="宋体" w:eastAsia="宋体" w:cs="Times New Roman"/>
      <w:sz w:val="28"/>
      <w:u w:val="single"/>
    </w:rPr>
  </w:style>
  <w:style w:type="character" w:customStyle="1" w:styleId="185">
    <w:name w:val="明显引用 Char"/>
    <w:link w:val="186"/>
    <w:qFormat/>
    <w:uiPriority w:val="99"/>
    <w:rPr>
      <w:b/>
      <w:i/>
      <w:sz w:val="24"/>
      <w:lang w:eastAsia="en-US"/>
    </w:rPr>
  </w:style>
  <w:style w:type="paragraph" w:styleId="186">
    <w:name w:val="Intense Quote"/>
    <w:basedOn w:val="1"/>
    <w:next w:val="1"/>
    <w:link w:val="185"/>
    <w:qFormat/>
    <w:uiPriority w:val="99"/>
    <w:pPr>
      <w:widowControl/>
      <w:ind w:left="720" w:right="720"/>
      <w:jc w:val="left"/>
    </w:pPr>
    <w:rPr>
      <w:b/>
      <w:i/>
      <w:kern w:val="0"/>
      <w:sz w:val="24"/>
      <w:szCs w:val="20"/>
      <w:lang w:eastAsia="en-US"/>
    </w:rPr>
  </w:style>
  <w:style w:type="character" w:customStyle="1" w:styleId="187">
    <w:name w:val="明显引用 Char1"/>
    <w:basedOn w:val="58"/>
    <w:qFormat/>
    <w:uiPriority w:val="30"/>
    <w:rPr>
      <w:b/>
      <w:bCs/>
      <w:i/>
      <w:iCs/>
      <w:color w:val="5B9BD5" w:themeColor="accent1"/>
      <w:kern w:val="2"/>
      <w:sz w:val="21"/>
      <w:szCs w:val="24"/>
      <w14:textFill>
        <w14:solidFill>
          <w14:schemeClr w14:val="accent1"/>
        </w14:solidFill>
      </w14:textFill>
    </w:rPr>
  </w:style>
  <w:style w:type="character" w:customStyle="1" w:styleId="188">
    <w:name w:val="Body Text Char1"/>
    <w:qFormat/>
    <w:locked/>
    <w:uiPriority w:val="99"/>
    <w:rPr>
      <w:rFonts w:cs="Times New Roman"/>
      <w:sz w:val="30"/>
    </w:rPr>
  </w:style>
  <w:style w:type="character" w:customStyle="1" w:styleId="189">
    <w:name w:val="ꌢ 2 Char"/>
    <w:link w:val="190"/>
    <w:qFormat/>
    <w:uiPriority w:val="0"/>
    <w:rPr>
      <w:rFonts w:ascii="Arial" w:hAnsi="Arial"/>
      <w:b/>
      <w:bCs/>
    </w:rPr>
  </w:style>
  <w:style w:type="paragraph" w:customStyle="1" w:styleId="190">
    <w:name w:val="ꌢ 2"/>
    <w:basedOn w:val="1"/>
    <w:link w:val="189"/>
    <w:qFormat/>
    <w:uiPriority w:val="0"/>
    <w:pPr>
      <w:widowControl/>
      <w:jc w:val="left"/>
    </w:pPr>
    <w:rPr>
      <w:rFonts w:ascii="Arial" w:hAnsi="Arial"/>
      <w:b/>
      <w:bCs/>
      <w:kern w:val="0"/>
      <w:sz w:val="20"/>
      <w:szCs w:val="20"/>
    </w:rPr>
  </w:style>
  <w:style w:type="character" w:customStyle="1" w:styleId="191">
    <w:name w:val="不明显参考111"/>
    <w:qFormat/>
    <w:uiPriority w:val="23"/>
    <w:rPr>
      <w:smallCaps/>
      <w:color w:val="5A5A5A"/>
      <w:w w:val="100"/>
      <w:sz w:val="21"/>
      <w:szCs w:val="21"/>
      <w:shd w:val="clear" w:color="auto" w:fill="auto"/>
    </w:rPr>
  </w:style>
  <w:style w:type="character" w:customStyle="1" w:styleId="192">
    <w:name w:val="Footer Char"/>
    <w:qFormat/>
    <w:locked/>
    <w:uiPriority w:val="99"/>
    <w:rPr>
      <w:rFonts w:eastAsia="宋体" w:cs="Times New Roman"/>
      <w:sz w:val="18"/>
      <w:szCs w:val="18"/>
    </w:rPr>
  </w:style>
  <w:style w:type="character" w:customStyle="1" w:styleId="193">
    <w:name w:val="Char Char19"/>
    <w:qFormat/>
    <w:uiPriority w:val="0"/>
    <w:rPr>
      <w:rFonts w:ascii="Times New Roman" w:hAnsi="Times New Roman" w:eastAsia="宋体" w:cs="Times New Roman"/>
      <w:b/>
      <w:kern w:val="0"/>
      <w:sz w:val="24"/>
      <w:szCs w:val="20"/>
    </w:rPr>
  </w:style>
  <w:style w:type="character" w:customStyle="1" w:styleId="194">
    <w:name w:val="text21"/>
    <w:qFormat/>
    <w:uiPriority w:val="0"/>
    <w:rPr>
      <w:sz w:val="21"/>
    </w:rPr>
  </w:style>
  <w:style w:type="character" w:customStyle="1" w:styleId="195">
    <w:name w:val="tpc_content1"/>
    <w:qFormat/>
    <w:uiPriority w:val="99"/>
    <w:rPr>
      <w:sz w:val="20"/>
      <w:szCs w:val="20"/>
    </w:rPr>
  </w:style>
  <w:style w:type="character" w:customStyle="1" w:styleId="196">
    <w:name w:val="Comment Subject Char"/>
    <w:qFormat/>
    <w:locked/>
    <w:uiPriority w:val="99"/>
    <w:rPr>
      <w:rFonts w:ascii="Times New Roman" w:hAnsi="Times New Roman" w:eastAsia="宋体" w:cs="Times New Roman"/>
      <w:b/>
      <w:bCs/>
      <w:sz w:val="24"/>
      <w:szCs w:val="24"/>
    </w:rPr>
  </w:style>
  <w:style w:type="character" w:customStyle="1" w:styleId="197">
    <w:name w:val="引用 Char"/>
    <w:link w:val="198"/>
    <w:qFormat/>
    <w:uiPriority w:val="99"/>
    <w:rPr>
      <w:i/>
      <w:sz w:val="24"/>
      <w:szCs w:val="24"/>
      <w:lang w:eastAsia="en-US"/>
    </w:rPr>
  </w:style>
  <w:style w:type="paragraph" w:styleId="198">
    <w:name w:val="Quote"/>
    <w:basedOn w:val="1"/>
    <w:next w:val="1"/>
    <w:link w:val="197"/>
    <w:qFormat/>
    <w:uiPriority w:val="99"/>
    <w:pPr>
      <w:widowControl/>
      <w:jc w:val="left"/>
    </w:pPr>
    <w:rPr>
      <w:i/>
      <w:kern w:val="0"/>
      <w:sz w:val="24"/>
      <w:lang w:eastAsia="en-US"/>
    </w:rPr>
  </w:style>
  <w:style w:type="character" w:customStyle="1" w:styleId="199">
    <w:name w:val="引用 Char1"/>
    <w:basedOn w:val="58"/>
    <w:qFormat/>
    <w:uiPriority w:val="29"/>
    <w:rPr>
      <w:i/>
      <w:iCs/>
      <w:color w:val="000000" w:themeColor="text1"/>
      <w:kern w:val="2"/>
      <w:sz w:val="21"/>
      <w:szCs w:val="24"/>
      <w14:textFill>
        <w14:solidFill>
          <w14:schemeClr w14:val="tx1"/>
        </w14:solidFill>
      </w14:textFill>
    </w:rPr>
  </w:style>
  <w:style w:type="character" w:customStyle="1" w:styleId="200">
    <w:name w:val="Char Char20"/>
    <w:qFormat/>
    <w:uiPriority w:val="0"/>
    <w:rPr>
      <w:rFonts w:ascii="Arial" w:hAnsi="Arial" w:eastAsia="黑体" w:cs="Times New Roman"/>
      <w:b/>
      <w:kern w:val="0"/>
      <w:sz w:val="24"/>
      <w:szCs w:val="20"/>
    </w:rPr>
  </w:style>
  <w:style w:type="paragraph" w:customStyle="1" w:styleId="201">
    <w:name w:val="列出段落3"/>
    <w:basedOn w:val="1"/>
    <w:qFormat/>
    <w:uiPriority w:val="0"/>
    <w:pPr>
      <w:widowControl/>
      <w:ind w:firstLine="420" w:firstLineChars="200"/>
      <w:jc w:val="left"/>
    </w:pPr>
  </w:style>
  <w:style w:type="paragraph" w:customStyle="1" w:styleId="202">
    <w:name w:val="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203">
    <w:name w:val="正文11"/>
    <w:qFormat/>
    <w:uiPriority w:val="99"/>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204">
    <w:name w:val="修订112"/>
    <w:unhideWhenUsed/>
    <w:qFormat/>
    <w:uiPriority w:val="0"/>
    <w:rPr>
      <w:rFonts w:ascii="Times New Roman" w:hAnsi="Times New Roman" w:eastAsia="宋体" w:cs="Times New Roman"/>
      <w:kern w:val="2"/>
      <w:sz w:val="21"/>
      <w:szCs w:val="24"/>
      <w:lang w:val="en-US" w:eastAsia="zh-CN" w:bidi="ar-SA"/>
    </w:rPr>
  </w:style>
  <w:style w:type="paragraph" w:customStyle="1" w:styleId="205">
    <w:name w:val="xl2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lang w:eastAsia="en-US"/>
    </w:rPr>
  </w:style>
  <w:style w:type="paragraph" w:customStyle="1" w:styleId="206">
    <w:name w:val="font7"/>
    <w:basedOn w:val="1"/>
    <w:qFormat/>
    <w:uiPriority w:val="0"/>
    <w:pPr>
      <w:widowControl/>
      <w:spacing w:before="100" w:beforeAutospacing="1" w:after="100" w:afterAutospacing="1"/>
      <w:jc w:val="left"/>
    </w:pPr>
    <w:rPr>
      <w:rFonts w:ascii="宋体" w:hAnsi="宋体" w:cs="宋体"/>
      <w:b/>
      <w:bCs/>
      <w:kern w:val="0"/>
      <w:sz w:val="24"/>
      <w:lang w:eastAsia="en-US"/>
    </w:rPr>
  </w:style>
  <w:style w:type="paragraph" w:customStyle="1" w:styleId="207">
    <w:name w:val="xl5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993300"/>
      <w:kern w:val="0"/>
      <w:sz w:val="18"/>
      <w:szCs w:val="18"/>
      <w:lang w:eastAsia="en-US"/>
    </w:rPr>
  </w:style>
  <w:style w:type="paragraph" w:customStyle="1" w:styleId="208">
    <w:name w:val="Char Char Char Char Char Char Char"/>
    <w:basedOn w:val="1"/>
    <w:qFormat/>
    <w:uiPriority w:val="0"/>
    <w:pPr>
      <w:widowControl/>
      <w:jc w:val="left"/>
    </w:pPr>
    <w:rPr>
      <w:rFonts w:ascii="Tahoma" w:hAnsi="Tahoma"/>
      <w:sz w:val="24"/>
    </w:rPr>
  </w:style>
  <w:style w:type="paragraph" w:customStyle="1" w:styleId="209">
    <w:name w:val="xl29"/>
    <w:basedOn w:val="1"/>
    <w:qFormat/>
    <w:uiPriority w:val="99"/>
    <w:pPr>
      <w:widowControl/>
      <w:pBdr>
        <w:bottom w:val="single" w:color="auto" w:sz="4" w:space="0"/>
      </w:pBdr>
      <w:spacing w:before="100" w:beforeAutospacing="1" w:after="100" w:afterAutospacing="1"/>
      <w:jc w:val="left"/>
    </w:pPr>
    <w:rPr>
      <w:rFonts w:ascii="宋体" w:hAnsi="宋体" w:cs="宋体"/>
      <w:b/>
      <w:bCs/>
      <w:kern w:val="0"/>
      <w:sz w:val="24"/>
      <w:lang w:eastAsia="en-US"/>
    </w:rPr>
  </w:style>
  <w:style w:type="paragraph" w:customStyle="1" w:styleId="210">
    <w:name w:val="font"/>
    <w:basedOn w:val="1"/>
    <w:qFormat/>
    <w:uiPriority w:val="0"/>
    <w:pPr>
      <w:widowControl/>
      <w:spacing w:before="100" w:beforeAutospacing="1" w:after="100" w:afterAutospacing="1" w:line="300" w:lineRule="atLeast"/>
      <w:jc w:val="left"/>
    </w:pPr>
    <w:rPr>
      <w:rFonts w:ascii="宋体" w:hAnsi="宋体" w:cs="宋体"/>
      <w:color w:val="000000"/>
      <w:kern w:val="0"/>
      <w:sz w:val="22"/>
      <w:szCs w:val="22"/>
    </w:rPr>
  </w:style>
  <w:style w:type="paragraph" w:customStyle="1" w:styleId="211">
    <w:name w:val="xl5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FF0000"/>
      <w:kern w:val="0"/>
      <w:sz w:val="18"/>
      <w:szCs w:val="18"/>
      <w:lang w:eastAsia="en-US"/>
    </w:rPr>
  </w:style>
  <w:style w:type="paragraph" w:customStyle="1" w:styleId="212">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FF0000"/>
      <w:kern w:val="0"/>
      <w:sz w:val="18"/>
      <w:szCs w:val="18"/>
      <w:lang w:eastAsia="en-US"/>
    </w:rPr>
  </w:style>
  <w:style w:type="paragraph" w:customStyle="1" w:styleId="213">
    <w:name w:val="xl4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C0C0C0"/>
      <w:kern w:val="0"/>
      <w:sz w:val="18"/>
      <w:szCs w:val="18"/>
      <w:lang w:eastAsia="en-US"/>
    </w:rPr>
  </w:style>
  <w:style w:type="paragraph" w:customStyle="1" w:styleId="214">
    <w:name w:val="列出段落11"/>
    <w:basedOn w:val="1"/>
    <w:qFormat/>
    <w:uiPriority w:val="99"/>
    <w:pPr>
      <w:ind w:firstLine="200" w:firstLineChars="200"/>
    </w:pPr>
  </w:style>
  <w:style w:type="paragraph" w:customStyle="1" w:styleId="215">
    <w:name w:val="表头"/>
    <w:basedOn w:val="1"/>
    <w:qFormat/>
    <w:uiPriority w:val="99"/>
    <w:pPr>
      <w:widowControl/>
      <w:spacing w:line="360" w:lineRule="auto"/>
      <w:jc w:val="center"/>
    </w:pPr>
    <w:rPr>
      <w:rFonts w:ascii="黑体" w:eastAsia="黑体"/>
      <w:sz w:val="24"/>
    </w:rPr>
  </w:style>
  <w:style w:type="paragraph" w:customStyle="1" w:styleId="216">
    <w:name w:val="普通 (Web)"/>
    <w:basedOn w:val="1"/>
    <w:qFormat/>
    <w:uiPriority w:val="0"/>
    <w:pPr>
      <w:widowControl/>
      <w:spacing w:before="100" w:beforeAutospacing="1" w:after="100" w:afterAutospacing="1" w:line="360" w:lineRule="auto"/>
      <w:ind w:left="420" w:hanging="420"/>
      <w:jc w:val="left"/>
    </w:pPr>
    <w:rPr>
      <w:rFonts w:ascii="宋体" w:hAnsi="宋体"/>
      <w:kern w:val="0"/>
      <w:sz w:val="24"/>
      <w:szCs w:val="20"/>
    </w:rPr>
  </w:style>
  <w:style w:type="paragraph" w:customStyle="1" w:styleId="217">
    <w:name w:val="列出段落 New"/>
    <w:basedOn w:val="1"/>
    <w:qFormat/>
    <w:uiPriority w:val="0"/>
    <w:pPr>
      <w:ind w:firstLine="420" w:firstLineChars="200"/>
    </w:pPr>
    <w:rPr>
      <w:szCs w:val="22"/>
    </w:rPr>
  </w:style>
  <w:style w:type="paragraph" w:customStyle="1" w:styleId="218">
    <w:name w:val="列出段落2"/>
    <w:basedOn w:val="1"/>
    <w:unhideWhenUsed/>
    <w:qFormat/>
    <w:uiPriority w:val="0"/>
    <w:pPr>
      <w:widowControl/>
      <w:ind w:firstLine="420" w:firstLineChars="200"/>
      <w:jc w:val="left"/>
    </w:pPr>
  </w:style>
  <w:style w:type="paragraph" w:customStyle="1" w:styleId="219">
    <w:name w:val="目录"/>
    <w:basedOn w:val="1"/>
    <w:qFormat/>
    <w:uiPriority w:val="99"/>
    <w:pPr>
      <w:widowControl/>
      <w:jc w:val="center"/>
    </w:pPr>
    <w:rPr>
      <w:b/>
      <w:sz w:val="36"/>
    </w:rPr>
  </w:style>
  <w:style w:type="paragraph" w:customStyle="1" w:styleId="220">
    <w:name w:val="样式 标题 2 + Times New Roman 四号 非加粗 段前: 5 磅 段后: 0 磅 行距: 固定值 20..."/>
    <w:basedOn w:val="3"/>
    <w:qFormat/>
    <w:uiPriority w:val="0"/>
    <w:pPr>
      <w:widowControl/>
      <w:spacing w:before="100" w:after="0" w:line="400" w:lineRule="exact"/>
      <w:jc w:val="left"/>
    </w:pPr>
    <w:rPr>
      <w:rFonts w:ascii="Times New Roman" w:hAnsi="Times New Roman" w:eastAsia="黑体" w:cs="宋体"/>
      <w:b w:val="0"/>
      <w:bCs w:val="0"/>
      <w:sz w:val="28"/>
      <w:szCs w:val="20"/>
    </w:rPr>
  </w:style>
  <w:style w:type="paragraph" w:customStyle="1" w:styleId="221">
    <w:name w:val="xl2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lang w:eastAsia="en-US"/>
    </w:rPr>
  </w:style>
  <w:style w:type="paragraph" w:customStyle="1" w:styleId="222">
    <w:name w:val="节标题"/>
    <w:basedOn w:val="1"/>
    <w:next w:val="1"/>
    <w:qFormat/>
    <w:uiPriority w:val="99"/>
    <w:pPr>
      <w:widowControl/>
      <w:spacing w:line="289" w:lineRule="atLeast"/>
      <w:jc w:val="center"/>
      <w:textAlignment w:val="baseline"/>
    </w:pPr>
    <w:rPr>
      <w:color w:val="000000"/>
      <w:sz w:val="28"/>
    </w:rPr>
  </w:style>
  <w:style w:type="paragraph" w:customStyle="1" w:styleId="223">
    <w:name w:val="xl34"/>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 w:val="20"/>
      <w:szCs w:val="20"/>
      <w:lang w:eastAsia="en-US"/>
    </w:rPr>
  </w:style>
  <w:style w:type="paragraph" w:customStyle="1" w:styleId="224">
    <w:name w:val="目录文字"/>
    <w:basedOn w:val="1"/>
    <w:qFormat/>
    <w:uiPriority w:val="0"/>
    <w:pPr>
      <w:widowControl/>
      <w:spacing w:line="480" w:lineRule="auto"/>
      <w:jc w:val="left"/>
    </w:pPr>
    <w:rPr>
      <w:rFonts w:hAnsi="宋体"/>
      <w:sz w:val="24"/>
    </w:rPr>
  </w:style>
  <w:style w:type="paragraph" w:customStyle="1" w:styleId="225">
    <w:name w:val="xl4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lang w:eastAsia="en-US"/>
    </w:rPr>
  </w:style>
  <w:style w:type="paragraph" w:customStyle="1" w:styleId="226">
    <w:name w:val="Char1"/>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227">
    <w:name w:val="修订2"/>
    <w:unhideWhenUsed/>
    <w:qFormat/>
    <w:uiPriority w:val="99"/>
    <w:rPr>
      <w:rFonts w:ascii="Times New Roman" w:hAnsi="Times New Roman" w:eastAsia="宋体" w:cs="Times New Roman"/>
      <w:kern w:val="2"/>
      <w:sz w:val="21"/>
      <w:lang w:val="en-US" w:eastAsia="zh-CN" w:bidi="ar-SA"/>
    </w:rPr>
  </w:style>
  <w:style w:type="paragraph" w:customStyle="1" w:styleId="228">
    <w:name w:val="Char Char1 Char Char Char Char Char Char Char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229">
    <w:name w:val="xl70"/>
    <w:basedOn w:val="1"/>
    <w:qFormat/>
    <w:uiPriority w:val="0"/>
    <w:pPr>
      <w:widowControl/>
      <w:spacing w:before="100" w:beforeAutospacing="1" w:after="100" w:afterAutospacing="1"/>
      <w:jc w:val="left"/>
    </w:pPr>
    <w:rPr>
      <w:rFonts w:ascii="宋体" w:hAnsi="宋体" w:cs="宋体"/>
      <w:kern w:val="0"/>
      <w:sz w:val="18"/>
      <w:szCs w:val="18"/>
      <w:lang w:eastAsia="en-US"/>
    </w:rPr>
  </w:style>
  <w:style w:type="paragraph" w:customStyle="1" w:styleId="230">
    <w:name w:val="font8"/>
    <w:basedOn w:val="1"/>
    <w:qFormat/>
    <w:uiPriority w:val="0"/>
    <w:pPr>
      <w:widowControl/>
      <w:spacing w:before="100" w:beforeAutospacing="1" w:after="100" w:afterAutospacing="1"/>
      <w:jc w:val="left"/>
    </w:pPr>
    <w:rPr>
      <w:rFonts w:ascii="宋体" w:hAnsi="宋体" w:cs="宋体"/>
      <w:color w:val="FF0000"/>
      <w:kern w:val="0"/>
      <w:sz w:val="18"/>
      <w:szCs w:val="18"/>
      <w:lang w:eastAsia="en-US"/>
    </w:rPr>
  </w:style>
  <w:style w:type="paragraph" w:customStyle="1" w:styleId="231">
    <w:name w:val="xl6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18"/>
      <w:szCs w:val="18"/>
      <w:lang w:eastAsia="en-US"/>
    </w:rPr>
  </w:style>
  <w:style w:type="paragraph" w:customStyle="1" w:styleId="232">
    <w:name w:val="xl4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lang w:eastAsia="en-US"/>
    </w:rPr>
  </w:style>
  <w:style w:type="paragraph" w:customStyle="1" w:styleId="233">
    <w:name w:val="P1"/>
    <w:qFormat/>
    <w:uiPriority w:val="99"/>
    <w:pPr>
      <w:widowControl w:val="0"/>
      <w:adjustRightInd w:val="0"/>
      <w:spacing w:after="240"/>
      <w:ind w:left="2304" w:hanging="576"/>
      <w:jc w:val="both"/>
      <w:textAlignment w:val="baseline"/>
    </w:pPr>
    <w:rPr>
      <w:rFonts w:ascii="Times New Roman" w:hAnsi="Times New Roman" w:eastAsia="全真中明體" w:cs="Times New Roman"/>
      <w:spacing w:val="30"/>
      <w:sz w:val="24"/>
      <w:lang w:val="en-US" w:eastAsia="zh-TW" w:bidi="ar-SA"/>
    </w:rPr>
  </w:style>
  <w:style w:type="paragraph" w:customStyle="1" w:styleId="234">
    <w:name w:val="xl6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FF0000"/>
      <w:kern w:val="0"/>
      <w:sz w:val="18"/>
      <w:szCs w:val="18"/>
      <w:lang w:eastAsia="en-US"/>
    </w:rPr>
  </w:style>
  <w:style w:type="paragraph" w:customStyle="1" w:styleId="235">
    <w:name w:val="xl31"/>
    <w:basedOn w:val="1"/>
    <w:qFormat/>
    <w:uiPriority w:val="99"/>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b/>
      <w:bCs/>
      <w:kern w:val="0"/>
      <w:sz w:val="20"/>
      <w:szCs w:val="20"/>
      <w:lang w:eastAsia="en-US"/>
    </w:rPr>
  </w:style>
  <w:style w:type="paragraph" w:customStyle="1" w:styleId="236">
    <w:name w:val="xl4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lang w:eastAsia="en-US"/>
    </w:rPr>
  </w:style>
  <w:style w:type="paragraph" w:customStyle="1" w:styleId="237">
    <w:name w:val="Char Char Char Char Char Char Char Char Char Char Char Char1 Char Char Char Char Char Char Char"/>
    <w:basedOn w:val="1"/>
    <w:qFormat/>
    <w:uiPriority w:val="0"/>
    <w:rPr>
      <w:szCs w:val="20"/>
    </w:rPr>
  </w:style>
  <w:style w:type="paragraph" w:customStyle="1" w:styleId="238">
    <w:name w:val="Char11"/>
    <w:basedOn w:val="1"/>
    <w:qFormat/>
    <w:uiPriority w:val="0"/>
    <w:rPr>
      <w:szCs w:val="20"/>
    </w:rPr>
  </w:style>
  <w:style w:type="paragraph" w:customStyle="1" w:styleId="239">
    <w:name w:val="xl5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993300"/>
      <w:kern w:val="0"/>
      <w:sz w:val="18"/>
      <w:szCs w:val="18"/>
      <w:lang w:eastAsia="en-US"/>
    </w:rPr>
  </w:style>
  <w:style w:type="paragraph" w:customStyle="1" w:styleId="240">
    <w:name w:val="xl72"/>
    <w:basedOn w:val="1"/>
    <w:qFormat/>
    <w:uiPriority w:val="0"/>
    <w:pPr>
      <w:widowControl/>
      <w:pBdr>
        <w:top w:val="single" w:color="auto" w:sz="4" w:space="0"/>
        <w:bottom w:val="single" w:color="auto" w:sz="4" w:space="0"/>
      </w:pBdr>
      <w:spacing w:before="100" w:beforeAutospacing="1" w:after="100" w:afterAutospacing="1"/>
      <w:jc w:val="center"/>
    </w:pPr>
    <w:rPr>
      <w:rFonts w:ascii="宋体" w:hAnsi="宋体" w:cs="宋体"/>
      <w:kern w:val="0"/>
      <w:sz w:val="18"/>
      <w:szCs w:val="18"/>
      <w:lang w:eastAsia="en-US"/>
    </w:rPr>
  </w:style>
  <w:style w:type="paragraph" w:customStyle="1" w:styleId="241">
    <w:name w:val="_Style 13"/>
    <w:basedOn w:val="16"/>
    <w:qFormat/>
    <w:uiPriority w:val="0"/>
  </w:style>
  <w:style w:type="paragraph" w:customStyle="1" w:styleId="242">
    <w:name w:val="xl37"/>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lang w:eastAsia="en-US"/>
    </w:rPr>
  </w:style>
  <w:style w:type="paragraph" w:customStyle="1" w:styleId="243">
    <w:name w:val="Char Char Char Char Char Char Char1"/>
    <w:basedOn w:val="1"/>
    <w:qFormat/>
    <w:uiPriority w:val="0"/>
    <w:rPr>
      <w:rFonts w:ascii="仿宋_GB2312" w:eastAsia="仿宋_GB2312"/>
      <w:b/>
      <w:sz w:val="32"/>
      <w:szCs w:val="32"/>
    </w:rPr>
  </w:style>
  <w:style w:type="paragraph" w:customStyle="1" w:styleId="244">
    <w:name w:val="xl5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lang w:eastAsia="en-US"/>
    </w:rPr>
  </w:style>
  <w:style w:type="paragraph" w:customStyle="1" w:styleId="245">
    <w:name w:val="font6"/>
    <w:basedOn w:val="1"/>
    <w:qFormat/>
    <w:uiPriority w:val="0"/>
    <w:pPr>
      <w:widowControl/>
      <w:spacing w:before="100" w:beforeAutospacing="1" w:after="100" w:afterAutospacing="1"/>
      <w:jc w:val="left"/>
    </w:pPr>
    <w:rPr>
      <w:rFonts w:ascii="宋体" w:hAnsi="宋体" w:cs="宋体"/>
      <w:b/>
      <w:bCs/>
      <w:kern w:val="0"/>
      <w:sz w:val="24"/>
      <w:lang w:eastAsia="en-US"/>
    </w:rPr>
  </w:style>
  <w:style w:type="paragraph" w:customStyle="1" w:styleId="246">
    <w:name w:val="p16"/>
    <w:basedOn w:val="1"/>
    <w:qFormat/>
    <w:uiPriority w:val="0"/>
    <w:pPr>
      <w:widowControl/>
      <w:spacing w:line="360" w:lineRule="auto"/>
      <w:ind w:firstLine="420"/>
    </w:pPr>
    <w:rPr>
      <w:kern w:val="0"/>
      <w:sz w:val="24"/>
    </w:rPr>
  </w:style>
  <w:style w:type="paragraph" w:customStyle="1" w:styleId="247">
    <w:name w:val="xl67"/>
    <w:basedOn w:val="1"/>
    <w:qFormat/>
    <w:uiPriority w:val="0"/>
    <w:pPr>
      <w:widowControl/>
      <w:pBdr>
        <w:top w:val="single" w:color="auto" w:sz="4" w:space="0"/>
      </w:pBdr>
      <w:spacing w:before="100" w:beforeAutospacing="1" w:after="100" w:afterAutospacing="1"/>
      <w:jc w:val="left"/>
    </w:pPr>
    <w:rPr>
      <w:rFonts w:ascii="宋体" w:hAnsi="宋体" w:cs="宋体"/>
      <w:kern w:val="0"/>
      <w:sz w:val="18"/>
      <w:szCs w:val="18"/>
      <w:lang w:eastAsia="en-US"/>
    </w:rPr>
  </w:style>
  <w:style w:type="paragraph" w:customStyle="1" w:styleId="248">
    <w:name w:val="xl4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lang w:eastAsia="en-US"/>
    </w:rPr>
  </w:style>
  <w:style w:type="paragraph" w:customStyle="1" w:styleId="249">
    <w:name w:val="msonormal1"/>
    <w:basedOn w:val="1"/>
    <w:qFormat/>
    <w:uiPriority w:val="0"/>
    <w:pPr>
      <w:widowControl/>
      <w:jc w:val="left"/>
    </w:pPr>
    <w:rPr>
      <w:rFonts w:ascii="Arial" w:hAnsi="Arial" w:cs="Arial"/>
      <w:kern w:val="0"/>
      <w:sz w:val="24"/>
    </w:rPr>
  </w:style>
  <w:style w:type="paragraph" w:customStyle="1" w:styleId="250">
    <w:name w:val="xl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lang w:eastAsia="en-US"/>
    </w:rPr>
  </w:style>
  <w:style w:type="paragraph" w:customStyle="1" w:styleId="251">
    <w:name w:val="样式2"/>
    <w:basedOn w:val="1"/>
    <w:link w:val="252"/>
    <w:qFormat/>
    <w:uiPriority w:val="0"/>
    <w:pPr>
      <w:tabs>
        <w:tab w:val="left" w:pos="794"/>
        <w:tab w:val="left" w:pos="1365"/>
      </w:tabs>
      <w:wordWrap w:val="0"/>
      <w:topLinePunct/>
      <w:adjustRightInd w:val="0"/>
      <w:snapToGrid w:val="0"/>
      <w:spacing w:beforeLines="50" w:line="276" w:lineRule="auto"/>
      <w:ind w:left="794" w:hanging="794"/>
      <w:jc w:val="left"/>
      <w:textAlignment w:val="center"/>
      <w:outlineLvl w:val="1"/>
    </w:pPr>
    <w:rPr>
      <w:rFonts w:ascii="宋体" w:hAnsi="宋体"/>
      <w:b/>
      <w:sz w:val="24"/>
    </w:rPr>
  </w:style>
  <w:style w:type="character" w:customStyle="1" w:styleId="252">
    <w:name w:val="样式2 Char"/>
    <w:link w:val="251"/>
    <w:qFormat/>
    <w:uiPriority w:val="0"/>
    <w:rPr>
      <w:rFonts w:ascii="宋体" w:hAnsi="宋体"/>
      <w:b/>
      <w:kern w:val="2"/>
      <w:sz w:val="24"/>
      <w:szCs w:val="24"/>
    </w:rPr>
  </w:style>
  <w:style w:type="paragraph" w:customStyle="1" w:styleId="253">
    <w:name w:val="p0"/>
    <w:basedOn w:val="1"/>
    <w:qFormat/>
    <w:uiPriority w:val="0"/>
    <w:pPr>
      <w:widowControl/>
      <w:jc w:val="left"/>
    </w:pPr>
    <w:rPr>
      <w:kern w:val="0"/>
      <w:szCs w:val="21"/>
    </w:rPr>
  </w:style>
  <w:style w:type="paragraph" w:customStyle="1" w:styleId="254">
    <w:name w:val="xl35"/>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lang w:eastAsia="en-US"/>
    </w:rPr>
  </w:style>
  <w:style w:type="paragraph" w:customStyle="1" w:styleId="255">
    <w:name w:val="样式1"/>
    <w:basedOn w:val="1"/>
    <w:link w:val="256"/>
    <w:qFormat/>
    <w:uiPriority w:val="0"/>
    <w:pPr>
      <w:tabs>
        <w:tab w:val="left" w:pos="794"/>
      </w:tabs>
      <w:wordWrap w:val="0"/>
      <w:topLinePunct/>
      <w:adjustRightInd w:val="0"/>
      <w:snapToGrid w:val="0"/>
      <w:spacing w:beforeLines="100" w:line="276" w:lineRule="auto"/>
      <w:ind w:left="794" w:hanging="794"/>
      <w:jc w:val="left"/>
      <w:textAlignment w:val="center"/>
      <w:outlineLvl w:val="0"/>
    </w:pPr>
    <w:rPr>
      <w:rFonts w:ascii="黑体" w:hAnsi="宋体" w:eastAsia="黑体"/>
      <w:b/>
      <w:kern w:val="0"/>
      <w:sz w:val="36"/>
      <w:szCs w:val="36"/>
    </w:rPr>
  </w:style>
  <w:style w:type="character" w:customStyle="1" w:styleId="256">
    <w:name w:val="样式1 Char"/>
    <w:link w:val="255"/>
    <w:qFormat/>
    <w:uiPriority w:val="0"/>
    <w:rPr>
      <w:rFonts w:ascii="黑体" w:hAnsi="宋体" w:eastAsia="黑体"/>
      <w:b/>
      <w:sz w:val="36"/>
      <w:szCs w:val="36"/>
    </w:rPr>
  </w:style>
  <w:style w:type="paragraph" w:customStyle="1" w:styleId="257">
    <w:name w:val="xl30"/>
    <w:basedOn w:val="1"/>
    <w:qFormat/>
    <w:uiPriority w:val="99"/>
    <w:pPr>
      <w:widowControl/>
      <w:spacing w:before="100" w:beforeAutospacing="1" w:after="100" w:afterAutospacing="1"/>
      <w:jc w:val="center"/>
    </w:pPr>
    <w:rPr>
      <w:rFonts w:ascii="宋体" w:hAnsi="宋体" w:cs="宋体"/>
      <w:b/>
      <w:bCs/>
      <w:kern w:val="0"/>
      <w:sz w:val="32"/>
      <w:szCs w:val="32"/>
      <w:lang w:eastAsia="en-US"/>
    </w:rPr>
  </w:style>
  <w:style w:type="paragraph" w:customStyle="1" w:styleId="258">
    <w:name w:val="xl4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lang w:eastAsia="en-US"/>
    </w:rPr>
  </w:style>
  <w:style w:type="paragraph" w:customStyle="1" w:styleId="259">
    <w:name w:val="正文1"/>
    <w:link w:val="260"/>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character" w:customStyle="1" w:styleId="260">
    <w:name w:val="正文1 字符"/>
    <w:link w:val="259"/>
    <w:qFormat/>
    <w:uiPriority w:val="0"/>
    <w:rPr>
      <w:rFonts w:ascii="宋体"/>
      <w:sz w:val="34"/>
    </w:rPr>
  </w:style>
  <w:style w:type="paragraph" w:customStyle="1" w:styleId="261">
    <w:name w:val="xl3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lang w:eastAsia="en-US"/>
    </w:rPr>
  </w:style>
  <w:style w:type="paragraph" w:customStyle="1" w:styleId="262">
    <w:name w:val="xl69"/>
    <w:basedOn w:val="1"/>
    <w:qFormat/>
    <w:uiPriority w:val="0"/>
    <w:pPr>
      <w:widowControl/>
      <w:spacing w:before="100" w:beforeAutospacing="1" w:after="100" w:afterAutospacing="1"/>
      <w:jc w:val="left"/>
    </w:pPr>
    <w:rPr>
      <w:rFonts w:ascii="宋体" w:hAnsi="宋体" w:cs="宋体"/>
      <w:kern w:val="0"/>
      <w:sz w:val="18"/>
      <w:szCs w:val="18"/>
      <w:lang w:eastAsia="en-US"/>
    </w:rPr>
  </w:style>
  <w:style w:type="paragraph" w:customStyle="1" w:styleId="263">
    <w:name w:val="p15"/>
    <w:basedOn w:val="1"/>
    <w:qFormat/>
    <w:uiPriority w:val="0"/>
    <w:pPr>
      <w:widowControl/>
      <w:snapToGrid w:val="0"/>
      <w:spacing w:line="360" w:lineRule="auto"/>
      <w:jc w:val="left"/>
    </w:pPr>
    <w:rPr>
      <w:rFonts w:ascii="Arial" w:hAnsi="Arial" w:cs="Arial"/>
      <w:b/>
      <w:bCs/>
      <w:kern w:val="0"/>
      <w:sz w:val="28"/>
      <w:szCs w:val="28"/>
    </w:rPr>
  </w:style>
  <w:style w:type="paragraph" w:customStyle="1" w:styleId="264">
    <w:name w:val="xl32"/>
    <w:basedOn w:val="1"/>
    <w:qFormat/>
    <w:uiPriority w:val="99"/>
    <w:pPr>
      <w:widowControl/>
      <w:pBdr>
        <w:top w:val="single" w:color="auto" w:sz="4" w:space="0"/>
        <w:bottom w:val="single" w:color="auto" w:sz="4" w:space="0"/>
      </w:pBdr>
      <w:spacing w:before="100" w:beforeAutospacing="1" w:after="100" w:afterAutospacing="1"/>
      <w:jc w:val="center"/>
    </w:pPr>
    <w:rPr>
      <w:rFonts w:ascii="宋体" w:hAnsi="宋体" w:cs="宋体"/>
      <w:b/>
      <w:bCs/>
      <w:kern w:val="0"/>
      <w:sz w:val="20"/>
      <w:szCs w:val="20"/>
      <w:lang w:eastAsia="en-US"/>
    </w:rPr>
  </w:style>
  <w:style w:type="paragraph" w:customStyle="1" w:styleId="265">
    <w:name w:val="xl5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18"/>
      <w:szCs w:val="18"/>
      <w:lang w:eastAsia="en-US"/>
    </w:rPr>
  </w:style>
  <w:style w:type="paragraph" w:customStyle="1" w:styleId="266">
    <w:name w:val="xl5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18"/>
      <w:szCs w:val="18"/>
      <w:lang w:eastAsia="en-US"/>
    </w:rPr>
  </w:style>
  <w:style w:type="paragraph" w:customStyle="1" w:styleId="267">
    <w:name w:val="TOC 标题111"/>
    <w:unhideWhenUsed/>
    <w:qFormat/>
    <w:uiPriority w:val="39"/>
    <w:rPr>
      <w:rFonts w:ascii="Times New Roman" w:hAnsi="Times New Roman" w:eastAsia="Times New Roman" w:cs="Times New Roman"/>
      <w:color w:val="2E74B5"/>
      <w:sz w:val="32"/>
      <w:szCs w:val="32"/>
      <w:lang w:val="en-US" w:eastAsia="zh-CN" w:bidi="ar-SA"/>
    </w:rPr>
  </w:style>
  <w:style w:type="paragraph" w:customStyle="1" w:styleId="268">
    <w:name w:val="font5"/>
    <w:basedOn w:val="1"/>
    <w:qFormat/>
    <w:uiPriority w:val="0"/>
    <w:pPr>
      <w:widowControl/>
      <w:spacing w:before="100" w:beforeAutospacing="1" w:after="100" w:afterAutospacing="1"/>
      <w:jc w:val="left"/>
    </w:pPr>
    <w:rPr>
      <w:rFonts w:ascii="宋体" w:hAnsi="宋体" w:cs="宋体"/>
      <w:kern w:val="0"/>
      <w:sz w:val="18"/>
      <w:szCs w:val="18"/>
      <w:lang w:eastAsia="en-US"/>
    </w:rPr>
  </w:style>
  <w:style w:type="paragraph" w:customStyle="1" w:styleId="269">
    <w:name w:val="xl2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C0C0C0"/>
      <w:kern w:val="0"/>
      <w:sz w:val="20"/>
      <w:szCs w:val="20"/>
      <w:lang w:eastAsia="en-US"/>
    </w:rPr>
  </w:style>
  <w:style w:type="paragraph" w:customStyle="1" w:styleId="270">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lang w:eastAsia="en-US"/>
    </w:rPr>
  </w:style>
  <w:style w:type="paragraph" w:customStyle="1" w:styleId="271">
    <w:name w:val="xl5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18"/>
      <w:szCs w:val="18"/>
      <w:lang w:eastAsia="en-US"/>
    </w:rPr>
  </w:style>
  <w:style w:type="paragraph" w:customStyle="1" w:styleId="272">
    <w:name w:val="xl4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FF0000"/>
      <w:kern w:val="0"/>
      <w:sz w:val="18"/>
      <w:szCs w:val="18"/>
      <w:lang w:eastAsia="en-US"/>
    </w:rPr>
  </w:style>
  <w:style w:type="paragraph" w:customStyle="1" w:styleId="273">
    <w:name w:val="xl5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FF0000"/>
      <w:kern w:val="0"/>
      <w:sz w:val="18"/>
      <w:szCs w:val="18"/>
      <w:lang w:eastAsia="en-US"/>
    </w:rPr>
  </w:style>
  <w:style w:type="paragraph" w:customStyle="1" w:styleId="274">
    <w:name w:val="xl4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lang w:eastAsia="en-US"/>
    </w:rPr>
  </w:style>
  <w:style w:type="paragraph" w:customStyle="1" w:styleId="275">
    <w:name w:val="_Style 1"/>
    <w:basedOn w:val="1"/>
    <w:qFormat/>
    <w:uiPriority w:val="0"/>
    <w:pPr>
      <w:ind w:firstLine="420" w:firstLineChars="200"/>
    </w:pPr>
    <w:rPr>
      <w:szCs w:val="22"/>
    </w:rPr>
  </w:style>
  <w:style w:type="paragraph" w:customStyle="1" w:styleId="276">
    <w:name w:val="xl73"/>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lang w:eastAsia="en-US"/>
    </w:rPr>
  </w:style>
  <w:style w:type="paragraph" w:customStyle="1" w:styleId="277">
    <w:name w:val="reader-word-layer"/>
    <w:basedOn w:val="1"/>
    <w:qFormat/>
    <w:uiPriority w:val="0"/>
    <w:pPr>
      <w:widowControl/>
      <w:spacing w:before="100" w:beforeAutospacing="1" w:after="100" w:afterAutospacing="1"/>
      <w:jc w:val="left"/>
    </w:pPr>
    <w:rPr>
      <w:rFonts w:ascii="宋体" w:hAnsi="宋体" w:cs="宋体"/>
      <w:kern w:val="0"/>
      <w:sz w:val="24"/>
    </w:rPr>
  </w:style>
  <w:style w:type="paragraph" w:customStyle="1" w:styleId="278">
    <w:name w:val="xl71"/>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18"/>
      <w:szCs w:val="18"/>
      <w:lang w:eastAsia="en-US"/>
    </w:rPr>
  </w:style>
  <w:style w:type="paragraph" w:customStyle="1" w:styleId="279">
    <w:name w:val="正文 New New New New New New New New New New New New New New New New New New New New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280">
    <w:name w:val="xl4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lang w:eastAsia="en-US"/>
    </w:rPr>
  </w:style>
  <w:style w:type="paragraph" w:customStyle="1" w:styleId="281">
    <w:name w:val="xl68"/>
    <w:basedOn w:val="1"/>
    <w:qFormat/>
    <w:uiPriority w:val="0"/>
    <w:pPr>
      <w:widowControl/>
      <w:spacing w:before="100" w:beforeAutospacing="1" w:after="100" w:afterAutospacing="1"/>
      <w:jc w:val="left"/>
    </w:pPr>
    <w:rPr>
      <w:rFonts w:ascii="宋体" w:hAnsi="宋体" w:cs="宋体"/>
      <w:kern w:val="0"/>
      <w:sz w:val="18"/>
      <w:szCs w:val="18"/>
      <w:lang w:eastAsia="en-US"/>
    </w:rPr>
  </w:style>
  <w:style w:type="paragraph" w:customStyle="1" w:styleId="282">
    <w:name w:val="xl3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lang w:eastAsia="en-US"/>
    </w:rPr>
  </w:style>
  <w:style w:type="paragraph" w:customStyle="1" w:styleId="283">
    <w:name w:val="Char2"/>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284">
    <w:name w:val="xl6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18"/>
      <w:szCs w:val="18"/>
      <w:lang w:eastAsia="en-US"/>
    </w:rPr>
  </w:style>
  <w:style w:type="paragraph" w:customStyle="1" w:styleId="285">
    <w:name w:val="修订111"/>
    <w:qFormat/>
    <w:uiPriority w:val="0"/>
    <w:rPr>
      <w:rFonts w:ascii="Times New Roman" w:hAnsi="Times New Roman" w:eastAsia="宋体" w:cs="Times New Roman"/>
      <w:kern w:val="2"/>
      <w:sz w:val="21"/>
      <w:lang w:val="en-US" w:eastAsia="zh-CN" w:bidi="ar-SA"/>
    </w:rPr>
  </w:style>
  <w:style w:type="paragraph" w:customStyle="1" w:styleId="286">
    <w:name w:val="xl26"/>
    <w:basedOn w:val="1"/>
    <w:qFormat/>
    <w:uiPriority w:val="0"/>
    <w:pPr>
      <w:widowControl/>
      <w:spacing w:before="100" w:beforeAutospacing="1" w:after="100" w:afterAutospacing="1"/>
      <w:jc w:val="center"/>
    </w:pPr>
    <w:rPr>
      <w:rFonts w:ascii="宋体" w:hAnsi="宋体"/>
      <w:kern w:val="0"/>
      <w:sz w:val="24"/>
      <w:szCs w:val="20"/>
    </w:rPr>
  </w:style>
  <w:style w:type="paragraph" w:customStyle="1" w:styleId="287">
    <w:name w:val="无间隔1"/>
    <w:qFormat/>
    <w:uiPriority w:val="5"/>
    <w:rPr>
      <w:rFonts w:ascii="Times New Roman" w:hAnsi="Times New Roman" w:eastAsia="宋体" w:cs="Times New Roman"/>
      <w:sz w:val="22"/>
      <w:szCs w:val="22"/>
      <w:lang w:val="en-US" w:eastAsia="zh-CN" w:bidi="ar-SA"/>
    </w:rPr>
  </w:style>
  <w:style w:type="paragraph" w:customStyle="1" w:styleId="288">
    <w:name w:val="列出段落4"/>
    <w:basedOn w:val="1"/>
    <w:qFormat/>
    <w:uiPriority w:val="34"/>
    <w:pPr>
      <w:ind w:firstLine="420" w:firstLineChars="200"/>
    </w:pPr>
    <w:rPr>
      <w:szCs w:val="20"/>
    </w:rPr>
  </w:style>
  <w:style w:type="paragraph" w:customStyle="1" w:styleId="289">
    <w:name w:val="xl5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C0C0C0"/>
      <w:kern w:val="0"/>
      <w:sz w:val="18"/>
      <w:szCs w:val="18"/>
      <w:lang w:eastAsia="en-US"/>
    </w:rPr>
  </w:style>
  <w:style w:type="paragraph" w:customStyle="1" w:styleId="290">
    <w:name w:val="xl33"/>
    <w:basedOn w:val="1"/>
    <w:qFormat/>
    <w:uiPriority w:val="99"/>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lang w:eastAsia="en-US"/>
    </w:rPr>
  </w:style>
  <w:style w:type="paragraph" w:customStyle="1" w:styleId="291">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lang w:eastAsia="en-US"/>
    </w:rPr>
  </w:style>
  <w:style w:type="paragraph" w:customStyle="1" w:styleId="292">
    <w:name w:val="xl36"/>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 w:val="20"/>
      <w:szCs w:val="20"/>
      <w:lang w:eastAsia="en-US"/>
    </w:rPr>
  </w:style>
  <w:style w:type="paragraph" w:customStyle="1" w:styleId="293">
    <w:name w:val="xl5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18"/>
      <w:szCs w:val="18"/>
      <w:lang w:eastAsia="en-US"/>
    </w:rPr>
  </w:style>
  <w:style w:type="paragraph" w:customStyle="1" w:styleId="294">
    <w:name w:val="xl40"/>
    <w:basedOn w:val="1"/>
    <w:qFormat/>
    <w:uiPriority w:val="0"/>
    <w:pPr>
      <w:widowControl/>
      <w:spacing w:before="100" w:beforeAutospacing="1" w:after="100" w:afterAutospacing="1"/>
      <w:jc w:val="center"/>
    </w:pPr>
    <w:rPr>
      <w:rFonts w:ascii="宋体" w:hAnsi="宋体"/>
      <w:b/>
      <w:kern w:val="0"/>
      <w:sz w:val="24"/>
      <w:szCs w:val="20"/>
    </w:rPr>
  </w:style>
  <w:style w:type="paragraph" w:customStyle="1" w:styleId="295">
    <w:name w:val="xl2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lang w:eastAsia="en-US"/>
    </w:rPr>
  </w:style>
  <w:style w:type="paragraph" w:customStyle="1" w:styleId="296">
    <w:name w:val="Char Char Char Char Char Char Char Char Char Char Char1 Char Char Char Char Char Char Char Char Char Char Char Char"/>
    <w:basedOn w:val="1"/>
    <w:qFormat/>
    <w:uiPriority w:val="0"/>
    <w:pPr>
      <w:widowControl/>
      <w:jc w:val="left"/>
    </w:pPr>
    <w:rPr>
      <w:rFonts w:ascii="Tahoma" w:hAnsi="Tahoma"/>
      <w:sz w:val="24"/>
    </w:rPr>
  </w:style>
  <w:style w:type="paragraph" w:customStyle="1" w:styleId="297">
    <w:name w:val="WPS Plain"/>
    <w:qFormat/>
    <w:uiPriority w:val="99"/>
    <w:rPr>
      <w:rFonts w:ascii="Times New Roman" w:hAnsi="Times New Roman" w:eastAsia="宋体" w:cs="Times New Roman"/>
      <w:lang w:val="en-US" w:eastAsia="zh-CN" w:bidi="ar-SA"/>
    </w:rPr>
  </w:style>
  <w:style w:type="character" w:customStyle="1" w:styleId="298">
    <w:name w:val="NormalCharacter"/>
    <w:qFormat/>
    <w:uiPriority w:val="0"/>
  </w:style>
  <w:style w:type="character" w:customStyle="1" w:styleId="299">
    <w:name w:val="书籍标题11"/>
    <w:qFormat/>
    <w:uiPriority w:val="25"/>
    <w:rPr>
      <w:b/>
      <w:i/>
      <w:w w:val="100"/>
      <w:sz w:val="21"/>
      <w:szCs w:val="21"/>
      <w:shd w:val="clear" w:color="auto" w:fill="auto"/>
    </w:rPr>
  </w:style>
  <w:style w:type="character" w:customStyle="1" w:styleId="300">
    <w:name w:val="不明显参考11"/>
    <w:qFormat/>
    <w:uiPriority w:val="23"/>
    <w:rPr>
      <w:smallCaps/>
      <w:color w:val="5A5A5A"/>
      <w:w w:val="100"/>
      <w:sz w:val="21"/>
      <w:szCs w:val="21"/>
      <w:shd w:val="clear" w:color="auto" w:fill="auto"/>
    </w:rPr>
  </w:style>
  <w:style w:type="character" w:customStyle="1" w:styleId="301">
    <w:name w:val="明显强调11"/>
    <w:qFormat/>
    <w:uiPriority w:val="19"/>
    <w:rPr>
      <w:i/>
      <w:color w:val="5B9BD5"/>
      <w:w w:val="100"/>
      <w:sz w:val="21"/>
      <w:szCs w:val="21"/>
      <w:shd w:val="clear" w:color="auto" w:fill="auto"/>
    </w:rPr>
  </w:style>
  <w:style w:type="paragraph" w:customStyle="1" w:styleId="302">
    <w:name w:val="z-窗体底端111"/>
    <w:basedOn w:val="1"/>
    <w:next w:val="1"/>
    <w:qFormat/>
    <w:uiPriority w:val="99"/>
    <w:pPr>
      <w:pBdr>
        <w:top w:val="single" w:color="auto" w:sz="6" w:space="1"/>
      </w:pBdr>
      <w:jc w:val="center"/>
    </w:pPr>
    <w:rPr>
      <w:rFonts w:ascii="Arial" w:hAnsi="Arial"/>
      <w:vanish/>
      <w:sz w:val="16"/>
      <w:szCs w:val="16"/>
    </w:rPr>
  </w:style>
  <w:style w:type="character" w:customStyle="1" w:styleId="303">
    <w:name w:val="不明显强调11"/>
    <w:qFormat/>
    <w:uiPriority w:val="17"/>
    <w:rPr>
      <w:i/>
      <w:color w:val="404040"/>
      <w:w w:val="100"/>
      <w:sz w:val="21"/>
      <w:szCs w:val="21"/>
      <w:shd w:val="clear" w:color="auto" w:fill="auto"/>
    </w:rPr>
  </w:style>
  <w:style w:type="character" w:customStyle="1" w:styleId="304">
    <w:name w:val="文档结构图 Char1"/>
    <w:qFormat/>
    <w:uiPriority w:val="0"/>
    <w:rPr>
      <w:rFonts w:ascii="宋体"/>
      <w:kern w:val="2"/>
      <w:sz w:val="18"/>
      <w:szCs w:val="18"/>
    </w:rPr>
  </w:style>
  <w:style w:type="character" w:customStyle="1" w:styleId="305">
    <w:name w:val="明显参考11"/>
    <w:qFormat/>
    <w:uiPriority w:val="24"/>
    <w:rPr>
      <w:b/>
      <w:smallCaps/>
      <w:color w:val="5B9BD5"/>
      <w:w w:val="100"/>
      <w:sz w:val="21"/>
      <w:szCs w:val="21"/>
      <w:shd w:val="clear" w:color="auto" w:fill="auto"/>
    </w:rPr>
  </w:style>
  <w:style w:type="character" w:customStyle="1" w:styleId="306">
    <w:name w:val="textcontents"/>
    <w:qFormat/>
    <w:uiPriority w:val="0"/>
    <w:rPr>
      <w:rFonts w:cs="Times New Roman"/>
    </w:rPr>
  </w:style>
  <w:style w:type="character" w:customStyle="1" w:styleId="307">
    <w:name w:val="批注主题 Char1"/>
    <w:qFormat/>
    <w:uiPriority w:val="0"/>
    <w:rPr>
      <w:b/>
      <w:bCs/>
      <w:kern w:val="2"/>
      <w:sz w:val="21"/>
      <w:szCs w:val="22"/>
    </w:rPr>
  </w:style>
  <w:style w:type="character" w:customStyle="1" w:styleId="308">
    <w:name w:val="标题5 Char Char"/>
    <w:link w:val="309"/>
    <w:qFormat/>
    <w:uiPriority w:val="0"/>
    <w:rPr>
      <w:rFonts w:ascii="Arial" w:hAnsi="Arial"/>
      <w:b/>
      <w:bCs/>
      <w:sz w:val="24"/>
      <w:szCs w:val="32"/>
    </w:rPr>
  </w:style>
  <w:style w:type="paragraph" w:customStyle="1" w:styleId="309">
    <w:name w:val="标题5"/>
    <w:basedOn w:val="4"/>
    <w:link w:val="308"/>
    <w:qFormat/>
    <w:uiPriority w:val="0"/>
    <w:pPr>
      <w:spacing w:line="413" w:lineRule="auto"/>
    </w:pPr>
    <w:rPr>
      <w:rFonts w:ascii="Arial" w:hAnsi="Arial"/>
      <w:kern w:val="0"/>
      <w:sz w:val="24"/>
    </w:rPr>
  </w:style>
  <w:style w:type="character" w:customStyle="1" w:styleId="310">
    <w:name w:val="正文文本 Char1"/>
    <w:qFormat/>
    <w:uiPriority w:val="0"/>
    <w:rPr>
      <w:kern w:val="2"/>
      <w:sz w:val="21"/>
      <w:szCs w:val="22"/>
    </w:rPr>
  </w:style>
  <w:style w:type="character" w:customStyle="1" w:styleId="311">
    <w:name w:val="批注文字 Char Char"/>
    <w:qFormat/>
    <w:uiPriority w:val="0"/>
    <w:rPr>
      <w:rFonts w:ascii="宋体" w:hAnsi="Times New Roman" w:eastAsia="宋体" w:cs="Times New Roman"/>
      <w:sz w:val="28"/>
      <w:szCs w:val="20"/>
    </w:rPr>
  </w:style>
  <w:style w:type="character" w:customStyle="1" w:styleId="312">
    <w:name w:val="标题4 Char Char"/>
    <w:link w:val="313"/>
    <w:qFormat/>
    <w:uiPriority w:val="0"/>
    <w:rPr>
      <w:rFonts w:ascii="Arial" w:hAnsi="Arial"/>
      <w:b/>
      <w:bCs/>
      <w:sz w:val="24"/>
      <w:szCs w:val="32"/>
    </w:rPr>
  </w:style>
  <w:style w:type="paragraph" w:customStyle="1" w:styleId="313">
    <w:name w:val="标题4"/>
    <w:basedOn w:val="3"/>
    <w:next w:val="27"/>
    <w:link w:val="312"/>
    <w:qFormat/>
    <w:uiPriority w:val="0"/>
    <w:pPr>
      <w:spacing w:line="413" w:lineRule="auto"/>
    </w:pPr>
    <w:rPr>
      <w:rFonts w:ascii="Arial" w:hAnsi="Arial"/>
      <w:kern w:val="0"/>
      <w:sz w:val="24"/>
    </w:rPr>
  </w:style>
  <w:style w:type="character" w:customStyle="1" w:styleId="314">
    <w:name w:val="日期 Char1"/>
    <w:qFormat/>
    <w:uiPriority w:val="0"/>
    <w:rPr>
      <w:kern w:val="2"/>
      <w:sz w:val="21"/>
      <w:szCs w:val="22"/>
    </w:rPr>
  </w:style>
  <w:style w:type="character" w:customStyle="1" w:styleId="315">
    <w:name w:val="批注框文本 Char1"/>
    <w:qFormat/>
    <w:uiPriority w:val="0"/>
    <w:rPr>
      <w:kern w:val="2"/>
      <w:sz w:val="18"/>
      <w:szCs w:val="18"/>
    </w:rPr>
  </w:style>
  <w:style w:type="paragraph" w:customStyle="1" w:styleId="316">
    <w:name w:val="z-窗体顶端111"/>
    <w:basedOn w:val="1"/>
    <w:next w:val="1"/>
    <w:qFormat/>
    <w:uiPriority w:val="99"/>
    <w:pPr>
      <w:pBdr>
        <w:bottom w:val="single" w:color="auto" w:sz="6" w:space="1"/>
      </w:pBdr>
      <w:jc w:val="center"/>
    </w:pPr>
    <w:rPr>
      <w:rFonts w:ascii="Arial" w:hAnsi="Arial"/>
      <w:vanish/>
      <w:sz w:val="16"/>
      <w:szCs w:val="16"/>
    </w:rPr>
  </w:style>
  <w:style w:type="paragraph" w:customStyle="1" w:styleId="317">
    <w:name w:val="修订3"/>
    <w:unhideWhenUsed/>
    <w:qFormat/>
    <w:uiPriority w:val="99"/>
    <w:rPr>
      <w:rFonts w:ascii="Calibri" w:hAnsi="Calibri" w:eastAsia="宋体" w:cs="Times New Roman"/>
      <w:kern w:val="2"/>
      <w:sz w:val="21"/>
      <w:szCs w:val="24"/>
      <w:lang w:val="en-US" w:eastAsia="zh-CN" w:bidi="ar-SA"/>
    </w:rPr>
  </w:style>
  <w:style w:type="paragraph" w:customStyle="1" w:styleId="318">
    <w:name w:val="z-窗体顶端11"/>
    <w:basedOn w:val="1"/>
    <w:next w:val="1"/>
    <w:link w:val="319"/>
    <w:qFormat/>
    <w:uiPriority w:val="99"/>
    <w:pPr>
      <w:pBdr>
        <w:bottom w:val="single" w:color="auto" w:sz="6" w:space="1"/>
      </w:pBdr>
      <w:jc w:val="center"/>
    </w:pPr>
    <w:rPr>
      <w:rFonts w:ascii="Arial" w:hAnsi="Arial"/>
      <w:vanish/>
      <w:sz w:val="16"/>
      <w:szCs w:val="16"/>
    </w:rPr>
  </w:style>
  <w:style w:type="character" w:customStyle="1" w:styleId="319">
    <w:name w:val="z-Top of Form Char1"/>
    <w:link w:val="318"/>
    <w:qFormat/>
    <w:uiPriority w:val="99"/>
    <w:rPr>
      <w:rFonts w:ascii="Arial" w:hAnsi="Arial"/>
      <w:vanish/>
      <w:kern w:val="2"/>
      <w:sz w:val="16"/>
      <w:szCs w:val="16"/>
    </w:rPr>
  </w:style>
  <w:style w:type="paragraph" w:customStyle="1" w:styleId="320">
    <w:name w:val="z-窗体底端11"/>
    <w:basedOn w:val="1"/>
    <w:next w:val="1"/>
    <w:link w:val="321"/>
    <w:qFormat/>
    <w:uiPriority w:val="99"/>
    <w:pPr>
      <w:pBdr>
        <w:top w:val="single" w:color="auto" w:sz="6" w:space="1"/>
      </w:pBdr>
      <w:jc w:val="center"/>
    </w:pPr>
    <w:rPr>
      <w:rFonts w:ascii="Arial" w:hAnsi="Arial"/>
      <w:vanish/>
      <w:sz w:val="16"/>
      <w:szCs w:val="16"/>
    </w:rPr>
  </w:style>
  <w:style w:type="character" w:customStyle="1" w:styleId="321">
    <w:name w:val="z-Bottom of Form Char1"/>
    <w:link w:val="320"/>
    <w:qFormat/>
    <w:uiPriority w:val="99"/>
    <w:rPr>
      <w:rFonts w:ascii="Arial" w:hAnsi="Arial"/>
      <w:vanish/>
      <w:kern w:val="2"/>
      <w:sz w:val="16"/>
      <w:szCs w:val="16"/>
    </w:rPr>
  </w:style>
  <w:style w:type="paragraph" w:customStyle="1" w:styleId="322">
    <w:name w:val="TOC 标题11"/>
    <w:unhideWhenUsed/>
    <w:qFormat/>
    <w:uiPriority w:val="27"/>
    <w:rPr>
      <w:rFonts w:ascii="Times New Roman" w:hAnsi="Times New Roman" w:eastAsia="Times New Roman" w:cs="Times New Roman"/>
      <w:color w:val="2E74B5"/>
      <w:sz w:val="32"/>
      <w:szCs w:val="32"/>
      <w:lang w:val="en-US" w:eastAsia="zh-CN" w:bidi="ar-SA"/>
    </w:rPr>
  </w:style>
  <w:style w:type="paragraph" w:customStyle="1" w:styleId="323">
    <w:name w:val="修订11"/>
    <w:qFormat/>
    <w:uiPriority w:val="0"/>
    <w:rPr>
      <w:rFonts w:ascii="Times New Roman" w:hAnsi="Times New Roman" w:eastAsia="宋体" w:cs="Times New Roman"/>
      <w:kern w:val="2"/>
      <w:sz w:val="21"/>
      <w:lang w:val="en-US" w:eastAsia="zh-CN" w:bidi="ar-SA"/>
    </w:rPr>
  </w:style>
  <w:style w:type="paragraph" w:customStyle="1" w:styleId="324">
    <w:name w:val="Char Char1 Char Char Char Char Char Char Char Char Char Char Char Char Char1"/>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325">
    <w:name w:val="1"/>
    <w:unhideWhenUsed/>
    <w:qFormat/>
    <w:uiPriority w:val="99"/>
    <w:rPr>
      <w:rFonts w:ascii="Calibri" w:hAnsi="Calibri" w:eastAsia="宋体" w:cs="Times New Roman"/>
      <w:kern w:val="2"/>
      <w:sz w:val="21"/>
      <w:szCs w:val="24"/>
      <w:lang w:val="en-US" w:eastAsia="zh-CN" w:bidi="ar-SA"/>
    </w:rPr>
  </w:style>
  <w:style w:type="paragraph" w:customStyle="1" w:styleId="326">
    <w:name w:val="flNote"/>
    <w:basedOn w:val="1"/>
    <w:qFormat/>
    <w:uiPriority w:val="0"/>
    <w:pPr>
      <w:adjustRightInd w:val="0"/>
      <w:spacing w:before="320" w:after="160" w:line="360" w:lineRule="atLeast"/>
      <w:jc w:val="center"/>
      <w:textAlignment w:val="baseline"/>
    </w:pPr>
    <w:rPr>
      <w:rFonts w:ascii="Arial" w:eastAsia="黑体"/>
      <w:kern w:val="0"/>
      <w:sz w:val="30"/>
      <w:szCs w:val="20"/>
    </w:rPr>
  </w:style>
  <w:style w:type="paragraph" w:customStyle="1" w:styleId="327">
    <w:name w:val="空半行"/>
    <w:basedOn w:val="1"/>
    <w:qFormat/>
    <w:uiPriority w:val="0"/>
    <w:pPr>
      <w:adjustRightInd w:val="0"/>
      <w:spacing w:line="120" w:lineRule="exact"/>
      <w:textAlignment w:val="baseline"/>
    </w:pPr>
    <w:rPr>
      <w:rFonts w:eastAsia="仿宋_GB2312"/>
      <w:color w:val="FFFFFF"/>
      <w:kern w:val="0"/>
      <w:sz w:val="30"/>
      <w:szCs w:val="20"/>
    </w:rPr>
  </w:style>
  <w:style w:type="paragraph" w:customStyle="1" w:styleId="328">
    <w:name w:val="样式 标题 3 + (中文) 黑体 小四 非加粗 段前: 7.8 磅 段后: 0 磅 行距: 固定值 20 磅"/>
    <w:basedOn w:val="4"/>
    <w:qFormat/>
    <w:uiPriority w:val="0"/>
    <w:pPr>
      <w:spacing w:before="0" w:after="0" w:line="400" w:lineRule="exact"/>
    </w:pPr>
    <w:rPr>
      <w:rFonts w:eastAsia="黑体" w:cs="宋体"/>
      <w:b w:val="0"/>
      <w:bCs w:val="0"/>
      <w:sz w:val="24"/>
      <w:szCs w:val="20"/>
    </w:rPr>
  </w:style>
  <w:style w:type="paragraph" w:customStyle="1" w:styleId="329">
    <w:name w:val="Char3"/>
    <w:basedOn w:val="1"/>
    <w:qFormat/>
    <w:uiPriority w:val="0"/>
    <w:pPr>
      <w:widowControl/>
      <w:jc w:val="left"/>
    </w:pPr>
    <w:rPr>
      <w:rFonts w:ascii="仿宋_GB2312" w:hAnsi="Calibri" w:eastAsia="仿宋_GB2312"/>
      <w:b/>
      <w:sz w:val="32"/>
      <w:szCs w:val="32"/>
    </w:rPr>
  </w:style>
  <w:style w:type="paragraph" w:customStyle="1" w:styleId="330">
    <w:name w:val="Body text|1"/>
    <w:basedOn w:val="1"/>
    <w:qFormat/>
    <w:uiPriority w:val="0"/>
    <w:rPr>
      <w:rFonts w:ascii="宋体" w:hAnsi="宋体" w:cs="宋体"/>
      <w:sz w:val="12"/>
      <w:szCs w:val="12"/>
      <w:lang w:val="zh-TW" w:eastAsia="zh-TW" w:bidi="zh-TW"/>
    </w:rPr>
  </w:style>
  <w:style w:type="paragraph" w:customStyle="1" w:styleId="331">
    <w:name w:val="列表段落"/>
    <w:basedOn w:val="1"/>
    <w:qFormat/>
    <w:uiPriority w:val="34"/>
    <w:pPr>
      <w:ind w:firstLine="420" w:firstLineChars="200"/>
    </w:pPr>
    <w:rPr>
      <w:rFonts w:ascii="Calibri" w:hAnsi="Calibri"/>
      <w:szCs w:val="22"/>
    </w:rPr>
  </w:style>
  <w:style w:type="character" w:customStyle="1" w:styleId="332">
    <w:name w:val="font11"/>
    <w:basedOn w:val="58"/>
    <w:qFormat/>
    <w:uiPriority w:val="0"/>
    <w:rPr>
      <w:rFonts w:hint="eastAsia" w:ascii="宋体" w:hAnsi="宋体" w:eastAsia="宋体" w:cs="宋体"/>
      <w:color w:val="000000"/>
      <w:sz w:val="20"/>
      <w:szCs w:val="20"/>
      <w:u w:val="none"/>
    </w:rPr>
  </w:style>
  <w:style w:type="paragraph" w:customStyle="1" w:styleId="333">
    <w:name w:val="修订4"/>
    <w:hidden/>
    <w:unhideWhenUsed/>
    <w:qFormat/>
    <w:uiPriority w:val="99"/>
    <w:rPr>
      <w:rFonts w:ascii="Times New Roman" w:hAnsi="Times New Roman" w:eastAsia="宋体" w:cs="Times New Roman"/>
      <w:kern w:val="2"/>
      <w:sz w:val="21"/>
      <w:szCs w:val="24"/>
      <w:lang w:val="en-US" w:eastAsia="zh-CN" w:bidi="ar-SA"/>
    </w:rPr>
  </w:style>
  <w:style w:type="character" w:customStyle="1" w:styleId="334">
    <w:name w:val="标题 2 Char3"/>
    <w:qFormat/>
    <w:uiPriority w:val="0"/>
    <w:rPr>
      <w:rFonts w:ascii="Cambria" w:hAnsi="Cambria" w:eastAsia="宋体" w:cs="Times New Roman"/>
      <w:b/>
      <w:bCs/>
      <w:kern w:val="0"/>
      <w:sz w:val="32"/>
      <w:szCs w:val="32"/>
    </w:rPr>
  </w:style>
  <w:style w:type="character" w:customStyle="1" w:styleId="335">
    <w:name w:val="标题 3 Char1"/>
    <w:qFormat/>
    <w:uiPriority w:val="0"/>
    <w:rPr>
      <w:rFonts w:ascii="Times New Roman" w:hAnsi="Times New Roman" w:eastAsia="宋体" w:cs="Times New Roman"/>
      <w:b/>
      <w:bCs/>
      <w:kern w:val="0"/>
      <w:sz w:val="32"/>
      <w:szCs w:val="32"/>
    </w:rPr>
  </w:style>
  <w:style w:type="character" w:customStyle="1" w:styleId="336">
    <w:name w:val="称呼 Char"/>
    <w:basedOn w:val="58"/>
    <w:link w:val="18"/>
    <w:qFormat/>
    <w:uiPriority w:val="99"/>
    <w:rPr>
      <w:rFonts w:ascii="楷体_GB2312" w:hAnsi="Calibri" w:eastAsia="楷体_GB2312"/>
      <w:kern w:val="2"/>
      <w:sz w:val="32"/>
      <w:szCs w:val="24"/>
    </w:rPr>
  </w:style>
  <w:style w:type="character" w:customStyle="1" w:styleId="337">
    <w:name w:val="脚注文本 Char"/>
    <w:basedOn w:val="58"/>
    <w:link w:val="42"/>
    <w:qFormat/>
    <w:uiPriority w:val="99"/>
    <w:rPr>
      <w:rFonts w:ascii="Calibri" w:hAnsi="Calibri"/>
      <w:sz w:val="18"/>
    </w:rPr>
  </w:style>
  <w:style w:type="character" w:customStyle="1" w:styleId="338">
    <w:name w:val="nc-lang-cnt6"/>
    <w:qFormat/>
    <w:uiPriority w:val="0"/>
    <w:rPr>
      <w:rFonts w:hint="cs"/>
      <w:rtl/>
      <w:cs/>
    </w:rPr>
  </w:style>
  <w:style w:type="character" w:customStyle="1" w:styleId="339">
    <w:name w:val="纯文本 Char1"/>
    <w:qFormat/>
    <w:uiPriority w:val="99"/>
    <w:rPr>
      <w:rFonts w:ascii="宋体" w:hAnsi="Courier New" w:eastAsia="宋体" w:cs="Courier New"/>
      <w:szCs w:val="21"/>
    </w:rPr>
  </w:style>
  <w:style w:type="character" w:customStyle="1" w:styleId="340">
    <w:name w:val="正文文本缩进 Char1"/>
    <w:qFormat/>
    <w:uiPriority w:val="99"/>
    <w:rPr>
      <w:rFonts w:ascii="Times New Roman" w:hAnsi="Times New Roman" w:eastAsia="宋体" w:cs="Times New Roman"/>
      <w:szCs w:val="24"/>
    </w:rPr>
  </w:style>
  <w:style w:type="character" w:customStyle="1" w:styleId="341">
    <w:name w:val="nc-lang-cnt"/>
    <w:qFormat/>
    <w:uiPriority w:val="0"/>
  </w:style>
  <w:style w:type="character" w:customStyle="1" w:styleId="342">
    <w:name w:val="nc-lang-cnt1"/>
    <w:qFormat/>
    <w:uiPriority w:val="0"/>
  </w:style>
  <w:style w:type="character" w:customStyle="1" w:styleId="343">
    <w:name w:val="nc-lang-cnt2"/>
    <w:qFormat/>
    <w:uiPriority w:val="0"/>
  </w:style>
  <w:style w:type="character" w:customStyle="1" w:styleId="344">
    <w:name w:val="nc-lang-cnt3"/>
    <w:qFormat/>
    <w:uiPriority w:val="0"/>
    <w:rPr>
      <w:rFonts w:hint="cs"/>
      <w:rtl/>
      <w:cs/>
    </w:rPr>
  </w:style>
  <w:style w:type="character" w:customStyle="1" w:styleId="345">
    <w:name w:val="nc-lang-cnt4"/>
    <w:qFormat/>
    <w:uiPriority w:val="0"/>
    <w:rPr>
      <w:rFonts w:hint="cs"/>
      <w:rtl/>
      <w:cs/>
    </w:rPr>
  </w:style>
  <w:style w:type="character" w:customStyle="1" w:styleId="346">
    <w:name w:val="nc-lang-cnt5"/>
    <w:qFormat/>
    <w:uiPriority w:val="0"/>
    <w:rPr>
      <w:rFonts w:hint="cs"/>
      <w:rtl/>
      <w:cs/>
    </w:rPr>
  </w:style>
  <w:style w:type="paragraph" w:customStyle="1" w:styleId="347">
    <w:name w:val="WPSOffice手动目录 1"/>
    <w:qFormat/>
    <w:uiPriority w:val="0"/>
    <w:rPr>
      <w:rFonts w:ascii="Times New Roman" w:hAnsi="Times New Roman" w:eastAsia="宋体" w:cs="Times New Roman"/>
      <w:lang w:val="en-US" w:eastAsia="zh-CN" w:bidi="ar-SA"/>
    </w:rPr>
  </w:style>
  <w:style w:type="paragraph" w:customStyle="1" w:styleId="348">
    <w:name w:val="reader-word-layer reader-word-s4-33"/>
    <w:basedOn w:val="1"/>
    <w:qFormat/>
    <w:uiPriority w:val="0"/>
    <w:pPr>
      <w:widowControl/>
      <w:spacing w:before="280" w:after="280"/>
      <w:jc w:val="left"/>
    </w:pPr>
    <w:rPr>
      <w:rFonts w:ascii="宋体" w:hAnsi="宋体" w:cs="宋体"/>
      <w:kern w:val="0"/>
      <w:sz w:val="24"/>
    </w:rPr>
  </w:style>
  <w:style w:type="paragraph" w:customStyle="1" w:styleId="349">
    <w:name w:val="reader-word-layer reader-word-s4-1"/>
    <w:basedOn w:val="1"/>
    <w:qFormat/>
    <w:uiPriority w:val="0"/>
    <w:pPr>
      <w:widowControl/>
      <w:spacing w:before="280" w:after="280"/>
      <w:jc w:val="left"/>
    </w:pPr>
    <w:rPr>
      <w:rFonts w:ascii="宋体" w:hAnsi="宋体" w:cs="宋体"/>
      <w:kern w:val="0"/>
      <w:sz w:val="24"/>
    </w:rPr>
  </w:style>
  <w:style w:type="character" w:customStyle="1" w:styleId="350">
    <w:name w:val="无间隔 Char1"/>
    <w:qFormat/>
    <w:uiPriority w:val="0"/>
    <w:rPr>
      <w:rFonts w:ascii="Times New Roman" w:hAnsi="Times New Roman" w:eastAsia="宋体" w:cs="Times New Roman"/>
    </w:rPr>
  </w:style>
  <w:style w:type="character" w:customStyle="1" w:styleId="351">
    <w:name w:val="Heading 3 Char"/>
    <w:qFormat/>
    <w:locked/>
    <w:uiPriority w:val="99"/>
    <w:rPr>
      <w:rFonts w:ascii="Calibri" w:hAnsi="Calibri"/>
      <w:b/>
      <w:sz w:val="32"/>
    </w:rPr>
  </w:style>
  <w:style w:type="character" w:customStyle="1" w:styleId="352">
    <w:name w:val="正文 Char"/>
    <w:qFormat/>
    <w:uiPriority w:val="0"/>
    <w:rPr>
      <w:rFonts w:ascii="宋体"/>
      <w:sz w:val="34"/>
      <w:lang w:bidi="ar-SA"/>
    </w:rPr>
  </w:style>
  <w:style w:type="character" w:customStyle="1" w:styleId="353">
    <w:name w:val="引用 Char2"/>
    <w:basedOn w:val="58"/>
    <w:qFormat/>
    <w:uiPriority w:val="99"/>
    <w:rPr>
      <w:rFonts w:ascii="Calibri" w:hAnsi="Calibri" w:eastAsia="宋体" w:cs="Times New Roman"/>
      <w:i/>
      <w:kern w:val="0"/>
      <w:sz w:val="24"/>
      <w:szCs w:val="24"/>
      <w:lang w:eastAsia="en-US"/>
    </w:rPr>
  </w:style>
  <w:style w:type="character" w:customStyle="1" w:styleId="354">
    <w:name w:val="明显引用 Char2"/>
    <w:basedOn w:val="58"/>
    <w:qFormat/>
    <w:uiPriority w:val="99"/>
    <w:rPr>
      <w:rFonts w:ascii="Calibri" w:hAnsi="Calibri" w:eastAsia="宋体" w:cs="Times New Roman"/>
      <w:b/>
      <w:i/>
      <w:kern w:val="0"/>
      <w:sz w:val="24"/>
      <w:lang w:eastAsia="en-US"/>
    </w:rPr>
  </w:style>
  <w:style w:type="paragraph" w:customStyle="1" w:styleId="355">
    <w:name w:val="正文缩进1"/>
    <w:basedOn w:val="1"/>
    <w:qFormat/>
    <w:uiPriority w:val="0"/>
    <w:pPr>
      <w:widowControl/>
      <w:ind w:firstLine="420"/>
      <w:jc w:val="left"/>
    </w:pPr>
    <w:rPr>
      <w:rFonts w:ascii="Calibri" w:hAnsi="Calibri"/>
      <w:kern w:val="0"/>
      <w:sz w:val="20"/>
      <w:szCs w:val="20"/>
    </w:rPr>
  </w:style>
  <w:style w:type="character" w:customStyle="1" w:styleId="356">
    <w:name w:val="不明显强调2"/>
    <w:qFormat/>
    <w:uiPriority w:val="99"/>
    <w:rPr>
      <w:rFonts w:cs="Times New Roman"/>
      <w:i/>
      <w:color w:val="5A5A5A"/>
    </w:rPr>
  </w:style>
  <w:style w:type="character" w:customStyle="1" w:styleId="357">
    <w:name w:val="明显强调2"/>
    <w:qFormat/>
    <w:uiPriority w:val="99"/>
    <w:rPr>
      <w:rFonts w:cs="Times New Roman"/>
      <w:b/>
      <w:i/>
      <w:sz w:val="24"/>
      <w:szCs w:val="24"/>
      <w:u w:val="single"/>
    </w:rPr>
  </w:style>
  <w:style w:type="character" w:customStyle="1" w:styleId="358">
    <w:name w:val="z-窗体底端 Char3"/>
    <w:link w:val="359"/>
    <w:qFormat/>
    <w:uiPriority w:val="99"/>
    <w:rPr>
      <w:rFonts w:ascii="Arial" w:hAnsi="Arial" w:cs="Arial"/>
      <w:vanish/>
      <w:sz w:val="16"/>
      <w:szCs w:val="16"/>
    </w:rPr>
  </w:style>
  <w:style w:type="paragraph" w:customStyle="1" w:styleId="359">
    <w:name w:val="z-窗体底端2"/>
    <w:basedOn w:val="1"/>
    <w:next w:val="1"/>
    <w:link w:val="358"/>
    <w:qFormat/>
    <w:uiPriority w:val="99"/>
    <w:pPr>
      <w:pBdr>
        <w:top w:val="single" w:color="auto" w:sz="6" w:space="1"/>
      </w:pBdr>
      <w:jc w:val="center"/>
    </w:pPr>
    <w:rPr>
      <w:rFonts w:ascii="Arial" w:hAnsi="Arial" w:cs="Arial"/>
      <w:vanish/>
      <w:kern w:val="0"/>
      <w:sz w:val="16"/>
      <w:szCs w:val="16"/>
    </w:rPr>
  </w:style>
  <w:style w:type="character" w:customStyle="1" w:styleId="360">
    <w:name w:val="不明显参考2"/>
    <w:qFormat/>
    <w:uiPriority w:val="99"/>
    <w:rPr>
      <w:rFonts w:cs="Times New Roman"/>
      <w:sz w:val="24"/>
      <w:szCs w:val="24"/>
      <w:u w:val="single"/>
    </w:rPr>
  </w:style>
  <w:style w:type="character" w:customStyle="1" w:styleId="361">
    <w:name w:val="z-窗体顶端 Char3"/>
    <w:link w:val="362"/>
    <w:qFormat/>
    <w:uiPriority w:val="99"/>
    <w:rPr>
      <w:rFonts w:ascii="Arial" w:hAnsi="Arial" w:cs="Arial"/>
      <w:vanish/>
      <w:sz w:val="16"/>
      <w:szCs w:val="16"/>
    </w:rPr>
  </w:style>
  <w:style w:type="paragraph" w:customStyle="1" w:styleId="362">
    <w:name w:val="z-窗体顶端2"/>
    <w:basedOn w:val="1"/>
    <w:next w:val="1"/>
    <w:link w:val="361"/>
    <w:qFormat/>
    <w:uiPriority w:val="99"/>
    <w:pPr>
      <w:pBdr>
        <w:bottom w:val="single" w:color="auto" w:sz="6" w:space="1"/>
      </w:pBdr>
      <w:jc w:val="center"/>
    </w:pPr>
    <w:rPr>
      <w:rFonts w:ascii="Arial" w:hAnsi="Arial" w:cs="Arial"/>
      <w:vanish/>
      <w:kern w:val="0"/>
      <w:sz w:val="16"/>
      <w:szCs w:val="16"/>
    </w:rPr>
  </w:style>
  <w:style w:type="character" w:customStyle="1" w:styleId="363">
    <w:name w:val="z-窗体顶端 Char2"/>
    <w:basedOn w:val="58"/>
    <w:semiHidden/>
    <w:qFormat/>
    <w:uiPriority w:val="99"/>
    <w:rPr>
      <w:rFonts w:ascii="Arial" w:hAnsi="Arial" w:eastAsia="宋体" w:cs="Arial"/>
      <w:vanish/>
      <w:sz w:val="16"/>
      <w:szCs w:val="16"/>
    </w:rPr>
  </w:style>
  <w:style w:type="character" w:customStyle="1" w:styleId="364">
    <w:name w:val="z-窗体底端 Char2"/>
    <w:basedOn w:val="58"/>
    <w:semiHidden/>
    <w:qFormat/>
    <w:uiPriority w:val="99"/>
    <w:rPr>
      <w:rFonts w:ascii="Arial" w:hAnsi="Arial" w:eastAsia="宋体" w:cs="Arial"/>
      <w:vanish/>
      <w:sz w:val="16"/>
      <w:szCs w:val="16"/>
    </w:rPr>
  </w:style>
  <w:style w:type="paragraph" w:customStyle="1" w:styleId="365">
    <w:name w:val="明显引用1"/>
    <w:basedOn w:val="1"/>
    <w:next w:val="1"/>
    <w:qFormat/>
    <w:uiPriority w:val="99"/>
    <w:pPr>
      <w:widowControl/>
      <w:ind w:left="720" w:right="720"/>
      <w:jc w:val="left"/>
    </w:pPr>
    <w:rPr>
      <w:rFonts w:ascii="Calibri" w:hAnsi="Calibri"/>
      <w:b/>
      <w:i/>
      <w:kern w:val="0"/>
      <w:sz w:val="24"/>
      <w:szCs w:val="20"/>
      <w:lang w:eastAsia="en-US"/>
    </w:rPr>
  </w:style>
  <w:style w:type="paragraph" w:customStyle="1" w:styleId="366">
    <w:name w:val="引用1"/>
    <w:basedOn w:val="1"/>
    <w:next w:val="1"/>
    <w:qFormat/>
    <w:uiPriority w:val="99"/>
    <w:pPr>
      <w:widowControl/>
      <w:jc w:val="left"/>
    </w:pPr>
    <w:rPr>
      <w:rFonts w:ascii="Calibri" w:hAnsi="Calibri"/>
      <w:i/>
      <w:kern w:val="0"/>
      <w:sz w:val="24"/>
      <w:lang w:eastAsia="en-US"/>
    </w:rPr>
  </w:style>
  <w:style w:type="character" w:customStyle="1" w:styleId="367">
    <w:name w:val="font61"/>
    <w:qFormat/>
    <w:uiPriority w:val="0"/>
    <w:rPr>
      <w:rFonts w:hint="eastAsia" w:ascii="黑体" w:hAnsi="宋体" w:eastAsia="黑体" w:cs="黑体"/>
      <w:b/>
      <w:color w:val="000000"/>
      <w:sz w:val="18"/>
      <w:szCs w:val="18"/>
      <w:u w:val="none"/>
    </w:rPr>
  </w:style>
  <w:style w:type="character" w:customStyle="1" w:styleId="368">
    <w:name w:val="font101"/>
    <w:qFormat/>
    <w:uiPriority w:val="0"/>
    <w:rPr>
      <w:rFonts w:hint="eastAsia" w:ascii="黑体" w:hAnsi="宋体" w:eastAsia="黑体" w:cs="黑体"/>
      <w:b/>
      <w:color w:val="000000"/>
      <w:sz w:val="18"/>
      <w:szCs w:val="18"/>
      <w:u w:val="none"/>
    </w:rPr>
  </w:style>
  <w:style w:type="character" w:customStyle="1" w:styleId="369">
    <w:name w:val="font112"/>
    <w:qFormat/>
    <w:uiPriority w:val="0"/>
    <w:rPr>
      <w:rFonts w:hint="default" w:ascii="Arial" w:hAnsi="Arial" w:cs="Arial"/>
      <w:color w:val="000000"/>
      <w:sz w:val="18"/>
      <w:szCs w:val="18"/>
      <w:u w:val="none"/>
    </w:rPr>
  </w:style>
  <w:style w:type="character" w:customStyle="1" w:styleId="370">
    <w:name w:val="正文文本缩进 2 Char1"/>
    <w:semiHidden/>
    <w:qFormat/>
    <w:uiPriority w:val="99"/>
    <w:rPr>
      <w:rFonts w:ascii="Times New Roman" w:hAnsi="Times New Roman" w:eastAsia="宋体" w:cs="Times New Roman"/>
      <w:szCs w:val="20"/>
    </w:rPr>
  </w:style>
  <w:style w:type="character" w:customStyle="1" w:styleId="371">
    <w:name w:val="dash6b63_6587__char1"/>
    <w:qFormat/>
    <w:uiPriority w:val="0"/>
    <w:rPr>
      <w:rFonts w:hint="default" w:ascii="Times New Roman" w:hAnsi="Times New Roman" w:cs="Times New Roman"/>
      <w:sz w:val="20"/>
      <w:szCs w:val="20"/>
      <w:u w:val="none"/>
    </w:rPr>
  </w:style>
  <w:style w:type="character" w:customStyle="1" w:styleId="372">
    <w:name w:val="font71"/>
    <w:qFormat/>
    <w:uiPriority w:val="0"/>
    <w:rPr>
      <w:rFonts w:hint="eastAsia" w:ascii="黑体" w:hAnsi="宋体" w:eastAsia="黑体" w:cs="黑体"/>
      <w:b/>
      <w:color w:val="000000"/>
      <w:sz w:val="18"/>
      <w:szCs w:val="18"/>
      <w:u w:val="none"/>
    </w:rPr>
  </w:style>
  <w:style w:type="character" w:customStyle="1" w:styleId="373">
    <w:name w:val="font31"/>
    <w:qFormat/>
    <w:uiPriority w:val="0"/>
    <w:rPr>
      <w:rFonts w:hint="default" w:ascii="Arial" w:hAnsi="Arial" w:cs="Arial"/>
      <w:color w:val="000000"/>
      <w:sz w:val="18"/>
      <w:szCs w:val="18"/>
      <w:u w:val="none"/>
    </w:rPr>
  </w:style>
  <w:style w:type="character" w:customStyle="1" w:styleId="374">
    <w:name w:val="副标题 Char1"/>
    <w:qFormat/>
    <w:uiPriority w:val="11"/>
    <w:rPr>
      <w:rFonts w:ascii="Cambria" w:hAnsi="Cambria" w:eastAsia="宋体" w:cs="黑体"/>
      <w:b/>
      <w:bCs/>
      <w:kern w:val="28"/>
      <w:sz w:val="32"/>
      <w:szCs w:val="32"/>
    </w:rPr>
  </w:style>
  <w:style w:type="character" w:customStyle="1" w:styleId="375">
    <w:name w:val="font21"/>
    <w:basedOn w:val="58"/>
    <w:qFormat/>
    <w:uiPriority w:val="0"/>
    <w:rPr>
      <w:rFonts w:hint="eastAsia" w:ascii="宋体" w:hAnsi="宋体" w:eastAsia="宋体" w:cs="宋体"/>
      <w:color w:val="000000"/>
      <w:sz w:val="22"/>
      <w:szCs w:val="22"/>
      <w:u w:val="none"/>
    </w:rPr>
  </w:style>
  <w:style w:type="character" w:customStyle="1" w:styleId="376">
    <w:name w:val="font41"/>
    <w:qFormat/>
    <w:uiPriority w:val="0"/>
    <w:rPr>
      <w:rFonts w:hint="eastAsia" w:ascii="黑体" w:hAnsi="宋体" w:eastAsia="黑体" w:cs="黑体"/>
      <w:b/>
      <w:color w:val="000000"/>
      <w:sz w:val="18"/>
      <w:szCs w:val="18"/>
      <w:u w:val="none"/>
    </w:rPr>
  </w:style>
  <w:style w:type="character" w:customStyle="1" w:styleId="377">
    <w:name w:val="批注文字 Char1"/>
    <w:qFormat/>
    <w:uiPriority w:val="99"/>
    <w:rPr>
      <w:rFonts w:ascii="Times New Roman" w:hAnsi="Times New Roman" w:eastAsia="宋体" w:cs="Times New Roman"/>
      <w:szCs w:val="20"/>
    </w:rPr>
  </w:style>
  <w:style w:type="character" w:customStyle="1" w:styleId="378">
    <w:name w:val="正文文本 2 Char1"/>
    <w:qFormat/>
    <w:uiPriority w:val="99"/>
    <w:rPr>
      <w:rFonts w:ascii="Times New Roman" w:hAnsi="Times New Roman" w:eastAsia="宋体" w:cs="Times New Roman"/>
      <w:szCs w:val="20"/>
    </w:rPr>
  </w:style>
  <w:style w:type="character" w:customStyle="1" w:styleId="379">
    <w:name w:val="标题 Char1"/>
    <w:qFormat/>
    <w:uiPriority w:val="10"/>
    <w:rPr>
      <w:rFonts w:ascii="Cambria" w:hAnsi="Cambria" w:eastAsia="宋体" w:cs="黑体"/>
      <w:b/>
      <w:bCs/>
      <w:sz w:val="32"/>
      <w:szCs w:val="32"/>
    </w:rPr>
  </w:style>
  <w:style w:type="character" w:customStyle="1" w:styleId="380">
    <w:name w:val="页脚 Char1"/>
    <w:qFormat/>
    <w:uiPriority w:val="99"/>
    <w:rPr>
      <w:rFonts w:ascii="Times New Roman" w:hAnsi="Times New Roman" w:eastAsia="宋体" w:cs="Times New Roman"/>
      <w:sz w:val="18"/>
      <w:szCs w:val="18"/>
    </w:rPr>
  </w:style>
  <w:style w:type="character" w:customStyle="1" w:styleId="381">
    <w:name w:val="页眉 Char1"/>
    <w:qFormat/>
    <w:uiPriority w:val="99"/>
    <w:rPr>
      <w:rFonts w:ascii="Times New Roman" w:hAnsi="Times New Roman" w:eastAsia="宋体" w:cs="Times New Roman"/>
      <w:sz w:val="18"/>
      <w:szCs w:val="18"/>
    </w:rPr>
  </w:style>
  <w:style w:type="character" w:customStyle="1" w:styleId="382">
    <w:name w:val="font91"/>
    <w:qFormat/>
    <w:uiPriority w:val="0"/>
    <w:rPr>
      <w:rFonts w:hint="eastAsia" w:ascii="宋体" w:hAnsi="宋体" w:eastAsia="宋体" w:cs="宋体"/>
      <w:color w:val="333333"/>
      <w:sz w:val="18"/>
      <w:szCs w:val="18"/>
      <w:u w:val="none"/>
    </w:rPr>
  </w:style>
  <w:style w:type="character" w:customStyle="1" w:styleId="383">
    <w:name w:val="font51"/>
    <w:basedOn w:val="58"/>
    <w:qFormat/>
    <w:uiPriority w:val="0"/>
    <w:rPr>
      <w:rFonts w:hint="eastAsia" w:ascii="黑体" w:hAnsi="宋体" w:eastAsia="黑体" w:cs="黑体"/>
      <w:b/>
      <w:color w:val="000000"/>
      <w:sz w:val="16"/>
      <w:szCs w:val="16"/>
      <w:u w:val="none"/>
    </w:rPr>
  </w:style>
  <w:style w:type="character" w:customStyle="1" w:styleId="384">
    <w:name w:val="font01"/>
    <w:qFormat/>
    <w:uiPriority w:val="0"/>
    <w:rPr>
      <w:rFonts w:hint="eastAsia" w:ascii="宋体" w:hAnsi="宋体" w:eastAsia="宋体" w:cs="宋体"/>
      <w:color w:val="000000"/>
      <w:sz w:val="18"/>
      <w:szCs w:val="18"/>
      <w:u w:val="none"/>
    </w:rPr>
  </w:style>
  <w:style w:type="character" w:customStyle="1" w:styleId="385">
    <w:name w:val="正文文本缩进 3 Char1"/>
    <w:qFormat/>
    <w:uiPriority w:val="99"/>
    <w:rPr>
      <w:rFonts w:ascii="Times New Roman" w:hAnsi="Times New Roman" w:eastAsia="宋体" w:cs="Times New Roman"/>
      <w:sz w:val="16"/>
      <w:szCs w:val="16"/>
    </w:rPr>
  </w:style>
  <w:style w:type="character" w:customStyle="1" w:styleId="386">
    <w:name w:val="font121"/>
    <w:qFormat/>
    <w:uiPriority w:val="0"/>
    <w:rPr>
      <w:rFonts w:hint="eastAsia" w:ascii="宋体" w:hAnsi="宋体" w:eastAsia="宋体" w:cs="宋体"/>
      <w:color w:val="000000"/>
      <w:sz w:val="18"/>
      <w:szCs w:val="18"/>
      <w:u w:val="none"/>
    </w:rPr>
  </w:style>
  <w:style w:type="paragraph" w:customStyle="1" w:styleId="387">
    <w:name w:val="xl11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cs="宋体"/>
      <w:kern w:val="0"/>
      <w:sz w:val="24"/>
    </w:rPr>
  </w:style>
  <w:style w:type="paragraph" w:customStyle="1" w:styleId="388">
    <w:name w:val="普通(网站)1"/>
    <w:qFormat/>
    <w:uiPriority w:val="0"/>
    <w:pPr>
      <w:widowControl w:val="0"/>
      <w:suppressAutoHyphens/>
    </w:pPr>
    <w:rPr>
      <w:rFonts w:ascii="Times New Roman" w:hAnsi="Times New Roman" w:eastAsia="宋体" w:cs="Times New Roman"/>
      <w:kern w:val="1"/>
      <w:lang w:val="en-US" w:eastAsia="ar-SA" w:bidi="ar-SA"/>
    </w:rPr>
  </w:style>
  <w:style w:type="paragraph" w:customStyle="1" w:styleId="389">
    <w:name w:val="xl1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character" w:customStyle="1" w:styleId="390">
    <w:name w:val="批注文字 Char2"/>
    <w:basedOn w:val="58"/>
    <w:qFormat/>
    <w:uiPriority w:val="0"/>
  </w:style>
  <w:style w:type="paragraph" w:customStyle="1" w:styleId="391">
    <w:name w:val="xl124"/>
    <w:basedOn w:val="1"/>
    <w:qFormat/>
    <w:uiPriority w:val="0"/>
    <w:pPr>
      <w:widowControl/>
      <w:pBdr>
        <w:top w:val="single" w:color="000000" w:sz="4" w:space="0"/>
        <w:left w:val="single" w:color="000000" w:sz="4" w:space="0"/>
        <w:bottom w:val="single" w:color="000000" w:sz="4" w:space="0"/>
        <w:right w:val="single" w:color="000000" w:sz="4" w:space="0"/>
      </w:pBdr>
      <w:shd w:val="clear" w:color="FFFFFF" w:fill="FFFFFF"/>
      <w:spacing w:before="100" w:beforeAutospacing="1" w:after="100" w:afterAutospacing="1"/>
      <w:jc w:val="right"/>
      <w:textAlignment w:val="center"/>
    </w:pPr>
    <w:rPr>
      <w:rFonts w:ascii="宋体" w:hAnsi="宋体" w:cs="宋体"/>
      <w:color w:val="000000"/>
      <w:kern w:val="0"/>
      <w:sz w:val="20"/>
      <w:szCs w:val="20"/>
    </w:rPr>
  </w:style>
  <w:style w:type="paragraph" w:customStyle="1" w:styleId="392">
    <w:name w:val="样式5"/>
    <w:basedOn w:val="1"/>
    <w:qFormat/>
    <w:uiPriority w:val="0"/>
    <w:rPr>
      <w:rFonts w:ascii="宋体" w:hAnsi="Calibri"/>
      <w:sz w:val="24"/>
      <w:szCs w:val="20"/>
    </w:rPr>
  </w:style>
  <w:style w:type="character" w:customStyle="1" w:styleId="393">
    <w:name w:val="正文文本缩进 Char2"/>
    <w:basedOn w:val="58"/>
    <w:semiHidden/>
    <w:qFormat/>
    <w:uiPriority w:val="0"/>
  </w:style>
  <w:style w:type="paragraph" w:customStyle="1" w:styleId="394">
    <w:name w:val="xl11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4"/>
    </w:rPr>
  </w:style>
  <w:style w:type="paragraph" w:customStyle="1" w:styleId="395">
    <w:name w:val="xl1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cs="宋体"/>
      <w:kern w:val="0"/>
      <w:sz w:val="24"/>
    </w:rPr>
  </w:style>
  <w:style w:type="paragraph" w:customStyle="1" w:styleId="396">
    <w:name w:val="xl135"/>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center"/>
      <w:textAlignment w:val="center"/>
    </w:pPr>
    <w:rPr>
      <w:rFonts w:ascii="宋体" w:hAnsi="宋体" w:cs="宋体"/>
      <w:color w:val="000000"/>
      <w:kern w:val="0"/>
      <w:sz w:val="20"/>
      <w:szCs w:val="20"/>
    </w:rPr>
  </w:style>
  <w:style w:type="paragraph" w:customStyle="1" w:styleId="397">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398">
    <w:name w:val="xl10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4"/>
    </w:rPr>
  </w:style>
  <w:style w:type="paragraph" w:customStyle="1" w:styleId="399">
    <w:name w:val="xl143"/>
    <w:basedOn w:val="1"/>
    <w:qFormat/>
    <w:uiPriority w:val="0"/>
    <w:pPr>
      <w:widowControl/>
      <w:pBdr>
        <w:top w:val="single" w:color="000000" w:sz="4" w:space="0"/>
        <w:left w:val="single" w:color="000000" w:sz="4" w:space="0"/>
        <w:bottom w:val="single" w:color="000000" w:sz="4" w:space="0"/>
        <w:right w:val="single" w:color="000000" w:sz="4" w:space="0"/>
      </w:pBdr>
      <w:shd w:val="clear" w:color="FFFFFF" w:fill="FFFFFF"/>
      <w:spacing w:before="100" w:beforeAutospacing="1" w:after="100" w:afterAutospacing="1"/>
      <w:jc w:val="right"/>
      <w:textAlignment w:val="center"/>
    </w:pPr>
    <w:rPr>
      <w:rFonts w:ascii="宋体" w:hAnsi="宋体" w:cs="宋体"/>
      <w:color w:val="000000"/>
      <w:kern w:val="0"/>
      <w:sz w:val="24"/>
    </w:rPr>
  </w:style>
  <w:style w:type="character" w:customStyle="1" w:styleId="400">
    <w:name w:val="正文文本 Char2"/>
    <w:basedOn w:val="58"/>
    <w:qFormat/>
    <w:uiPriority w:val="99"/>
  </w:style>
  <w:style w:type="character" w:customStyle="1" w:styleId="401">
    <w:name w:val="文档结构图 Char2"/>
    <w:basedOn w:val="58"/>
    <w:qFormat/>
    <w:uiPriority w:val="99"/>
    <w:rPr>
      <w:rFonts w:ascii="宋体" w:eastAsia="宋体"/>
      <w:sz w:val="18"/>
      <w:szCs w:val="18"/>
    </w:rPr>
  </w:style>
  <w:style w:type="paragraph" w:customStyle="1" w:styleId="402">
    <w:name w:val="xl10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cs="宋体"/>
      <w:kern w:val="0"/>
      <w:sz w:val="24"/>
    </w:rPr>
  </w:style>
  <w:style w:type="character" w:customStyle="1" w:styleId="403">
    <w:name w:val="纯文本 Char2"/>
    <w:basedOn w:val="58"/>
    <w:qFormat/>
    <w:uiPriority w:val="0"/>
    <w:rPr>
      <w:rFonts w:ascii="宋体" w:hAnsi="Courier New" w:eastAsia="宋体" w:cs="Courier New"/>
      <w:szCs w:val="21"/>
    </w:rPr>
  </w:style>
  <w:style w:type="character" w:customStyle="1" w:styleId="404">
    <w:name w:val="日期 Char2"/>
    <w:basedOn w:val="58"/>
    <w:qFormat/>
    <w:uiPriority w:val="99"/>
  </w:style>
  <w:style w:type="character" w:customStyle="1" w:styleId="405">
    <w:name w:val="正文文本缩进 2 Char2"/>
    <w:basedOn w:val="58"/>
    <w:semiHidden/>
    <w:qFormat/>
    <w:uiPriority w:val="99"/>
  </w:style>
  <w:style w:type="character" w:customStyle="1" w:styleId="406">
    <w:name w:val="批注框文本 Char2"/>
    <w:basedOn w:val="58"/>
    <w:semiHidden/>
    <w:qFormat/>
    <w:uiPriority w:val="99"/>
    <w:rPr>
      <w:sz w:val="18"/>
      <w:szCs w:val="18"/>
    </w:rPr>
  </w:style>
  <w:style w:type="character" w:customStyle="1" w:styleId="407">
    <w:name w:val="正文文本 2 Char2"/>
    <w:basedOn w:val="58"/>
    <w:semiHidden/>
    <w:qFormat/>
    <w:uiPriority w:val="0"/>
  </w:style>
  <w:style w:type="character" w:customStyle="1" w:styleId="408">
    <w:name w:val="正文文本缩进 3 Char2"/>
    <w:basedOn w:val="58"/>
    <w:semiHidden/>
    <w:qFormat/>
    <w:uiPriority w:val="0"/>
    <w:rPr>
      <w:sz w:val="16"/>
      <w:szCs w:val="16"/>
    </w:rPr>
  </w:style>
  <w:style w:type="character" w:customStyle="1" w:styleId="409">
    <w:name w:val="副标题 Char2"/>
    <w:basedOn w:val="58"/>
    <w:qFormat/>
    <w:uiPriority w:val="0"/>
    <w:rPr>
      <w:rFonts w:ascii="Cambria" w:hAnsi="Cambria" w:eastAsia="宋体" w:cs="Times New Roman"/>
      <w:b/>
      <w:bCs/>
      <w:kern w:val="28"/>
      <w:sz w:val="32"/>
      <w:szCs w:val="32"/>
    </w:rPr>
  </w:style>
  <w:style w:type="character" w:customStyle="1" w:styleId="410">
    <w:name w:val="HTML 预设格式 Char1"/>
    <w:basedOn w:val="58"/>
    <w:qFormat/>
    <w:uiPriority w:val="99"/>
    <w:rPr>
      <w:rFonts w:ascii="Courier New" w:hAnsi="Courier New" w:cs="Courier New"/>
      <w:sz w:val="20"/>
      <w:szCs w:val="20"/>
    </w:rPr>
  </w:style>
  <w:style w:type="character" w:customStyle="1" w:styleId="411">
    <w:name w:val="标题 Char2"/>
    <w:basedOn w:val="58"/>
    <w:qFormat/>
    <w:uiPriority w:val="10"/>
    <w:rPr>
      <w:rFonts w:ascii="Cambria" w:hAnsi="Cambria" w:eastAsia="宋体" w:cs="Times New Roman"/>
      <w:b/>
      <w:bCs/>
      <w:sz w:val="32"/>
      <w:szCs w:val="32"/>
    </w:rPr>
  </w:style>
  <w:style w:type="character" w:customStyle="1" w:styleId="412">
    <w:name w:val="批注主题 Char2"/>
    <w:basedOn w:val="390"/>
    <w:semiHidden/>
    <w:qFormat/>
    <w:uiPriority w:val="99"/>
    <w:rPr>
      <w:b/>
      <w:bCs/>
    </w:rPr>
  </w:style>
  <w:style w:type="paragraph" w:customStyle="1" w:styleId="413">
    <w:name w:val="xl1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cs="宋体"/>
      <w:kern w:val="0"/>
      <w:sz w:val="24"/>
    </w:rPr>
  </w:style>
  <w:style w:type="paragraph" w:customStyle="1" w:styleId="414">
    <w:name w:val="xl83"/>
    <w:basedOn w:val="1"/>
    <w:qFormat/>
    <w:uiPriority w:val="0"/>
    <w:pPr>
      <w:widowControl/>
      <w:pBdr>
        <w:top w:val="single" w:color="000000" w:sz="4" w:space="0"/>
        <w:left w:val="single" w:color="000000" w:sz="4" w:space="0"/>
        <w:bottom w:val="single" w:color="000000" w:sz="4" w:space="0"/>
        <w:right w:val="single" w:color="000000" w:sz="4" w:space="0"/>
      </w:pBdr>
      <w:shd w:val="clear" w:color="FFFFFF" w:fill="FFFFFF"/>
      <w:spacing w:before="100" w:beforeAutospacing="1" w:after="100" w:afterAutospacing="1"/>
      <w:jc w:val="left"/>
      <w:textAlignment w:val="center"/>
    </w:pPr>
    <w:rPr>
      <w:rFonts w:ascii="宋体" w:hAnsi="宋体" w:cs="宋体"/>
      <w:color w:val="000000"/>
      <w:kern w:val="0"/>
      <w:sz w:val="24"/>
    </w:rPr>
  </w:style>
  <w:style w:type="paragraph" w:customStyle="1" w:styleId="415">
    <w:name w:val="xl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rPr>
  </w:style>
  <w:style w:type="paragraph" w:customStyle="1" w:styleId="416">
    <w:name w:val="xl9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cs="宋体"/>
      <w:kern w:val="0"/>
      <w:sz w:val="24"/>
    </w:rPr>
  </w:style>
  <w:style w:type="paragraph" w:customStyle="1" w:styleId="417">
    <w:name w:val="xl141"/>
    <w:basedOn w:val="1"/>
    <w:qFormat/>
    <w:uiPriority w:val="0"/>
    <w:pPr>
      <w:widowControl/>
      <w:shd w:val="clear" w:color="FFFFFF" w:fill="FFFFFF"/>
      <w:spacing w:before="100" w:beforeAutospacing="1" w:after="100" w:afterAutospacing="1"/>
      <w:jc w:val="left"/>
      <w:textAlignment w:val="center"/>
    </w:pPr>
    <w:rPr>
      <w:rFonts w:ascii="宋体" w:hAnsi="宋体" w:cs="宋体"/>
      <w:kern w:val="0"/>
      <w:sz w:val="24"/>
    </w:rPr>
  </w:style>
  <w:style w:type="paragraph" w:customStyle="1" w:styleId="418">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19">
    <w:name w:val="xl1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rPr>
  </w:style>
  <w:style w:type="paragraph" w:customStyle="1" w:styleId="420">
    <w:name w:val="xl122"/>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center"/>
      <w:textAlignment w:val="center"/>
    </w:pPr>
    <w:rPr>
      <w:rFonts w:ascii="宋体" w:hAnsi="宋体" w:cs="宋体"/>
      <w:color w:val="000000"/>
      <w:kern w:val="0"/>
      <w:sz w:val="20"/>
      <w:szCs w:val="20"/>
    </w:rPr>
  </w:style>
  <w:style w:type="paragraph" w:customStyle="1" w:styleId="421">
    <w:name w:val="xl86"/>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 w:val="24"/>
    </w:rPr>
  </w:style>
  <w:style w:type="paragraph" w:customStyle="1" w:styleId="422">
    <w:name w:val="xl10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cs="宋体"/>
      <w:kern w:val="0"/>
      <w:sz w:val="24"/>
    </w:rPr>
  </w:style>
  <w:style w:type="paragraph" w:customStyle="1" w:styleId="423">
    <w:name w:val="xl133"/>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center"/>
      <w:textAlignment w:val="center"/>
    </w:pPr>
    <w:rPr>
      <w:rFonts w:ascii="宋体" w:hAnsi="宋体" w:cs="宋体"/>
      <w:color w:val="000000"/>
      <w:kern w:val="0"/>
      <w:sz w:val="20"/>
      <w:szCs w:val="20"/>
    </w:rPr>
  </w:style>
  <w:style w:type="paragraph" w:customStyle="1" w:styleId="424">
    <w:name w:val="xl1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4"/>
    </w:rPr>
  </w:style>
  <w:style w:type="paragraph" w:customStyle="1" w:styleId="425">
    <w:name w:val="xl150"/>
    <w:basedOn w:val="1"/>
    <w:qFormat/>
    <w:uiPriority w:val="0"/>
    <w:pPr>
      <w:widowControl/>
      <w:shd w:val="clear" w:color="FFFFFF" w:fill="FFFFFF"/>
      <w:spacing w:before="100" w:beforeAutospacing="1" w:after="100" w:afterAutospacing="1"/>
      <w:jc w:val="left"/>
      <w:textAlignment w:val="center"/>
    </w:pPr>
    <w:rPr>
      <w:rFonts w:ascii="宋体" w:hAnsi="宋体" w:cs="宋体"/>
      <w:color w:val="000000"/>
      <w:kern w:val="0"/>
      <w:sz w:val="24"/>
    </w:rPr>
  </w:style>
  <w:style w:type="paragraph" w:customStyle="1" w:styleId="426">
    <w:name w:val="xl138"/>
    <w:basedOn w:val="1"/>
    <w:qFormat/>
    <w:uiPriority w:val="0"/>
    <w:pPr>
      <w:widowControl/>
      <w:pBdr>
        <w:top w:val="single" w:color="000000" w:sz="4" w:space="0"/>
        <w:left w:val="single" w:color="000000" w:sz="4" w:space="0"/>
        <w:bottom w:val="single" w:color="000000" w:sz="4" w:space="0"/>
        <w:right w:val="single" w:color="000000" w:sz="4" w:space="0"/>
      </w:pBdr>
      <w:shd w:val="clear" w:color="FFFFFF" w:fill="FFFFFF"/>
      <w:spacing w:before="100" w:beforeAutospacing="1" w:after="100" w:afterAutospacing="1"/>
      <w:jc w:val="center"/>
      <w:textAlignment w:val="center"/>
    </w:pPr>
    <w:rPr>
      <w:rFonts w:ascii="宋体" w:hAnsi="宋体" w:cs="宋体"/>
      <w:color w:val="000000"/>
      <w:kern w:val="0"/>
      <w:sz w:val="20"/>
      <w:szCs w:val="20"/>
    </w:rPr>
  </w:style>
  <w:style w:type="paragraph" w:customStyle="1" w:styleId="427">
    <w:name w:val="xl91"/>
    <w:basedOn w:val="1"/>
    <w:qFormat/>
    <w:uiPriority w:val="0"/>
    <w:pPr>
      <w:widowControl/>
      <w:pBdr>
        <w:top w:val="single" w:color="000000" w:sz="4" w:space="0"/>
        <w:left w:val="single" w:color="000000" w:sz="4" w:space="0"/>
        <w:right w:val="single" w:color="000000" w:sz="4" w:space="0"/>
      </w:pBdr>
      <w:shd w:val="clear" w:color="FFFFFF" w:fill="FFFFFF"/>
      <w:spacing w:before="100" w:beforeAutospacing="1" w:after="100" w:afterAutospacing="1"/>
      <w:jc w:val="right"/>
      <w:textAlignment w:val="center"/>
    </w:pPr>
    <w:rPr>
      <w:rFonts w:ascii="宋体" w:hAnsi="宋体" w:cs="宋体"/>
      <w:color w:val="000000"/>
      <w:kern w:val="0"/>
      <w:sz w:val="24"/>
    </w:rPr>
  </w:style>
  <w:style w:type="paragraph" w:customStyle="1" w:styleId="428">
    <w:name w:val="xl123"/>
    <w:basedOn w:val="1"/>
    <w:qFormat/>
    <w:uiPriority w:val="0"/>
    <w:pPr>
      <w:widowControl/>
      <w:shd w:val="clear" w:color="FFFFFF" w:fill="FFFFFF"/>
      <w:spacing w:before="100" w:beforeAutospacing="1" w:after="100" w:afterAutospacing="1"/>
      <w:jc w:val="left"/>
      <w:textAlignment w:val="center"/>
    </w:pPr>
    <w:rPr>
      <w:rFonts w:ascii="宋体" w:hAnsi="宋体" w:cs="宋体"/>
      <w:kern w:val="0"/>
      <w:sz w:val="24"/>
    </w:rPr>
  </w:style>
  <w:style w:type="paragraph" w:customStyle="1" w:styleId="429">
    <w:name w:val="批注文字1"/>
    <w:qFormat/>
    <w:uiPriority w:val="0"/>
    <w:pPr>
      <w:widowControl w:val="0"/>
      <w:suppressAutoHyphens/>
    </w:pPr>
    <w:rPr>
      <w:rFonts w:ascii="Times New Roman" w:hAnsi="Times New Roman" w:eastAsia="宋体" w:cs="Times New Roman"/>
      <w:kern w:val="1"/>
      <w:lang w:val="en-US" w:eastAsia="ar-SA" w:bidi="ar-SA"/>
    </w:rPr>
  </w:style>
  <w:style w:type="paragraph" w:customStyle="1" w:styleId="430">
    <w:name w:val="xl144"/>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right"/>
      <w:textAlignment w:val="center"/>
    </w:pPr>
    <w:rPr>
      <w:rFonts w:ascii="宋体" w:hAnsi="宋体" w:cs="宋体"/>
      <w:color w:val="000000"/>
      <w:kern w:val="0"/>
      <w:sz w:val="20"/>
      <w:szCs w:val="20"/>
    </w:rPr>
  </w:style>
  <w:style w:type="paragraph" w:customStyle="1" w:styleId="431">
    <w:name w:val="xl139"/>
    <w:basedOn w:val="1"/>
    <w:qFormat/>
    <w:uiPriority w:val="0"/>
    <w:pPr>
      <w:widowControl/>
      <w:pBdr>
        <w:top w:val="single" w:color="000000" w:sz="4" w:space="0"/>
        <w:left w:val="single" w:color="000000" w:sz="4" w:space="0"/>
        <w:bottom w:val="single" w:color="000000" w:sz="4" w:space="0"/>
        <w:right w:val="single" w:color="000000" w:sz="4" w:space="0"/>
      </w:pBdr>
      <w:shd w:val="clear" w:color="FFFFFF" w:fill="FFFFFF"/>
      <w:spacing w:before="100" w:beforeAutospacing="1" w:after="100" w:afterAutospacing="1"/>
      <w:jc w:val="right"/>
      <w:textAlignment w:val="center"/>
    </w:pPr>
    <w:rPr>
      <w:rFonts w:ascii="宋体" w:hAnsi="宋体" w:cs="宋体"/>
      <w:color w:val="000000"/>
      <w:kern w:val="0"/>
      <w:sz w:val="20"/>
      <w:szCs w:val="20"/>
    </w:rPr>
  </w:style>
  <w:style w:type="paragraph" w:customStyle="1" w:styleId="432">
    <w:name w:val="xl142"/>
    <w:basedOn w:val="1"/>
    <w:qFormat/>
    <w:uiPriority w:val="0"/>
    <w:pPr>
      <w:widowControl/>
      <w:shd w:val="clear" w:color="FFFFFF" w:fill="FFFFFF"/>
      <w:spacing w:before="100" w:beforeAutospacing="1" w:after="100" w:afterAutospacing="1"/>
      <w:jc w:val="left"/>
      <w:textAlignment w:val="center"/>
    </w:pPr>
    <w:rPr>
      <w:rFonts w:ascii="宋体" w:hAnsi="宋体" w:cs="宋体"/>
      <w:kern w:val="0"/>
      <w:sz w:val="24"/>
    </w:rPr>
  </w:style>
  <w:style w:type="paragraph" w:customStyle="1" w:styleId="433">
    <w:name w:val="xl11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rPr>
  </w:style>
  <w:style w:type="paragraph" w:customStyle="1" w:styleId="434">
    <w:name w:val="xl131"/>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right"/>
      <w:textAlignment w:val="center"/>
    </w:pPr>
    <w:rPr>
      <w:rFonts w:ascii="宋体" w:hAnsi="宋体" w:cs="宋体"/>
      <w:color w:val="000000"/>
      <w:kern w:val="0"/>
      <w:sz w:val="20"/>
      <w:szCs w:val="20"/>
    </w:rPr>
  </w:style>
  <w:style w:type="paragraph" w:customStyle="1" w:styleId="435">
    <w:name w:val="xl11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rPr>
  </w:style>
  <w:style w:type="paragraph" w:customStyle="1" w:styleId="436">
    <w:name w:val="xl127"/>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left"/>
      <w:textAlignment w:val="center"/>
    </w:pPr>
    <w:rPr>
      <w:rFonts w:ascii="宋体" w:hAnsi="宋体" w:cs="宋体"/>
      <w:kern w:val="0"/>
      <w:sz w:val="20"/>
      <w:szCs w:val="20"/>
    </w:rPr>
  </w:style>
  <w:style w:type="paragraph" w:customStyle="1" w:styleId="437">
    <w:name w:val="xl84"/>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center"/>
      <w:textAlignment w:val="center"/>
    </w:pPr>
    <w:rPr>
      <w:rFonts w:ascii="宋体" w:hAnsi="宋体" w:cs="宋体"/>
      <w:color w:val="000000"/>
      <w:kern w:val="0"/>
      <w:sz w:val="24"/>
    </w:rPr>
  </w:style>
  <w:style w:type="paragraph" w:customStyle="1" w:styleId="438">
    <w:name w:val="xl9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rPr>
  </w:style>
  <w:style w:type="paragraph" w:customStyle="1" w:styleId="439">
    <w:name w:val="xl89"/>
    <w:basedOn w:val="1"/>
    <w:qFormat/>
    <w:uiPriority w:val="0"/>
    <w:pPr>
      <w:widowControl/>
      <w:pBdr>
        <w:top w:val="single" w:color="000000" w:sz="4" w:space="0"/>
        <w:left w:val="single" w:color="000000" w:sz="8" w:space="0"/>
        <w:bottom w:val="single" w:color="000000" w:sz="4" w:space="0"/>
        <w:right w:val="single" w:color="000000" w:sz="4" w:space="0"/>
      </w:pBdr>
      <w:shd w:val="clear" w:color="FFFFFF" w:fill="FFFFFF"/>
      <w:spacing w:before="100" w:beforeAutospacing="1" w:after="100" w:afterAutospacing="1"/>
      <w:jc w:val="center"/>
      <w:textAlignment w:val="center"/>
    </w:pPr>
    <w:rPr>
      <w:rFonts w:ascii="宋体" w:hAnsi="宋体" w:cs="宋体"/>
      <w:color w:val="000000"/>
      <w:kern w:val="0"/>
      <w:sz w:val="24"/>
    </w:rPr>
  </w:style>
  <w:style w:type="paragraph" w:customStyle="1" w:styleId="440">
    <w:name w:val="xl1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cs="宋体"/>
      <w:kern w:val="0"/>
      <w:sz w:val="24"/>
    </w:rPr>
  </w:style>
  <w:style w:type="paragraph" w:customStyle="1" w:styleId="441">
    <w:name w:val="xl132"/>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left"/>
      <w:textAlignment w:val="center"/>
    </w:pPr>
    <w:rPr>
      <w:rFonts w:ascii="宋体" w:hAnsi="宋体" w:cs="宋体"/>
      <w:color w:val="000000"/>
      <w:kern w:val="0"/>
      <w:sz w:val="20"/>
      <w:szCs w:val="20"/>
    </w:rPr>
  </w:style>
  <w:style w:type="paragraph" w:customStyle="1" w:styleId="442">
    <w:name w:val="xl1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cs="宋体"/>
      <w:kern w:val="0"/>
      <w:sz w:val="24"/>
    </w:rPr>
  </w:style>
  <w:style w:type="paragraph" w:customStyle="1" w:styleId="443">
    <w:name w:val="xl136"/>
    <w:basedOn w:val="1"/>
    <w:qFormat/>
    <w:uiPriority w:val="0"/>
    <w:pPr>
      <w:widowControl/>
      <w:pBdr>
        <w:top w:val="single" w:color="000000" w:sz="4" w:space="0"/>
        <w:left w:val="single" w:color="000000" w:sz="8" w:space="0"/>
        <w:bottom w:val="single" w:color="000000" w:sz="4" w:space="0"/>
        <w:right w:val="single" w:color="000000" w:sz="4" w:space="0"/>
      </w:pBdr>
      <w:shd w:val="clear" w:color="FFFFFF" w:fill="FFFFFF"/>
      <w:spacing w:before="100" w:beforeAutospacing="1" w:after="100" w:afterAutospacing="1"/>
      <w:jc w:val="center"/>
      <w:textAlignment w:val="center"/>
    </w:pPr>
    <w:rPr>
      <w:rFonts w:ascii="宋体" w:hAnsi="宋体" w:cs="宋体"/>
      <w:color w:val="000000"/>
      <w:kern w:val="0"/>
      <w:sz w:val="20"/>
      <w:szCs w:val="20"/>
    </w:rPr>
  </w:style>
  <w:style w:type="paragraph" w:customStyle="1" w:styleId="444">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445">
    <w:name w:val="xl147"/>
    <w:basedOn w:val="1"/>
    <w:qFormat/>
    <w:uiPriority w:val="0"/>
    <w:pPr>
      <w:widowControl/>
      <w:shd w:val="clear" w:color="FFFFFF" w:fill="FFFFFF"/>
      <w:spacing w:before="100" w:beforeAutospacing="1" w:after="100" w:afterAutospacing="1"/>
      <w:jc w:val="left"/>
      <w:textAlignment w:val="center"/>
    </w:pPr>
    <w:rPr>
      <w:rFonts w:ascii="宋体" w:hAnsi="宋体" w:cs="宋体"/>
      <w:color w:val="000000"/>
      <w:kern w:val="0"/>
      <w:sz w:val="24"/>
    </w:rPr>
  </w:style>
  <w:style w:type="paragraph" w:customStyle="1" w:styleId="446">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47">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448">
    <w:name w:val="xl11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rPr>
  </w:style>
  <w:style w:type="paragraph" w:customStyle="1" w:styleId="449">
    <w:name w:val="xl129"/>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center"/>
      <w:textAlignment w:val="center"/>
    </w:pPr>
    <w:rPr>
      <w:rFonts w:ascii="宋体" w:hAnsi="宋体" w:cs="宋体"/>
      <w:color w:val="000000"/>
      <w:kern w:val="0"/>
      <w:sz w:val="20"/>
      <w:szCs w:val="20"/>
    </w:rPr>
  </w:style>
  <w:style w:type="paragraph" w:customStyle="1" w:styleId="450">
    <w:name w:val="xl1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4"/>
    </w:rPr>
  </w:style>
  <w:style w:type="paragraph" w:customStyle="1" w:styleId="451">
    <w:name w:val="xl78"/>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 w:val="18"/>
      <w:szCs w:val="18"/>
    </w:rPr>
  </w:style>
  <w:style w:type="paragraph" w:customStyle="1" w:styleId="452">
    <w:name w:val="_Style 67"/>
    <w:basedOn w:val="1"/>
    <w:qFormat/>
    <w:uiPriority w:val="0"/>
    <w:pPr>
      <w:widowControl/>
      <w:spacing w:after="160" w:line="240" w:lineRule="exact"/>
      <w:jc w:val="left"/>
    </w:pPr>
    <w:rPr>
      <w:rFonts w:ascii="Calibri" w:hAnsi="Calibri"/>
      <w:szCs w:val="21"/>
    </w:rPr>
  </w:style>
  <w:style w:type="paragraph" w:customStyle="1" w:styleId="453">
    <w:name w:val="xl137"/>
    <w:basedOn w:val="1"/>
    <w:qFormat/>
    <w:uiPriority w:val="0"/>
    <w:pPr>
      <w:widowControl/>
      <w:pBdr>
        <w:top w:val="single" w:color="000000" w:sz="4" w:space="0"/>
        <w:left w:val="single" w:color="000000" w:sz="4" w:space="0"/>
        <w:bottom w:val="single" w:color="000000" w:sz="4" w:space="0"/>
        <w:right w:val="single" w:color="000000" w:sz="4" w:space="0"/>
      </w:pBdr>
      <w:shd w:val="clear" w:color="FFFFFF" w:fill="FFFFFF"/>
      <w:spacing w:before="100" w:beforeAutospacing="1" w:after="100" w:afterAutospacing="1"/>
      <w:jc w:val="left"/>
      <w:textAlignment w:val="center"/>
    </w:pPr>
    <w:rPr>
      <w:rFonts w:ascii="宋体" w:hAnsi="宋体" w:cs="宋体"/>
      <w:color w:val="000000"/>
      <w:kern w:val="0"/>
      <w:sz w:val="20"/>
      <w:szCs w:val="20"/>
    </w:rPr>
  </w:style>
  <w:style w:type="paragraph" w:customStyle="1" w:styleId="454">
    <w:name w:val="xl134"/>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right"/>
      <w:textAlignment w:val="center"/>
    </w:pPr>
    <w:rPr>
      <w:rFonts w:ascii="宋体" w:hAnsi="宋体" w:cs="宋体"/>
      <w:color w:val="000000"/>
      <w:kern w:val="0"/>
      <w:sz w:val="20"/>
      <w:szCs w:val="20"/>
    </w:rPr>
  </w:style>
  <w:style w:type="character" w:customStyle="1" w:styleId="455">
    <w:name w:val="引用 Char3"/>
    <w:basedOn w:val="58"/>
    <w:qFormat/>
    <w:uiPriority w:val="29"/>
    <w:rPr>
      <w:i/>
      <w:iCs/>
      <w:color w:val="000000"/>
    </w:rPr>
  </w:style>
  <w:style w:type="paragraph" w:customStyle="1" w:styleId="456">
    <w:name w:val="xl92"/>
    <w:basedOn w:val="1"/>
    <w:qFormat/>
    <w:uiPriority w:val="0"/>
    <w:pPr>
      <w:widowControl/>
      <w:spacing w:before="100" w:beforeAutospacing="1" w:after="100" w:afterAutospacing="1"/>
      <w:jc w:val="left"/>
    </w:pPr>
    <w:rPr>
      <w:rFonts w:ascii="宋体" w:hAnsi="宋体" w:cs="宋体"/>
      <w:kern w:val="0"/>
      <w:sz w:val="24"/>
    </w:rPr>
  </w:style>
  <w:style w:type="paragraph" w:customStyle="1" w:styleId="457">
    <w:name w:val="xl9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4"/>
    </w:rPr>
  </w:style>
  <w:style w:type="paragraph" w:customStyle="1" w:styleId="458">
    <w:name w:val="xl120"/>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center"/>
      <w:textAlignment w:val="center"/>
    </w:pPr>
    <w:rPr>
      <w:rFonts w:ascii="宋体" w:hAnsi="宋体" w:cs="宋体"/>
      <w:kern w:val="0"/>
      <w:sz w:val="20"/>
      <w:szCs w:val="20"/>
    </w:rPr>
  </w:style>
  <w:style w:type="paragraph" w:customStyle="1" w:styleId="459">
    <w:name w:val="xl1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rPr>
  </w:style>
  <w:style w:type="paragraph" w:customStyle="1" w:styleId="460">
    <w:name w:val="xl93"/>
    <w:basedOn w:val="1"/>
    <w:qFormat/>
    <w:uiPriority w:val="0"/>
    <w:pPr>
      <w:widowControl/>
      <w:shd w:val="clear" w:color="FFFFFF" w:fill="FFFFFF"/>
      <w:spacing w:before="100" w:beforeAutospacing="1" w:after="100" w:afterAutospacing="1"/>
      <w:jc w:val="right"/>
      <w:textAlignment w:val="center"/>
    </w:pPr>
    <w:rPr>
      <w:rFonts w:ascii="宋体" w:hAnsi="宋体" w:cs="宋体"/>
      <w:color w:val="000000"/>
      <w:kern w:val="0"/>
      <w:sz w:val="24"/>
    </w:rPr>
  </w:style>
  <w:style w:type="character" w:customStyle="1" w:styleId="461">
    <w:name w:val="明显引用 Char3"/>
    <w:basedOn w:val="58"/>
    <w:qFormat/>
    <w:uiPriority w:val="30"/>
    <w:rPr>
      <w:b/>
      <w:bCs/>
      <w:i/>
      <w:iCs/>
      <w:color w:val="4F81BD"/>
    </w:rPr>
  </w:style>
  <w:style w:type="paragraph" w:customStyle="1" w:styleId="462">
    <w:name w:val="xl1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rPr>
  </w:style>
  <w:style w:type="paragraph" w:customStyle="1" w:styleId="463">
    <w:name w:val="xl9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4"/>
    </w:rPr>
  </w:style>
  <w:style w:type="paragraph" w:customStyle="1" w:styleId="464">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cs="宋体"/>
      <w:kern w:val="0"/>
      <w:sz w:val="24"/>
    </w:rPr>
  </w:style>
  <w:style w:type="paragraph" w:customStyle="1" w:styleId="465">
    <w:name w:val="xl146"/>
    <w:basedOn w:val="1"/>
    <w:qFormat/>
    <w:uiPriority w:val="0"/>
    <w:pPr>
      <w:widowControl/>
      <w:pBdr>
        <w:bottom w:val="single" w:color="auto" w:sz="4" w:space="0"/>
      </w:pBdr>
      <w:spacing w:before="100" w:beforeAutospacing="1" w:after="100" w:afterAutospacing="1"/>
      <w:jc w:val="left"/>
      <w:textAlignment w:val="center"/>
    </w:pPr>
    <w:rPr>
      <w:rFonts w:ascii="宋体" w:hAnsi="宋体" w:cs="宋体"/>
      <w:kern w:val="0"/>
      <w:sz w:val="24"/>
    </w:rPr>
  </w:style>
  <w:style w:type="paragraph" w:customStyle="1" w:styleId="466">
    <w:name w:val="xl121"/>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center"/>
      <w:textAlignment w:val="center"/>
    </w:pPr>
    <w:rPr>
      <w:rFonts w:ascii="宋体" w:hAnsi="宋体" w:cs="宋体"/>
      <w:kern w:val="0"/>
      <w:sz w:val="20"/>
      <w:szCs w:val="20"/>
    </w:rPr>
  </w:style>
  <w:style w:type="paragraph" w:customStyle="1" w:styleId="467">
    <w:name w:val="xl1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4"/>
    </w:rPr>
  </w:style>
  <w:style w:type="paragraph" w:customStyle="1" w:styleId="468">
    <w:name w:val="xl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4"/>
    </w:rPr>
  </w:style>
  <w:style w:type="paragraph" w:customStyle="1" w:styleId="469">
    <w:name w:val="xl87"/>
    <w:basedOn w:val="1"/>
    <w:qFormat/>
    <w:uiPriority w:val="0"/>
    <w:pPr>
      <w:widowControl/>
      <w:shd w:val="clear" w:color="FFFFFF" w:fill="FFFFFF"/>
      <w:spacing w:before="100" w:beforeAutospacing="1" w:after="100" w:afterAutospacing="1"/>
      <w:jc w:val="left"/>
      <w:textAlignment w:val="center"/>
    </w:pPr>
    <w:rPr>
      <w:rFonts w:ascii="宋体" w:hAnsi="宋体" w:cs="宋体"/>
      <w:color w:val="000000"/>
      <w:kern w:val="0"/>
      <w:sz w:val="24"/>
    </w:rPr>
  </w:style>
  <w:style w:type="paragraph" w:customStyle="1" w:styleId="470">
    <w:name w:val="xl130"/>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left"/>
      <w:textAlignment w:val="center"/>
    </w:pPr>
    <w:rPr>
      <w:rFonts w:ascii="宋体" w:hAnsi="宋体" w:cs="宋体"/>
      <w:color w:val="000000"/>
      <w:kern w:val="0"/>
      <w:sz w:val="20"/>
      <w:szCs w:val="20"/>
    </w:rPr>
  </w:style>
  <w:style w:type="paragraph" w:customStyle="1" w:styleId="471">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72">
    <w:name w:val="xl85"/>
    <w:basedOn w:val="1"/>
    <w:qFormat/>
    <w:uiPriority w:val="0"/>
    <w:pPr>
      <w:widowControl/>
      <w:pBdr>
        <w:top w:val="single" w:color="000000" w:sz="4" w:space="0"/>
        <w:left w:val="single" w:color="000000" w:sz="4" w:space="0"/>
        <w:bottom w:val="single" w:color="000000" w:sz="4" w:space="0"/>
        <w:right w:val="single" w:color="000000" w:sz="4" w:space="0"/>
      </w:pBdr>
      <w:shd w:val="clear" w:color="FFFFFF" w:fill="FFFFFF"/>
      <w:spacing w:before="100" w:beforeAutospacing="1" w:after="100" w:afterAutospacing="1"/>
      <w:jc w:val="center"/>
      <w:textAlignment w:val="center"/>
    </w:pPr>
    <w:rPr>
      <w:rFonts w:ascii="宋体" w:hAnsi="宋体" w:cs="宋体"/>
      <w:color w:val="000000"/>
      <w:kern w:val="0"/>
      <w:sz w:val="24"/>
    </w:rPr>
  </w:style>
  <w:style w:type="paragraph" w:customStyle="1" w:styleId="473">
    <w:name w:val="Char Char Char Char Char Char Char2"/>
    <w:basedOn w:val="1"/>
    <w:qFormat/>
    <w:uiPriority w:val="0"/>
    <w:rPr>
      <w:rFonts w:ascii="仿宋_GB2312" w:eastAsia="仿宋_GB2312"/>
      <w:b/>
      <w:sz w:val="32"/>
      <w:szCs w:val="32"/>
    </w:rPr>
  </w:style>
  <w:style w:type="paragraph" w:customStyle="1" w:styleId="474">
    <w:name w:val="xl145"/>
    <w:basedOn w:val="1"/>
    <w:qFormat/>
    <w:uiPriority w:val="0"/>
    <w:pPr>
      <w:widowControl/>
      <w:pBdr>
        <w:top w:val="single" w:color="000000" w:sz="4" w:space="0"/>
        <w:left w:val="single" w:color="000000" w:sz="4" w:space="0"/>
        <w:bottom w:val="single" w:color="000000" w:sz="4" w:space="0"/>
      </w:pBdr>
      <w:shd w:val="clear" w:color="FFFFFF" w:fill="FFFFFF"/>
      <w:spacing w:before="100" w:beforeAutospacing="1" w:after="100" w:afterAutospacing="1"/>
      <w:jc w:val="right"/>
      <w:textAlignment w:val="center"/>
    </w:pPr>
    <w:rPr>
      <w:rFonts w:ascii="宋体" w:hAnsi="宋体" w:cs="宋体"/>
      <w:color w:val="000000"/>
      <w:kern w:val="0"/>
      <w:sz w:val="20"/>
      <w:szCs w:val="20"/>
    </w:rPr>
  </w:style>
  <w:style w:type="paragraph" w:customStyle="1" w:styleId="475">
    <w:name w:val="Char4"/>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476">
    <w:name w:val="xl82"/>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 w:val="18"/>
      <w:szCs w:val="18"/>
    </w:rPr>
  </w:style>
  <w:style w:type="paragraph" w:customStyle="1" w:styleId="477">
    <w:name w:val="xl148"/>
    <w:basedOn w:val="1"/>
    <w:qFormat/>
    <w:uiPriority w:val="0"/>
    <w:pPr>
      <w:widowControl/>
      <w:shd w:val="clear" w:color="FFFFFF" w:fill="FFFFFF"/>
      <w:spacing w:before="100" w:beforeAutospacing="1" w:after="100" w:afterAutospacing="1"/>
      <w:jc w:val="left"/>
      <w:textAlignment w:val="center"/>
    </w:pPr>
    <w:rPr>
      <w:rFonts w:ascii="宋体" w:hAnsi="宋体" w:cs="宋体"/>
      <w:color w:val="000000"/>
      <w:kern w:val="0"/>
      <w:sz w:val="24"/>
    </w:rPr>
  </w:style>
  <w:style w:type="paragraph" w:customStyle="1" w:styleId="478">
    <w:name w:val="xl90"/>
    <w:basedOn w:val="1"/>
    <w:qFormat/>
    <w:uiPriority w:val="0"/>
    <w:pPr>
      <w:widowControl/>
      <w:pBdr>
        <w:top w:val="single" w:color="000000" w:sz="4" w:space="0"/>
        <w:left w:val="single" w:color="000000" w:sz="4" w:space="0"/>
        <w:bottom w:val="single" w:color="000000" w:sz="4" w:space="0"/>
        <w:right w:val="single" w:color="000000" w:sz="4" w:space="0"/>
      </w:pBdr>
      <w:shd w:val="clear" w:color="FFFFFF" w:fill="FFFFFF"/>
      <w:spacing w:before="100" w:beforeAutospacing="1" w:after="100" w:afterAutospacing="1"/>
      <w:jc w:val="right"/>
      <w:textAlignment w:val="center"/>
    </w:pPr>
    <w:rPr>
      <w:rFonts w:ascii="宋体" w:hAnsi="宋体" w:cs="宋体"/>
      <w:color w:val="000000"/>
      <w:kern w:val="0"/>
      <w:sz w:val="24"/>
    </w:rPr>
  </w:style>
  <w:style w:type="paragraph" w:customStyle="1" w:styleId="479">
    <w:name w:val="xl10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rPr>
  </w:style>
  <w:style w:type="paragraph" w:customStyle="1" w:styleId="480">
    <w:name w:val="xl8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81">
    <w:name w:val="正文12"/>
    <w:qFormat/>
    <w:uiPriority w:val="99"/>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482">
    <w:name w:val="xl11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4"/>
    </w:rPr>
  </w:style>
  <w:style w:type="paragraph" w:customStyle="1" w:styleId="483">
    <w:name w:val="xl126"/>
    <w:basedOn w:val="1"/>
    <w:qFormat/>
    <w:uiPriority w:val="0"/>
    <w:pPr>
      <w:widowControl/>
      <w:pBdr>
        <w:top w:val="single" w:color="auto" w:sz="4" w:space="0"/>
        <w:left w:val="single" w:color="auto" w:sz="4" w:space="0"/>
        <w:bottom w:val="single" w:color="auto" w:sz="4" w:space="0"/>
        <w:right w:val="single" w:color="auto" w:sz="4" w:space="0"/>
      </w:pBdr>
      <w:shd w:val="clear" w:color="FFFFFF" w:fill="FFFFFF"/>
      <w:spacing w:before="100" w:beforeAutospacing="1" w:after="100" w:afterAutospacing="1"/>
      <w:jc w:val="right"/>
      <w:textAlignment w:val="center"/>
    </w:pPr>
    <w:rPr>
      <w:rFonts w:ascii="宋体" w:hAnsi="宋体" w:cs="宋体"/>
      <w:kern w:val="0"/>
      <w:sz w:val="20"/>
      <w:szCs w:val="20"/>
    </w:rPr>
  </w:style>
  <w:style w:type="paragraph" w:customStyle="1" w:styleId="484">
    <w:name w:val="xl140"/>
    <w:basedOn w:val="1"/>
    <w:qFormat/>
    <w:uiPriority w:val="0"/>
    <w:pPr>
      <w:widowControl/>
      <w:shd w:val="clear" w:color="FFFFFF" w:fill="FFFFFF"/>
      <w:spacing w:before="100" w:beforeAutospacing="1" w:after="100" w:afterAutospacing="1"/>
      <w:jc w:val="left"/>
      <w:textAlignment w:val="center"/>
    </w:pPr>
    <w:rPr>
      <w:rFonts w:ascii="宋体" w:hAnsi="宋体" w:cs="宋体"/>
      <w:kern w:val="0"/>
      <w:sz w:val="24"/>
    </w:rPr>
  </w:style>
  <w:style w:type="paragraph" w:customStyle="1" w:styleId="485">
    <w:name w:val="xl149"/>
    <w:basedOn w:val="1"/>
    <w:qFormat/>
    <w:uiPriority w:val="0"/>
    <w:pPr>
      <w:widowControl/>
      <w:shd w:val="clear" w:color="FFFFFF" w:fill="FFFFFF"/>
      <w:spacing w:before="100" w:beforeAutospacing="1" w:after="100" w:afterAutospacing="1"/>
      <w:jc w:val="left"/>
      <w:textAlignment w:val="center"/>
    </w:pPr>
    <w:rPr>
      <w:rFonts w:ascii="宋体" w:hAnsi="宋体" w:cs="宋体"/>
      <w:color w:val="000000"/>
      <w:kern w:val="0"/>
      <w:sz w:val="24"/>
    </w:rPr>
  </w:style>
  <w:style w:type="table" w:customStyle="1" w:styleId="486">
    <w:name w:val="网格型2"/>
    <w:basedOn w:val="5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87">
    <w:name w:val="网格型1"/>
    <w:basedOn w:val="56"/>
    <w:qFormat/>
    <w:uiPriority w:val="59"/>
    <w:pPr>
      <w:widowControl w:val="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488">
    <w:name w:val="标题 2 Char1"/>
    <w:qFormat/>
    <w:uiPriority w:val="0"/>
    <w:rPr>
      <w:rFonts w:ascii="Arial" w:hAnsi="Arial" w:eastAsia="黑体" w:cs="Times New Roman"/>
      <w:b/>
      <w:bCs/>
      <w:sz w:val="32"/>
      <w:szCs w:val="32"/>
    </w:rPr>
  </w:style>
  <w:style w:type="character" w:customStyle="1" w:styleId="489">
    <w:name w:val="Blockquote Char Char"/>
    <w:qFormat/>
    <w:uiPriority w:val="0"/>
    <w:rPr>
      <w:rFonts w:eastAsia="宋体"/>
      <w:sz w:val="24"/>
    </w:rPr>
  </w:style>
  <w:style w:type="paragraph" w:customStyle="1" w:styleId="490">
    <w:name w:val="cucd-0"/>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character" w:customStyle="1" w:styleId="491">
    <w:name w:val="正文文本 3 Char1"/>
    <w:basedOn w:val="58"/>
    <w:qFormat/>
    <w:uiPriority w:val="99"/>
    <w:rPr>
      <w:rFonts w:ascii="Times New Roman" w:hAnsi="Times New Roman" w:eastAsia="宋体" w:cs="Times New Roman"/>
      <w:kern w:val="2"/>
      <w:sz w:val="16"/>
      <w:szCs w:val="16"/>
    </w:rPr>
  </w:style>
  <w:style w:type="character" w:customStyle="1" w:styleId="492">
    <w:name w:val="页脚 字符2"/>
    <w:qFormat/>
    <w:uiPriority w:val="0"/>
    <w:rPr>
      <w:rFonts w:ascii="Times New Roman" w:hAnsi="Times New Roman" w:eastAsia="宋体"/>
      <w:sz w:val="18"/>
    </w:rPr>
  </w:style>
  <w:style w:type="paragraph" w:customStyle="1" w:styleId="493">
    <w:name w:val="_Style 92"/>
    <w:qFormat/>
    <w:uiPriority w:val="99"/>
    <w:pPr>
      <w:widowControl w:val="0"/>
      <w:jc w:val="both"/>
    </w:pPr>
    <w:rPr>
      <w:rFonts w:ascii="Times New Roman" w:hAnsi="Times New Roman" w:eastAsia="宋体" w:cs="Times New Roman"/>
      <w:kern w:val="2"/>
      <w:sz w:val="21"/>
      <w:szCs w:val="24"/>
      <w:lang w:val="en-US" w:eastAsia="zh-CN" w:bidi="ar-SA"/>
    </w:rPr>
  </w:style>
  <w:style w:type="character" w:customStyle="1" w:styleId="494">
    <w:name w:val="正文文本缩进 字符2"/>
    <w:qFormat/>
    <w:uiPriority w:val="0"/>
    <w:rPr>
      <w:rFonts w:ascii="Bodoni MT" w:hAnsi="Bodoni MT" w:eastAsia="宋体"/>
      <w:sz w:val="24"/>
    </w:rPr>
  </w:style>
  <w:style w:type="character" w:customStyle="1" w:styleId="495">
    <w:name w:val="纯文本 Char Char Char Char Char Char"/>
    <w:qFormat/>
    <w:uiPriority w:val="0"/>
    <w:rPr>
      <w:rFonts w:ascii="宋体" w:hAnsi="Courier New" w:eastAsia="宋体" w:cs="Courier New"/>
      <w:kern w:val="2"/>
      <w:sz w:val="21"/>
      <w:szCs w:val="21"/>
      <w:lang w:val="en-US" w:eastAsia="zh-CN" w:bidi="ar-SA"/>
    </w:rPr>
  </w:style>
  <w:style w:type="character" w:customStyle="1" w:styleId="496">
    <w:name w:val="Char Char4"/>
    <w:qFormat/>
    <w:locked/>
    <w:uiPriority w:val="0"/>
    <w:rPr>
      <w:kern w:val="2"/>
      <w:sz w:val="18"/>
    </w:rPr>
  </w:style>
  <w:style w:type="character" w:customStyle="1" w:styleId="497">
    <w:name w:val="HTML 预设格式 Char2"/>
    <w:semiHidden/>
    <w:qFormat/>
    <w:uiPriority w:val="0"/>
    <w:rPr>
      <w:rFonts w:ascii="Courier New" w:hAnsi="Courier New" w:eastAsia="宋体" w:cs="Courier New"/>
      <w:sz w:val="20"/>
      <w:szCs w:val="20"/>
    </w:rPr>
  </w:style>
  <w:style w:type="character" w:customStyle="1" w:styleId="498">
    <w:name w:val="Heading 7 Char"/>
    <w:qFormat/>
    <w:locked/>
    <w:uiPriority w:val="0"/>
    <w:rPr>
      <w:rFonts w:cs="Times New Roman"/>
      <w:b/>
      <w:bCs/>
      <w:sz w:val="24"/>
      <w:szCs w:val="24"/>
    </w:rPr>
  </w:style>
  <w:style w:type="character" w:customStyle="1" w:styleId="499">
    <w:name w:val="b4 Char"/>
    <w:qFormat/>
    <w:uiPriority w:val="0"/>
    <w:rPr>
      <w:rFonts w:ascii="Arial" w:hAnsi="Arial" w:eastAsia="黑体"/>
      <w:b/>
      <w:kern w:val="2"/>
      <w:sz w:val="28"/>
      <w:lang w:val="en-US" w:eastAsia="zh-CN" w:bidi="ar-SA"/>
    </w:rPr>
  </w:style>
  <w:style w:type="character" w:customStyle="1" w:styleId="500">
    <w:name w:val="Char Char9"/>
    <w:qFormat/>
    <w:locked/>
    <w:uiPriority w:val="0"/>
    <w:rPr>
      <w:rFonts w:ascii="宋体" w:hAnsi="MS Sans Serif"/>
      <w:color w:val="000000"/>
      <w:sz w:val="24"/>
    </w:rPr>
  </w:style>
  <w:style w:type="character" w:customStyle="1" w:styleId="501">
    <w:name w:val="Footnote Text Char"/>
    <w:qFormat/>
    <w:locked/>
    <w:uiPriority w:val="0"/>
    <w:rPr>
      <w:rFonts w:ascii="宋体" w:eastAsia="宋体"/>
      <w:sz w:val="18"/>
    </w:rPr>
  </w:style>
  <w:style w:type="character" w:customStyle="1" w:styleId="502">
    <w:name w:val="标题 2 Char Char"/>
    <w:qFormat/>
    <w:uiPriority w:val="0"/>
    <w:rPr>
      <w:rFonts w:ascii="Cambria" w:hAnsi="Cambria" w:eastAsia="宋体" w:cs="Times New Roman"/>
      <w:b/>
      <w:bCs/>
      <w:sz w:val="32"/>
      <w:szCs w:val="32"/>
    </w:rPr>
  </w:style>
  <w:style w:type="character" w:customStyle="1" w:styleId="503">
    <w:name w:val="Char Char17"/>
    <w:qFormat/>
    <w:uiPriority w:val="0"/>
    <w:rPr>
      <w:kern w:val="2"/>
      <w:sz w:val="28"/>
      <w:szCs w:val="24"/>
    </w:rPr>
  </w:style>
  <w:style w:type="character" w:customStyle="1" w:styleId="504">
    <w:name w:val="正文文本 字符1"/>
    <w:semiHidden/>
    <w:qFormat/>
    <w:uiPriority w:val="0"/>
    <w:rPr>
      <w:rFonts w:ascii="宋体" w:hAnsi="宋体" w:eastAsia="宋体" w:cs="Times New Roman"/>
      <w:sz w:val="24"/>
      <w:szCs w:val="24"/>
    </w:rPr>
  </w:style>
  <w:style w:type="character" w:customStyle="1" w:styleId="505">
    <w:name w:val="个人答复风格"/>
    <w:qFormat/>
    <w:uiPriority w:val="0"/>
    <w:rPr>
      <w:rFonts w:ascii="Arial" w:hAnsi="Arial" w:eastAsia="宋体" w:cs="Arial"/>
      <w:color w:val="auto"/>
      <w:sz w:val="20"/>
    </w:rPr>
  </w:style>
  <w:style w:type="character" w:customStyle="1" w:styleId="506">
    <w:name w:val="breakword"/>
    <w:qFormat/>
    <w:uiPriority w:val="0"/>
  </w:style>
  <w:style w:type="character" w:customStyle="1" w:styleId="507">
    <w:name w:val="ca-11"/>
    <w:qFormat/>
    <w:uiPriority w:val="0"/>
    <w:rPr>
      <w:rFonts w:ascii="Times New Roman" w:hAnsi="Times New Roman"/>
      <w:sz w:val="28"/>
    </w:rPr>
  </w:style>
  <w:style w:type="character" w:customStyle="1" w:styleId="508">
    <w:name w:val="Char Char10"/>
    <w:qFormat/>
    <w:uiPriority w:val="0"/>
    <w:rPr>
      <w:rFonts w:eastAsia="宋体"/>
      <w:kern w:val="2"/>
      <w:sz w:val="18"/>
      <w:szCs w:val="18"/>
      <w:lang w:val="en-US" w:eastAsia="zh-CN" w:bidi="ar-SA"/>
    </w:rPr>
  </w:style>
  <w:style w:type="character" w:customStyle="1" w:styleId="509">
    <w:name w:val="纯文本 字符1"/>
    <w:semiHidden/>
    <w:qFormat/>
    <w:uiPriority w:val="0"/>
    <w:rPr>
      <w:rFonts w:ascii="宋体" w:hAnsi="Courier New" w:cs="Courier New"/>
      <w:sz w:val="24"/>
      <w:szCs w:val="24"/>
    </w:rPr>
  </w:style>
  <w:style w:type="character" w:customStyle="1" w:styleId="510">
    <w:name w:val="ꌢ 2 Char Char"/>
    <w:qFormat/>
    <w:uiPriority w:val="0"/>
    <w:rPr>
      <w:rFonts w:ascii="Arial" w:hAnsi="Arial"/>
      <w:b/>
      <w:bCs/>
    </w:rPr>
  </w:style>
  <w:style w:type="character" w:customStyle="1" w:styleId="511">
    <w:name w:val="Char Char Char Char Char Char Char Char Char"/>
    <w:qFormat/>
    <w:uiPriority w:val="0"/>
    <w:rPr>
      <w:sz w:val="18"/>
      <w:szCs w:val="18"/>
    </w:rPr>
  </w:style>
  <w:style w:type="character" w:customStyle="1" w:styleId="512">
    <w:name w:val="Char Char6"/>
    <w:qFormat/>
    <w:uiPriority w:val="0"/>
    <w:rPr>
      <w:rFonts w:eastAsia="宋体"/>
      <w:kern w:val="2"/>
      <w:sz w:val="21"/>
      <w:szCs w:val="24"/>
      <w:lang w:val="en-US" w:eastAsia="zh-CN" w:bidi="ar-SA"/>
    </w:rPr>
  </w:style>
  <w:style w:type="character" w:customStyle="1" w:styleId="513">
    <w:name w:val="Char Char5"/>
    <w:qFormat/>
    <w:uiPriority w:val="0"/>
    <w:rPr>
      <w:rFonts w:ascii="Cambria" w:hAnsi="Cambria"/>
      <w:b/>
      <w:bCs/>
      <w:kern w:val="2"/>
      <w:sz w:val="32"/>
      <w:szCs w:val="32"/>
      <w:lang w:bidi="ar-SA"/>
    </w:rPr>
  </w:style>
  <w:style w:type="character" w:customStyle="1" w:styleId="514">
    <w:name w:val="HTML 预设格式 字符1"/>
    <w:semiHidden/>
    <w:qFormat/>
    <w:uiPriority w:val="0"/>
    <w:rPr>
      <w:rFonts w:ascii="Courier New" w:hAnsi="Courier New" w:cs="Courier New"/>
      <w:kern w:val="2"/>
    </w:rPr>
  </w:style>
  <w:style w:type="character" w:customStyle="1" w:styleId="515">
    <w:name w:val="正文文本缩进 2 字符2"/>
    <w:qFormat/>
    <w:uiPriority w:val="0"/>
    <w:rPr>
      <w:rFonts w:ascii="宋体" w:hAnsi="MS Sans Serif" w:eastAsia="宋体"/>
      <w:spacing w:val="12"/>
      <w:kern w:val="0"/>
      <w:sz w:val="20"/>
    </w:rPr>
  </w:style>
  <w:style w:type="character" w:customStyle="1" w:styleId="516">
    <w:name w:val="批注主题 字符1"/>
    <w:semiHidden/>
    <w:qFormat/>
    <w:uiPriority w:val="0"/>
    <w:rPr>
      <w:rFonts w:ascii="宋体" w:hAnsi="宋体" w:eastAsia="宋体" w:cs="Times New Roman"/>
      <w:b/>
      <w:bCs/>
      <w:sz w:val="24"/>
      <w:szCs w:val="24"/>
    </w:rPr>
  </w:style>
  <w:style w:type="character" w:customStyle="1" w:styleId="517">
    <w:name w:val="标题 7 Char1"/>
    <w:qFormat/>
    <w:uiPriority w:val="0"/>
    <w:rPr>
      <w:b/>
      <w:bCs/>
      <w:kern w:val="2"/>
      <w:sz w:val="24"/>
      <w:szCs w:val="24"/>
    </w:rPr>
  </w:style>
  <w:style w:type="character" w:customStyle="1" w:styleId="518">
    <w:name w:val="页眉 Char Char"/>
    <w:qFormat/>
    <w:uiPriority w:val="0"/>
    <w:rPr>
      <w:rFonts w:eastAsia="宋体"/>
      <w:kern w:val="2"/>
      <w:sz w:val="18"/>
      <w:szCs w:val="18"/>
      <w:lang w:val="en-US" w:eastAsia="zh-CN" w:bidi="ar-SA"/>
    </w:rPr>
  </w:style>
  <w:style w:type="character" w:customStyle="1" w:styleId="519">
    <w:name w:val="HTML Preformatted Char"/>
    <w:qFormat/>
    <w:locked/>
    <w:uiPriority w:val="0"/>
    <w:rPr>
      <w:rFonts w:ascii="Courier New" w:hAnsi="Courier New" w:eastAsia="仿宋"/>
    </w:rPr>
  </w:style>
  <w:style w:type="character" w:customStyle="1" w:styleId="520">
    <w:name w:val="style61"/>
    <w:qFormat/>
    <w:uiPriority w:val="0"/>
    <w:rPr>
      <w:color w:val="FF0000"/>
    </w:rPr>
  </w:style>
  <w:style w:type="character" w:customStyle="1" w:styleId="521">
    <w:name w:val="Title Char"/>
    <w:qFormat/>
    <w:locked/>
    <w:uiPriority w:val="0"/>
    <w:rPr>
      <w:rFonts w:ascii="Cambria" w:hAnsi="Cambria" w:cs="Times New Roman"/>
      <w:b/>
      <w:bCs/>
      <w:sz w:val="32"/>
      <w:szCs w:val="32"/>
    </w:rPr>
  </w:style>
  <w:style w:type="character" w:customStyle="1" w:styleId="522">
    <w:name w:val="正文文本 2 字符2"/>
    <w:qFormat/>
    <w:uiPriority w:val="0"/>
    <w:rPr>
      <w:rFonts w:ascii="Times New Roman" w:hAnsi="Times New Roman" w:eastAsia="宋体"/>
      <w:sz w:val="24"/>
    </w:rPr>
  </w:style>
  <w:style w:type="character" w:customStyle="1" w:styleId="523">
    <w:name w:val="sbprdlne1"/>
    <w:qFormat/>
    <w:uiPriority w:val="0"/>
    <w:rPr>
      <w:rFonts w:hint="default" w:ascii="Verdana" w:hAnsi="Verdana"/>
      <w:b/>
      <w:bCs/>
      <w:color w:val="DE0031"/>
      <w:sz w:val="18"/>
      <w:szCs w:val="18"/>
    </w:rPr>
  </w:style>
  <w:style w:type="character" w:customStyle="1" w:styleId="524">
    <w:name w:val="尾注文本 Char3"/>
    <w:semiHidden/>
    <w:qFormat/>
    <w:uiPriority w:val="99"/>
    <w:rPr>
      <w:rFonts w:ascii="Times New Roman" w:hAnsi="Times New Roman"/>
      <w:kern w:val="2"/>
      <w:sz w:val="21"/>
      <w:szCs w:val="24"/>
    </w:rPr>
  </w:style>
  <w:style w:type="character" w:customStyle="1" w:styleId="525">
    <w:name w:val="副标题 字符"/>
    <w:qFormat/>
    <w:uiPriority w:val="99"/>
    <w:rPr>
      <w:rFonts w:ascii="Cambria" w:hAnsi="Cambria"/>
      <w:b/>
      <w:bCs/>
      <w:kern w:val="28"/>
      <w:sz w:val="32"/>
      <w:szCs w:val="32"/>
    </w:rPr>
  </w:style>
  <w:style w:type="character" w:customStyle="1" w:styleId="526">
    <w:name w:val="正文文本缩进 3 字符1"/>
    <w:semiHidden/>
    <w:qFormat/>
    <w:uiPriority w:val="0"/>
    <w:rPr>
      <w:sz w:val="16"/>
    </w:rPr>
  </w:style>
  <w:style w:type="character" w:customStyle="1" w:styleId="527">
    <w:name w:val="标题 5 字符1"/>
    <w:qFormat/>
    <w:uiPriority w:val="0"/>
    <w:rPr>
      <w:rFonts w:ascii="Times New Roman" w:hAnsi="Times New Roman" w:eastAsia="宋体"/>
      <w:sz w:val="24"/>
    </w:rPr>
  </w:style>
  <w:style w:type="character" w:customStyle="1" w:styleId="528">
    <w:name w:val="Heading 6 Char"/>
    <w:qFormat/>
    <w:locked/>
    <w:uiPriority w:val="0"/>
    <w:rPr>
      <w:rFonts w:ascii="Cambria" w:hAnsi="Cambria" w:cs="Times New Roman"/>
      <w:b/>
      <w:bCs/>
      <w:sz w:val="24"/>
      <w:szCs w:val="24"/>
    </w:rPr>
  </w:style>
  <w:style w:type="character" w:customStyle="1" w:styleId="529">
    <w:name w:val="Char Char1 Char Char Char Char Char Char Char Char Char Char Char"/>
    <w:qFormat/>
    <w:uiPriority w:val="0"/>
    <w:rPr>
      <w:rFonts w:ascii="Verdana" w:hAnsi="Verdana" w:eastAsia="仿宋_GB2312"/>
      <w:sz w:val="24"/>
      <w:lang w:eastAsia="en-US"/>
    </w:rPr>
  </w:style>
  <w:style w:type="character" w:customStyle="1" w:styleId="530">
    <w:name w:val="副标题 字符2"/>
    <w:qFormat/>
    <w:uiPriority w:val="0"/>
    <w:rPr>
      <w:rFonts w:ascii="Times New Roman" w:hAnsi="Times New Roman"/>
      <w:b/>
      <w:sz w:val="24"/>
    </w:rPr>
  </w:style>
  <w:style w:type="character" w:customStyle="1" w:styleId="531">
    <w:name w:val="标题 9 字符1"/>
    <w:qFormat/>
    <w:uiPriority w:val="0"/>
    <w:rPr>
      <w:rFonts w:ascii="Times New Roman" w:hAnsi="Times New Roman" w:eastAsia="宋体"/>
      <w:sz w:val="24"/>
    </w:rPr>
  </w:style>
  <w:style w:type="character" w:customStyle="1" w:styleId="532">
    <w:name w:val="ca-01"/>
    <w:qFormat/>
    <w:uiPriority w:val="0"/>
    <w:rPr>
      <w:rFonts w:ascii="宋体" w:hAnsi="宋体" w:eastAsia="宋体"/>
      <w:b/>
      <w:spacing w:val="-20"/>
      <w:sz w:val="36"/>
    </w:rPr>
  </w:style>
  <w:style w:type="character" w:customStyle="1" w:styleId="533">
    <w:name w:val="正文文本 3 字符1"/>
    <w:semiHidden/>
    <w:qFormat/>
    <w:uiPriority w:val="0"/>
    <w:rPr>
      <w:rFonts w:ascii="宋体" w:hAnsi="宋体" w:eastAsia="宋体" w:cs="Times New Roman"/>
      <w:sz w:val="16"/>
      <w:szCs w:val="16"/>
    </w:rPr>
  </w:style>
  <w:style w:type="character" w:customStyle="1" w:styleId="534">
    <w:name w:val="正文首行缩进 Char1"/>
    <w:semiHidden/>
    <w:qFormat/>
    <w:uiPriority w:val="99"/>
    <w:rPr>
      <w:rFonts w:ascii="Times New Roman" w:hAnsi="Times New Roman" w:eastAsia="仿宋_GB2312"/>
      <w:spacing w:val="-20"/>
      <w:kern w:val="2"/>
      <w:sz w:val="21"/>
      <w:szCs w:val="24"/>
    </w:rPr>
  </w:style>
  <w:style w:type="character" w:customStyle="1" w:styleId="535">
    <w:name w:val="Char Char16"/>
    <w:qFormat/>
    <w:uiPriority w:val="0"/>
    <w:rPr>
      <w:rFonts w:ascii="Cambria" w:hAnsi="Cambria"/>
      <w:b/>
      <w:bCs/>
      <w:kern w:val="28"/>
      <w:sz w:val="32"/>
      <w:szCs w:val="32"/>
      <w:lang w:bidi="ar-SA"/>
    </w:rPr>
  </w:style>
  <w:style w:type="character" w:customStyle="1" w:styleId="536">
    <w:name w:val="Heading 4 Char"/>
    <w:qFormat/>
    <w:locked/>
    <w:uiPriority w:val="0"/>
    <w:rPr>
      <w:rFonts w:ascii="宋体" w:eastAsia="宋体" w:cs="Times New Roman"/>
      <w:bCs/>
      <w:sz w:val="28"/>
      <w:szCs w:val="28"/>
    </w:rPr>
  </w:style>
  <w:style w:type="character" w:customStyle="1" w:styleId="537">
    <w:name w:val="标题 1 字符1"/>
    <w:qFormat/>
    <w:uiPriority w:val="0"/>
    <w:rPr>
      <w:rFonts w:ascii="Times New Roman" w:hAnsi="Times New Roman" w:eastAsia="宋体"/>
      <w:b/>
      <w:kern w:val="44"/>
      <w:sz w:val="44"/>
    </w:rPr>
  </w:style>
  <w:style w:type="character" w:customStyle="1" w:styleId="538">
    <w:name w:val="正文文本缩进 2 字符1"/>
    <w:semiHidden/>
    <w:qFormat/>
    <w:uiPriority w:val="0"/>
    <w:rPr>
      <w:sz w:val="24"/>
    </w:rPr>
  </w:style>
  <w:style w:type="character" w:customStyle="1" w:styleId="539">
    <w:name w:val="文档正文 Char"/>
    <w:link w:val="540"/>
    <w:qFormat/>
    <w:uiPriority w:val="0"/>
    <w:rPr>
      <w:rFonts w:ascii="宋体"/>
      <w:spacing w:val="4"/>
      <w:sz w:val="24"/>
    </w:rPr>
  </w:style>
  <w:style w:type="paragraph" w:customStyle="1" w:styleId="540">
    <w:name w:val="文档正文"/>
    <w:basedOn w:val="1"/>
    <w:link w:val="539"/>
    <w:qFormat/>
    <w:uiPriority w:val="0"/>
    <w:pPr>
      <w:adjustRightInd w:val="0"/>
      <w:spacing w:beforeLines="50" w:afterLines="50" w:line="440" w:lineRule="atLeast"/>
      <w:ind w:firstLine="567"/>
      <w:textAlignment w:val="baseline"/>
    </w:pPr>
    <w:rPr>
      <w:rFonts w:ascii="宋体"/>
      <w:spacing w:val="4"/>
      <w:kern w:val="0"/>
      <w:sz w:val="24"/>
      <w:szCs w:val="20"/>
    </w:rPr>
  </w:style>
  <w:style w:type="character" w:customStyle="1" w:styleId="541">
    <w:name w:val="Char Char141"/>
    <w:qFormat/>
    <w:locked/>
    <w:uiPriority w:val="0"/>
    <w:rPr>
      <w:rFonts w:ascii="宋体" w:eastAsia="宋体"/>
    </w:rPr>
  </w:style>
  <w:style w:type="character" w:customStyle="1" w:styleId="542">
    <w:name w:val="px14"/>
    <w:basedOn w:val="58"/>
    <w:qFormat/>
    <w:uiPriority w:val="0"/>
  </w:style>
  <w:style w:type="character" w:customStyle="1" w:styleId="543">
    <w:name w:val="Char Char26"/>
    <w:qFormat/>
    <w:uiPriority w:val="0"/>
    <w:rPr>
      <w:rFonts w:eastAsia="宋体"/>
      <w:b/>
      <w:bCs/>
      <w:kern w:val="2"/>
      <w:sz w:val="21"/>
      <w:szCs w:val="24"/>
      <w:lang w:val="en-US" w:eastAsia="zh-CN" w:bidi="ar-SA"/>
    </w:rPr>
  </w:style>
  <w:style w:type="character" w:customStyle="1" w:styleId="544">
    <w:name w:val="样式2 Char Char"/>
    <w:qFormat/>
    <w:uiPriority w:val="0"/>
    <w:rPr>
      <w:rFonts w:eastAsia="宋体"/>
      <w:bCs/>
      <w:kern w:val="2"/>
      <w:sz w:val="28"/>
      <w:szCs w:val="24"/>
      <w:lang w:val="en-US" w:eastAsia="zh-CN" w:bidi="ar-SA"/>
    </w:rPr>
  </w:style>
  <w:style w:type="character" w:customStyle="1" w:styleId="545">
    <w:name w:val="Char Char11"/>
    <w:qFormat/>
    <w:uiPriority w:val="0"/>
    <w:rPr>
      <w:rFonts w:ascii="Bodoni MT" w:hAnsi="Bodoni MT" w:eastAsia="宋体" w:cs="Bodoni MT"/>
      <w:kern w:val="2"/>
      <w:sz w:val="21"/>
      <w:szCs w:val="24"/>
      <w:lang w:val="en-US" w:eastAsia="zh-CN" w:bidi="ar-SA"/>
    </w:rPr>
  </w:style>
  <w:style w:type="character" w:customStyle="1" w:styleId="546">
    <w:name w:val="页脚 字符1"/>
    <w:semiHidden/>
    <w:qFormat/>
    <w:uiPriority w:val="0"/>
    <w:rPr>
      <w:sz w:val="18"/>
    </w:rPr>
  </w:style>
  <w:style w:type="character" w:customStyle="1" w:styleId="547">
    <w:name w:val="Char Char14"/>
    <w:qFormat/>
    <w:uiPriority w:val="0"/>
    <w:rPr>
      <w:rFonts w:eastAsia="宋体"/>
      <w:sz w:val="24"/>
      <w:lang w:val="en-US" w:eastAsia="zh-CN" w:bidi="ar-SA"/>
    </w:rPr>
  </w:style>
  <w:style w:type="character" w:customStyle="1" w:styleId="548">
    <w:name w:val="标题 4 Char1"/>
    <w:qFormat/>
    <w:uiPriority w:val="0"/>
    <w:rPr>
      <w:rFonts w:ascii="Arial" w:hAnsi="Arial" w:eastAsia="黑体"/>
      <w:b/>
      <w:bCs/>
      <w:kern w:val="2"/>
      <w:sz w:val="28"/>
      <w:szCs w:val="28"/>
    </w:rPr>
  </w:style>
  <w:style w:type="character" w:customStyle="1" w:styleId="549">
    <w:name w:val="个人撰写风格"/>
    <w:qFormat/>
    <w:uiPriority w:val="0"/>
    <w:rPr>
      <w:rFonts w:ascii="Arial" w:hAnsi="Arial" w:eastAsia="宋体" w:cs="Arial"/>
      <w:color w:val="auto"/>
      <w:sz w:val="20"/>
    </w:rPr>
  </w:style>
  <w:style w:type="character" w:customStyle="1" w:styleId="550">
    <w:name w:val="脚注文本 字符"/>
    <w:qFormat/>
    <w:uiPriority w:val="0"/>
    <w:rPr>
      <w:rFonts w:ascii="宋体" w:eastAsia="宋体"/>
      <w:sz w:val="18"/>
    </w:rPr>
  </w:style>
  <w:style w:type="character" w:customStyle="1" w:styleId="551">
    <w:name w:val="Char Char12"/>
    <w:qFormat/>
    <w:locked/>
    <w:uiPriority w:val="0"/>
    <w:rPr>
      <w:rFonts w:ascii="宋体" w:hAnsi="Courier New" w:eastAsia="宋体"/>
      <w:kern w:val="2"/>
      <w:sz w:val="21"/>
      <w:szCs w:val="21"/>
      <w:lang w:val="en-US" w:eastAsia="zh-CN" w:bidi="ar-SA"/>
    </w:rPr>
  </w:style>
  <w:style w:type="character" w:customStyle="1" w:styleId="552">
    <w:name w:val="Intense Quote Char1"/>
    <w:qFormat/>
    <w:locked/>
    <w:uiPriority w:val="99"/>
    <w:rPr>
      <w:rFonts w:ascii="宋体" w:eastAsia="宋体" w:cs="Times New Roman"/>
      <w:b/>
      <w:bCs/>
      <w:i/>
      <w:iCs/>
      <w:color w:val="4F81BD"/>
      <w:sz w:val="24"/>
      <w:szCs w:val="24"/>
    </w:rPr>
  </w:style>
  <w:style w:type="character" w:customStyle="1" w:styleId="553">
    <w:name w:val="文档结构图 字符2"/>
    <w:qFormat/>
    <w:uiPriority w:val="0"/>
    <w:rPr>
      <w:rFonts w:ascii="Bodoni MT" w:hAnsi="Bodoni MT" w:eastAsia="宋体"/>
      <w:sz w:val="24"/>
      <w:shd w:val="clear" w:color="auto" w:fill="000080"/>
    </w:rPr>
  </w:style>
  <w:style w:type="character" w:customStyle="1" w:styleId="554">
    <w:name w:val="脚注文本 Char1"/>
    <w:qFormat/>
    <w:uiPriority w:val="0"/>
    <w:rPr>
      <w:rFonts w:ascii="Bodoni MT" w:hAnsi="Bodoni MT" w:eastAsia="宋体" w:cs="Bodoni MT"/>
      <w:sz w:val="18"/>
      <w:szCs w:val="18"/>
    </w:rPr>
  </w:style>
  <w:style w:type="character" w:customStyle="1" w:styleId="555">
    <w:name w:val="Footer-Even Char Char"/>
    <w:qFormat/>
    <w:uiPriority w:val="0"/>
    <w:rPr>
      <w:rFonts w:eastAsia="宋体"/>
      <w:kern w:val="2"/>
      <w:sz w:val="18"/>
      <w:lang w:val="en-US" w:eastAsia="zh-CN" w:bidi="ar-SA"/>
    </w:rPr>
  </w:style>
  <w:style w:type="character" w:customStyle="1" w:styleId="556">
    <w:name w:val="尾注文本 字符3"/>
    <w:semiHidden/>
    <w:qFormat/>
    <w:uiPriority w:val="0"/>
    <w:rPr>
      <w:rFonts w:ascii="宋体" w:eastAsia="宋体" w:cs="Times New Roman"/>
      <w:kern w:val="2"/>
      <w:sz w:val="24"/>
      <w:szCs w:val="24"/>
    </w:rPr>
  </w:style>
  <w:style w:type="character" w:customStyle="1" w:styleId="557">
    <w:name w:val="标题 4 字符1"/>
    <w:qFormat/>
    <w:uiPriority w:val="0"/>
    <w:rPr>
      <w:rFonts w:ascii="Arial" w:hAnsi="Arial" w:eastAsia="黑体"/>
      <w:b/>
      <w:kern w:val="0"/>
      <w:sz w:val="28"/>
    </w:rPr>
  </w:style>
  <w:style w:type="character" w:customStyle="1" w:styleId="558">
    <w:name w:val="正文 编号 Char"/>
    <w:link w:val="559"/>
    <w:qFormat/>
    <w:uiPriority w:val="0"/>
    <w:rPr>
      <w:rFonts w:ascii="宋体"/>
      <w:kern w:val="44"/>
      <w:sz w:val="24"/>
      <w:szCs w:val="44"/>
    </w:rPr>
  </w:style>
  <w:style w:type="paragraph" w:customStyle="1" w:styleId="559">
    <w:name w:val="正文 编号"/>
    <w:basedOn w:val="259"/>
    <w:link w:val="558"/>
    <w:qFormat/>
    <w:uiPriority w:val="0"/>
    <w:pPr>
      <w:tabs>
        <w:tab w:val="left" w:pos="360"/>
      </w:tabs>
      <w:adjustRightInd/>
      <w:spacing w:afterLines="50" w:line="312" w:lineRule="auto"/>
      <w:ind w:firstLine="200"/>
      <w:textAlignment w:val="auto"/>
    </w:pPr>
    <w:rPr>
      <w:kern w:val="44"/>
      <w:sz w:val="24"/>
      <w:szCs w:val="44"/>
    </w:rPr>
  </w:style>
  <w:style w:type="character" w:customStyle="1" w:styleId="560">
    <w:name w:val="ca-21"/>
    <w:qFormat/>
    <w:uiPriority w:val="0"/>
    <w:rPr>
      <w:rFonts w:ascii="宋体" w:hAnsi="宋体" w:eastAsia="宋体"/>
      <w:sz w:val="28"/>
    </w:rPr>
  </w:style>
  <w:style w:type="character" w:customStyle="1" w:styleId="561">
    <w:name w:val="样式1 Char Char"/>
    <w:qFormat/>
    <w:uiPriority w:val="0"/>
    <w:rPr>
      <w:rFonts w:ascii="宋体" w:hAnsi="宋体" w:eastAsia="宋体"/>
      <w:b/>
      <w:kern w:val="2"/>
      <w:sz w:val="24"/>
      <w:lang w:val="en-US" w:eastAsia="zh-CN" w:bidi="ar-SA"/>
    </w:rPr>
  </w:style>
  <w:style w:type="character" w:customStyle="1" w:styleId="562">
    <w:name w:val="节 Char Char1"/>
    <w:qFormat/>
    <w:uiPriority w:val="0"/>
    <w:rPr>
      <w:rFonts w:ascii="宋体" w:hAnsi="宋体"/>
      <w:b/>
      <w:bCs/>
      <w:color w:val="000000"/>
      <w:sz w:val="28"/>
      <w:szCs w:val="28"/>
    </w:rPr>
  </w:style>
  <w:style w:type="character" w:customStyle="1" w:styleId="563">
    <w:name w:val="Variable"/>
    <w:qFormat/>
    <w:uiPriority w:val="0"/>
    <w:rPr>
      <w:i/>
    </w:rPr>
  </w:style>
  <w:style w:type="character" w:customStyle="1" w:styleId="564">
    <w:name w:val="Char Char22"/>
    <w:qFormat/>
    <w:uiPriority w:val="0"/>
    <w:rPr>
      <w:rFonts w:ascii="Arial" w:hAnsi="Arial" w:eastAsia="黑体"/>
      <w:b/>
      <w:bCs/>
      <w:sz w:val="28"/>
      <w:szCs w:val="28"/>
      <w:lang w:val="en-US" w:eastAsia="zh-CN" w:bidi="ar-SA"/>
    </w:rPr>
  </w:style>
  <w:style w:type="character" w:customStyle="1" w:styleId="565">
    <w:name w:val="标题 6 Char1"/>
    <w:qFormat/>
    <w:uiPriority w:val="0"/>
    <w:rPr>
      <w:rFonts w:ascii="Arial" w:hAnsi="Arial" w:eastAsia="黑体"/>
      <w:b/>
      <w:bCs/>
      <w:kern w:val="2"/>
      <w:sz w:val="24"/>
      <w:szCs w:val="24"/>
    </w:rPr>
  </w:style>
  <w:style w:type="character" w:customStyle="1" w:styleId="566">
    <w:name w:val="标题 字符1"/>
    <w:qFormat/>
    <w:uiPriority w:val="0"/>
    <w:rPr>
      <w:rFonts w:ascii="Cambria" w:hAnsi="Cambria" w:eastAsia="宋体" w:cs="Times New Roman"/>
      <w:b/>
      <w:bCs/>
      <w:sz w:val="32"/>
      <w:szCs w:val="32"/>
    </w:rPr>
  </w:style>
  <w:style w:type="character" w:customStyle="1" w:styleId="567">
    <w:name w:val="Subtitle Char"/>
    <w:qFormat/>
    <w:locked/>
    <w:uiPriority w:val="99"/>
    <w:rPr>
      <w:rFonts w:ascii="宋体" w:eastAsia="宋体" w:cs="Times New Roman"/>
      <w:b/>
      <w:bCs/>
      <w:kern w:val="28"/>
      <w:sz w:val="24"/>
      <w:szCs w:val="24"/>
    </w:rPr>
  </w:style>
  <w:style w:type="character" w:customStyle="1" w:styleId="568">
    <w:name w:val="param-name"/>
    <w:qFormat/>
    <w:uiPriority w:val="0"/>
  </w:style>
  <w:style w:type="character" w:customStyle="1" w:styleId="569">
    <w:name w:val="Heading 5 Char"/>
    <w:qFormat/>
    <w:locked/>
    <w:uiPriority w:val="0"/>
    <w:rPr>
      <w:rFonts w:ascii="Times New Roman" w:hAnsi="Times New Roman" w:cs="Times New Roman"/>
      <w:b/>
      <w:bCs/>
      <w:sz w:val="28"/>
      <w:szCs w:val="28"/>
    </w:rPr>
  </w:style>
  <w:style w:type="character" w:customStyle="1" w:styleId="570">
    <w:name w:val="Char Char13"/>
    <w:qFormat/>
    <w:uiPriority w:val="0"/>
    <w:rPr>
      <w:rFonts w:ascii="Bodoni MT" w:hAnsi="Bodoni MT" w:eastAsia="宋体" w:cs="Bodoni MT"/>
      <w:kern w:val="2"/>
      <w:sz w:val="18"/>
      <w:szCs w:val="18"/>
      <w:lang w:val="en-US" w:eastAsia="zh-CN" w:bidi="ar-SA"/>
    </w:rPr>
  </w:style>
  <w:style w:type="character" w:customStyle="1" w:styleId="571">
    <w:name w:val="Char Char1 Char Char Char Char Char Char Char Char Char Char1"/>
    <w:link w:val="572"/>
    <w:qFormat/>
    <w:locked/>
    <w:uiPriority w:val="0"/>
    <w:rPr>
      <w:rFonts w:ascii="Verdana" w:hAnsi="Verdana" w:eastAsia="仿宋_GB2312"/>
      <w:sz w:val="24"/>
      <w:lang w:eastAsia="en-US"/>
    </w:rPr>
  </w:style>
  <w:style w:type="paragraph" w:customStyle="1" w:styleId="572">
    <w:name w:val="Char Char1 Char Char Char Char Char Char Char Char Char1"/>
    <w:basedOn w:val="1"/>
    <w:link w:val="571"/>
    <w:qFormat/>
    <w:uiPriority w:val="0"/>
    <w:pPr>
      <w:widowControl/>
      <w:spacing w:after="160" w:line="240" w:lineRule="exact"/>
      <w:ind w:firstLine="200" w:firstLineChars="200"/>
      <w:jc w:val="left"/>
    </w:pPr>
    <w:rPr>
      <w:rFonts w:ascii="Verdana" w:hAnsi="Verdana" w:eastAsia="仿宋_GB2312"/>
      <w:kern w:val="0"/>
      <w:sz w:val="24"/>
      <w:szCs w:val="20"/>
      <w:lang w:eastAsia="en-US"/>
    </w:rPr>
  </w:style>
  <w:style w:type="character" w:customStyle="1" w:styleId="573">
    <w:name w:val="font161"/>
    <w:qFormat/>
    <w:uiPriority w:val="0"/>
    <w:rPr>
      <w:b/>
      <w:bCs/>
      <w:sz w:val="32"/>
      <w:szCs w:val="32"/>
    </w:rPr>
  </w:style>
  <w:style w:type="character" w:customStyle="1" w:styleId="574">
    <w:name w:val="尾注文本 Char1"/>
    <w:qFormat/>
    <w:uiPriority w:val="0"/>
    <w:rPr>
      <w:rFonts w:ascii="Bodoni MT" w:hAnsi="Bodoni MT" w:eastAsia="宋体" w:cs="Bodoni MT"/>
      <w:szCs w:val="24"/>
    </w:rPr>
  </w:style>
  <w:style w:type="character" w:customStyle="1" w:styleId="575">
    <w:name w:val="1小标题 Char"/>
    <w:link w:val="576"/>
    <w:qFormat/>
    <w:uiPriority w:val="0"/>
    <w:rPr>
      <w:rFonts w:ascii="宋体" w:hAnsi="Courier New" w:eastAsia="黑体" w:cs="Courier New"/>
      <w:sz w:val="24"/>
      <w:szCs w:val="21"/>
    </w:rPr>
  </w:style>
  <w:style w:type="paragraph" w:customStyle="1" w:styleId="576">
    <w:name w:val="1小标题"/>
    <w:basedOn w:val="30"/>
    <w:next w:val="30"/>
    <w:link w:val="575"/>
    <w:qFormat/>
    <w:uiPriority w:val="0"/>
    <w:pPr>
      <w:spacing w:beforeLines="50" w:line="280" w:lineRule="exact"/>
    </w:pPr>
    <w:rPr>
      <w:rFonts w:eastAsia="黑体" w:cs="Courier New"/>
      <w:sz w:val="24"/>
      <w:szCs w:val="21"/>
    </w:rPr>
  </w:style>
  <w:style w:type="character" w:customStyle="1" w:styleId="577">
    <w:name w:val="Intense Quote Char"/>
    <w:qFormat/>
    <w:locked/>
    <w:uiPriority w:val="99"/>
    <w:rPr>
      <w:b/>
      <w:i/>
      <w:color w:val="4F81BD"/>
    </w:rPr>
  </w:style>
  <w:style w:type="character" w:customStyle="1" w:styleId="578">
    <w:name w:val="标题 8 字符1"/>
    <w:qFormat/>
    <w:uiPriority w:val="0"/>
    <w:rPr>
      <w:rFonts w:ascii="Times New Roman" w:hAnsi="Times New Roman" w:eastAsia="宋体"/>
      <w:sz w:val="24"/>
    </w:rPr>
  </w:style>
  <w:style w:type="character" w:customStyle="1" w:styleId="579">
    <w:name w:val="QN正文 Char"/>
    <w:link w:val="580"/>
    <w:qFormat/>
    <w:uiPriority w:val="0"/>
    <w:rPr>
      <w:kern w:val="1"/>
      <w:sz w:val="24"/>
      <w:szCs w:val="24"/>
      <w:lang w:eastAsia="ar-SA"/>
    </w:rPr>
  </w:style>
  <w:style w:type="paragraph" w:customStyle="1" w:styleId="580">
    <w:name w:val="QN正文"/>
    <w:basedOn w:val="1"/>
    <w:link w:val="579"/>
    <w:qFormat/>
    <w:uiPriority w:val="0"/>
    <w:pPr>
      <w:suppressAutoHyphens/>
      <w:spacing w:line="300" w:lineRule="auto"/>
      <w:ind w:firstLine="454"/>
      <w:jc w:val="left"/>
    </w:pPr>
    <w:rPr>
      <w:kern w:val="1"/>
      <w:sz w:val="24"/>
      <w:lang w:eastAsia="ar-SA"/>
    </w:rPr>
  </w:style>
  <w:style w:type="character" w:customStyle="1" w:styleId="581">
    <w:name w:val="style16"/>
    <w:qFormat/>
    <w:uiPriority w:val="0"/>
  </w:style>
  <w:style w:type="character" w:customStyle="1" w:styleId="582">
    <w:name w:val="正文文本 3 字符2"/>
    <w:qFormat/>
    <w:uiPriority w:val="0"/>
    <w:rPr>
      <w:rFonts w:ascii="宋体" w:hAnsi="Times New Roman" w:eastAsia="宋体"/>
      <w:sz w:val="20"/>
    </w:rPr>
  </w:style>
  <w:style w:type="character" w:customStyle="1" w:styleId="583">
    <w:name w:val="Default Char Char"/>
    <w:qFormat/>
    <w:uiPriority w:val="0"/>
    <w:rPr>
      <w:color w:val="000000"/>
      <w:sz w:val="24"/>
      <w:szCs w:val="24"/>
    </w:rPr>
  </w:style>
  <w:style w:type="character" w:customStyle="1" w:styleId="584">
    <w:name w:val="标题 2 字符1"/>
    <w:qFormat/>
    <w:uiPriority w:val="0"/>
    <w:rPr>
      <w:rFonts w:ascii="Arial" w:hAnsi="Arial" w:eastAsia="黑体"/>
      <w:b/>
      <w:sz w:val="32"/>
    </w:rPr>
  </w:style>
  <w:style w:type="character" w:customStyle="1" w:styleId="585">
    <w:name w:val="ꌢ 3 Char Char"/>
    <w:qFormat/>
    <w:uiPriority w:val="0"/>
    <w:rPr>
      <w:rFonts w:ascii="Ђˎ̥" w:hAnsi="Ђˎ̥"/>
      <w:b/>
      <w:bCs/>
    </w:rPr>
  </w:style>
  <w:style w:type="character" w:customStyle="1" w:styleId="586">
    <w:name w:val="标题 8 Char1"/>
    <w:qFormat/>
    <w:uiPriority w:val="0"/>
    <w:rPr>
      <w:rFonts w:ascii="Arial" w:hAnsi="Arial" w:eastAsia="黑体"/>
      <w:sz w:val="24"/>
      <w:szCs w:val="24"/>
    </w:rPr>
  </w:style>
  <w:style w:type="character" w:customStyle="1" w:styleId="587">
    <w:name w:val="Char Char32"/>
    <w:qFormat/>
    <w:uiPriority w:val="0"/>
    <w:rPr>
      <w:rFonts w:ascii="Arial" w:hAnsi="Arial" w:eastAsia="黑体"/>
      <w:b/>
      <w:bCs/>
      <w:sz w:val="28"/>
      <w:szCs w:val="28"/>
      <w:lang w:val="en-US" w:eastAsia="zh-CN" w:bidi="ar-SA"/>
    </w:rPr>
  </w:style>
  <w:style w:type="character" w:customStyle="1" w:styleId="588">
    <w:name w:val="正文文本缩进 字符1"/>
    <w:semiHidden/>
    <w:qFormat/>
    <w:uiPriority w:val="0"/>
    <w:rPr>
      <w:rFonts w:ascii="宋体" w:hAnsi="宋体" w:eastAsia="宋体" w:cs="Times New Roman"/>
      <w:sz w:val="24"/>
      <w:szCs w:val="24"/>
    </w:rPr>
  </w:style>
  <w:style w:type="character" w:customStyle="1" w:styleId="589">
    <w:name w:val="Char Char24"/>
    <w:qFormat/>
    <w:uiPriority w:val="0"/>
    <w:rPr>
      <w:rFonts w:ascii="Arial" w:hAnsi="Arial" w:eastAsia="黑体"/>
      <w:b/>
      <w:bCs/>
      <w:kern w:val="2"/>
      <w:sz w:val="32"/>
      <w:szCs w:val="32"/>
      <w:lang w:val="en-US" w:eastAsia="zh-CN" w:bidi="ar-SA"/>
    </w:rPr>
  </w:style>
  <w:style w:type="character" w:customStyle="1" w:styleId="590">
    <w:name w:val="标题 3 字符1"/>
    <w:qFormat/>
    <w:uiPriority w:val="0"/>
    <w:rPr>
      <w:rFonts w:ascii="Times New Roman" w:hAnsi="Times New Roman" w:eastAsia="仿宋"/>
      <w:b/>
      <w:sz w:val="32"/>
    </w:rPr>
  </w:style>
  <w:style w:type="character" w:customStyle="1" w:styleId="591">
    <w:name w:val="info"/>
    <w:qFormat/>
    <w:uiPriority w:val="0"/>
  </w:style>
  <w:style w:type="character" w:customStyle="1" w:styleId="592">
    <w:name w:val="Quote Char1"/>
    <w:qFormat/>
    <w:locked/>
    <w:uiPriority w:val="99"/>
    <w:rPr>
      <w:rFonts w:ascii="宋体" w:eastAsia="宋体" w:cs="Times New Roman"/>
      <w:i/>
      <w:iCs/>
      <w:color w:val="000000"/>
      <w:sz w:val="24"/>
      <w:szCs w:val="24"/>
    </w:rPr>
  </w:style>
  <w:style w:type="character" w:customStyle="1" w:styleId="593">
    <w:name w:val="纯文本 字符2"/>
    <w:qFormat/>
    <w:uiPriority w:val="0"/>
    <w:rPr>
      <w:rFonts w:ascii="宋体" w:hAnsi="Courier New" w:eastAsia="宋体"/>
      <w:sz w:val="21"/>
    </w:rPr>
  </w:style>
  <w:style w:type="character" w:customStyle="1" w:styleId="594">
    <w:name w:val="批注文字 字符2"/>
    <w:qFormat/>
    <w:uiPriority w:val="0"/>
    <w:rPr>
      <w:rFonts w:ascii="Times New Roman" w:hAnsi="Times New Roman" w:eastAsia="宋体"/>
      <w:kern w:val="0"/>
      <w:sz w:val="20"/>
    </w:rPr>
  </w:style>
  <w:style w:type="character" w:customStyle="1" w:styleId="595">
    <w:name w:val="标题 6 字符1"/>
    <w:qFormat/>
    <w:uiPriority w:val="0"/>
    <w:rPr>
      <w:rFonts w:ascii="Arial" w:hAnsi="Arial" w:eastAsia="宋体"/>
      <w:b/>
      <w:sz w:val="24"/>
    </w:rPr>
  </w:style>
  <w:style w:type="character" w:customStyle="1" w:styleId="596">
    <w:name w:val="Blockquote Char Char Char"/>
    <w:qFormat/>
    <w:uiPriority w:val="0"/>
    <w:rPr>
      <w:sz w:val="24"/>
    </w:rPr>
  </w:style>
  <w:style w:type="character" w:customStyle="1" w:styleId="597">
    <w:name w:val="正文文本 2 字符1"/>
    <w:semiHidden/>
    <w:qFormat/>
    <w:uiPriority w:val="0"/>
    <w:rPr>
      <w:sz w:val="24"/>
    </w:rPr>
  </w:style>
  <w:style w:type="character" w:customStyle="1" w:styleId="598">
    <w:name w:val="33454341"/>
    <w:qFormat/>
    <w:uiPriority w:val="0"/>
    <w:rPr>
      <w:color w:val="666666"/>
      <w:sz w:val="18"/>
      <w:szCs w:val="18"/>
    </w:rPr>
  </w:style>
  <w:style w:type="character" w:customStyle="1" w:styleId="599">
    <w:name w:val="Body Text 3 Char"/>
    <w:qFormat/>
    <w:locked/>
    <w:uiPriority w:val="0"/>
    <w:rPr>
      <w:rFonts w:cs="Times New Roman"/>
      <w:sz w:val="16"/>
      <w:szCs w:val="16"/>
    </w:rPr>
  </w:style>
  <w:style w:type="character" w:customStyle="1" w:styleId="600">
    <w:name w:val="标题 5 Char1"/>
    <w:qFormat/>
    <w:uiPriority w:val="0"/>
    <w:rPr>
      <w:b/>
      <w:bCs/>
      <w:kern w:val="2"/>
      <w:sz w:val="28"/>
      <w:szCs w:val="28"/>
    </w:rPr>
  </w:style>
  <w:style w:type="character" w:customStyle="1" w:styleId="601">
    <w:name w:val="Endnote Text Char"/>
    <w:qFormat/>
    <w:locked/>
    <w:uiPriority w:val="0"/>
    <w:rPr>
      <w:rFonts w:ascii="宋体" w:eastAsia="宋体"/>
    </w:rPr>
  </w:style>
  <w:style w:type="character" w:customStyle="1" w:styleId="602">
    <w:name w:val="value"/>
    <w:qFormat/>
    <w:uiPriority w:val="0"/>
  </w:style>
  <w:style w:type="character" w:customStyle="1" w:styleId="603">
    <w:name w:val="批注框文本 字符2"/>
    <w:qFormat/>
    <w:uiPriority w:val="0"/>
    <w:rPr>
      <w:rFonts w:ascii="Bodoni MT" w:hAnsi="Bodoni MT" w:eastAsia="宋体"/>
      <w:sz w:val="18"/>
    </w:rPr>
  </w:style>
  <w:style w:type="character" w:customStyle="1" w:styleId="604">
    <w:name w:val="正文文本缩进 3 字符2"/>
    <w:qFormat/>
    <w:uiPriority w:val="0"/>
    <w:rPr>
      <w:rFonts w:ascii="Bodoni MT" w:hAnsi="Bodoni MT" w:eastAsia="宋体"/>
      <w:sz w:val="16"/>
    </w:rPr>
  </w:style>
  <w:style w:type="character" w:customStyle="1" w:styleId="605">
    <w:name w:val="批注框文本 字符1"/>
    <w:semiHidden/>
    <w:qFormat/>
    <w:uiPriority w:val="0"/>
    <w:rPr>
      <w:rFonts w:ascii="宋体" w:hAnsi="宋体" w:eastAsia="宋体" w:cs="Times New Roman"/>
      <w:sz w:val="18"/>
      <w:szCs w:val="18"/>
    </w:rPr>
  </w:style>
  <w:style w:type="character" w:customStyle="1" w:styleId="606">
    <w:name w:val="脚注文本 字符1"/>
    <w:semiHidden/>
    <w:qFormat/>
    <w:uiPriority w:val="0"/>
    <w:rPr>
      <w:sz w:val="18"/>
    </w:rPr>
  </w:style>
  <w:style w:type="character" w:customStyle="1" w:styleId="607">
    <w:name w:val="页眉 字符2"/>
    <w:qFormat/>
    <w:uiPriority w:val="0"/>
    <w:rPr>
      <w:rFonts w:ascii="Bodoni MT" w:hAnsi="Bodoni MT" w:eastAsia="宋体"/>
      <w:sz w:val="18"/>
    </w:rPr>
  </w:style>
  <w:style w:type="character" w:customStyle="1" w:styleId="608">
    <w:name w:val="apple-style-span"/>
    <w:basedOn w:val="58"/>
    <w:qFormat/>
    <w:uiPriority w:val="0"/>
  </w:style>
  <w:style w:type="character" w:customStyle="1" w:styleId="609">
    <w:name w:val="Heading 1 Char"/>
    <w:qFormat/>
    <w:locked/>
    <w:uiPriority w:val="0"/>
    <w:rPr>
      <w:rFonts w:ascii="宋体" w:eastAsia="宋体" w:cs="Times New Roman"/>
      <w:bCs/>
      <w:kern w:val="44"/>
      <w:sz w:val="44"/>
      <w:szCs w:val="44"/>
    </w:rPr>
  </w:style>
  <w:style w:type="character" w:customStyle="1" w:styleId="610">
    <w:name w:val="批注框文本 Char Char"/>
    <w:qFormat/>
    <w:uiPriority w:val="0"/>
    <w:rPr>
      <w:rFonts w:ascii="Bodoni MT" w:hAnsi="Bodoni MT" w:eastAsia="宋体" w:cs="Bodoni MT"/>
      <w:sz w:val="18"/>
      <w:szCs w:val="18"/>
    </w:rPr>
  </w:style>
  <w:style w:type="character" w:customStyle="1" w:styleId="611">
    <w:name w:val="正文文本 字符2"/>
    <w:qFormat/>
    <w:uiPriority w:val="0"/>
    <w:rPr>
      <w:rFonts w:ascii="仿宋_GB2312" w:hAnsi="Times New Roman" w:eastAsia="仿宋_GB2312"/>
      <w:spacing w:val="-20"/>
      <w:sz w:val="20"/>
    </w:rPr>
  </w:style>
  <w:style w:type="character" w:customStyle="1" w:styleId="612">
    <w:name w:val="日期 字符1"/>
    <w:semiHidden/>
    <w:qFormat/>
    <w:uiPriority w:val="0"/>
    <w:rPr>
      <w:rFonts w:ascii="宋体" w:hAnsi="宋体" w:eastAsia="宋体" w:cs="Times New Roman"/>
      <w:sz w:val="24"/>
      <w:szCs w:val="24"/>
    </w:rPr>
  </w:style>
  <w:style w:type="character" w:customStyle="1" w:styleId="613">
    <w:name w:val="Char Char34"/>
    <w:qFormat/>
    <w:uiPriority w:val="0"/>
    <w:rPr>
      <w:rFonts w:ascii="Arial" w:hAnsi="Arial" w:eastAsia="黑体"/>
      <w:b/>
      <w:bCs/>
      <w:sz w:val="32"/>
      <w:szCs w:val="32"/>
      <w:lang w:val="en-US" w:eastAsia="zh-CN" w:bidi="ar-SA"/>
    </w:rPr>
  </w:style>
  <w:style w:type="character" w:customStyle="1" w:styleId="614">
    <w:name w:val="公式 Char Char Char"/>
    <w:qFormat/>
    <w:uiPriority w:val="0"/>
    <w:rPr>
      <w:rFonts w:ascii="华文细黑" w:hAnsi="华文细黑" w:eastAsia="华文细黑" w:cs="Arial"/>
      <w:color w:val="000000"/>
      <w:sz w:val="30"/>
      <w:szCs w:val="28"/>
      <w:lang w:val="en-US" w:eastAsia="zh-CN" w:bidi="ar-SA"/>
    </w:rPr>
  </w:style>
  <w:style w:type="character" w:customStyle="1" w:styleId="615">
    <w:name w:val="main14"/>
    <w:qFormat/>
    <w:uiPriority w:val="0"/>
  </w:style>
  <w:style w:type="character" w:customStyle="1" w:styleId="616">
    <w:name w:val="页眉 字符1"/>
    <w:semiHidden/>
    <w:qFormat/>
    <w:uiPriority w:val="0"/>
    <w:rPr>
      <w:sz w:val="18"/>
    </w:rPr>
  </w:style>
  <w:style w:type="character" w:customStyle="1" w:styleId="617">
    <w:name w:val="正文文本 3 Char2"/>
    <w:semiHidden/>
    <w:qFormat/>
    <w:uiPriority w:val="0"/>
    <w:rPr>
      <w:rFonts w:ascii="Bodoni MT" w:hAnsi="Bodoni MT" w:eastAsia="宋体" w:cs="Bodoni MT"/>
      <w:sz w:val="16"/>
      <w:szCs w:val="16"/>
    </w:rPr>
  </w:style>
  <w:style w:type="character" w:customStyle="1" w:styleId="618">
    <w:name w:val="Char Char31"/>
    <w:qFormat/>
    <w:uiPriority w:val="0"/>
    <w:rPr>
      <w:rFonts w:ascii="宋体" w:hAnsi="Courier New" w:eastAsia="宋体"/>
      <w:kern w:val="2"/>
      <w:sz w:val="21"/>
      <w:lang w:val="en-US" w:eastAsia="zh-CN"/>
    </w:rPr>
  </w:style>
  <w:style w:type="character" w:customStyle="1" w:styleId="619">
    <w:name w:val="Footer-Even Char Char1"/>
    <w:qFormat/>
    <w:uiPriority w:val="0"/>
    <w:rPr>
      <w:rFonts w:eastAsia="宋体"/>
      <w:kern w:val="2"/>
      <w:sz w:val="18"/>
      <w:lang w:val="en-US" w:eastAsia="zh-CN" w:bidi="ar-SA"/>
    </w:rPr>
  </w:style>
  <w:style w:type="character" w:customStyle="1" w:styleId="620">
    <w:name w:val="Heading 8 Char"/>
    <w:qFormat/>
    <w:locked/>
    <w:uiPriority w:val="0"/>
    <w:rPr>
      <w:rFonts w:ascii="Cambria" w:hAnsi="Cambria" w:cs="Times New Roman"/>
      <w:sz w:val="24"/>
      <w:szCs w:val="24"/>
    </w:rPr>
  </w:style>
  <w:style w:type="character" w:customStyle="1" w:styleId="621">
    <w:name w:val="标题 7 字符1"/>
    <w:qFormat/>
    <w:uiPriority w:val="0"/>
    <w:rPr>
      <w:rFonts w:ascii="Times New Roman" w:hAnsi="Times New Roman" w:eastAsia="宋体"/>
      <w:sz w:val="20"/>
    </w:rPr>
  </w:style>
  <w:style w:type="character" w:customStyle="1" w:styleId="622">
    <w:name w:val="标题 1 Char1"/>
    <w:qFormat/>
    <w:uiPriority w:val="0"/>
    <w:rPr>
      <w:b/>
      <w:bCs/>
      <w:kern w:val="44"/>
      <w:sz w:val="44"/>
      <w:szCs w:val="44"/>
    </w:rPr>
  </w:style>
  <w:style w:type="character" w:customStyle="1" w:styleId="623">
    <w:name w:val="Char Char25"/>
    <w:qFormat/>
    <w:uiPriority w:val="0"/>
    <w:rPr>
      <w:rFonts w:eastAsia="宋体"/>
      <w:b/>
      <w:bCs/>
      <w:kern w:val="44"/>
      <w:sz w:val="44"/>
      <w:szCs w:val="44"/>
      <w:lang w:val="en-US" w:eastAsia="zh-CN" w:bidi="ar-SA"/>
    </w:rPr>
  </w:style>
  <w:style w:type="character" w:customStyle="1" w:styleId="624">
    <w:name w:val="日期 字符2"/>
    <w:qFormat/>
    <w:uiPriority w:val="0"/>
    <w:rPr>
      <w:rFonts w:ascii="Times New Roman" w:hAnsi="Times New Roman" w:eastAsia="宋体"/>
      <w:sz w:val="24"/>
    </w:rPr>
  </w:style>
  <w:style w:type="character" w:customStyle="1" w:styleId="625">
    <w:name w:val="Char Char23"/>
    <w:qFormat/>
    <w:uiPriority w:val="0"/>
    <w:rPr>
      <w:rFonts w:eastAsia="宋体"/>
      <w:b/>
      <w:bCs/>
      <w:kern w:val="2"/>
      <w:sz w:val="32"/>
      <w:szCs w:val="32"/>
      <w:lang w:val="en-US" w:eastAsia="zh-CN" w:bidi="ar-SA"/>
    </w:rPr>
  </w:style>
  <w:style w:type="character" w:customStyle="1" w:styleId="626">
    <w:name w:val="text"/>
    <w:qFormat/>
    <w:uiPriority w:val="0"/>
  </w:style>
  <w:style w:type="character" w:customStyle="1" w:styleId="627">
    <w:name w:val="普通文字1 Char"/>
    <w:qFormat/>
    <w:uiPriority w:val="0"/>
    <w:rPr>
      <w:rFonts w:ascii="宋体" w:eastAsia="宋体" w:cs="Courier New"/>
      <w:kern w:val="2"/>
      <w:sz w:val="21"/>
      <w:szCs w:val="21"/>
      <w:lang w:val="en-US" w:eastAsia="zh-CN" w:bidi="ar-SA"/>
    </w:rPr>
  </w:style>
  <w:style w:type="character" w:customStyle="1" w:styleId="628">
    <w:name w:val="Char Char7"/>
    <w:qFormat/>
    <w:uiPriority w:val="0"/>
    <w:rPr>
      <w:rFonts w:eastAsia="宋体"/>
      <w:b/>
      <w:bCs/>
      <w:kern w:val="2"/>
      <w:sz w:val="21"/>
      <w:szCs w:val="24"/>
      <w:lang w:val="en-US" w:eastAsia="zh-CN" w:bidi="ar-SA"/>
    </w:rPr>
  </w:style>
  <w:style w:type="character" w:customStyle="1" w:styleId="629">
    <w:name w:val="Char Char8"/>
    <w:qFormat/>
    <w:uiPriority w:val="0"/>
    <w:rPr>
      <w:rFonts w:ascii="Bodoni MT" w:hAnsi="Bodoni MT" w:eastAsia="宋体" w:cs="Bodoni MT"/>
      <w:kern w:val="2"/>
      <w:sz w:val="18"/>
      <w:szCs w:val="18"/>
      <w:lang w:val="en-US" w:eastAsia="zh-CN" w:bidi="ar-SA"/>
    </w:rPr>
  </w:style>
  <w:style w:type="character" w:customStyle="1" w:styleId="630">
    <w:name w:val="Heading 9 Char"/>
    <w:qFormat/>
    <w:locked/>
    <w:uiPriority w:val="0"/>
    <w:rPr>
      <w:rFonts w:ascii="Cambria" w:hAnsi="Cambria" w:cs="Times New Roman"/>
      <w:sz w:val="21"/>
      <w:szCs w:val="21"/>
    </w:rPr>
  </w:style>
  <w:style w:type="character" w:customStyle="1" w:styleId="631">
    <w:name w:val="Heading 2 Char"/>
    <w:qFormat/>
    <w:locked/>
    <w:uiPriority w:val="0"/>
    <w:rPr>
      <w:rFonts w:ascii="宋体" w:eastAsia="宋体" w:cs="Times New Roman"/>
      <w:bCs/>
      <w:kern w:val="2"/>
      <w:sz w:val="32"/>
      <w:szCs w:val="32"/>
    </w:rPr>
  </w:style>
  <w:style w:type="character" w:customStyle="1" w:styleId="632">
    <w:name w:val="纯文本 Char Char Char"/>
    <w:qFormat/>
    <w:locked/>
    <w:uiPriority w:val="0"/>
    <w:rPr>
      <w:rFonts w:ascii="宋体" w:hAnsi="Courier New"/>
      <w:kern w:val="2"/>
      <w:sz w:val="21"/>
    </w:rPr>
  </w:style>
  <w:style w:type="character" w:customStyle="1" w:styleId="633">
    <w:name w:val="标题 1 Char Char"/>
    <w:qFormat/>
    <w:uiPriority w:val="0"/>
    <w:rPr>
      <w:rFonts w:eastAsia="黑体"/>
      <w:b/>
      <w:kern w:val="2"/>
      <w:sz w:val="28"/>
      <w:lang w:val="en-US" w:eastAsia="zh-CN" w:bidi="ar-SA"/>
    </w:rPr>
  </w:style>
  <w:style w:type="character" w:customStyle="1" w:styleId="634">
    <w:name w:val="标题 字符2"/>
    <w:qFormat/>
    <w:uiPriority w:val="0"/>
    <w:rPr>
      <w:rFonts w:ascii="Arial" w:hAnsi="Arial" w:eastAsia="楷体_GB2312"/>
      <w:b/>
      <w:kern w:val="0"/>
      <w:sz w:val="32"/>
    </w:rPr>
  </w:style>
  <w:style w:type="character" w:customStyle="1" w:styleId="635">
    <w:name w:val="尾注文本 字符"/>
    <w:qFormat/>
    <w:uiPriority w:val="0"/>
    <w:rPr>
      <w:rFonts w:ascii="宋体" w:eastAsia="宋体"/>
    </w:rPr>
  </w:style>
  <w:style w:type="character" w:customStyle="1" w:styleId="636">
    <w:name w:val="脚注文本 Char2"/>
    <w:semiHidden/>
    <w:qFormat/>
    <w:uiPriority w:val="0"/>
    <w:rPr>
      <w:rFonts w:ascii="Bodoni MT" w:hAnsi="Bodoni MT" w:eastAsia="宋体" w:cs="Bodoni MT"/>
      <w:sz w:val="18"/>
      <w:szCs w:val="18"/>
    </w:rPr>
  </w:style>
  <w:style w:type="character" w:customStyle="1" w:styleId="637">
    <w:name w:val="2正文 Char"/>
    <w:link w:val="638"/>
    <w:qFormat/>
    <w:uiPriority w:val="0"/>
    <w:rPr>
      <w:szCs w:val="18"/>
    </w:rPr>
  </w:style>
  <w:style w:type="paragraph" w:customStyle="1" w:styleId="638">
    <w:name w:val="2正文"/>
    <w:basedOn w:val="1"/>
    <w:link w:val="637"/>
    <w:qFormat/>
    <w:uiPriority w:val="0"/>
    <w:pPr>
      <w:spacing w:line="300" w:lineRule="exact"/>
      <w:ind w:firstLine="200" w:firstLineChars="200"/>
    </w:pPr>
    <w:rPr>
      <w:kern w:val="0"/>
      <w:sz w:val="20"/>
      <w:szCs w:val="18"/>
    </w:rPr>
  </w:style>
  <w:style w:type="character" w:customStyle="1" w:styleId="639">
    <w:name w:val="Char Char3"/>
    <w:qFormat/>
    <w:uiPriority w:val="0"/>
    <w:rPr>
      <w:rFonts w:ascii="Cambria" w:hAnsi="Cambria" w:eastAsia="宋体" w:cs="Times New Roman"/>
      <w:b/>
      <w:bCs/>
      <w:sz w:val="32"/>
      <w:szCs w:val="32"/>
    </w:rPr>
  </w:style>
  <w:style w:type="character" w:customStyle="1" w:styleId="640">
    <w:name w:val="Char Char15"/>
    <w:qFormat/>
    <w:uiPriority w:val="0"/>
    <w:rPr>
      <w:rFonts w:ascii="仿宋_GB2312" w:eastAsia="仿宋_GB2312"/>
      <w:spacing w:val="-20"/>
      <w:kern w:val="2"/>
      <w:sz w:val="28"/>
      <w:lang w:val="en-US" w:eastAsia="zh-CN" w:bidi="ar-SA"/>
    </w:rPr>
  </w:style>
  <w:style w:type="character" w:customStyle="1" w:styleId="641">
    <w:name w:val="标题 9 Char1"/>
    <w:qFormat/>
    <w:uiPriority w:val="0"/>
    <w:rPr>
      <w:rFonts w:ascii="Arial" w:hAnsi="Arial" w:eastAsia="黑体"/>
      <w:sz w:val="21"/>
      <w:szCs w:val="21"/>
    </w:rPr>
  </w:style>
  <w:style w:type="character" w:customStyle="1" w:styleId="642">
    <w:name w:val="Char Char33"/>
    <w:qFormat/>
    <w:uiPriority w:val="0"/>
    <w:rPr>
      <w:rFonts w:ascii="Bodoni MT" w:hAnsi="Bodoni MT" w:eastAsia="宋体" w:cs="Bodoni MT"/>
      <w:b/>
      <w:bCs/>
      <w:kern w:val="2"/>
      <w:sz w:val="32"/>
      <w:szCs w:val="32"/>
      <w:lang w:val="en-US" w:eastAsia="zh-CN" w:bidi="ar-SA"/>
    </w:rPr>
  </w:style>
  <w:style w:type="character" w:customStyle="1" w:styleId="643">
    <w:name w:val="标题 2 Char Char Char"/>
    <w:qFormat/>
    <w:uiPriority w:val="0"/>
    <w:rPr>
      <w:rFonts w:ascii="Arial" w:hAnsi="Arial" w:eastAsia="黑体"/>
      <w:b/>
      <w:bCs/>
      <w:kern w:val="2"/>
      <w:sz w:val="32"/>
      <w:szCs w:val="32"/>
      <w:lang w:val="en-US" w:eastAsia="zh-CN" w:bidi="ar-SA"/>
    </w:rPr>
  </w:style>
  <w:style w:type="character" w:customStyle="1" w:styleId="644">
    <w:name w:val="副标题 字符1"/>
    <w:qFormat/>
    <w:uiPriority w:val="0"/>
    <w:rPr>
      <w:rFonts w:cs="Times New Roman"/>
      <w:b/>
      <w:bCs/>
      <w:kern w:val="28"/>
      <w:sz w:val="32"/>
      <w:szCs w:val="32"/>
    </w:rPr>
  </w:style>
  <w:style w:type="character" w:customStyle="1" w:styleId="645">
    <w:name w:val="批注文字 字符1"/>
    <w:semiHidden/>
    <w:qFormat/>
    <w:uiPriority w:val="0"/>
    <w:rPr>
      <w:rFonts w:ascii="宋体" w:hAnsi="宋体" w:eastAsia="宋体" w:cs="Times New Roman"/>
      <w:sz w:val="24"/>
      <w:szCs w:val="24"/>
    </w:rPr>
  </w:style>
  <w:style w:type="character" w:customStyle="1" w:styleId="646">
    <w:name w:val="尾注文本 Char2"/>
    <w:semiHidden/>
    <w:qFormat/>
    <w:uiPriority w:val="0"/>
    <w:rPr>
      <w:rFonts w:ascii="Bodoni MT" w:hAnsi="Bodoni MT" w:eastAsia="宋体" w:cs="Bodoni MT"/>
      <w:szCs w:val="24"/>
    </w:rPr>
  </w:style>
  <w:style w:type="character" w:customStyle="1" w:styleId="647">
    <w:name w:val="stone1"/>
    <w:qFormat/>
    <w:uiPriority w:val="0"/>
    <w:rPr>
      <w:vanish/>
    </w:rPr>
  </w:style>
  <w:style w:type="character" w:customStyle="1" w:styleId="648">
    <w:name w:val="标题 3 Char Char"/>
    <w:qFormat/>
    <w:uiPriority w:val="0"/>
    <w:rPr>
      <w:rFonts w:eastAsia="黑体"/>
      <w:b/>
      <w:kern w:val="2"/>
      <w:sz w:val="28"/>
      <w:lang w:val="en-US" w:eastAsia="zh-CN" w:bidi="ar-SA"/>
    </w:rPr>
  </w:style>
  <w:style w:type="character" w:customStyle="1" w:styleId="649">
    <w:name w:val="标题 4 Char Char"/>
    <w:qFormat/>
    <w:uiPriority w:val="0"/>
    <w:rPr>
      <w:rFonts w:ascii="Arial" w:hAnsi="Arial" w:eastAsia="黑体"/>
      <w:b/>
      <w:bCs/>
      <w:kern w:val="2"/>
      <w:sz w:val="28"/>
      <w:szCs w:val="28"/>
      <w:lang w:val="en-US" w:eastAsia="zh-CN" w:bidi="ar-SA"/>
    </w:rPr>
  </w:style>
  <w:style w:type="character" w:customStyle="1" w:styleId="650">
    <w:name w:val="文档结构图 字符1"/>
    <w:semiHidden/>
    <w:qFormat/>
    <w:uiPriority w:val="0"/>
    <w:rPr>
      <w:rFonts w:ascii="Microsoft YaHei UI" w:hAnsi="宋体" w:eastAsia="Microsoft YaHei UI" w:cs="Times New Roman"/>
      <w:sz w:val="18"/>
      <w:szCs w:val="18"/>
    </w:rPr>
  </w:style>
  <w:style w:type="character" w:customStyle="1" w:styleId="651">
    <w:name w:val="Plain Text Char"/>
    <w:qFormat/>
    <w:locked/>
    <w:uiPriority w:val="0"/>
    <w:rPr>
      <w:rFonts w:ascii="宋体" w:hAnsi="Courier New" w:cs="Courier New"/>
      <w:sz w:val="21"/>
      <w:szCs w:val="21"/>
    </w:rPr>
  </w:style>
  <w:style w:type="character" w:customStyle="1" w:styleId="652">
    <w:name w:val="Char Char1 Char Char Char Char Char Char Char Char Char Char"/>
    <w:link w:val="653"/>
    <w:qFormat/>
    <w:locked/>
    <w:uiPriority w:val="0"/>
    <w:rPr>
      <w:rFonts w:ascii="Verdana" w:hAnsi="Verdana" w:eastAsia="仿宋_GB2312"/>
      <w:sz w:val="24"/>
      <w:lang w:eastAsia="en-US"/>
    </w:rPr>
  </w:style>
  <w:style w:type="paragraph" w:customStyle="1" w:styleId="653">
    <w:name w:val="Char Char1 Char Char Char Char Char Char Char Char Char"/>
    <w:basedOn w:val="1"/>
    <w:link w:val="652"/>
    <w:qFormat/>
    <w:uiPriority w:val="0"/>
    <w:pPr>
      <w:widowControl/>
      <w:spacing w:after="160" w:line="240" w:lineRule="exact"/>
      <w:jc w:val="left"/>
    </w:pPr>
    <w:rPr>
      <w:rFonts w:ascii="Verdana" w:hAnsi="Verdana" w:eastAsia="仿宋_GB2312"/>
      <w:kern w:val="0"/>
      <w:sz w:val="24"/>
      <w:szCs w:val="20"/>
      <w:lang w:eastAsia="en-US"/>
    </w:rPr>
  </w:style>
  <w:style w:type="character" w:customStyle="1" w:styleId="654">
    <w:name w:val="Char Char35"/>
    <w:qFormat/>
    <w:uiPriority w:val="0"/>
    <w:rPr>
      <w:rFonts w:eastAsia="宋体"/>
      <w:b/>
      <w:bCs/>
      <w:kern w:val="44"/>
      <w:sz w:val="32"/>
      <w:szCs w:val="44"/>
      <w:lang w:val="en-US" w:eastAsia="zh-CN" w:bidi="ar-SA"/>
    </w:rPr>
  </w:style>
  <w:style w:type="character" w:customStyle="1" w:styleId="655">
    <w:name w:val="批注主题 字符2"/>
    <w:qFormat/>
    <w:uiPriority w:val="0"/>
    <w:rPr>
      <w:rFonts w:ascii="Times New Roman" w:hAnsi="Times New Roman" w:eastAsia="宋体"/>
      <w:b/>
      <w:kern w:val="0"/>
      <w:sz w:val="24"/>
    </w:rPr>
  </w:style>
  <w:style w:type="character" w:customStyle="1" w:styleId="656">
    <w:name w:val="尾注文本 字符1"/>
    <w:semiHidden/>
    <w:qFormat/>
    <w:uiPriority w:val="0"/>
    <w:rPr>
      <w:sz w:val="24"/>
    </w:rPr>
  </w:style>
  <w:style w:type="character" w:customStyle="1" w:styleId="657">
    <w:name w:val="Quote Char"/>
    <w:qFormat/>
    <w:locked/>
    <w:uiPriority w:val="99"/>
    <w:rPr>
      <w:i/>
      <w:color w:val="000000"/>
    </w:rPr>
  </w:style>
  <w:style w:type="character" w:customStyle="1" w:styleId="658">
    <w:name w:val="脚注文本 字符3"/>
    <w:semiHidden/>
    <w:qFormat/>
    <w:uiPriority w:val="0"/>
    <w:rPr>
      <w:rFonts w:ascii="宋体" w:eastAsia="宋体" w:cs="Times New Roman"/>
      <w:kern w:val="2"/>
      <w:sz w:val="18"/>
      <w:szCs w:val="18"/>
    </w:rPr>
  </w:style>
  <w:style w:type="paragraph" w:customStyle="1" w:styleId="659">
    <w:name w:val="封面样式4"/>
    <w:basedOn w:val="1"/>
    <w:qFormat/>
    <w:uiPriority w:val="0"/>
    <w:pPr>
      <w:spacing w:line="440" w:lineRule="exact"/>
      <w:ind w:firstLine="420" w:firstLineChars="200"/>
    </w:pPr>
    <w:rPr>
      <w:rFonts w:ascii="华文细黑" w:hAnsi="华文细黑"/>
      <w:kern w:val="0"/>
    </w:rPr>
  </w:style>
  <w:style w:type="paragraph" w:customStyle="1" w:styleId="660">
    <w:name w:val="Char Char Char Char Char2"/>
    <w:basedOn w:val="1"/>
    <w:qFormat/>
    <w:uiPriority w:val="0"/>
    <w:pPr>
      <w:adjustRightInd w:val="0"/>
      <w:spacing w:line="440" w:lineRule="exact"/>
      <w:ind w:firstLine="200" w:firstLineChars="200"/>
    </w:pPr>
    <w:rPr>
      <w:rFonts w:ascii="宋体" w:hAnsi="Calibri"/>
      <w:kern w:val="0"/>
      <w:sz w:val="28"/>
      <w:szCs w:val="27"/>
    </w:rPr>
  </w:style>
  <w:style w:type="paragraph" w:customStyle="1" w:styleId="661">
    <w:name w:val="CM56"/>
    <w:basedOn w:val="112"/>
    <w:next w:val="112"/>
    <w:qFormat/>
    <w:uiPriority w:val="0"/>
    <w:pPr>
      <w:ind w:firstLine="0" w:firstLineChars="0"/>
    </w:pPr>
    <w:rPr>
      <w:rFonts w:ascii="Calibri" w:hAnsi="Calibri" w:eastAsia="宋体"/>
      <w:sz w:val="24"/>
      <w:szCs w:val="24"/>
    </w:rPr>
  </w:style>
  <w:style w:type="character" w:customStyle="1" w:styleId="662">
    <w:name w:val="脚注文本 Char3"/>
    <w:basedOn w:val="58"/>
    <w:qFormat/>
    <w:uiPriority w:val="0"/>
    <w:rPr>
      <w:rFonts w:ascii="Times New Roman" w:hAnsi="Times New Roman" w:eastAsia="宋体" w:cs="Times New Roman"/>
      <w:kern w:val="2"/>
      <w:sz w:val="18"/>
      <w:szCs w:val="18"/>
    </w:rPr>
  </w:style>
  <w:style w:type="paragraph" w:customStyle="1" w:styleId="663">
    <w:name w:val="CM7"/>
    <w:basedOn w:val="112"/>
    <w:next w:val="112"/>
    <w:qFormat/>
    <w:uiPriority w:val="0"/>
    <w:pPr>
      <w:spacing w:line="191" w:lineRule="atLeast"/>
      <w:ind w:firstLine="0" w:firstLineChars="0"/>
    </w:pPr>
    <w:rPr>
      <w:rFonts w:ascii="Calibri" w:hAnsi="Calibri" w:eastAsia="宋体"/>
      <w:sz w:val="24"/>
      <w:szCs w:val="24"/>
    </w:rPr>
  </w:style>
  <w:style w:type="paragraph" w:customStyle="1" w:styleId="664">
    <w:name w:val="Default Paragraph Font Para Char"/>
    <w:basedOn w:val="1"/>
    <w:qFormat/>
    <w:uiPriority w:val="0"/>
    <w:pPr>
      <w:widowControl/>
      <w:spacing w:after="160" w:line="240" w:lineRule="exact"/>
      <w:ind w:firstLine="200" w:firstLineChars="200"/>
      <w:jc w:val="left"/>
    </w:pPr>
    <w:rPr>
      <w:rFonts w:ascii="Verdana" w:hAnsi="Verdana" w:eastAsia="仿宋"/>
      <w:kern w:val="0"/>
      <w:sz w:val="20"/>
      <w:szCs w:val="20"/>
      <w:lang w:eastAsia="en-US"/>
    </w:rPr>
  </w:style>
  <w:style w:type="paragraph" w:customStyle="1" w:styleId="665">
    <w:name w:val="pa-1"/>
    <w:basedOn w:val="1"/>
    <w:qFormat/>
    <w:uiPriority w:val="0"/>
    <w:pPr>
      <w:widowControl/>
      <w:spacing w:line="320" w:lineRule="atLeast"/>
      <w:ind w:firstLine="560" w:firstLineChars="200"/>
    </w:pPr>
    <w:rPr>
      <w:rFonts w:ascii="宋体" w:hAnsi="宋体" w:eastAsia="仿宋" w:cs="宋体"/>
      <w:kern w:val="0"/>
      <w:sz w:val="24"/>
    </w:rPr>
  </w:style>
  <w:style w:type="character" w:customStyle="1" w:styleId="666">
    <w:name w:val="尾注文本 Char4"/>
    <w:basedOn w:val="58"/>
    <w:qFormat/>
    <w:uiPriority w:val="0"/>
    <w:rPr>
      <w:rFonts w:ascii="Times New Roman" w:hAnsi="Times New Roman" w:eastAsia="宋体" w:cs="Times New Roman"/>
      <w:kern w:val="2"/>
      <w:sz w:val="21"/>
      <w:szCs w:val="24"/>
    </w:rPr>
  </w:style>
  <w:style w:type="paragraph" w:customStyle="1" w:styleId="667">
    <w:name w:val="样式 标题 4 +"/>
    <w:basedOn w:val="5"/>
    <w:qFormat/>
    <w:uiPriority w:val="0"/>
    <w:pPr>
      <w:keepNext w:val="0"/>
      <w:keepLines w:val="0"/>
      <w:tabs>
        <w:tab w:val="left" w:pos="3030"/>
      </w:tabs>
      <w:adjustRightInd w:val="0"/>
      <w:spacing w:beforeLines="50" w:afterLines="50" w:line="360" w:lineRule="auto"/>
      <w:ind w:left="3030" w:hanging="420"/>
      <w:jc w:val="left"/>
      <w:textAlignment w:val="baseline"/>
    </w:pPr>
    <w:rPr>
      <w:rFonts w:ascii="黑体" w:hAnsi="黑体" w:eastAsia="宋体" w:cs="宋体"/>
      <w:b w:val="0"/>
      <w:bCs w:val="0"/>
      <w:kern w:val="0"/>
      <w:sz w:val="21"/>
      <w:szCs w:val="20"/>
      <w:lang w:val="zh-CN"/>
    </w:rPr>
  </w:style>
  <w:style w:type="paragraph" w:customStyle="1" w:styleId="668">
    <w:name w:val="菲页1"/>
    <w:basedOn w:val="3"/>
    <w:qFormat/>
    <w:uiPriority w:val="0"/>
    <w:pPr>
      <w:widowControl/>
      <w:spacing w:line="413" w:lineRule="auto"/>
      <w:jc w:val="center"/>
    </w:pPr>
    <w:rPr>
      <w:rFonts w:ascii="黑体" w:hAnsi="宋体" w:eastAsia="华文细黑" w:cs="Bodoni MT"/>
      <w:b w:val="0"/>
      <w:sz w:val="52"/>
    </w:rPr>
  </w:style>
  <w:style w:type="paragraph" w:customStyle="1" w:styleId="669">
    <w:name w:val="样式3"/>
    <w:basedOn w:val="1"/>
    <w:qFormat/>
    <w:uiPriority w:val="0"/>
    <w:pPr>
      <w:ind w:firstLine="560" w:firstLineChars="200"/>
    </w:pPr>
    <w:rPr>
      <w:rFonts w:ascii="黑体" w:hAnsi="Calibri" w:eastAsia="黑体"/>
      <w:b/>
      <w:sz w:val="28"/>
    </w:rPr>
  </w:style>
  <w:style w:type="paragraph" w:customStyle="1" w:styleId="670">
    <w:name w:val="Char Char Char Char Char Char Char Char Char Char Char Char Char Char Char Char Char Char"/>
    <w:basedOn w:val="1"/>
    <w:qFormat/>
    <w:uiPriority w:val="0"/>
    <w:pPr>
      <w:widowControl/>
      <w:spacing w:after="160" w:line="240" w:lineRule="exact"/>
      <w:jc w:val="left"/>
    </w:pPr>
    <w:rPr>
      <w:rFonts w:ascii="Verdana" w:hAnsi="Verdana" w:eastAsia="仿宋_GB2312" w:cs="Verdana"/>
      <w:kern w:val="0"/>
      <w:lang w:eastAsia="en-US"/>
    </w:rPr>
  </w:style>
  <w:style w:type="paragraph" w:customStyle="1" w:styleId="671">
    <w:name w:val="Char Char Char Char Char Char Char Char"/>
    <w:basedOn w:val="1"/>
    <w:qFormat/>
    <w:uiPriority w:val="0"/>
    <w:pPr>
      <w:adjustRightInd w:val="0"/>
      <w:spacing w:line="440" w:lineRule="exact"/>
    </w:pPr>
    <w:rPr>
      <w:rFonts w:ascii="宋体" w:hAnsi="Calibri"/>
      <w:kern w:val="0"/>
      <w:sz w:val="28"/>
      <w:szCs w:val="27"/>
    </w:rPr>
  </w:style>
  <w:style w:type="paragraph" w:customStyle="1" w:styleId="672">
    <w:name w:val="CM57"/>
    <w:basedOn w:val="112"/>
    <w:next w:val="112"/>
    <w:qFormat/>
    <w:uiPriority w:val="0"/>
    <w:pPr>
      <w:ind w:firstLine="0" w:firstLineChars="0"/>
    </w:pPr>
    <w:rPr>
      <w:rFonts w:ascii="Calibri" w:hAnsi="Calibri" w:eastAsia="宋体"/>
      <w:sz w:val="24"/>
      <w:szCs w:val="24"/>
    </w:rPr>
  </w:style>
  <w:style w:type="paragraph" w:customStyle="1" w:styleId="673">
    <w:name w:val="Paragraph 5"/>
    <w:basedOn w:val="1"/>
    <w:qFormat/>
    <w:uiPriority w:val="0"/>
    <w:pPr>
      <w:widowControl/>
      <w:tabs>
        <w:tab w:val="left" w:pos="2736"/>
        <w:tab w:val="left" w:pos="3870"/>
      </w:tabs>
      <w:adjustRightInd w:val="0"/>
      <w:spacing w:after="240"/>
      <w:ind w:left="2739"/>
      <w:textAlignment w:val="baseline"/>
    </w:pPr>
    <w:rPr>
      <w:rFonts w:ascii="Arial" w:hAnsi="Arial"/>
      <w:kern w:val="0"/>
      <w:sz w:val="22"/>
      <w:szCs w:val="20"/>
    </w:rPr>
  </w:style>
  <w:style w:type="paragraph" w:customStyle="1" w:styleId="674">
    <w:name w:val="Char Char1 Char Char Char Char Char Char Char Char Char Char Char Char Char2"/>
    <w:basedOn w:val="1"/>
    <w:qFormat/>
    <w:uiPriority w:val="0"/>
    <w:pPr>
      <w:widowControl/>
      <w:spacing w:after="160" w:line="240" w:lineRule="exact"/>
      <w:ind w:firstLine="200" w:firstLineChars="200"/>
      <w:jc w:val="left"/>
    </w:pPr>
    <w:rPr>
      <w:rFonts w:ascii="Verdana" w:hAnsi="Verdana" w:eastAsia="仿宋_GB2312"/>
      <w:kern w:val="0"/>
      <w:sz w:val="24"/>
      <w:szCs w:val="20"/>
      <w:lang w:eastAsia="en-US"/>
    </w:rPr>
  </w:style>
  <w:style w:type="character" w:customStyle="1" w:styleId="675">
    <w:name w:val="HTML 预设格式 Char3"/>
    <w:basedOn w:val="58"/>
    <w:qFormat/>
    <w:uiPriority w:val="0"/>
    <w:rPr>
      <w:rFonts w:ascii="Courier New" w:hAnsi="Courier New" w:eastAsia="宋体" w:cs="Courier New"/>
      <w:kern w:val="2"/>
    </w:rPr>
  </w:style>
  <w:style w:type="paragraph" w:customStyle="1" w:styleId="676">
    <w:name w:val="AOBodyTxt"/>
    <w:basedOn w:val="1"/>
    <w:next w:val="1"/>
    <w:qFormat/>
    <w:uiPriority w:val="0"/>
    <w:pPr>
      <w:widowControl/>
      <w:spacing w:before="240" w:line="260" w:lineRule="atLeast"/>
    </w:pPr>
    <w:rPr>
      <w:rFonts w:ascii="Calibri" w:hAnsi="Calibri"/>
      <w:kern w:val="0"/>
      <w:sz w:val="22"/>
      <w:szCs w:val="20"/>
      <w:lang w:val="en-GB" w:eastAsia="en-US"/>
    </w:rPr>
  </w:style>
  <w:style w:type="character" w:customStyle="1" w:styleId="677">
    <w:name w:val="称呼 Char1"/>
    <w:basedOn w:val="58"/>
    <w:qFormat/>
    <w:uiPriority w:val="0"/>
    <w:rPr>
      <w:rFonts w:ascii="Times New Roman" w:hAnsi="Times New Roman" w:eastAsia="宋体" w:cs="Times New Roman"/>
      <w:kern w:val="2"/>
      <w:sz w:val="21"/>
      <w:szCs w:val="24"/>
    </w:rPr>
  </w:style>
  <w:style w:type="paragraph" w:customStyle="1" w:styleId="678">
    <w:name w:val="默认段落字体 Para Char"/>
    <w:basedOn w:val="1"/>
    <w:next w:val="1"/>
    <w:qFormat/>
    <w:uiPriority w:val="0"/>
    <w:pPr>
      <w:tabs>
        <w:tab w:val="left" w:pos="2190"/>
      </w:tabs>
      <w:spacing w:line="360" w:lineRule="auto"/>
      <w:ind w:left="2190" w:firstLine="200" w:firstLineChars="200"/>
    </w:pPr>
    <w:rPr>
      <w:rFonts w:ascii="宋体" w:hAnsi="宋体" w:cs="宋体"/>
      <w:sz w:val="24"/>
    </w:rPr>
  </w:style>
  <w:style w:type="paragraph" w:customStyle="1" w:styleId="679">
    <w:name w:val="Char Char1 Char Char Char Char Char Char Char1"/>
    <w:basedOn w:val="1"/>
    <w:qFormat/>
    <w:uiPriority w:val="0"/>
    <w:pPr>
      <w:adjustRightInd w:val="0"/>
      <w:spacing w:line="440" w:lineRule="exact"/>
      <w:ind w:firstLine="200" w:firstLineChars="200"/>
    </w:pPr>
    <w:rPr>
      <w:rFonts w:ascii="宋体" w:hAnsi="Calibri"/>
      <w:kern w:val="0"/>
      <w:sz w:val="28"/>
      <w:szCs w:val="27"/>
    </w:rPr>
  </w:style>
  <w:style w:type="paragraph" w:customStyle="1" w:styleId="680">
    <w:name w:val="Char Char Char Char Char Char Char Char Char Char Char Char Char Char Char1 Char1"/>
    <w:basedOn w:val="1"/>
    <w:qFormat/>
    <w:uiPriority w:val="0"/>
    <w:pPr>
      <w:adjustRightInd w:val="0"/>
      <w:spacing w:line="312" w:lineRule="atLeast"/>
      <w:ind w:firstLine="200" w:firstLineChars="200"/>
      <w:textAlignment w:val="baseline"/>
    </w:pPr>
    <w:rPr>
      <w:rFonts w:ascii="Calibri" w:hAnsi="Calibri"/>
      <w:b/>
      <w:bCs/>
      <w:kern w:val="0"/>
      <w:sz w:val="36"/>
      <w:szCs w:val="32"/>
    </w:rPr>
  </w:style>
  <w:style w:type="paragraph" w:customStyle="1" w:styleId="681">
    <w:name w:val="Char Char1 Char Char Char Char1"/>
    <w:basedOn w:val="1"/>
    <w:qFormat/>
    <w:uiPriority w:val="0"/>
    <w:pPr>
      <w:adjustRightInd w:val="0"/>
      <w:spacing w:line="440" w:lineRule="exact"/>
      <w:ind w:firstLine="200" w:firstLineChars="200"/>
    </w:pPr>
    <w:rPr>
      <w:rFonts w:ascii="宋体" w:hAnsi="Calibri"/>
      <w:kern w:val="0"/>
      <w:sz w:val="28"/>
      <w:szCs w:val="27"/>
    </w:rPr>
  </w:style>
  <w:style w:type="paragraph" w:customStyle="1" w:styleId="682">
    <w:name w:val="font1"/>
    <w:basedOn w:val="1"/>
    <w:qFormat/>
    <w:uiPriority w:val="0"/>
    <w:pPr>
      <w:widowControl/>
      <w:spacing w:before="100" w:beforeAutospacing="1" w:after="100" w:afterAutospacing="1"/>
      <w:jc w:val="left"/>
    </w:pPr>
    <w:rPr>
      <w:rFonts w:hint="eastAsia" w:ascii="宋体" w:hAnsi="宋体" w:cs="Arial Unicode MS"/>
      <w:kern w:val="0"/>
      <w:sz w:val="24"/>
    </w:rPr>
  </w:style>
  <w:style w:type="paragraph" w:customStyle="1" w:styleId="683">
    <w:name w:val="正文再缩近"/>
    <w:basedOn w:val="1"/>
    <w:qFormat/>
    <w:uiPriority w:val="0"/>
    <w:pPr>
      <w:spacing w:line="440" w:lineRule="exact"/>
      <w:ind w:firstLine="400" w:firstLineChars="400"/>
      <w:jc w:val="left"/>
    </w:pPr>
    <w:rPr>
      <w:rFonts w:ascii="华文细黑" w:hAnsi="华文细黑" w:cs="Arial"/>
      <w:kern w:val="0"/>
      <w:szCs w:val="21"/>
    </w:rPr>
  </w:style>
  <w:style w:type="paragraph" w:customStyle="1" w:styleId="684">
    <w:name w:val="CM5"/>
    <w:basedOn w:val="112"/>
    <w:next w:val="112"/>
    <w:qFormat/>
    <w:uiPriority w:val="0"/>
    <w:pPr>
      <w:spacing w:line="180" w:lineRule="atLeast"/>
      <w:ind w:firstLine="0" w:firstLineChars="0"/>
    </w:pPr>
    <w:rPr>
      <w:rFonts w:ascii="Calibri" w:hAnsi="Calibri" w:eastAsia="宋体"/>
      <w:sz w:val="24"/>
      <w:szCs w:val="24"/>
    </w:rPr>
  </w:style>
  <w:style w:type="character" w:customStyle="1" w:styleId="685">
    <w:name w:val="正文首行缩进 Char2"/>
    <w:basedOn w:val="86"/>
    <w:qFormat/>
    <w:uiPriority w:val="0"/>
    <w:rPr>
      <w:rFonts w:ascii="Times New Roman" w:hAnsi="Times New Roman" w:eastAsia="宋体" w:cs="Times New Roman"/>
      <w:kern w:val="2"/>
      <w:sz w:val="21"/>
      <w:szCs w:val="24"/>
      <w:lang w:val="zh-CN" w:bidi="zh-CN"/>
    </w:rPr>
  </w:style>
  <w:style w:type="paragraph" w:customStyle="1" w:styleId="686">
    <w:name w:val="五级条标题"/>
    <w:basedOn w:val="687"/>
    <w:next w:val="1"/>
    <w:qFormat/>
    <w:uiPriority w:val="0"/>
    <w:pPr>
      <w:tabs>
        <w:tab w:val="left" w:pos="1021"/>
        <w:tab w:val="left" w:pos="1440"/>
        <w:tab w:val="left" w:pos="3870"/>
        <w:tab w:val="left" w:pos="4290"/>
      </w:tabs>
      <w:ind w:left="4290"/>
      <w:outlineLvl w:val="6"/>
    </w:pPr>
  </w:style>
  <w:style w:type="paragraph" w:customStyle="1" w:styleId="687">
    <w:name w:val="四级条标题"/>
    <w:basedOn w:val="1"/>
    <w:next w:val="1"/>
    <w:qFormat/>
    <w:uiPriority w:val="0"/>
    <w:pPr>
      <w:widowControl/>
      <w:tabs>
        <w:tab w:val="left" w:pos="1021"/>
        <w:tab w:val="left" w:pos="3870"/>
      </w:tabs>
      <w:ind w:left="3870" w:hanging="420"/>
      <w:outlineLvl w:val="5"/>
    </w:pPr>
    <w:rPr>
      <w:rFonts w:ascii="黑体" w:eastAsia="黑体"/>
      <w:kern w:val="0"/>
      <w:szCs w:val="20"/>
    </w:rPr>
  </w:style>
  <w:style w:type="paragraph" w:customStyle="1" w:styleId="688">
    <w:name w:val="_Style 136"/>
    <w:basedOn w:val="1"/>
    <w:qFormat/>
    <w:uiPriority w:val="0"/>
    <w:rPr>
      <w:rFonts w:ascii="Calibri" w:hAnsi="Calibri"/>
      <w:szCs w:val="20"/>
    </w:rPr>
  </w:style>
  <w:style w:type="paragraph" w:customStyle="1" w:styleId="689">
    <w:name w:val="正文 + 宋体"/>
    <w:basedOn w:val="1"/>
    <w:qFormat/>
    <w:uiPriority w:val="0"/>
    <w:pPr>
      <w:autoSpaceDE w:val="0"/>
      <w:autoSpaceDN w:val="0"/>
      <w:adjustRightInd w:val="0"/>
      <w:spacing w:line="429" w:lineRule="exact"/>
      <w:ind w:left="108"/>
    </w:pPr>
    <w:rPr>
      <w:rFonts w:ascii="宋体" w:hAnsi="宋体" w:cs="宋?"/>
      <w:color w:val="000000"/>
      <w:w w:val="97"/>
      <w:kern w:val="0"/>
      <w:szCs w:val="21"/>
    </w:rPr>
  </w:style>
  <w:style w:type="paragraph" w:customStyle="1" w:styleId="690">
    <w:name w:val="style1"/>
    <w:basedOn w:val="1"/>
    <w:qFormat/>
    <w:uiPriority w:val="0"/>
    <w:pPr>
      <w:widowControl/>
      <w:spacing w:before="100" w:beforeAutospacing="1" w:after="100" w:afterAutospacing="1"/>
      <w:jc w:val="left"/>
    </w:pPr>
    <w:rPr>
      <w:rFonts w:ascii="Arial Unicode MS" w:hAnsi="Arial Unicode MS" w:eastAsia="Arial Unicode MS" w:cs="Arial Unicode MS"/>
      <w:kern w:val="0"/>
      <w:sz w:val="24"/>
    </w:rPr>
  </w:style>
  <w:style w:type="character" w:customStyle="1" w:styleId="691">
    <w:name w:val="正文文本 2 Char3"/>
    <w:basedOn w:val="58"/>
    <w:qFormat/>
    <w:uiPriority w:val="0"/>
    <w:rPr>
      <w:rFonts w:ascii="Times New Roman" w:hAnsi="Times New Roman" w:eastAsia="宋体" w:cs="Times New Roman"/>
      <w:kern w:val="2"/>
      <w:sz w:val="21"/>
      <w:szCs w:val="24"/>
    </w:rPr>
  </w:style>
  <w:style w:type="paragraph" w:customStyle="1" w:styleId="692">
    <w:name w:val="表格文字"/>
    <w:basedOn w:val="1"/>
    <w:qFormat/>
    <w:uiPriority w:val="0"/>
    <w:pPr>
      <w:adjustRightInd w:val="0"/>
      <w:spacing w:line="420" w:lineRule="atLeast"/>
      <w:jc w:val="left"/>
      <w:textAlignment w:val="baseline"/>
    </w:pPr>
    <w:rPr>
      <w:rFonts w:ascii="Calibri" w:hAnsi="Calibri"/>
      <w:kern w:val="0"/>
      <w:szCs w:val="20"/>
    </w:rPr>
  </w:style>
  <w:style w:type="paragraph" w:customStyle="1" w:styleId="693">
    <w:name w:val="Char Char Char Char Char Char Char Char Char Char1"/>
    <w:basedOn w:val="1"/>
    <w:qFormat/>
    <w:uiPriority w:val="0"/>
    <w:pPr>
      <w:spacing w:line="360" w:lineRule="auto"/>
      <w:ind w:firstLine="200" w:firstLineChars="200"/>
    </w:pPr>
    <w:rPr>
      <w:rFonts w:ascii="Tahoma" w:hAnsi="Tahoma"/>
      <w:sz w:val="24"/>
    </w:rPr>
  </w:style>
  <w:style w:type="paragraph" w:customStyle="1" w:styleId="694">
    <w:name w:val="附件"/>
    <w:basedOn w:val="1"/>
    <w:qFormat/>
    <w:uiPriority w:val="0"/>
    <w:pPr>
      <w:ind w:left="280" w:hanging="280"/>
      <w:jc w:val="left"/>
    </w:pPr>
    <w:rPr>
      <w:rFonts w:ascii="宋体" w:hAnsi="宋体"/>
      <w:szCs w:val="20"/>
    </w:rPr>
  </w:style>
  <w:style w:type="paragraph" w:customStyle="1" w:styleId="695">
    <w:name w:val="Char Char Char Char"/>
    <w:basedOn w:val="1"/>
    <w:qFormat/>
    <w:uiPriority w:val="0"/>
    <w:rPr>
      <w:rFonts w:ascii="Calibri" w:hAnsi="Calibri"/>
      <w:szCs w:val="22"/>
    </w:rPr>
  </w:style>
  <w:style w:type="character" w:customStyle="1" w:styleId="696">
    <w:name w:val="正文文本缩进 3 Char3"/>
    <w:basedOn w:val="58"/>
    <w:qFormat/>
    <w:uiPriority w:val="0"/>
    <w:rPr>
      <w:rFonts w:ascii="Times New Roman" w:hAnsi="Times New Roman" w:eastAsia="宋体" w:cs="Times New Roman"/>
      <w:kern w:val="2"/>
      <w:sz w:val="16"/>
      <w:szCs w:val="16"/>
    </w:rPr>
  </w:style>
  <w:style w:type="paragraph" w:customStyle="1" w:styleId="697">
    <w:name w:val="Char2 Char Char Char"/>
    <w:basedOn w:val="1"/>
    <w:qFormat/>
    <w:uiPriority w:val="0"/>
    <w:rPr>
      <w:rFonts w:ascii="仿宋_GB2312" w:hAnsi="Calibri"/>
      <w:b/>
      <w:sz w:val="30"/>
      <w:szCs w:val="32"/>
    </w:rPr>
  </w:style>
  <w:style w:type="paragraph" w:customStyle="1" w:styleId="698">
    <w:name w:val="_Style 16"/>
    <w:qFormat/>
    <w:uiPriority w:val="0"/>
    <w:pPr>
      <w:widowControl w:val="0"/>
      <w:jc w:val="center"/>
    </w:pPr>
    <w:rPr>
      <w:rFonts w:ascii="Times New Roman" w:hAnsi="Times New Roman" w:eastAsia="宋体" w:cs="Times New Roman"/>
      <w:kern w:val="2"/>
      <w:sz w:val="21"/>
      <w:szCs w:val="24"/>
      <w:lang w:val="en-US" w:eastAsia="zh-CN" w:bidi="ar-SA"/>
    </w:rPr>
  </w:style>
  <w:style w:type="paragraph" w:customStyle="1" w:styleId="699">
    <w:name w:val="章标题"/>
    <w:next w:val="1"/>
    <w:qFormat/>
    <w:uiPriority w:val="0"/>
    <w:pPr>
      <w:tabs>
        <w:tab w:val="left" w:pos="360"/>
        <w:tab w:val="left" w:pos="420"/>
        <w:tab w:val="left" w:pos="4290"/>
      </w:tabs>
      <w:spacing w:beforeLines="50" w:afterLines="50"/>
      <w:ind w:left="4290" w:hanging="420"/>
      <w:jc w:val="both"/>
      <w:outlineLvl w:val="1"/>
    </w:pPr>
    <w:rPr>
      <w:rFonts w:ascii="黑体" w:hAnsi="Times New Roman" w:eastAsia="黑体" w:cs="Times New Roman"/>
      <w:b/>
      <w:sz w:val="21"/>
      <w:lang w:val="en-US" w:eastAsia="zh-CN" w:bidi="ar-SA"/>
    </w:rPr>
  </w:style>
  <w:style w:type="paragraph" w:customStyle="1" w:styleId="700">
    <w:name w:val="图表标题"/>
    <w:basedOn w:val="1"/>
    <w:qFormat/>
    <w:uiPriority w:val="0"/>
    <w:pPr>
      <w:keepNext/>
      <w:adjustRightInd w:val="0"/>
      <w:snapToGrid w:val="0"/>
      <w:spacing w:line="360" w:lineRule="auto"/>
      <w:jc w:val="center"/>
      <w:outlineLvl w:val="3"/>
    </w:pPr>
    <w:rPr>
      <w:rFonts w:eastAsia="黑体"/>
      <w:sz w:val="24"/>
      <w:szCs w:val="28"/>
    </w:rPr>
  </w:style>
  <w:style w:type="paragraph" w:customStyle="1" w:styleId="701">
    <w:name w:val="样式 标题 4 + 小四 加粗 左"/>
    <w:basedOn w:val="5"/>
    <w:qFormat/>
    <w:uiPriority w:val="0"/>
    <w:pPr>
      <w:widowControl/>
      <w:spacing w:before="120" w:after="120" w:line="360" w:lineRule="auto"/>
      <w:jc w:val="left"/>
    </w:pPr>
    <w:rPr>
      <w:rFonts w:ascii="宋体" w:eastAsia="宋体" w:cs="宋体"/>
      <w:kern w:val="0"/>
      <w:sz w:val="24"/>
      <w:szCs w:val="20"/>
      <w:lang w:val="zh-CN"/>
    </w:rPr>
  </w:style>
  <w:style w:type="paragraph" w:customStyle="1" w:styleId="702">
    <w:name w:val="Char Char Char Char Char Char Char Char1"/>
    <w:basedOn w:val="1"/>
    <w:qFormat/>
    <w:uiPriority w:val="0"/>
    <w:pPr>
      <w:adjustRightInd w:val="0"/>
      <w:spacing w:line="440" w:lineRule="exact"/>
      <w:ind w:firstLine="200" w:firstLineChars="200"/>
    </w:pPr>
    <w:rPr>
      <w:rFonts w:ascii="宋体" w:hAnsi="Calibri"/>
      <w:kern w:val="0"/>
      <w:sz w:val="28"/>
      <w:szCs w:val="27"/>
    </w:rPr>
  </w:style>
  <w:style w:type="paragraph" w:customStyle="1" w:styleId="703">
    <w:name w:val="样式4"/>
    <w:basedOn w:val="669"/>
    <w:qFormat/>
    <w:uiPriority w:val="0"/>
    <w:pPr>
      <w:ind w:firstLine="562"/>
    </w:pPr>
    <w:rPr>
      <w:bCs/>
    </w:rPr>
  </w:style>
  <w:style w:type="paragraph" w:customStyle="1" w:styleId="704">
    <w:name w:val="一级条标题"/>
    <w:basedOn w:val="699"/>
    <w:next w:val="1"/>
    <w:qFormat/>
    <w:uiPriority w:val="0"/>
    <w:pPr>
      <w:tabs>
        <w:tab w:val="left" w:pos="525"/>
        <w:tab w:val="left" w:pos="2610"/>
        <w:tab w:val="clear" w:pos="360"/>
        <w:tab w:val="clear" w:pos="420"/>
      </w:tabs>
      <w:ind w:left="2610"/>
      <w:outlineLvl w:val="2"/>
    </w:pPr>
  </w:style>
  <w:style w:type="paragraph" w:customStyle="1" w:styleId="705">
    <w:name w:val="CM54"/>
    <w:basedOn w:val="112"/>
    <w:next w:val="112"/>
    <w:qFormat/>
    <w:uiPriority w:val="0"/>
    <w:pPr>
      <w:spacing w:line="398" w:lineRule="atLeast"/>
      <w:ind w:firstLine="0" w:firstLineChars="0"/>
    </w:pPr>
    <w:rPr>
      <w:rFonts w:ascii="宋体" w:hAnsi="Calibri" w:eastAsia="宋体"/>
      <w:sz w:val="24"/>
      <w:szCs w:val="24"/>
    </w:rPr>
  </w:style>
  <w:style w:type="paragraph" w:customStyle="1" w:styleId="706">
    <w:name w:val="框图文字"/>
    <w:basedOn w:val="1"/>
    <w:qFormat/>
    <w:uiPriority w:val="0"/>
    <w:pPr>
      <w:jc w:val="center"/>
    </w:pPr>
    <w:rPr>
      <w:rFonts w:ascii="Calibri" w:hAnsi="Calibri"/>
      <w:spacing w:val="-4"/>
      <w:szCs w:val="21"/>
    </w:rPr>
  </w:style>
  <w:style w:type="paragraph" w:customStyle="1" w:styleId="707">
    <w:name w:val="Char Char3 Char Char Char Char Char Char Char Char Char Char"/>
    <w:basedOn w:val="1"/>
    <w:qFormat/>
    <w:uiPriority w:val="0"/>
    <w:pPr>
      <w:widowControl/>
      <w:spacing w:after="160" w:line="240" w:lineRule="exact"/>
      <w:jc w:val="left"/>
    </w:pPr>
    <w:rPr>
      <w:rFonts w:ascii="Calibri" w:hAnsi="Calibri"/>
      <w:snapToGrid w:val="0"/>
      <w:kern w:val="21"/>
      <w:szCs w:val="21"/>
    </w:rPr>
  </w:style>
  <w:style w:type="paragraph" w:customStyle="1" w:styleId="708">
    <w:name w:val="CM29"/>
    <w:basedOn w:val="112"/>
    <w:next w:val="112"/>
    <w:qFormat/>
    <w:uiPriority w:val="0"/>
    <w:pPr>
      <w:spacing w:line="400" w:lineRule="atLeast"/>
      <w:ind w:firstLine="0" w:firstLineChars="0"/>
    </w:pPr>
    <w:rPr>
      <w:rFonts w:ascii="宋体" w:hAnsi="Calibri" w:eastAsia="宋体"/>
      <w:sz w:val="24"/>
      <w:szCs w:val="24"/>
    </w:rPr>
  </w:style>
  <w:style w:type="paragraph" w:customStyle="1" w:styleId="709">
    <w:name w:val="_Style 108"/>
    <w:basedOn w:val="1"/>
    <w:qFormat/>
    <w:uiPriority w:val="0"/>
    <w:pPr>
      <w:widowControl/>
      <w:spacing w:after="160" w:line="240" w:lineRule="exact"/>
      <w:jc w:val="left"/>
    </w:pPr>
    <w:rPr>
      <w:rFonts w:ascii="Calibri" w:hAnsi="Calibri"/>
    </w:rPr>
  </w:style>
  <w:style w:type="paragraph" w:customStyle="1" w:styleId="710">
    <w:name w:val="正文基本样式"/>
    <w:basedOn w:val="1"/>
    <w:qFormat/>
    <w:uiPriority w:val="0"/>
    <w:pPr>
      <w:spacing w:line="336" w:lineRule="auto"/>
      <w:ind w:firstLine="580"/>
    </w:pPr>
    <w:rPr>
      <w:rFonts w:eastAsia="仿宋_GB2312" w:cs="宋体"/>
      <w:sz w:val="28"/>
      <w:szCs w:val="20"/>
    </w:rPr>
  </w:style>
  <w:style w:type="paragraph" w:customStyle="1" w:styleId="711">
    <w:name w:val="_Style 3"/>
    <w:basedOn w:val="1"/>
    <w:next w:val="74"/>
    <w:qFormat/>
    <w:uiPriority w:val="34"/>
    <w:rPr>
      <w:rFonts w:ascii="Calibri" w:hAnsi="Calibri"/>
      <w:szCs w:val="20"/>
    </w:rPr>
  </w:style>
  <w:style w:type="paragraph" w:customStyle="1" w:styleId="712">
    <w:name w:val="Address"/>
    <w:basedOn w:val="1"/>
    <w:next w:val="1"/>
    <w:qFormat/>
    <w:uiPriority w:val="0"/>
    <w:pPr>
      <w:autoSpaceDE w:val="0"/>
      <w:autoSpaceDN w:val="0"/>
      <w:adjustRightInd w:val="0"/>
      <w:jc w:val="left"/>
    </w:pPr>
    <w:rPr>
      <w:rFonts w:ascii="Calibri" w:hAnsi="Calibri"/>
      <w:i/>
      <w:kern w:val="0"/>
      <w:sz w:val="24"/>
      <w:szCs w:val="20"/>
    </w:rPr>
  </w:style>
  <w:style w:type="paragraph" w:customStyle="1" w:styleId="713">
    <w:name w:val="font0"/>
    <w:basedOn w:val="1"/>
    <w:qFormat/>
    <w:uiPriority w:val="0"/>
    <w:pPr>
      <w:widowControl/>
      <w:spacing w:before="100" w:beforeAutospacing="1" w:after="100" w:afterAutospacing="1"/>
      <w:jc w:val="left"/>
    </w:pPr>
    <w:rPr>
      <w:rFonts w:hint="eastAsia" w:ascii="宋体" w:hAnsi="宋体" w:cs="Arial Unicode MS"/>
      <w:kern w:val="0"/>
      <w:sz w:val="24"/>
    </w:rPr>
  </w:style>
  <w:style w:type="paragraph" w:customStyle="1" w:styleId="714">
    <w:name w:val="pa-2"/>
    <w:basedOn w:val="1"/>
    <w:qFormat/>
    <w:uiPriority w:val="0"/>
    <w:pPr>
      <w:widowControl/>
      <w:spacing w:line="320" w:lineRule="atLeast"/>
      <w:ind w:firstLine="560" w:firstLineChars="200"/>
      <w:jc w:val="right"/>
    </w:pPr>
    <w:rPr>
      <w:rFonts w:ascii="宋体" w:hAnsi="宋体" w:eastAsia="仿宋" w:cs="宋体"/>
      <w:kern w:val="0"/>
      <w:sz w:val="24"/>
    </w:rPr>
  </w:style>
  <w:style w:type="paragraph" w:customStyle="1" w:styleId="715">
    <w:name w:val="CM6"/>
    <w:basedOn w:val="1"/>
    <w:next w:val="1"/>
    <w:qFormat/>
    <w:uiPriority w:val="0"/>
    <w:pPr>
      <w:autoSpaceDE w:val="0"/>
      <w:autoSpaceDN w:val="0"/>
      <w:adjustRightInd w:val="0"/>
      <w:spacing w:line="628" w:lineRule="atLeast"/>
      <w:jc w:val="left"/>
    </w:pPr>
    <w:rPr>
      <w:rFonts w:ascii="黑体" w:hAnsi="Calibri" w:eastAsia="黑体"/>
      <w:kern w:val="0"/>
      <w:sz w:val="24"/>
    </w:rPr>
  </w:style>
  <w:style w:type="paragraph" w:customStyle="1" w:styleId="716">
    <w:name w:val="Char Char Char Char Char"/>
    <w:basedOn w:val="1"/>
    <w:qFormat/>
    <w:uiPriority w:val="0"/>
    <w:pPr>
      <w:adjustRightInd w:val="0"/>
      <w:spacing w:line="440" w:lineRule="exact"/>
    </w:pPr>
    <w:rPr>
      <w:rFonts w:ascii="宋体" w:hAnsi="Calibri"/>
      <w:kern w:val="0"/>
      <w:sz w:val="28"/>
      <w:szCs w:val="27"/>
    </w:rPr>
  </w:style>
  <w:style w:type="paragraph" w:customStyle="1" w:styleId="717">
    <w:name w:val="Char Char3 Char Char Char Char"/>
    <w:basedOn w:val="1"/>
    <w:qFormat/>
    <w:uiPriority w:val="0"/>
    <w:pPr>
      <w:widowControl/>
      <w:spacing w:after="160" w:line="240" w:lineRule="exact"/>
      <w:jc w:val="left"/>
    </w:pPr>
    <w:rPr>
      <w:rFonts w:ascii="Calibri" w:hAnsi="Calibri"/>
      <w:snapToGrid w:val="0"/>
      <w:kern w:val="21"/>
      <w:szCs w:val="21"/>
    </w:rPr>
  </w:style>
  <w:style w:type="paragraph" w:customStyle="1" w:styleId="718">
    <w:name w:val="Char Char1 Char Char Char Char Char Char Char Char Char Char Char Char Char Char Char Char2"/>
    <w:basedOn w:val="1"/>
    <w:qFormat/>
    <w:uiPriority w:val="0"/>
    <w:pPr>
      <w:widowControl/>
      <w:spacing w:after="160" w:line="240" w:lineRule="exact"/>
      <w:ind w:firstLine="200" w:firstLineChars="200"/>
      <w:jc w:val="left"/>
    </w:pPr>
    <w:rPr>
      <w:rFonts w:ascii="Verdana" w:hAnsi="Verdana" w:eastAsia="仿宋_GB2312"/>
      <w:kern w:val="0"/>
      <w:sz w:val="24"/>
      <w:szCs w:val="20"/>
      <w:lang w:eastAsia="en-US"/>
    </w:rPr>
  </w:style>
  <w:style w:type="paragraph" w:customStyle="1" w:styleId="719">
    <w:name w:val="_Style 14"/>
    <w:basedOn w:val="1"/>
    <w:qFormat/>
    <w:uiPriority w:val="0"/>
    <w:pPr>
      <w:spacing w:line="360" w:lineRule="auto"/>
    </w:pPr>
    <w:rPr>
      <w:rFonts w:ascii="Calibri" w:hAnsi="Calibri"/>
      <w:szCs w:val="20"/>
    </w:rPr>
  </w:style>
  <w:style w:type="paragraph" w:customStyle="1" w:styleId="720">
    <w:name w:val="Char1 Char Char1"/>
    <w:basedOn w:val="1"/>
    <w:qFormat/>
    <w:uiPriority w:val="0"/>
    <w:pPr>
      <w:widowControl/>
      <w:spacing w:after="160" w:line="240" w:lineRule="exact"/>
      <w:ind w:firstLine="200" w:firstLineChars="200"/>
      <w:jc w:val="left"/>
    </w:pPr>
    <w:rPr>
      <w:rFonts w:ascii="Verdana" w:hAnsi="Verdana" w:eastAsia="仿宋_GB2312"/>
      <w:kern w:val="0"/>
      <w:sz w:val="24"/>
      <w:szCs w:val="20"/>
      <w:lang w:eastAsia="en-US"/>
    </w:rPr>
  </w:style>
  <w:style w:type="paragraph" w:customStyle="1" w:styleId="721">
    <w:name w:val="Char Char Char Char Char Char"/>
    <w:basedOn w:val="1"/>
    <w:qFormat/>
    <w:uiPriority w:val="0"/>
    <w:pPr>
      <w:widowControl/>
      <w:spacing w:after="160" w:line="240" w:lineRule="exact"/>
      <w:jc w:val="left"/>
    </w:pPr>
    <w:rPr>
      <w:rFonts w:ascii="Arial" w:hAnsi="Arial"/>
      <w:kern w:val="0"/>
      <w:sz w:val="22"/>
      <w:szCs w:val="22"/>
      <w:lang w:eastAsia="en-US"/>
    </w:rPr>
  </w:style>
  <w:style w:type="paragraph" w:customStyle="1" w:styleId="722">
    <w:name w:val="图"/>
    <w:qFormat/>
    <w:uiPriority w:val="0"/>
    <w:pPr>
      <w:jc w:val="center"/>
    </w:pPr>
    <w:rPr>
      <w:rFonts w:ascii="Times New Roman" w:hAnsi="Times New Roman" w:eastAsia="宋体" w:cs="Times New Roman"/>
      <w:kern w:val="2"/>
      <w:sz w:val="21"/>
      <w:szCs w:val="24"/>
      <w:lang w:val="en-US" w:eastAsia="zh-CN" w:bidi="ar-SA"/>
    </w:rPr>
  </w:style>
  <w:style w:type="paragraph" w:customStyle="1" w:styleId="723">
    <w:name w:val="正文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724">
    <w:name w:val="样式 标题 1 + 黑体 三号 非加粗 居中 段前: 6 磅 段后: 6 磅 行距: 固定值 20 磅"/>
    <w:basedOn w:val="2"/>
    <w:qFormat/>
    <w:uiPriority w:val="0"/>
    <w:pPr>
      <w:spacing w:before="120" w:after="120" w:line="400" w:lineRule="exact"/>
      <w:jc w:val="center"/>
    </w:pPr>
    <w:rPr>
      <w:rFonts w:ascii="黑体" w:hAnsi="黑体" w:eastAsia="黑体" w:cs="宋体"/>
      <w:b w:val="0"/>
      <w:bCs w:val="0"/>
      <w:sz w:val="32"/>
      <w:szCs w:val="20"/>
      <w:lang w:val="zh-CN"/>
    </w:rPr>
  </w:style>
  <w:style w:type="paragraph" w:customStyle="1" w:styleId="725">
    <w:name w:val="正文标准"/>
    <w:basedOn w:val="1"/>
    <w:qFormat/>
    <w:uiPriority w:val="0"/>
    <w:pPr>
      <w:spacing w:afterLines="50"/>
      <w:ind w:firstLine="200" w:firstLineChars="200"/>
    </w:pPr>
    <w:rPr>
      <w:szCs w:val="21"/>
    </w:rPr>
  </w:style>
  <w:style w:type="paragraph" w:customStyle="1" w:styleId="726">
    <w:name w:val="纯文本2"/>
    <w:basedOn w:val="1"/>
    <w:qFormat/>
    <w:uiPriority w:val="0"/>
    <w:pPr>
      <w:adjustRightInd w:val="0"/>
      <w:textAlignment w:val="baseline"/>
    </w:pPr>
    <w:rPr>
      <w:rFonts w:ascii="宋体" w:hAnsi="Courier New"/>
      <w:szCs w:val="20"/>
    </w:rPr>
  </w:style>
  <w:style w:type="paragraph" w:customStyle="1" w:styleId="727">
    <w:name w:val="正文+ 宋体"/>
    <w:basedOn w:val="3"/>
    <w:qFormat/>
    <w:uiPriority w:val="0"/>
    <w:pPr>
      <w:spacing w:line="413" w:lineRule="auto"/>
    </w:pPr>
    <w:rPr>
      <w:rFonts w:ascii="宋体" w:hAnsi="宋体" w:cs="Bodoni MT"/>
    </w:rPr>
  </w:style>
  <w:style w:type="paragraph" w:customStyle="1" w:styleId="728">
    <w:name w:val="Char111"/>
    <w:basedOn w:val="1"/>
    <w:qFormat/>
    <w:uiPriority w:val="0"/>
    <w:pPr>
      <w:tabs>
        <w:tab w:val="left" w:pos="360"/>
      </w:tabs>
    </w:pPr>
    <w:rPr>
      <w:sz w:val="24"/>
    </w:rPr>
  </w:style>
  <w:style w:type="paragraph" w:customStyle="1" w:styleId="729">
    <w:name w:val="6'"/>
    <w:basedOn w:val="1"/>
    <w:qFormat/>
    <w:uiPriority w:val="0"/>
    <w:pPr>
      <w:autoSpaceDE w:val="0"/>
      <w:autoSpaceDN w:val="0"/>
      <w:adjustRightInd w:val="0"/>
      <w:snapToGrid w:val="0"/>
      <w:spacing w:line="320" w:lineRule="exact"/>
      <w:jc w:val="center"/>
      <w:textAlignment w:val="baseline"/>
    </w:pPr>
    <w:rPr>
      <w:rFonts w:ascii="Calibri" w:hAnsi="Calibri"/>
      <w:spacing w:val="20"/>
      <w:kern w:val="28"/>
      <w:szCs w:val="20"/>
    </w:rPr>
  </w:style>
  <w:style w:type="paragraph" w:customStyle="1" w:styleId="730">
    <w:name w:val="Char Char2"/>
    <w:basedOn w:val="1"/>
    <w:qFormat/>
    <w:uiPriority w:val="0"/>
    <w:pPr>
      <w:widowControl/>
      <w:spacing w:after="160" w:line="240" w:lineRule="exact"/>
      <w:jc w:val="left"/>
    </w:pPr>
    <w:rPr>
      <w:rFonts w:ascii="Verdana" w:hAnsi="Verdana" w:eastAsia="仿宋_GB2312" w:cs="Verdana"/>
      <w:kern w:val="0"/>
      <w:sz w:val="24"/>
      <w:lang w:eastAsia="en-US"/>
    </w:rPr>
  </w:style>
  <w:style w:type="paragraph" w:customStyle="1" w:styleId="731">
    <w:name w:val="pa-3"/>
    <w:basedOn w:val="1"/>
    <w:qFormat/>
    <w:uiPriority w:val="0"/>
    <w:pPr>
      <w:widowControl/>
      <w:spacing w:line="320" w:lineRule="atLeast"/>
      <w:ind w:firstLine="560" w:firstLineChars="200"/>
      <w:jc w:val="center"/>
    </w:pPr>
    <w:rPr>
      <w:rFonts w:ascii="宋体" w:hAnsi="宋体" w:eastAsia="仿宋" w:cs="宋体"/>
      <w:kern w:val="0"/>
      <w:sz w:val="24"/>
    </w:rPr>
  </w:style>
  <w:style w:type="paragraph" w:customStyle="1" w:styleId="732">
    <w:name w:val="Char Char1 Char Char Char Char"/>
    <w:basedOn w:val="1"/>
    <w:qFormat/>
    <w:uiPriority w:val="0"/>
    <w:pPr>
      <w:adjustRightInd w:val="0"/>
      <w:spacing w:line="312" w:lineRule="atLeast"/>
      <w:textAlignment w:val="baseline"/>
    </w:pPr>
    <w:rPr>
      <w:rFonts w:ascii="Calibri" w:hAnsi="Calibri"/>
    </w:rPr>
  </w:style>
  <w:style w:type="paragraph" w:customStyle="1" w:styleId="733">
    <w:name w:val="表左"/>
    <w:basedOn w:val="1"/>
    <w:qFormat/>
    <w:uiPriority w:val="0"/>
    <w:pPr>
      <w:adjustRightInd w:val="0"/>
      <w:snapToGrid w:val="0"/>
      <w:spacing w:line="420" w:lineRule="atLeast"/>
      <w:textAlignment w:val="baseline"/>
    </w:pPr>
    <w:rPr>
      <w:rFonts w:ascii="Calibri" w:hAnsi="Calibri"/>
      <w:snapToGrid w:val="0"/>
      <w:kern w:val="0"/>
      <w:szCs w:val="20"/>
    </w:rPr>
  </w:style>
  <w:style w:type="paragraph" w:customStyle="1" w:styleId="734">
    <w:name w:val="样式6"/>
    <w:basedOn w:val="220"/>
    <w:qFormat/>
    <w:uiPriority w:val="0"/>
    <w:pPr>
      <w:widowControl w:val="0"/>
      <w:ind w:firstLine="200" w:firstLineChars="200"/>
    </w:pPr>
    <w:rPr>
      <w:rFonts w:ascii="黑体"/>
      <w:sz w:val="32"/>
    </w:rPr>
  </w:style>
  <w:style w:type="paragraph" w:customStyle="1" w:styleId="735">
    <w:name w:val="Char1 Char Char Char"/>
    <w:basedOn w:val="1"/>
    <w:qFormat/>
    <w:uiPriority w:val="0"/>
    <w:rPr>
      <w:rFonts w:ascii="Tahoma" w:hAnsi="Tahoma"/>
      <w:sz w:val="24"/>
      <w:szCs w:val="20"/>
    </w:rPr>
  </w:style>
  <w:style w:type="paragraph" w:customStyle="1" w:styleId="736">
    <w:name w:val="格式1"/>
    <w:next w:val="1"/>
    <w:qFormat/>
    <w:uiPriority w:val="0"/>
    <w:pPr>
      <w:keepNext/>
      <w:widowControl w:val="0"/>
      <w:adjustRightInd w:val="0"/>
      <w:snapToGrid w:val="0"/>
      <w:spacing w:before="156" w:line="440" w:lineRule="exact"/>
      <w:jc w:val="both"/>
      <w:outlineLvl w:val="3"/>
    </w:pPr>
    <w:rPr>
      <w:rFonts w:ascii="Times New Roman" w:hAnsi="Times New Roman" w:eastAsia="宋体" w:cs="Times New Roman"/>
      <w:b/>
      <w:bCs/>
      <w:sz w:val="24"/>
      <w:szCs w:val="24"/>
      <w:lang w:val="en-US" w:eastAsia="zh-CN" w:bidi="ar-SA"/>
    </w:rPr>
  </w:style>
  <w:style w:type="paragraph" w:customStyle="1" w:styleId="737">
    <w:name w:val="font9"/>
    <w:basedOn w:val="1"/>
    <w:qFormat/>
    <w:uiPriority w:val="0"/>
    <w:pPr>
      <w:widowControl/>
      <w:spacing w:before="100" w:beforeAutospacing="1" w:after="100" w:afterAutospacing="1"/>
      <w:jc w:val="left"/>
    </w:pPr>
    <w:rPr>
      <w:rFonts w:ascii="Calibri" w:hAnsi="Calibri" w:eastAsia="Arial Unicode MS"/>
      <w:kern w:val="0"/>
      <w:sz w:val="24"/>
    </w:rPr>
  </w:style>
  <w:style w:type="paragraph" w:customStyle="1" w:styleId="738">
    <w:name w:val="Char Char1 Char Char Char Char Char Char Char"/>
    <w:basedOn w:val="1"/>
    <w:qFormat/>
    <w:uiPriority w:val="0"/>
    <w:pPr>
      <w:adjustRightInd w:val="0"/>
      <w:spacing w:line="440" w:lineRule="exact"/>
    </w:pPr>
    <w:rPr>
      <w:rFonts w:ascii="宋体" w:hAnsi="Calibri"/>
      <w:kern w:val="0"/>
      <w:sz w:val="28"/>
      <w:szCs w:val="27"/>
    </w:rPr>
  </w:style>
  <w:style w:type="paragraph" w:customStyle="1" w:styleId="739">
    <w:name w:val="reader-word-layer reader-word-s19-15"/>
    <w:basedOn w:val="1"/>
    <w:qFormat/>
    <w:uiPriority w:val="0"/>
    <w:pPr>
      <w:widowControl/>
      <w:spacing w:before="100" w:beforeAutospacing="1" w:after="100" w:afterAutospacing="1"/>
      <w:jc w:val="left"/>
    </w:pPr>
    <w:rPr>
      <w:rFonts w:ascii="宋体" w:hAnsi="宋体" w:cs="宋体"/>
      <w:kern w:val="0"/>
      <w:sz w:val="24"/>
    </w:rPr>
  </w:style>
  <w:style w:type="paragraph" w:customStyle="1" w:styleId="740">
    <w:name w:val="6"/>
    <w:basedOn w:val="1"/>
    <w:qFormat/>
    <w:uiPriority w:val="0"/>
    <w:pPr>
      <w:autoSpaceDE w:val="0"/>
      <w:autoSpaceDN w:val="0"/>
      <w:adjustRightInd w:val="0"/>
      <w:spacing w:line="270" w:lineRule="atLeast"/>
    </w:pPr>
    <w:rPr>
      <w:rFonts w:ascii="宋体"/>
      <w:kern w:val="0"/>
      <w:sz w:val="18"/>
      <w:szCs w:val="18"/>
    </w:rPr>
  </w:style>
  <w:style w:type="paragraph" w:customStyle="1" w:styleId="741">
    <w:name w:val="封面样式3"/>
    <w:basedOn w:val="1"/>
    <w:qFormat/>
    <w:uiPriority w:val="0"/>
    <w:pPr>
      <w:spacing w:line="440" w:lineRule="exact"/>
      <w:ind w:firstLine="420" w:firstLineChars="200"/>
    </w:pPr>
    <w:rPr>
      <w:rFonts w:ascii="华文细黑" w:hAnsi="华文细黑"/>
      <w:kern w:val="0"/>
    </w:rPr>
  </w:style>
  <w:style w:type="paragraph" w:customStyle="1" w:styleId="742">
    <w:name w:val="缺省文本"/>
    <w:basedOn w:val="1"/>
    <w:qFormat/>
    <w:uiPriority w:val="0"/>
    <w:pPr>
      <w:autoSpaceDE w:val="0"/>
      <w:autoSpaceDN w:val="0"/>
      <w:adjustRightInd w:val="0"/>
      <w:jc w:val="left"/>
    </w:pPr>
    <w:rPr>
      <w:kern w:val="0"/>
      <w:sz w:val="24"/>
      <w:szCs w:val="18"/>
    </w:rPr>
  </w:style>
  <w:style w:type="paragraph" w:customStyle="1" w:styleId="743">
    <w:name w:val="表"/>
    <w:qFormat/>
    <w:uiPriority w:val="0"/>
    <w:pPr>
      <w:adjustRightInd w:val="0"/>
      <w:snapToGrid w:val="0"/>
      <w:spacing w:line="360" w:lineRule="exact"/>
      <w:jc w:val="center"/>
    </w:pPr>
    <w:rPr>
      <w:rFonts w:ascii="Times New Roman" w:hAnsi="Times New Roman" w:eastAsia="宋体" w:cs="Times New Roman"/>
      <w:kern w:val="2"/>
      <w:sz w:val="21"/>
      <w:szCs w:val="21"/>
      <w:lang w:val="en-US" w:eastAsia="zh-CN" w:bidi="ar-SA"/>
    </w:rPr>
  </w:style>
  <w:style w:type="paragraph" w:customStyle="1" w:styleId="744">
    <w:name w:val="强调文字2"/>
    <w:basedOn w:val="745"/>
    <w:qFormat/>
    <w:uiPriority w:val="0"/>
  </w:style>
  <w:style w:type="paragraph" w:customStyle="1" w:styleId="745">
    <w:name w:val="强调文字"/>
    <w:basedOn w:val="1"/>
    <w:qFormat/>
    <w:uiPriority w:val="0"/>
    <w:pPr>
      <w:spacing w:line="440" w:lineRule="exact"/>
      <w:ind w:firstLine="480" w:firstLineChars="200"/>
    </w:pPr>
    <w:rPr>
      <w:rFonts w:ascii="华文细黑" w:hAnsi="华文细黑" w:eastAsia="黑体" w:cs="Arial"/>
      <w:color w:val="800000"/>
      <w:kern w:val="0"/>
      <w:sz w:val="24"/>
      <w:szCs w:val="28"/>
    </w:rPr>
  </w:style>
  <w:style w:type="paragraph" w:customStyle="1" w:styleId="746">
    <w:name w:val="正文1、带编号"/>
    <w:basedOn w:val="1"/>
    <w:qFormat/>
    <w:uiPriority w:val="0"/>
    <w:pPr>
      <w:tabs>
        <w:tab w:val="left" w:pos="765"/>
      </w:tabs>
      <w:spacing w:afterLines="20"/>
      <w:ind w:left="340" w:firstLine="200"/>
    </w:pPr>
    <w:rPr>
      <w:rFonts w:ascii="Calibri" w:hAnsi="Calibri"/>
      <w:sz w:val="28"/>
      <w:szCs w:val="28"/>
    </w:rPr>
  </w:style>
  <w:style w:type="paragraph" w:customStyle="1" w:styleId="747">
    <w:name w:val="格式2"/>
    <w:qFormat/>
    <w:uiPriority w:val="0"/>
    <w:pPr>
      <w:widowControl w:val="0"/>
      <w:adjustRightInd w:val="0"/>
      <w:snapToGrid w:val="0"/>
      <w:spacing w:before="50" w:line="440" w:lineRule="exact"/>
      <w:jc w:val="both"/>
    </w:pPr>
    <w:rPr>
      <w:rFonts w:ascii="Times New Roman" w:hAnsi="Times New Roman" w:eastAsia="宋体" w:cs="Times New Roman"/>
      <w:sz w:val="24"/>
      <w:szCs w:val="24"/>
      <w:lang w:val="en-US" w:eastAsia="zh-CN" w:bidi="ar-SA"/>
    </w:rPr>
  </w:style>
  <w:style w:type="paragraph" w:customStyle="1" w:styleId="748">
    <w:name w:val="Char Char1 Char"/>
    <w:basedOn w:val="1"/>
    <w:qFormat/>
    <w:uiPriority w:val="0"/>
    <w:rPr>
      <w:rFonts w:ascii="宋体" w:hAnsi="宋体"/>
      <w:sz w:val="24"/>
      <w:szCs w:val="20"/>
    </w:rPr>
  </w:style>
  <w:style w:type="paragraph" w:customStyle="1" w:styleId="749">
    <w:name w:val="注释"/>
    <w:basedOn w:val="23"/>
    <w:qFormat/>
    <w:uiPriority w:val="0"/>
    <w:pPr>
      <w:widowControl w:val="0"/>
      <w:overflowPunct/>
      <w:autoSpaceDE/>
      <w:autoSpaceDN/>
      <w:adjustRightInd/>
      <w:spacing w:beforeLines="100" w:afterLines="100" w:line="240" w:lineRule="auto"/>
      <w:ind w:firstLine="0"/>
      <w:jc w:val="center"/>
      <w:textAlignment w:val="auto"/>
    </w:pPr>
    <w:rPr>
      <w:rFonts w:ascii="仿宋_GB2312" w:hAnsi="Calibri" w:eastAsia="仿宋_GB2312"/>
      <w:spacing w:val="0"/>
      <w:sz w:val="36"/>
      <w:szCs w:val="24"/>
      <w:lang w:val="zh-CN"/>
    </w:rPr>
  </w:style>
  <w:style w:type="paragraph" w:customStyle="1" w:styleId="750">
    <w:name w:val="Char Char1 Char Char1"/>
    <w:basedOn w:val="1"/>
    <w:qFormat/>
    <w:uiPriority w:val="0"/>
    <w:rPr>
      <w:rFonts w:ascii="Calibri" w:hAnsi="Calibri"/>
      <w:szCs w:val="20"/>
    </w:rPr>
  </w:style>
  <w:style w:type="paragraph" w:customStyle="1" w:styleId="751">
    <w:name w:val="表中"/>
    <w:basedOn w:val="1"/>
    <w:qFormat/>
    <w:uiPriority w:val="0"/>
    <w:pPr>
      <w:adjustRightInd w:val="0"/>
      <w:snapToGrid w:val="0"/>
      <w:spacing w:line="400" w:lineRule="atLeast"/>
      <w:jc w:val="center"/>
      <w:textAlignment w:val="baseline"/>
    </w:pPr>
    <w:rPr>
      <w:rFonts w:ascii="Calibri" w:hAnsi="Calibri"/>
      <w:snapToGrid w:val="0"/>
      <w:kern w:val="0"/>
      <w:szCs w:val="20"/>
    </w:rPr>
  </w:style>
  <w:style w:type="paragraph" w:customStyle="1" w:styleId="752">
    <w:name w:val="注"/>
    <w:basedOn w:val="259"/>
    <w:qFormat/>
    <w:uiPriority w:val="0"/>
    <w:pPr>
      <w:spacing w:line="300" w:lineRule="atLeast"/>
      <w:ind w:left="510" w:hanging="510"/>
      <w:jc w:val="center"/>
    </w:pPr>
    <w:rPr>
      <w:rFonts w:ascii="Times New Roman" w:hAnsi="Arial Unicode MS" w:eastAsia="Arial Unicode MS"/>
      <w:b/>
      <w:bCs/>
      <w:sz w:val="18"/>
      <w:szCs w:val="32"/>
    </w:rPr>
  </w:style>
  <w:style w:type="paragraph" w:customStyle="1" w:styleId="753">
    <w:name w:val="编号1"/>
    <w:qFormat/>
    <w:uiPriority w:val="0"/>
    <w:pPr>
      <w:keepLines/>
      <w:overflowPunct w:val="0"/>
      <w:autoSpaceDE w:val="0"/>
      <w:autoSpaceDN w:val="0"/>
      <w:snapToGrid w:val="0"/>
      <w:spacing w:beforeLines="70" w:afterLines="70" w:line="360" w:lineRule="exact"/>
      <w:jc w:val="both"/>
    </w:pPr>
    <w:rPr>
      <w:rFonts w:ascii="Times New Roman" w:hAnsi="Times New Roman" w:eastAsia="宋体" w:cs="Times New Roman"/>
      <w:spacing w:val="30"/>
      <w:sz w:val="24"/>
      <w:szCs w:val="24"/>
      <w:lang w:val="en-GB" w:eastAsia="zh-CN" w:bidi="ar-SA"/>
    </w:rPr>
  </w:style>
  <w:style w:type="paragraph" w:customStyle="1" w:styleId="754">
    <w:name w:val="Char Char Char Char Char Char Char Char Char Char"/>
    <w:basedOn w:val="1"/>
    <w:qFormat/>
    <w:uiPriority w:val="0"/>
    <w:rPr>
      <w:rFonts w:ascii="Tahoma" w:hAnsi="Tahoma"/>
      <w:sz w:val="24"/>
    </w:rPr>
  </w:style>
  <w:style w:type="paragraph" w:customStyle="1" w:styleId="755">
    <w:name w:val="Char Char Char Char Char11"/>
    <w:basedOn w:val="1"/>
    <w:qFormat/>
    <w:uiPriority w:val="0"/>
    <w:pPr>
      <w:widowControl/>
      <w:spacing w:after="160" w:line="240" w:lineRule="exact"/>
      <w:ind w:firstLine="200" w:firstLineChars="200"/>
      <w:jc w:val="left"/>
    </w:pPr>
    <w:rPr>
      <w:rFonts w:ascii="Verdana" w:hAnsi="Verdana" w:eastAsia="仿宋_GB2312"/>
      <w:kern w:val="0"/>
      <w:sz w:val="24"/>
      <w:szCs w:val="20"/>
      <w:lang w:eastAsia="en-US"/>
    </w:rPr>
  </w:style>
  <w:style w:type="paragraph" w:customStyle="1" w:styleId="756">
    <w:name w:val="Char Char Char Char Char1"/>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57">
    <w:name w:val="Char Char Char2"/>
    <w:basedOn w:val="1"/>
    <w:qFormat/>
    <w:uiPriority w:val="0"/>
    <w:pPr>
      <w:widowControl/>
      <w:spacing w:after="160" w:line="240" w:lineRule="exact"/>
      <w:ind w:firstLine="200" w:firstLineChars="200"/>
      <w:jc w:val="left"/>
    </w:pPr>
    <w:rPr>
      <w:rFonts w:ascii="Verdana" w:hAnsi="Verdana" w:eastAsia="仿宋_GB2312"/>
      <w:kern w:val="0"/>
      <w:sz w:val="24"/>
      <w:szCs w:val="20"/>
      <w:lang w:eastAsia="en-US"/>
    </w:rPr>
  </w:style>
  <w:style w:type="paragraph" w:customStyle="1" w:styleId="758">
    <w:name w:val="Char Char12 Char Char Char Char Char Char Char Char"/>
    <w:basedOn w:val="1"/>
    <w:qFormat/>
    <w:uiPriority w:val="0"/>
    <w:rPr>
      <w:rFonts w:ascii="Calibri" w:hAnsi="Calibri"/>
      <w:szCs w:val="20"/>
    </w:rPr>
  </w:style>
  <w:style w:type="paragraph" w:customStyle="1" w:styleId="759">
    <w:name w:val="Char Char1 Char Char Char Char Char Char Char Char Char Char Char Char Char Char Char Char11"/>
    <w:basedOn w:val="1"/>
    <w:qFormat/>
    <w:uiPriority w:val="0"/>
    <w:pPr>
      <w:widowControl/>
      <w:spacing w:after="160" w:line="240" w:lineRule="exact"/>
      <w:ind w:firstLine="200" w:firstLineChars="200"/>
      <w:jc w:val="left"/>
    </w:pPr>
    <w:rPr>
      <w:rFonts w:ascii="Verdana" w:hAnsi="Verdana" w:eastAsia="仿宋_GB2312"/>
      <w:kern w:val="0"/>
      <w:sz w:val="24"/>
      <w:szCs w:val="20"/>
      <w:lang w:eastAsia="en-US"/>
    </w:rPr>
  </w:style>
  <w:style w:type="paragraph" w:customStyle="1" w:styleId="760">
    <w:name w:val="纯文本1"/>
    <w:basedOn w:val="1"/>
    <w:qFormat/>
    <w:uiPriority w:val="0"/>
    <w:pPr>
      <w:adjustRightInd w:val="0"/>
      <w:textAlignment w:val="baseline"/>
    </w:pPr>
    <w:rPr>
      <w:rFonts w:ascii="宋体" w:hAnsi="Courier New"/>
      <w:szCs w:val="20"/>
    </w:rPr>
  </w:style>
  <w:style w:type="paragraph" w:customStyle="1" w:styleId="761">
    <w:name w:val="表格标题"/>
    <w:basedOn w:val="1"/>
    <w:qFormat/>
    <w:uiPriority w:val="0"/>
    <w:pPr>
      <w:jc w:val="center"/>
    </w:pPr>
    <w:rPr>
      <w:rFonts w:ascii="Arial Narrow" w:hAnsi="Arial Narrow" w:eastAsia="楷体_GB2312"/>
      <w:snapToGrid w:val="0"/>
      <w:kern w:val="0"/>
      <w:szCs w:val="20"/>
    </w:rPr>
  </w:style>
  <w:style w:type="paragraph" w:customStyle="1" w:styleId="762">
    <w:name w:val="xl22"/>
    <w:basedOn w:val="1"/>
    <w:qFormat/>
    <w:uiPriority w:val="0"/>
    <w:pPr>
      <w:widowControl/>
      <w:spacing w:before="100" w:beforeAutospacing="1" w:after="100" w:afterAutospacing="1"/>
      <w:jc w:val="center"/>
    </w:pPr>
    <w:rPr>
      <w:rFonts w:ascii="宋体" w:hAnsi="宋体"/>
      <w:kern w:val="0"/>
      <w:sz w:val="24"/>
    </w:rPr>
  </w:style>
  <w:style w:type="paragraph" w:customStyle="1" w:styleId="763">
    <w:name w:val="附件标题-1"/>
    <w:basedOn w:val="1"/>
    <w:qFormat/>
    <w:uiPriority w:val="0"/>
    <w:pPr>
      <w:spacing w:before="50" w:after="50"/>
      <w:jc w:val="center"/>
    </w:pPr>
    <w:rPr>
      <w:rFonts w:ascii="Calibri" w:hAnsi="Calibri" w:eastAsia="黑体"/>
      <w:sz w:val="32"/>
      <w:szCs w:val="20"/>
    </w:rPr>
  </w:style>
  <w:style w:type="paragraph" w:customStyle="1" w:styleId="764">
    <w:name w:val="Char Char Char1 Char"/>
    <w:basedOn w:val="1"/>
    <w:qFormat/>
    <w:uiPriority w:val="0"/>
    <w:pPr>
      <w:tabs>
        <w:tab w:val="left" w:pos="2610"/>
      </w:tabs>
      <w:adjustRightInd w:val="0"/>
      <w:spacing w:line="312" w:lineRule="atLeast"/>
      <w:ind w:left="2610" w:hanging="420"/>
    </w:pPr>
    <w:rPr>
      <w:b/>
      <w:bCs/>
      <w:kern w:val="0"/>
      <w:sz w:val="36"/>
      <w:szCs w:val="32"/>
    </w:rPr>
  </w:style>
  <w:style w:type="paragraph" w:customStyle="1" w:styleId="765">
    <w:name w:val="封面样式1"/>
    <w:basedOn w:val="1"/>
    <w:qFormat/>
    <w:uiPriority w:val="0"/>
    <w:pPr>
      <w:spacing w:line="440" w:lineRule="exact"/>
      <w:ind w:firstLine="630" w:firstLineChars="300"/>
      <w:jc w:val="left"/>
    </w:pPr>
    <w:rPr>
      <w:rFonts w:ascii="华文细黑" w:hAnsi="华文细黑" w:cs="Arial"/>
      <w:kern w:val="0"/>
      <w:szCs w:val="21"/>
    </w:rPr>
  </w:style>
  <w:style w:type="paragraph" w:customStyle="1" w:styleId="766">
    <w:name w:val="CM4"/>
    <w:basedOn w:val="112"/>
    <w:next w:val="112"/>
    <w:qFormat/>
    <w:uiPriority w:val="0"/>
    <w:pPr>
      <w:ind w:firstLine="0" w:firstLineChars="0"/>
    </w:pPr>
    <w:rPr>
      <w:rFonts w:ascii="宋体" w:hAnsi="Calibri" w:eastAsia="宋体"/>
      <w:sz w:val="24"/>
      <w:szCs w:val="24"/>
    </w:rPr>
  </w:style>
  <w:style w:type="paragraph" w:customStyle="1" w:styleId="767">
    <w:name w:val="表格"/>
    <w:basedOn w:val="1"/>
    <w:qFormat/>
    <w:uiPriority w:val="0"/>
    <w:pPr>
      <w:jc w:val="center"/>
      <w:textAlignment w:val="center"/>
    </w:pPr>
    <w:rPr>
      <w:rFonts w:ascii="华文细黑" w:hAnsi="华文细黑"/>
      <w:kern w:val="0"/>
      <w:szCs w:val="20"/>
    </w:rPr>
  </w:style>
  <w:style w:type="paragraph" w:customStyle="1" w:styleId="768">
    <w:name w:val="Char Char Char Char1"/>
    <w:basedOn w:val="1"/>
    <w:qFormat/>
    <w:uiPriority w:val="0"/>
    <w:pPr>
      <w:ind w:firstLine="200" w:firstLineChars="200"/>
    </w:pPr>
    <w:rPr>
      <w:rFonts w:ascii="Tahoma" w:hAnsi="Tahoma" w:eastAsia="仿宋"/>
      <w:sz w:val="24"/>
      <w:szCs w:val="20"/>
    </w:rPr>
  </w:style>
  <w:style w:type="paragraph" w:customStyle="1" w:styleId="769">
    <w:name w:val="Char Char Char Char Char Char Char Char Char Char Char Char Char Char Char1 Char"/>
    <w:basedOn w:val="1"/>
    <w:qFormat/>
    <w:uiPriority w:val="0"/>
    <w:pPr>
      <w:adjustRightInd w:val="0"/>
      <w:spacing w:line="312" w:lineRule="atLeast"/>
      <w:textAlignment w:val="baseline"/>
    </w:pPr>
    <w:rPr>
      <w:rFonts w:ascii="Calibri" w:hAnsi="Calibri"/>
      <w:b/>
      <w:bCs/>
      <w:kern w:val="0"/>
      <w:sz w:val="36"/>
      <w:szCs w:val="32"/>
    </w:rPr>
  </w:style>
  <w:style w:type="paragraph" w:customStyle="1" w:styleId="770">
    <w:name w:val="正文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771">
    <w:name w:val="正文2"/>
    <w:basedOn w:val="1"/>
    <w:qFormat/>
    <w:uiPriority w:val="0"/>
    <w:pPr>
      <w:keepLines/>
      <w:widowControl/>
      <w:snapToGrid w:val="0"/>
      <w:spacing w:beforeLines="70" w:afterLines="70" w:line="360" w:lineRule="exact"/>
      <w:ind w:left="1247"/>
    </w:pPr>
    <w:rPr>
      <w:rFonts w:ascii="Calibri" w:hAnsi="Calibri" w:cs="Arial"/>
      <w:spacing w:val="30"/>
    </w:rPr>
  </w:style>
  <w:style w:type="paragraph" w:customStyle="1" w:styleId="772">
    <w:name w:val="列出段落21"/>
    <w:basedOn w:val="1"/>
    <w:qFormat/>
    <w:uiPriority w:val="34"/>
    <w:pPr>
      <w:ind w:firstLine="420" w:firstLineChars="200"/>
    </w:pPr>
    <w:rPr>
      <w:rFonts w:ascii="Calibri" w:hAnsi="Calibri"/>
    </w:rPr>
  </w:style>
  <w:style w:type="paragraph" w:customStyle="1" w:styleId="773">
    <w:name w:val="Char Char1 Char Char Char Char Char Char Char Char Char Char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74">
    <w:name w:val="落款"/>
    <w:basedOn w:val="1"/>
    <w:qFormat/>
    <w:uiPriority w:val="0"/>
    <w:pPr>
      <w:spacing w:line="440" w:lineRule="exact"/>
      <w:ind w:firstLine="420" w:firstLineChars="200"/>
    </w:pPr>
    <w:rPr>
      <w:rFonts w:ascii="华文细黑" w:hAnsi="华文细黑"/>
      <w:kern w:val="0"/>
    </w:rPr>
  </w:style>
  <w:style w:type="paragraph" w:customStyle="1" w:styleId="775">
    <w:name w:val="_Style 90"/>
    <w:next w:val="1"/>
    <w:qFormat/>
    <w:uiPriority w:val="0"/>
    <w:pPr>
      <w:widowControl w:val="0"/>
      <w:jc w:val="both"/>
    </w:pPr>
    <w:rPr>
      <w:rFonts w:ascii="Bodoni MT" w:hAnsi="Bodoni MT" w:eastAsia="宋体" w:cs="Bodoni MT"/>
      <w:kern w:val="2"/>
      <w:sz w:val="21"/>
      <w:szCs w:val="24"/>
      <w:lang w:val="en-US" w:eastAsia="zh-CN" w:bidi="ar-SA"/>
    </w:rPr>
  </w:style>
  <w:style w:type="paragraph" w:customStyle="1" w:styleId="776">
    <w:name w:val="CM37"/>
    <w:basedOn w:val="112"/>
    <w:next w:val="112"/>
    <w:qFormat/>
    <w:uiPriority w:val="0"/>
    <w:pPr>
      <w:ind w:firstLine="0" w:firstLineChars="0"/>
    </w:pPr>
    <w:rPr>
      <w:rFonts w:ascii="Calibri" w:hAnsi="Calibri" w:eastAsia="宋体"/>
      <w:sz w:val="24"/>
      <w:szCs w:val="24"/>
    </w:rPr>
  </w:style>
  <w:style w:type="paragraph" w:customStyle="1" w:styleId="777">
    <w:name w:val="Char Char Char1"/>
    <w:basedOn w:val="1"/>
    <w:qFormat/>
    <w:uiPriority w:val="0"/>
    <w:pPr>
      <w:widowControl/>
      <w:spacing w:after="160" w:line="240" w:lineRule="exact"/>
      <w:ind w:firstLine="200" w:firstLineChars="200"/>
      <w:jc w:val="left"/>
    </w:pPr>
    <w:rPr>
      <w:rFonts w:ascii="Calibri" w:hAnsi="Calibri" w:eastAsia="仿宋"/>
      <w:sz w:val="32"/>
    </w:rPr>
  </w:style>
  <w:style w:type="paragraph" w:customStyle="1" w:styleId="778">
    <w:name w:val="Report Text"/>
    <w:basedOn w:val="1"/>
    <w:qFormat/>
    <w:uiPriority w:val="0"/>
    <w:pPr>
      <w:widowControl/>
      <w:spacing w:after="138"/>
      <w:ind w:left="1080"/>
      <w:jc w:val="left"/>
    </w:pPr>
    <w:rPr>
      <w:rFonts w:ascii="Calibri" w:hAnsi="Calibri"/>
      <w:kern w:val="0"/>
      <w:sz w:val="22"/>
      <w:szCs w:val="20"/>
      <w:lang w:val="en-GB" w:eastAsia="en-US"/>
    </w:rPr>
  </w:style>
  <w:style w:type="paragraph" w:customStyle="1" w:styleId="779">
    <w:name w:val="pa-4"/>
    <w:basedOn w:val="1"/>
    <w:qFormat/>
    <w:uiPriority w:val="0"/>
    <w:pPr>
      <w:widowControl/>
      <w:spacing w:line="320" w:lineRule="atLeast"/>
      <w:ind w:firstLine="560" w:firstLineChars="200"/>
      <w:jc w:val="center"/>
    </w:pPr>
    <w:rPr>
      <w:rFonts w:ascii="宋体" w:hAnsi="宋体" w:eastAsia="仿宋" w:cs="宋体"/>
      <w:kern w:val="0"/>
      <w:sz w:val="24"/>
    </w:rPr>
  </w:style>
  <w:style w:type="paragraph" w:customStyle="1" w:styleId="780">
    <w:name w:val="_Style 99"/>
    <w:qFormat/>
    <w:uiPriority w:val="0"/>
    <w:pPr>
      <w:widowControl w:val="0"/>
      <w:ind w:firstLine="200" w:firstLineChars="200"/>
      <w:jc w:val="both"/>
    </w:pPr>
    <w:rPr>
      <w:rFonts w:ascii="Times New Roman" w:hAnsi="Times New Roman" w:eastAsia="仿宋" w:cs="Times New Roman"/>
      <w:kern w:val="2"/>
      <w:sz w:val="32"/>
      <w:szCs w:val="24"/>
      <w:lang w:val="en-US" w:eastAsia="zh-CN" w:bidi="ar-SA"/>
    </w:rPr>
  </w:style>
  <w:style w:type="paragraph" w:customStyle="1" w:styleId="781">
    <w:name w:val="中文正文"/>
    <w:basedOn w:val="782"/>
    <w:qFormat/>
    <w:uiPriority w:val="0"/>
    <w:rPr>
      <w:sz w:val="24"/>
    </w:rPr>
  </w:style>
  <w:style w:type="paragraph" w:customStyle="1" w:styleId="782">
    <w:name w:val="英文正文"/>
    <w:basedOn w:val="1"/>
    <w:qFormat/>
    <w:uiPriority w:val="0"/>
    <w:pPr>
      <w:spacing w:line="460" w:lineRule="exact"/>
    </w:pPr>
    <w:rPr>
      <w:rFonts w:ascii="Calibri" w:hAnsi="Calibri"/>
      <w:sz w:val="28"/>
    </w:rPr>
  </w:style>
  <w:style w:type="paragraph" w:customStyle="1" w:styleId="783">
    <w:name w:val="Char Char Char Char Char Char Char Char Char Char Char Char Char"/>
    <w:basedOn w:val="1"/>
    <w:qFormat/>
    <w:uiPriority w:val="0"/>
    <w:rPr>
      <w:rFonts w:ascii="Calibri" w:hAnsi="Calibri"/>
    </w:rPr>
  </w:style>
  <w:style w:type="paragraph" w:customStyle="1" w:styleId="784">
    <w:name w:val="Char Char"/>
    <w:basedOn w:val="1"/>
    <w:qFormat/>
    <w:uiPriority w:val="0"/>
    <w:pPr>
      <w:widowControl/>
      <w:spacing w:after="160" w:line="440" w:lineRule="exact"/>
      <w:jc w:val="center"/>
    </w:pPr>
    <w:rPr>
      <w:rFonts w:ascii="宋体" w:hAnsi="宋体"/>
      <w:kern w:val="0"/>
      <w:sz w:val="28"/>
      <w:szCs w:val="28"/>
      <w:lang w:eastAsia="en-US"/>
    </w:rPr>
  </w:style>
  <w:style w:type="paragraph" w:customStyle="1" w:styleId="785">
    <w:name w:val="样式 标题 2 + 左侧:  2 字符"/>
    <w:basedOn w:val="3"/>
    <w:qFormat/>
    <w:uiPriority w:val="0"/>
    <w:pPr>
      <w:spacing w:before="380" w:after="380" w:line="415" w:lineRule="auto"/>
      <w:ind w:left="420" w:leftChars="200"/>
    </w:pPr>
    <w:rPr>
      <w:rFonts w:ascii="Arial" w:hAnsi="Arial"/>
      <w:sz w:val="30"/>
      <w:szCs w:val="20"/>
    </w:rPr>
  </w:style>
  <w:style w:type="paragraph" w:customStyle="1" w:styleId="786">
    <w:name w:val="Char Char3 Char Char"/>
    <w:basedOn w:val="1"/>
    <w:qFormat/>
    <w:uiPriority w:val="0"/>
    <w:pPr>
      <w:spacing w:line="360" w:lineRule="auto"/>
    </w:pPr>
    <w:rPr>
      <w:rFonts w:ascii="仿宋_GB2312" w:hAnsi="Calibri" w:eastAsia="仿宋_GB2312"/>
      <w:b/>
      <w:sz w:val="32"/>
      <w:szCs w:val="32"/>
    </w:rPr>
  </w:style>
  <w:style w:type="paragraph" w:customStyle="1" w:styleId="787">
    <w:name w:val="CM2"/>
    <w:basedOn w:val="112"/>
    <w:next w:val="112"/>
    <w:qFormat/>
    <w:uiPriority w:val="0"/>
    <w:pPr>
      <w:spacing w:line="188" w:lineRule="atLeast"/>
      <w:ind w:firstLine="0" w:firstLineChars="0"/>
    </w:pPr>
    <w:rPr>
      <w:rFonts w:ascii="Calibri" w:hAnsi="Calibri" w:eastAsia="宋体"/>
      <w:sz w:val="24"/>
      <w:szCs w:val="24"/>
    </w:rPr>
  </w:style>
  <w:style w:type="paragraph" w:customStyle="1" w:styleId="788">
    <w:name w:val="默认段落字体 Para Char Char Char Char"/>
    <w:basedOn w:val="1"/>
    <w:qFormat/>
    <w:uiPriority w:val="0"/>
    <w:rPr>
      <w:rFonts w:ascii="Calibri" w:hAnsi="Calibri"/>
      <w:szCs w:val="21"/>
    </w:rPr>
  </w:style>
  <w:style w:type="paragraph" w:customStyle="1" w:styleId="789">
    <w:name w:val="Char1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90">
    <w:name w:val="Char Char Char Char Char1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91">
    <w:name w:val="_Style 19"/>
    <w:basedOn w:val="1"/>
    <w:qFormat/>
    <w:uiPriority w:val="0"/>
    <w:pPr>
      <w:spacing w:line="360" w:lineRule="auto"/>
    </w:pPr>
    <w:rPr>
      <w:rFonts w:ascii="仿宋_GB2312" w:hAnsi="Calibri" w:eastAsia="仿宋_GB2312"/>
      <w:b/>
      <w:sz w:val="32"/>
      <w:szCs w:val="32"/>
    </w:rPr>
  </w:style>
  <w:style w:type="paragraph" w:customStyle="1" w:styleId="792">
    <w:name w:val="样式 (西文) 黑体 (中文) 黑体 四号 加粗 首行缩进:  2 字符"/>
    <w:basedOn w:val="1"/>
    <w:next w:val="47"/>
    <w:qFormat/>
    <w:uiPriority w:val="0"/>
    <w:pPr>
      <w:ind w:firstLine="562" w:firstLineChars="200"/>
    </w:pPr>
    <w:rPr>
      <w:rFonts w:ascii="黑体" w:hAnsi="Calibri" w:eastAsia="黑体"/>
      <w:b/>
      <w:bCs/>
      <w:sz w:val="28"/>
      <w:szCs w:val="20"/>
    </w:rPr>
  </w:style>
  <w:style w:type="paragraph" w:customStyle="1" w:styleId="793">
    <w:name w:val="_Style 120"/>
    <w:basedOn w:val="1"/>
    <w:qFormat/>
    <w:uiPriority w:val="0"/>
    <w:rPr>
      <w:rFonts w:ascii="Calibri" w:hAnsi="Calibri"/>
      <w:szCs w:val="20"/>
    </w:rPr>
  </w:style>
  <w:style w:type="paragraph" w:customStyle="1" w:styleId="794">
    <w:name w:val="第四章"/>
    <w:basedOn w:val="4"/>
    <w:qFormat/>
    <w:uiPriority w:val="0"/>
    <w:pPr>
      <w:widowControl/>
      <w:tabs>
        <w:tab w:val="left" w:pos="720"/>
      </w:tabs>
      <w:spacing w:before="120" w:after="120" w:line="360" w:lineRule="auto"/>
      <w:ind w:left="720" w:hanging="720"/>
      <w:jc w:val="left"/>
    </w:pPr>
    <w:rPr>
      <w:rFonts w:ascii="华文细黑" w:hAnsi="华文细黑" w:eastAsia="华文细黑" w:cs="Bodoni MT"/>
      <w:b w:val="0"/>
      <w:kern w:val="0"/>
      <w:lang w:val="zh-CN"/>
    </w:rPr>
  </w:style>
  <w:style w:type="paragraph" w:customStyle="1" w:styleId="795">
    <w:name w:val="font12"/>
    <w:basedOn w:val="1"/>
    <w:qFormat/>
    <w:uiPriority w:val="0"/>
    <w:pPr>
      <w:widowControl/>
      <w:spacing w:before="100" w:beforeAutospacing="1" w:after="100" w:afterAutospacing="1"/>
      <w:jc w:val="left"/>
    </w:pPr>
    <w:rPr>
      <w:rFonts w:ascii="Calibri" w:hAnsi="Calibri" w:eastAsia="Arial Unicode MS"/>
      <w:color w:val="000000"/>
      <w:kern w:val="0"/>
      <w:sz w:val="24"/>
    </w:rPr>
  </w:style>
  <w:style w:type="paragraph" w:customStyle="1" w:styleId="796">
    <w:name w:val="菲页(卷)"/>
    <w:basedOn w:val="2"/>
    <w:next w:val="259"/>
    <w:qFormat/>
    <w:uiPriority w:val="0"/>
    <w:pPr>
      <w:keepLines w:val="0"/>
      <w:widowControl/>
      <w:tabs>
        <w:tab w:val="left" w:pos="432"/>
      </w:tabs>
      <w:spacing w:before="0" w:after="0" w:line="240" w:lineRule="auto"/>
      <w:ind w:left="432" w:hanging="432"/>
      <w:jc w:val="center"/>
      <w:outlineLvl w:val="1"/>
    </w:pPr>
    <w:rPr>
      <w:rFonts w:ascii="黑体" w:hAnsi="Calibri" w:eastAsia="黑体"/>
      <w:b w:val="0"/>
      <w:bCs w:val="0"/>
      <w:kern w:val="0"/>
      <w:sz w:val="52"/>
      <w:szCs w:val="20"/>
      <w:lang w:val="zh-CN"/>
    </w:rPr>
  </w:style>
  <w:style w:type="paragraph" w:customStyle="1" w:styleId="797">
    <w:name w:val="Char Char1"/>
    <w:basedOn w:val="1"/>
    <w:qFormat/>
    <w:uiPriority w:val="0"/>
    <w:pPr>
      <w:adjustRightInd w:val="0"/>
      <w:spacing w:line="440" w:lineRule="exact"/>
    </w:pPr>
    <w:rPr>
      <w:rFonts w:ascii="宋体" w:hAnsi="Calibri"/>
      <w:kern w:val="0"/>
      <w:sz w:val="28"/>
      <w:szCs w:val="27"/>
    </w:rPr>
  </w:style>
  <w:style w:type="paragraph" w:customStyle="1" w:styleId="798">
    <w:name w:val="样式 样式 首行缩进:  2 字符 + 首行缩进:  2 字符"/>
    <w:basedOn w:val="799"/>
    <w:qFormat/>
    <w:uiPriority w:val="0"/>
    <w:pPr>
      <w:spacing w:line="240" w:lineRule="auto"/>
      <w:ind w:firstLine="560"/>
    </w:pPr>
  </w:style>
  <w:style w:type="paragraph" w:customStyle="1" w:styleId="799">
    <w:name w:val="样式 首行缩进:  2 字符"/>
    <w:basedOn w:val="1"/>
    <w:qFormat/>
    <w:uiPriority w:val="0"/>
    <w:pPr>
      <w:spacing w:line="360" w:lineRule="auto"/>
      <w:ind w:firstLine="480" w:firstLineChars="200"/>
    </w:pPr>
    <w:rPr>
      <w:rFonts w:cs="宋体"/>
      <w:sz w:val="28"/>
      <w:szCs w:val="20"/>
    </w:rPr>
  </w:style>
  <w:style w:type="paragraph" w:customStyle="1" w:styleId="800">
    <w:name w:val="CM60"/>
    <w:basedOn w:val="112"/>
    <w:next w:val="112"/>
    <w:qFormat/>
    <w:uiPriority w:val="0"/>
    <w:pPr>
      <w:ind w:firstLine="0" w:firstLineChars="0"/>
    </w:pPr>
    <w:rPr>
      <w:rFonts w:ascii="Calibri" w:hAnsi="Calibri" w:eastAsia="宋体"/>
      <w:sz w:val="24"/>
      <w:szCs w:val="24"/>
    </w:rPr>
  </w:style>
  <w:style w:type="paragraph" w:customStyle="1" w:styleId="801">
    <w:name w:val="bodytextindent3"/>
    <w:basedOn w:val="1"/>
    <w:qFormat/>
    <w:uiPriority w:val="0"/>
    <w:pPr>
      <w:widowControl/>
      <w:spacing w:before="100" w:beforeAutospacing="1" w:after="100" w:afterAutospacing="1"/>
      <w:jc w:val="left"/>
    </w:pPr>
    <w:rPr>
      <w:rFonts w:ascii="宋体" w:hAnsi="宋体" w:cs="宋体"/>
      <w:kern w:val="0"/>
      <w:sz w:val="24"/>
    </w:rPr>
  </w:style>
  <w:style w:type="paragraph" w:customStyle="1" w:styleId="802">
    <w:name w:val="Char Char1 Char Char"/>
    <w:basedOn w:val="1"/>
    <w:qFormat/>
    <w:uiPriority w:val="0"/>
    <w:pPr>
      <w:adjustRightInd w:val="0"/>
      <w:spacing w:line="312" w:lineRule="atLeast"/>
      <w:textAlignment w:val="baseline"/>
    </w:pPr>
    <w:rPr>
      <w:rFonts w:ascii="Calibri" w:hAnsi="Calibri"/>
    </w:rPr>
  </w:style>
  <w:style w:type="paragraph" w:customStyle="1" w:styleId="803">
    <w:name w:val="Char Char Char Char2"/>
    <w:basedOn w:val="1"/>
    <w:qFormat/>
    <w:uiPriority w:val="0"/>
    <w:pPr>
      <w:widowControl/>
      <w:spacing w:after="160" w:line="240" w:lineRule="exact"/>
      <w:jc w:val="left"/>
    </w:pPr>
  </w:style>
  <w:style w:type="paragraph" w:customStyle="1" w:styleId="804">
    <w:name w:val="Char Char1 Char Char Char Char Char Char Char Char Char Char Char Char Char Char Char Char1"/>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805">
    <w:name w:val="菲页2"/>
    <w:basedOn w:val="4"/>
    <w:qFormat/>
    <w:uiPriority w:val="0"/>
    <w:pPr>
      <w:widowControl/>
      <w:tabs>
        <w:tab w:val="left" w:pos="720"/>
      </w:tabs>
      <w:spacing w:before="120" w:after="120" w:line="360" w:lineRule="auto"/>
      <w:ind w:left="720" w:hanging="720"/>
      <w:jc w:val="left"/>
    </w:pPr>
    <w:rPr>
      <w:rFonts w:ascii="黑体" w:hAnsi="宋体" w:eastAsia="黑体" w:cs="Bodoni MT"/>
      <w:bCs w:val="0"/>
      <w:kern w:val="0"/>
      <w:sz w:val="44"/>
      <w:lang w:val="zh-CN"/>
    </w:rPr>
  </w:style>
  <w:style w:type="paragraph" w:customStyle="1" w:styleId="806">
    <w:name w:val="Char2 Char Char Char1"/>
    <w:basedOn w:val="1"/>
    <w:qFormat/>
    <w:uiPriority w:val="0"/>
    <w:pPr>
      <w:spacing w:line="360" w:lineRule="auto"/>
      <w:ind w:firstLine="200" w:firstLineChars="200"/>
    </w:pPr>
    <w:rPr>
      <w:rFonts w:ascii="仿宋_GB2312" w:hAnsi="Calibri"/>
      <w:b/>
      <w:sz w:val="30"/>
      <w:szCs w:val="32"/>
    </w:rPr>
  </w:style>
  <w:style w:type="paragraph" w:customStyle="1" w:styleId="807">
    <w:name w:val="技标1"/>
    <w:basedOn w:val="2"/>
    <w:qFormat/>
    <w:uiPriority w:val="0"/>
    <w:pPr>
      <w:keepNext w:val="0"/>
      <w:keepLines w:val="0"/>
      <w:adjustRightInd w:val="0"/>
      <w:spacing w:before="720" w:after="120" w:line="420" w:lineRule="atLeast"/>
      <w:jc w:val="center"/>
      <w:textAlignment w:val="baseline"/>
    </w:pPr>
    <w:rPr>
      <w:rFonts w:ascii="Calibri" w:hAnsi="Calibri"/>
      <w:bCs w:val="0"/>
      <w:kern w:val="0"/>
      <w:sz w:val="32"/>
      <w:szCs w:val="20"/>
      <w:lang w:val="zh-CN"/>
    </w:rPr>
  </w:style>
  <w:style w:type="paragraph" w:customStyle="1" w:styleId="808">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jc w:val="left"/>
    </w:pPr>
    <w:rPr>
      <w:rFonts w:ascii="Courier New" w:hAnsi="Courier New"/>
      <w:kern w:val="0"/>
      <w:sz w:val="20"/>
      <w:szCs w:val="20"/>
    </w:rPr>
  </w:style>
  <w:style w:type="paragraph" w:customStyle="1" w:styleId="809">
    <w:name w:val="正文 New New New New New New New New New New New New New New New New New New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810">
    <w:name w:val="CM26"/>
    <w:basedOn w:val="112"/>
    <w:next w:val="112"/>
    <w:qFormat/>
    <w:uiPriority w:val="0"/>
    <w:pPr>
      <w:spacing w:line="400" w:lineRule="atLeast"/>
      <w:ind w:firstLine="0" w:firstLineChars="0"/>
    </w:pPr>
    <w:rPr>
      <w:rFonts w:ascii="宋体" w:hAnsi="Calibri" w:eastAsia="宋体"/>
      <w:sz w:val="24"/>
      <w:szCs w:val="24"/>
    </w:rPr>
  </w:style>
  <w:style w:type="paragraph" w:customStyle="1" w:styleId="811">
    <w:name w:val="默认段落字体 Para Char Char Char Char Char Char Char Char Char1 Char Char Char Char"/>
    <w:basedOn w:val="1"/>
    <w:qFormat/>
    <w:uiPriority w:val="0"/>
    <w:pPr>
      <w:adjustRightInd w:val="0"/>
      <w:spacing w:line="312" w:lineRule="atLeast"/>
      <w:textAlignment w:val="baseline"/>
    </w:pPr>
    <w:rPr>
      <w:rFonts w:ascii="Calibri" w:hAnsi="Calibri"/>
    </w:rPr>
  </w:style>
  <w:style w:type="paragraph" w:customStyle="1" w:styleId="812">
    <w:name w:val="Char21"/>
    <w:basedOn w:val="1"/>
    <w:qFormat/>
    <w:uiPriority w:val="0"/>
    <w:pPr>
      <w:ind w:firstLine="200" w:firstLineChars="200"/>
    </w:pPr>
    <w:rPr>
      <w:rFonts w:ascii="Tahoma" w:hAnsi="Tahoma" w:eastAsia="仿宋"/>
      <w:sz w:val="24"/>
      <w:szCs w:val="20"/>
    </w:rPr>
  </w:style>
  <w:style w:type="paragraph" w:customStyle="1" w:styleId="813">
    <w:name w:val="CM91"/>
    <w:basedOn w:val="112"/>
    <w:next w:val="112"/>
    <w:qFormat/>
    <w:uiPriority w:val="0"/>
    <w:pPr>
      <w:spacing w:after="160"/>
      <w:ind w:firstLine="0" w:firstLineChars="0"/>
    </w:pPr>
    <w:rPr>
      <w:rFonts w:ascii="宋体" w:hAnsi="Calibri" w:eastAsia="宋体"/>
      <w:sz w:val="24"/>
      <w:szCs w:val="24"/>
    </w:rPr>
  </w:style>
  <w:style w:type="paragraph" w:customStyle="1" w:styleId="814">
    <w:name w:val="图表文字"/>
    <w:basedOn w:val="1"/>
    <w:qFormat/>
    <w:uiPriority w:val="0"/>
    <w:pPr>
      <w:widowControl/>
      <w:adjustRightInd w:val="0"/>
      <w:spacing w:before="120" w:after="120"/>
      <w:jc w:val="center"/>
    </w:pPr>
    <w:rPr>
      <w:rFonts w:ascii="黑体" w:hAnsi="Calibri" w:eastAsia="黑体"/>
      <w:kern w:val="0"/>
      <w:sz w:val="28"/>
      <w:szCs w:val="20"/>
    </w:rPr>
  </w:style>
  <w:style w:type="paragraph" w:customStyle="1" w:styleId="815">
    <w:name w:val="二级正文"/>
    <w:basedOn w:val="1"/>
    <w:qFormat/>
    <w:uiPriority w:val="0"/>
    <w:pPr>
      <w:spacing w:beforeLines="50" w:line="440" w:lineRule="atLeast"/>
      <w:ind w:left="480" w:leftChars="200" w:right="-29" w:rightChars="-12" w:firstLine="103" w:firstLineChars="43"/>
    </w:pPr>
    <w:rPr>
      <w:sz w:val="24"/>
    </w:rPr>
  </w:style>
  <w:style w:type="paragraph" w:customStyle="1" w:styleId="816">
    <w:name w:val="font10"/>
    <w:basedOn w:val="1"/>
    <w:qFormat/>
    <w:uiPriority w:val="0"/>
    <w:pPr>
      <w:widowControl/>
      <w:spacing w:before="100" w:beforeAutospacing="1" w:after="100" w:afterAutospacing="1"/>
      <w:jc w:val="left"/>
    </w:pPr>
    <w:rPr>
      <w:rFonts w:hint="eastAsia" w:ascii="宋体" w:hAnsi="宋体" w:cs="Arial Unicode MS"/>
      <w:color w:val="FF0000"/>
      <w:kern w:val="0"/>
      <w:sz w:val="24"/>
    </w:rPr>
  </w:style>
  <w:style w:type="paragraph" w:customStyle="1" w:styleId="817">
    <w:name w:val="CM3"/>
    <w:basedOn w:val="112"/>
    <w:next w:val="112"/>
    <w:qFormat/>
    <w:uiPriority w:val="0"/>
    <w:pPr>
      <w:ind w:firstLine="0" w:firstLineChars="0"/>
    </w:pPr>
    <w:rPr>
      <w:rFonts w:ascii="Calibri" w:hAnsi="Calibri" w:eastAsia="宋体"/>
      <w:sz w:val="24"/>
      <w:szCs w:val="24"/>
    </w:rPr>
  </w:style>
  <w:style w:type="paragraph" w:customStyle="1" w:styleId="818">
    <w:name w:val="简单回函地址"/>
    <w:basedOn w:val="1"/>
    <w:qFormat/>
    <w:uiPriority w:val="0"/>
    <w:rPr>
      <w:rFonts w:ascii="Calibri" w:hAnsi="Calibri"/>
    </w:rPr>
  </w:style>
  <w:style w:type="paragraph" w:customStyle="1" w:styleId="819">
    <w:name w:val="二级条标题"/>
    <w:basedOn w:val="704"/>
    <w:next w:val="1"/>
    <w:qFormat/>
    <w:uiPriority w:val="0"/>
    <w:pPr>
      <w:tabs>
        <w:tab w:val="left" w:pos="720"/>
        <w:tab w:val="left" w:pos="3030"/>
        <w:tab w:val="clear" w:pos="525"/>
      </w:tabs>
      <w:ind w:left="3030"/>
      <w:outlineLvl w:val="3"/>
    </w:pPr>
    <w:rPr>
      <w:b w:val="0"/>
    </w:rPr>
  </w:style>
  <w:style w:type="paragraph" w:customStyle="1" w:styleId="820">
    <w:name w:val="正文 New New New New New New New New New New New New New New New New New New New New New New New New New New New New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821">
    <w:name w:val="xl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4"/>
    </w:rPr>
  </w:style>
  <w:style w:type="paragraph" w:customStyle="1" w:styleId="822">
    <w:name w:val="样式 标题 2 + 宋体 五号"/>
    <w:basedOn w:val="3"/>
    <w:qFormat/>
    <w:uiPriority w:val="0"/>
    <w:pPr>
      <w:spacing w:before="0" w:after="0" w:line="240" w:lineRule="auto"/>
    </w:pPr>
    <w:rPr>
      <w:rFonts w:ascii="宋体" w:hAnsi="宋体" w:cs="Bodoni MT"/>
      <w:b w:val="0"/>
      <w:sz w:val="21"/>
      <w:szCs w:val="28"/>
    </w:rPr>
  </w:style>
  <w:style w:type="paragraph" w:customStyle="1" w:styleId="823">
    <w:name w:val="列表编号 2A"/>
    <w:basedOn w:val="1"/>
    <w:qFormat/>
    <w:uiPriority w:val="0"/>
    <w:pPr>
      <w:tabs>
        <w:tab w:val="left" w:pos="845"/>
      </w:tabs>
    </w:pPr>
    <w:rPr>
      <w:rFonts w:ascii="Calibri" w:hAnsi="Calibri"/>
      <w:sz w:val="28"/>
      <w:szCs w:val="20"/>
    </w:rPr>
  </w:style>
  <w:style w:type="paragraph" w:customStyle="1" w:styleId="824">
    <w:name w:val="pa-0"/>
    <w:basedOn w:val="1"/>
    <w:qFormat/>
    <w:uiPriority w:val="0"/>
    <w:pPr>
      <w:widowControl/>
      <w:spacing w:line="400" w:lineRule="atLeast"/>
      <w:ind w:firstLine="200" w:firstLineChars="200"/>
      <w:jc w:val="center"/>
    </w:pPr>
    <w:rPr>
      <w:rFonts w:ascii="宋体" w:hAnsi="宋体" w:eastAsia="仿宋" w:cs="宋体"/>
      <w:kern w:val="0"/>
      <w:sz w:val="24"/>
    </w:rPr>
  </w:style>
  <w:style w:type="paragraph" w:customStyle="1" w:styleId="825">
    <w:name w:val="Char Char1 Char Char Char Char Char Char"/>
    <w:basedOn w:val="1"/>
    <w:qFormat/>
    <w:uiPriority w:val="0"/>
    <w:pPr>
      <w:widowControl/>
      <w:adjustRightInd w:val="0"/>
      <w:snapToGrid w:val="0"/>
      <w:spacing w:line="360" w:lineRule="auto"/>
      <w:ind w:firstLine="601"/>
    </w:pPr>
    <w:rPr>
      <w:rFonts w:ascii="宋体" w:hAnsi="宋体"/>
      <w:color w:val="000000"/>
      <w:kern w:val="0"/>
      <w:sz w:val="24"/>
    </w:rPr>
  </w:style>
  <w:style w:type="paragraph" w:customStyle="1" w:styleId="826">
    <w:name w:val="_Style 149"/>
    <w:basedOn w:val="1"/>
    <w:qFormat/>
    <w:uiPriority w:val="0"/>
    <w:pPr>
      <w:spacing w:line="360" w:lineRule="auto"/>
      <w:jc w:val="center"/>
    </w:pPr>
    <w:rPr>
      <w:rFonts w:ascii="Calibri" w:hAnsi="Calibri"/>
    </w:rPr>
  </w:style>
  <w:style w:type="paragraph" w:customStyle="1" w:styleId="827">
    <w:name w:val="ҳŠChar"/>
    <w:basedOn w:val="1"/>
    <w:qFormat/>
    <w:uiPriority w:val="99"/>
    <w:pPr>
      <w:keepNext/>
      <w:widowControl/>
      <w:spacing w:after="120" w:line="400" w:lineRule="atLeast"/>
      <w:jc w:val="center"/>
    </w:pPr>
    <w:rPr>
      <w:rFonts w:ascii="Arial" w:hAnsi="Arial" w:cs="Arial"/>
      <w:kern w:val="0"/>
      <w:sz w:val="32"/>
      <w:szCs w:val="32"/>
    </w:rPr>
  </w:style>
  <w:style w:type="character" w:customStyle="1" w:styleId="828">
    <w:name w:val="Title Char1"/>
    <w:qFormat/>
    <w:uiPriority w:val="10"/>
    <w:rPr>
      <w:rFonts w:ascii="Cambria" w:hAnsi="Cambria" w:cs="Times New Roman"/>
      <w:b/>
      <w:bCs/>
      <w:sz w:val="32"/>
      <w:szCs w:val="32"/>
    </w:rPr>
  </w:style>
  <w:style w:type="character" w:customStyle="1" w:styleId="829">
    <w:name w:val="z-Bottom of Form Char"/>
    <w:qFormat/>
    <w:locked/>
    <w:uiPriority w:val="99"/>
    <w:rPr>
      <w:rFonts w:ascii="Arial" w:hAnsi="Arial" w:cs="Times New Roman"/>
      <w:vanish/>
      <w:sz w:val="16"/>
      <w:szCs w:val="16"/>
    </w:rPr>
  </w:style>
  <w:style w:type="character" w:customStyle="1" w:styleId="830">
    <w:name w:val="z-Top of Form Char"/>
    <w:qFormat/>
    <w:locked/>
    <w:uiPriority w:val="99"/>
    <w:rPr>
      <w:rFonts w:ascii="Arial" w:hAnsi="Arial" w:cs="Times New Roman"/>
      <w:vanish/>
      <w:sz w:val="16"/>
      <w:szCs w:val="16"/>
    </w:rPr>
  </w:style>
  <w:style w:type="character" w:customStyle="1" w:styleId="831">
    <w:name w:val="Subtitle Char1"/>
    <w:qFormat/>
    <w:uiPriority w:val="11"/>
    <w:rPr>
      <w:rFonts w:ascii="Cambria" w:hAnsi="Cambria" w:cs="Times New Roman"/>
      <w:b/>
      <w:bCs/>
      <w:kern w:val="28"/>
      <w:sz w:val="32"/>
      <w:szCs w:val="32"/>
    </w:rPr>
  </w:style>
  <w:style w:type="character" w:customStyle="1" w:styleId="832">
    <w:name w:val="Header Char1"/>
    <w:semiHidden/>
    <w:qFormat/>
    <w:uiPriority w:val="99"/>
    <w:rPr>
      <w:sz w:val="18"/>
      <w:szCs w:val="18"/>
    </w:rPr>
  </w:style>
  <w:style w:type="character" w:customStyle="1" w:styleId="833">
    <w:name w:val="Footer Char1"/>
    <w:semiHidden/>
    <w:qFormat/>
    <w:uiPriority w:val="99"/>
    <w:rPr>
      <w:sz w:val="18"/>
      <w:szCs w:val="18"/>
    </w:rPr>
  </w:style>
  <w:style w:type="character" w:customStyle="1" w:styleId="834">
    <w:name w:val="Body Text 3 Char1"/>
    <w:semiHidden/>
    <w:qFormat/>
    <w:uiPriority w:val="99"/>
    <w:rPr>
      <w:sz w:val="16"/>
      <w:szCs w:val="16"/>
    </w:rPr>
  </w:style>
  <w:style w:type="character" w:customStyle="1" w:styleId="835">
    <w:name w:val="Balloon Text Char1"/>
    <w:semiHidden/>
    <w:qFormat/>
    <w:uiPriority w:val="99"/>
    <w:rPr>
      <w:sz w:val="16"/>
      <w:szCs w:val="16"/>
    </w:rPr>
  </w:style>
  <w:style w:type="paragraph" w:customStyle="1" w:styleId="836">
    <w:name w:val="msolistparagraph"/>
    <w:basedOn w:val="1"/>
    <w:qFormat/>
    <w:uiPriority w:val="99"/>
    <w:pPr>
      <w:ind w:firstLine="420" w:firstLineChars="200"/>
    </w:pPr>
    <w:rPr>
      <w:rFonts w:ascii="Calibri" w:hAnsi="Calibri"/>
      <w:szCs w:val="22"/>
    </w:rPr>
  </w:style>
  <w:style w:type="character" w:customStyle="1" w:styleId="837">
    <w:name w:val="Body Text Indent 3 Char2"/>
    <w:semiHidden/>
    <w:qFormat/>
    <w:locked/>
    <w:uiPriority w:val="99"/>
    <w:rPr>
      <w:rFonts w:ascii="Times New Roman" w:hAnsi="Times New Roman" w:eastAsia="宋体" w:cs="Times New Roman"/>
      <w:sz w:val="16"/>
      <w:szCs w:val="16"/>
    </w:rPr>
  </w:style>
  <w:style w:type="character" w:customStyle="1" w:styleId="838">
    <w:name w:val="Body Text Indent 2 Char2"/>
    <w:semiHidden/>
    <w:qFormat/>
    <w:locked/>
    <w:uiPriority w:val="99"/>
    <w:rPr>
      <w:rFonts w:ascii="Times New Roman" w:hAnsi="Times New Roman" w:eastAsia="宋体" w:cs="Times New Roman"/>
      <w:sz w:val="24"/>
      <w:szCs w:val="24"/>
    </w:rPr>
  </w:style>
  <w:style w:type="paragraph" w:customStyle="1" w:styleId="839">
    <w:name w:val="普通(网站)2"/>
    <w:basedOn w:val="1"/>
    <w:qFormat/>
    <w:uiPriority w:val="99"/>
    <w:pPr>
      <w:widowControl/>
      <w:spacing w:before="100" w:beforeAutospacing="1" w:after="100" w:afterAutospacing="1"/>
      <w:jc w:val="left"/>
    </w:pPr>
    <w:rPr>
      <w:rFonts w:ascii="宋体" w:hAnsi="宋体" w:cs="宋体"/>
      <w:kern w:val="0"/>
      <w:sz w:val="24"/>
    </w:rPr>
  </w:style>
  <w:style w:type="character" w:customStyle="1" w:styleId="840">
    <w:name w:val="页脚 字符"/>
    <w:qFormat/>
    <w:uiPriority w:val="99"/>
  </w:style>
  <w:style w:type="character" w:customStyle="1" w:styleId="841">
    <w:name w:val="页眉 字符"/>
    <w:qFormat/>
    <w:uiPriority w:val="99"/>
    <w:rPr>
      <w:kern w:val="2"/>
      <w:sz w:val="18"/>
    </w:rPr>
  </w:style>
  <w:style w:type="character" w:customStyle="1" w:styleId="842">
    <w:name w:val="正文文本 3 字符"/>
    <w:qFormat/>
    <w:uiPriority w:val="99"/>
    <w:rPr>
      <w:rFonts w:ascii="宋体"/>
      <w:sz w:val="24"/>
    </w:rPr>
  </w:style>
  <w:style w:type="character" w:customStyle="1" w:styleId="843">
    <w:name w:val="纯文本 字符"/>
    <w:qFormat/>
    <w:uiPriority w:val="99"/>
    <w:rPr>
      <w:rFonts w:ascii="宋体" w:hAnsi="Courier New" w:cs="Courier New"/>
      <w:kern w:val="2"/>
      <w:sz w:val="21"/>
      <w:szCs w:val="21"/>
    </w:rPr>
  </w:style>
  <w:style w:type="table" w:customStyle="1" w:styleId="844">
    <w:name w:val="网格型3"/>
    <w:basedOn w:val="56"/>
    <w:qFormat/>
    <w:uiPriority w:val="59"/>
    <w:rPr>
      <w:rFonts w:eastAsia="微软雅黑"/>
      <w:sz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customStyle="1" w:styleId="845">
    <w:name w:val="[基本段落]"/>
    <w:basedOn w:val="1"/>
    <w:unhideWhenUsed/>
    <w:qFormat/>
    <w:uiPriority w:val="99"/>
    <w:pPr>
      <w:autoSpaceDE w:val="0"/>
      <w:autoSpaceDN w:val="0"/>
      <w:adjustRightInd w:val="0"/>
      <w:spacing w:line="288" w:lineRule="auto"/>
      <w:textAlignment w:val="center"/>
    </w:pPr>
    <w:rPr>
      <w:rFonts w:hint="eastAsia" w:ascii="Adobe 宋体 Std L" w:hAnsi="Adobe 宋体 Std L" w:eastAsia="Adobe 宋体 Std L"/>
      <w:color w:val="000000"/>
      <w:kern w:val="0"/>
      <w:sz w:val="24"/>
      <w:szCs w:val="20"/>
      <w:lang w:val="zh-CN"/>
    </w:rPr>
  </w:style>
  <w:style w:type="table" w:customStyle="1" w:styleId="846">
    <w:name w:val="网格型4"/>
    <w:basedOn w:val="56"/>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847">
    <w:name w:val="未处理的提及1"/>
    <w:basedOn w:val="58"/>
    <w:semiHidden/>
    <w:unhideWhenUsed/>
    <w:qFormat/>
    <w:uiPriority w:val="99"/>
    <w:rPr>
      <w:color w:val="605E5C"/>
      <w:shd w:val="clear" w:color="auto" w:fill="E1DFDD"/>
    </w:rPr>
  </w:style>
  <w:style w:type="character" w:customStyle="1" w:styleId="848">
    <w:name w:val="明显引用 字符1"/>
    <w:basedOn w:val="58"/>
    <w:qFormat/>
    <w:uiPriority w:val="99"/>
    <w:rPr>
      <w:i/>
      <w:iCs/>
      <w:color w:val="4F81BD"/>
      <w:kern w:val="2"/>
      <w:sz w:val="21"/>
      <w:szCs w:val="24"/>
    </w:rPr>
  </w:style>
  <w:style w:type="character" w:customStyle="1" w:styleId="849">
    <w:name w:val="引用 字符1"/>
    <w:basedOn w:val="58"/>
    <w:qFormat/>
    <w:uiPriority w:val="99"/>
    <w:rPr>
      <w:i/>
      <w:iCs/>
      <w:color w:val="404040"/>
      <w:kern w:val="2"/>
      <w:sz w:val="21"/>
      <w:szCs w:val="24"/>
    </w:rPr>
  </w:style>
  <w:style w:type="character" w:customStyle="1" w:styleId="850">
    <w:name w:val="z-窗体顶端 Char1"/>
    <w:qFormat/>
    <w:uiPriority w:val="99"/>
    <w:rPr>
      <w:rFonts w:hint="default" w:ascii="Arial" w:hAnsi="Arial" w:cs="Arial"/>
      <w:vanish/>
      <w:kern w:val="2"/>
      <w:sz w:val="16"/>
      <w:szCs w:val="16"/>
    </w:rPr>
  </w:style>
  <w:style w:type="character" w:customStyle="1" w:styleId="851">
    <w:name w:val="z-窗体底端 Char1"/>
    <w:qFormat/>
    <w:uiPriority w:val="99"/>
    <w:rPr>
      <w:rFonts w:hint="default" w:ascii="Arial" w:hAnsi="Arial" w:cs="Arial"/>
      <w:vanish/>
      <w:kern w:val="2"/>
      <w:sz w:val="16"/>
      <w:szCs w:val="16"/>
    </w:rPr>
  </w:style>
  <w:style w:type="character" w:customStyle="1" w:styleId="852">
    <w:name w:val="标题 2 Char2"/>
    <w:qFormat/>
    <w:uiPriority w:val="0"/>
    <w:rPr>
      <w:rFonts w:hint="eastAsia" w:ascii="黑体" w:hAnsi="宋体" w:eastAsia="黑体"/>
      <w:b/>
      <w:bCs/>
      <w:color w:val="000000"/>
      <w:kern w:val="2"/>
      <w:sz w:val="30"/>
      <w:szCs w:val="30"/>
      <w:lang w:val="en-US" w:eastAsia="zh-CN" w:bidi="ar-SA"/>
    </w:rPr>
  </w:style>
  <w:style w:type="character" w:customStyle="1" w:styleId="853">
    <w:name w:val="标题 1 字符"/>
    <w:qFormat/>
    <w:uiPriority w:val="99"/>
    <w:rPr>
      <w:rFonts w:ascii="黑体" w:eastAsia="黑体"/>
      <w:sz w:val="52"/>
    </w:rPr>
  </w:style>
  <w:style w:type="character" w:customStyle="1" w:styleId="854">
    <w:name w:val="标题 2 字符"/>
    <w:qFormat/>
    <w:uiPriority w:val="99"/>
    <w:rPr>
      <w:rFonts w:ascii="Arial" w:hAnsi="Arial" w:eastAsia="黑体"/>
      <w:b/>
      <w:kern w:val="2"/>
      <w:sz w:val="32"/>
    </w:rPr>
  </w:style>
  <w:style w:type="character" w:customStyle="1" w:styleId="855">
    <w:name w:val="标题 3 字符"/>
    <w:qFormat/>
    <w:uiPriority w:val="99"/>
    <w:rPr>
      <w:b/>
      <w:sz w:val="32"/>
    </w:rPr>
  </w:style>
  <w:style w:type="character" w:customStyle="1" w:styleId="856">
    <w:name w:val="标题 4 字符"/>
    <w:qFormat/>
    <w:locked/>
    <w:uiPriority w:val="99"/>
    <w:rPr>
      <w:rFonts w:ascii="宋体" w:hAnsi="Arial"/>
      <w:sz w:val="32"/>
    </w:rPr>
  </w:style>
  <w:style w:type="character" w:customStyle="1" w:styleId="857">
    <w:name w:val="标题 5 字符"/>
    <w:qFormat/>
    <w:uiPriority w:val="99"/>
    <w:rPr>
      <w:rFonts w:ascii="宋体" w:hAnsi="宋体"/>
      <w:b/>
      <w:sz w:val="24"/>
    </w:rPr>
  </w:style>
  <w:style w:type="character" w:customStyle="1" w:styleId="858">
    <w:name w:val="标题 6 字符"/>
    <w:qFormat/>
    <w:uiPriority w:val="99"/>
    <w:rPr>
      <w:rFonts w:ascii="Arial" w:hAnsi="Arial" w:eastAsia="黑体"/>
      <w:b/>
      <w:sz w:val="24"/>
    </w:rPr>
  </w:style>
  <w:style w:type="character" w:customStyle="1" w:styleId="859">
    <w:name w:val="标题 7 字符"/>
    <w:qFormat/>
    <w:uiPriority w:val="99"/>
    <w:rPr>
      <w:b/>
      <w:sz w:val="24"/>
    </w:rPr>
  </w:style>
  <w:style w:type="character" w:customStyle="1" w:styleId="860">
    <w:name w:val="标题 8 字符"/>
    <w:qFormat/>
    <w:uiPriority w:val="99"/>
    <w:rPr>
      <w:rFonts w:ascii="Arial" w:hAnsi="Arial" w:eastAsia="黑体"/>
      <w:sz w:val="24"/>
    </w:rPr>
  </w:style>
  <w:style w:type="character" w:customStyle="1" w:styleId="861">
    <w:name w:val="标题 9 字符"/>
    <w:qFormat/>
    <w:uiPriority w:val="99"/>
    <w:rPr>
      <w:rFonts w:ascii="Arial" w:hAnsi="Arial" w:eastAsia="黑体"/>
      <w:sz w:val="21"/>
    </w:rPr>
  </w:style>
  <w:style w:type="paragraph" w:customStyle="1" w:styleId="862">
    <w:name w:val="_Style 838"/>
    <w:basedOn w:val="1"/>
    <w:next w:val="74"/>
    <w:qFormat/>
    <w:uiPriority w:val="34"/>
    <w:pPr>
      <w:spacing w:line="360" w:lineRule="auto"/>
      <w:ind w:left="420" w:firstLine="420" w:firstLineChars="200"/>
    </w:pPr>
    <w:rPr>
      <w:szCs w:val="20"/>
    </w:rPr>
  </w:style>
  <w:style w:type="character" w:customStyle="1" w:styleId="863">
    <w:name w:val="文档结构图 字符"/>
    <w:qFormat/>
    <w:uiPriority w:val="99"/>
    <w:rPr>
      <w:kern w:val="2"/>
      <w:sz w:val="21"/>
      <w:shd w:val="clear" w:color="auto" w:fill="000080"/>
    </w:rPr>
  </w:style>
  <w:style w:type="character" w:customStyle="1" w:styleId="864">
    <w:name w:val="批注文字 字符"/>
    <w:qFormat/>
    <w:uiPriority w:val="0"/>
    <w:rPr>
      <w:sz w:val="24"/>
    </w:rPr>
  </w:style>
  <w:style w:type="character" w:customStyle="1" w:styleId="865">
    <w:name w:val="正文文本 字符"/>
    <w:qFormat/>
    <w:uiPriority w:val="99"/>
    <w:rPr>
      <w:kern w:val="2"/>
      <w:sz w:val="30"/>
    </w:rPr>
  </w:style>
  <w:style w:type="character" w:customStyle="1" w:styleId="866">
    <w:name w:val="正文文本缩进 字符"/>
    <w:qFormat/>
    <w:uiPriority w:val="99"/>
    <w:rPr>
      <w:kern w:val="2"/>
      <w:sz w:val="24"/>
    </w:rPr>
  </w:style>
  <w:style w:type="character" w:customStyle="1" w:styleId="867">
    <w:name w:val="日期 字符"/>
    <w:qFormat/>
    <w:uiPriority w:val="99"/>
    <w:rPr>
      <w:kern w:val="2"/>
      <w:sz w:val="24"/>
    </w:rPr>
  </w:style>
  <w:style w:type="character" w:customStyle="1" w:styleId="868">
    <w:name w:val="正文文本缩进 2 字符"/>
    <w:qFormat/>
    <w:uiPriority w:val="99"/>
    <w:rPr>
      <w:rFonts w:ascii="宋体" w:hAnsi="宋体"/>
      <w:kern w:val="2"/>
      <w:sz w:val="28"/>
      <w:u w:val="single"/>
    </w:rPr>
  </w:style>
  <w:style w:type="character" w:customStyle="1" w:styleId="869">
    <w:name w:val="批注框文本 字符"/>
    <w:qFormat/>
    <w:uiPriority w:val="99"/>
    <w:rPr>
      <w:kern w:val="2"/>
      <w:sz w:val="18"/>
    </w:rPr>
  </w:style>
  <w:style w:type="character" w:customStyle="1" w:styleId="870">
    <w:name w:val="正文文本缩进 3 字符"/>
    <w:qFormat/>
    <w:uiPriority w:val="99"/>
    <w:rPr>
      <w:rFonts w:ascii="宋体" w:hAnsi="MS Sans Serif"/>
      <w:color w:val="000000"/>
      <w:sz w:val="24"/>
    </w:rPr>
  </w:style>
  <w:style w:type="character" w:customStyle="1" w:styleId="871">
    <w:name w:val="正文文本 2 字符"/>
    <w:qFormat/>
    <w:uiPriority w:val="99"/>
    <w:rPr>
      <w:kern w:val="2"/>
      <w:sz w:val="21"/>
    </w:rPr>
  </w:style>
  <w:style w:type="character" w:customStyle="1" w:styleId="872">
    <w:name w:val="标题 字符"/>
    <w:qFormat/>
    <w:uiPriority w:val="99"/>
    <w:rPr>
      <w:rFonts w:ascii="Cambria" w:hAnsi="Cambria"/>
      <w:b/>
      <w:bCs/>
      <w:kern w:val="28"/>
      <w:sz w:val="32"/>
      <w:szCs w:val="32"/>
      <w:lang w:eastAsia="en-US"/>
    </w:rPr>
  </w:style>
  <w:style w:type="character" w:customStyle="1" w:styleId="873">
    <w:name w:val="批注主题 字符"/>
    <w:qFormat/>
    <w:uiPriority w:val="99"/>
    <w:rPr>
      <w:b/>
      <w:bCs/>
      <w:kern w:val="2"/>
      <w:sz w:val="21"/>
    </w:rPr>
  </w:style>
  <w:style w:type="paragraph" w:customStyle="1" w:styleId="874">
    <w:name w:val="Char5"/>
    <w:basedOn w:val="1"/>
    <w:qFormat/>
    <w:uiPriority w:val="99"/>
    <w:rPr>
      <w:szCs w:val="20"/>
    </w:rPr>
  </w:style>
  <w:style w:type="paragraph" w:customStyle="1" w:styleId="875">
    <w:name w:val="Char Char Char Char Char Char Char3"/>
    <w:basedOn w:val="1"/>
    <w:qFormat/>
    <w:uiPriority w:val="99"/>
    <w:rPr>
      <w:szCs w:val="20"/>
    </w:rPr>
  </w:style>
  <w:style w:type="paragraph" w:customStyle="1" w:styleId="876">
    <w:name w:val="Char Char Char Char Char Char Char Char Char Char Char Char1 Char Char Char Char Char Char Char1"/>
    <w:basedOn w:val="1"/>
    <w:qFormat/>
    <w:uiPriority w:val="99"/>
    <w:rPr>
      <w:szCs w:val="20"/>
    </w:rPr>
  </w:style>
  <w:style w:type="character" w:customStyle="1" w:styleId="877">
    <w:name w:val="z-窗体底端 字符"/>
    <w:qFormat/>
    <w:uiPriority w:val="99"/>
    <w:rPr>
      <w:rFonts w:ascii="Arial" w:hAnsi="Arial" w:cs="Arial"/>
      <w:vanish/>
      <w:kern w:val="2"/>
      <w:sz w:val="16"/>
      <w:szCs w:val="16"/>
    </w:rPr>
  </w:style>
  <w:style w:type="character" w:customStyle="1" w:styleId="878">
    <w:name w:val="z-窗体顶端 字符"/>
    <w:qFormat/>
    <w:uiPriority w:val="99"/>
    <w:rPr>
      <w:rFonts w:ascii="Arial" w:hAnsi="Arial" w:cs="Arial"/>
      <w:vanish/>
      <w:kern w:val="2"/>
      <w:sz w:val="16"/>
      <w:szCs w:val="16"/>
    </w:rPr>
  </w:style>
  <w:style w:type="character" w:customStyle="1" w:styleId="879">
    <w:name w:val="引用 字符"/>
    <w:qFormat/>
    <w:uiPriority w:val="99"/>
    <w:rPr>
      <w:rFonts w:ascii="Calibri" w:hAnsi="Calibri"/>
      <w:i/>
      <w:sz w:val="24"/>
      <w:szCs w:val="24"/>
      <w:lang w:eastAsia="en-US"/>
    </w:rPr>
  </w:style>
  <w:style w:type="character" w:customStyle="1" w:styleId="880">
    <w:name w:val="明显引用 字符"/>
    <w:qFormat/>
    <w:uiPriority w:val="99"/>
    <w:rPr>
      <w:rFonts w:ascii="Calibri" w:hAnsi="Calibri"/>
      <w:b/>
      <w:i/>
      <w:sz w:val="24"/>
      <w:szCs w:val="22"/>
      <w:lang w:eastAsia="en-US"/>
    </w:rPr>
  </w:style>
  <w:style w:type="paragraph" w:customStyle="1" w:styleId="881">
    <w:name w:val="列出段落5"/>
    <w:basedOn w:val="1"/>
    <w:qFormat/>
    <w:uiPriority w:val="34"/>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882">
    <w:name w:val="_Style 254"/>
    <w:qFormat/>
    <w:uiPriority w:val="99"/>
    <w:pPr>
      <w:widowControl w:val="0"/>
      <w:jc w:val="both"/>
    </w:pPr>
    <w:rPr>
      <w:rFonts w:ascii="Times New Roman" w:hAnsi="Times New Roman" w:eastAsia="宋体" w:cs="Times New Roman"/>
      <w:kern w:val="2"/>
      <w:sz w:val="21"/>
      <w:lang w:val="en-US" w:eastAsia="zh-CN" w:bidi="ar-SA"/>
    </w:rPr>
  </w:style>
  <w:style w:type="paragraph" w:customStyle="1" w:styleId="883">
    <w:name w:val="普通(网站)3"/>
    <w:basedOn w:val="1"/>
    <w:qFormat/>
    <w:uiPriority w:val="99"/>
    <w:pPr>
      <w:widowControl/>
      <w:spacing w:before="100" w:beforeAutospacing="1" w:after="100" w:afterAutospacing="1"/>
      <w:jc w:val="left"/>
    </w:pPr>
    <w:rPr>
      <w:rFonts w:ascii="宋体" w:hAnsi="宋体" w:cs="宋体"/>
      <w:kern w:val="0"/>
      <w:sz w:val="24"/>
    </w:rPr>
  </w:style>
  <w:style w:type="paragraph" w:customStyle="1" w:styleId="884">
    <w:name w:val="_Style 318"/>
    <w:qFormat/>
    <w:uiPriority w:val="99"/>
    <w:pPr>
      <w:widowControl w:val="0"/>
      <w:jc w:val="both"/>
    </w:pPr>
    <w:rPr>
      <w:rFonts w:ascii="Times New Roman" w:hAnsi="Times New Roman" w:eastAsia="宋体" w:cs="Times New Roman"/>
      <w:kern w:val="2"/>
      <w:sz w:val="21"/>
      <w:lang w:val="en-US" w:eastAsia="zh-CN" w:bidi="ar-SA"/>
    </w:rPr>
  </w:style>
  <w:style w:type="paragraph" w:customStyle="1" w:styleId="885">
    <w:name w:val="_Style 321"/>
    <w:qFormat/>
    <w:uiPriority w:val="99"/>
    <w:pPr>
      <w:widowControl w:val="0"/>
      <w:jc w:val="both"/>
    </w:pPr>
    <w:rPr>
      <w:rFonts w:ascii="Times New Roman" w:hAnsi="Times New Roman" w:eastAsia="宋体" w:cs="Times New Roman"/>
      <w:kern w:val="2"/>
      <w:sz w:val="21"/>
      <w:lang w:val="en-US" w:eastAsia="zh-CN" w:bidi="ar-SA"/>
    </w:rPr>
  </w:style>
  <w:style w:type="character" w:customStyle="1" w:styleId="886">
    <w:name w:val="Char Char211"/>
    <w:qFormat/>
    <w:uiPriority w:val="0"/>
    <w:rPr>
      <w:rFonts w:ascii="宋体" w:hAnsi="宋体" w:eastAsia="宋体" w:cs="Times New Roman"/>
      <w:b/>
      <w:kern w:val="0"/>
      <w:sz w:val="24"/>
      <w:szCs w:val="20"/>
    </w:rPr>
  </w:style>
  <w:style w:type="character" w:customStyle="1" w:styleId="887">
    <w:name w:val="Char Char201"/>
    <w:qFormat/>
    <w:uiPriority w:val="0"/>
    <w:rPr>
      <w:rFonts w:ascii="Arial" w:hAnsi="Arial" w:eastAsia="黑体" w:cs="Times New Roman"/>
      <w:b/>
      <w:kern w:val="0"/>
      <w:sz w:val="24"/>
      <w:szCs w:val="20"/>
    </w:rPr>
  </w:style>
  <w:style w:type="character" w:customStyle="1" w:styleId="888">
    <w:name w:val="Char Char191"/>
    <w:qFormat/>
    <w:uiPriority w:val="0"/>
    <w:rPr>
      <w:rFonts w:ascii="Times New Roman" w:hAnsi="Times New Roman" w:eastAsia="宋体" w:cs="Times New Roman"/>
      <w:b/>
      <w:kern w:val="0"/>
      <w:sz w:val="24"/>
      <w:szCs w:val="20"/>
    </w:rPr>
  </w:style>
  <w:style w:type="character" w:customStyle="1" w:styleId="889">
    <w:name w:val="Char Char181"/>
    <w:qFormat/>
    <w:uiPriority w:val="0"/>
    <w:rPr>
      <w:rFonts w:ascii="Arial" w:hAnsi="Arial" w:eastAsia="黑体" w:cs="Times New Roman"/>
      <w:kern w:val="0"/>
      <w:sz w:val="24"/>
      <w:szCs w:val="20"/>
    </w:rPr>
  </w:style>
  <w:style w:type="paragraph" w:customStyle="1" w:styleId="890">
    <w:name w:val="Char6"/>
    <w:basedOn w:val="1"/>
    <w:qFormat/>
    <w:uiPriority w:val="0"/>
    <w:rPr>
      <w:szCs w:val="20"/>
    </w:rPr>
  </w:style>
  <w:style w:type="paragraph" w:customStyle="1" w:styleId="891">
    <w:name w:val="Char Char Char Char Char Char Char4"/>
    <w:basedOn w:val="1"/>
    <w:qFormat/>
    <w:uiPriority w:val="0"/>
    <w:rPr>
      <w:szCs w:val="20"/>
    </w:rPr>
  </w:style>
  <w:style w:type="paragraph" w:customStyle="1" w:styleId="892">
    <w:name w:val="Char Char Char Char Char Char Char Char Char Char Char Char1 Char Char Char Char Char Char Char2"/>
    <w:basedOn w:val="1"/>
    <w:qFormat/>
    <w:uiPriority w:val="0"/>
    <w:rPr>
      <w:szCs w:val="20"/>
    </w:rPr>
  </w:style>
  <w:style w:type="paragraph" w:customStyle="1" w:styleId="893">
    <w:name w:val="列出段落6"/>
    <w:basedOn w:val="1"/>
    <w:qFormat/>
    <w:uiPriority w:val="34"/>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894">
    <w:name w:val="普通(网站)4"/>
    <w:basedOn w:val="1"/>
    <w:qFormat/>
    <w:uiPriority w:val="99"/>
    <w:pPr>
      <w:widowControl/>
      <w:spacing w:before="100" w:beforeAutospacing="1" w:after="100" w:afterAutospacing="1"/>
      <w:jc w:val="left"/>
    </w:pPr>
    <w:rPr>
      <w:rFonts w:ascii="宋体" w:hAnsi="宋体" w:cs="宋体"/>
      <w:kern w:val="0"/>
      <w:sz w:val="24"/>
    </w:rPr>
  </w:style>
  <w:style w:type="character" w:customStyle="1" w:styleId="895">
    <w:name w:val="Char Char212"/>
    <w:qFormat/>
    <w:uiPriority w:val="0"/>
    <w:rPr>
      <w:rFonts w:ascii="宋体" w:hAnsi="宋体" w:eastAsia="宋体" w:cs="Times New Roman"/>
      <w:b/>
      <w:kern w:val="0"/>
      <w:sz w:val="24"/>
      <w:szCs w:val="20"/>
    </w:rPr>
  </w:style>
  <w:style w:type="character" w:customStyle="1" w:styleId="896">
    <w:name w:val="Char Char202"/>
    <w:qFormat/>
    <w:uiPriority w:val="0"/>
    <w:rPr>
      <w:rFonts w:ascii="Arial" w:hAnsi="Arial" w:eastAsia="黑体" w:cs="Times New Roman"/>
      <w:b/>
      <w:kern w:val="0"/>
      <w:sz w:val="24"/>
      <w:szCs w:val="20"/>
    </w:rPr>
  </w:style>
  <w:style w:type="character" w:customStyle="1" w:styleId="897">
    <w:name w:val="Char Char192"/>
    <w:qFormat/>
    <w:uiPriority w:val="0"/>
    <w:rPr>
      <w:rFonts w:ascii="Times New Roman" w:hAnsi="Times New Roman" w:eastAsia="宋体" w:cs="Times New Roman"/>
      <w:b/>
      <w:kern w:val="0"/>
      <w:sz w:val="24"/>
      <w:szCs w:val="20"/>
    </w:rPr>
  </w:style>
  <w:style w:type="character" w:customStyle="1" w:styleId="898">
    <w:name w:val="Char Char182"/>
    <w:qFormat/>
    <w:uiPriority w:val="0"/>
    <w:rPr>
      <w:rFonts w:ascii="Arial" w:hAnsi="Arial" w:eastAsia="黑体" w:cs="Times New Roman"/>
      <w:kern w:val="0"/>
      <w:sz w:val="24"/>
      <w:szCs w:val="20"/>
    </w:rPr>
  </w:style>
  <w:style w:type="paragraph" w:customStyle="1" w:styleId="899">
    <w:name w:val="称呼1"/>
    <w:basedOn w:val="1"/>
    <w:next w:val="1"/>
    <w:qFormat/>
    <w:uiPriority w:val="0"/>
    <w:rPr>
      <w:rFonts w:ascii="楷体_GB2312" w:hAnsi="Calibri" w:eastAsia="楷体_GB2312"/>
      <w:sz w:val="32"/>
    </w:rPr>
  </w:style>
  <w:style w:type="paragraph" w:customStyle="1" w:styleId="900">
    <w:name w:val="脚注文本1"/>
    <w:basedOn w:val="1"/>
    <w:next w:val="42"/>
    <w:qFormat/>
    <w:uiPriority w:val="0"/>
    <w:pPr>
      <w:adjustRightInd w:val="0"/>
      <w:spacing w:line="312" w:lineRule="atLeast"/>
      <w:jc w:val="left"/>
      <w:textAlignment w:val="baseline"/>
    </w:pPr>
    <w:rPr>
      <w:rFonts w:ascii="Calibri" w:hAnsi="Calibri"/>
      <w:kern w:val="0"/>
      <w:sz w:val="18"/>
      <w:szCs w:val="20"/>
    </w:rPr>
  </w:style>
  <w:style w:type="paragraph" w:customStyle="1" w:styleId="901">
    <w:name w:val="正文首行缩进1"/>
    <w:basedOn w:val="1"/>
    <w:next w:val="54"/>
    <w:qFormat/>
    <w:uiPriority w:val="0"/>
    <w:pPr>
      <w:spacing w:line="312" w:lineRule="auto"/>
      <w:ind w:firstLine="420"/>
    </w:pPr>
    <w:rPr>
      <w:rFonts w:ascii="仿宋_GB2312" w:hAnsi="宋体" w:eastAsia="仿宋_GB2312" w:cs="宋体"/>
      <w:spacing w:val="-20"/>
      <w:lang w:val="zh-CN" w:bidi="zh-CN"/>
    </w:rPr>
  </w:style>
  <w:style w:type="paragraph" w:customStyle="1" w:styleId="902">
    <w:name w:val="修订5"/>
    <w:hidden/>
    <w:unhideWhenUsed/>
    <w:qFormat/>
    <w:uiPriority w:val="99"/>
    <w:rPr>
      <w:rFonts w:ascii="Times New Roman" w:hAnsi="Times New Roman" w:eastAsia="宋体" w:cs="Times New Roman"/>
      <w:kern w:val="2"/>
      <w:sz w:val="21"/>
      <w:szCs w:val="24"/>
      <w:lang w:val="en-US" w:eastAsia="zh-CN" w:bidi="ar-SA"/>
    </w:rPr>
  </w:style>
  <w:style w:type="paragraph" w:customStyle="1" w:styleId="903">
    <w:name w:val="TOC 标题3"/>
    <w:basedOn w:val="2"/>
    <w:next w:val="1"/>
    <w:unhideWhenUsed/>
    <w:qFormat/>
    <w:uiPriority w:val="39"/>
    <w:pPr>
      <w:outlineLvl w:val="9"/>
    </w:pPr>
  </w:style>
  <w:style w:type="paragraph" w:customStyle="1" w:styleId="904">
    <w:name w:val="TOC 标题4"/>
    <w:basedOn w:val="2"/>
    <w:next w:val="1"/>
    <w:unhideWhenUsed/>
    <w:qFormat/>
    <w:uiPriority w:val="39"/>
    <w:pPr>
      <w:outlineLvl w:val="9"/>
    </w:pPr>
  </w:style>
  <w:style w:type="paragraph" w:customStyle="1" w:styleId="905">
    <w:name w:val="修订6"/>
    <w:hidden/>
    <w:semiHidden/>
    <w:qFormat/>
    <w:uiPriority w:val="99"/>
    <w:rPr>
      <w:rFonts w:ascii="Calibri" w:hAnsi="Calibri" w:eastAsia="宋体" w:cs="Times New Roman"/>
      <w:kern w:val="2"/>
      <w:sz w:val="21"/>
      <w:szCs w:val="22"/>
      <w:lang w:val="en-US" w:eastAsia="zh-CN" w:bidi="ar-SA"/>
    </w:rPr>
  </w:style>
  <w:style w:type="paragraph" w:customStyle="1" w:styleId="906">
    <w:name w:val="z-窗体顶端3"/>
    <w:basedOn w:val="1"/>
    <w:next w:val="1"/>
    <w:link w:val="907"/>
    <w:qFormat/>
    <w:uiPriority w:val="99"/>
    <w:pPr>
      <w:pBdr>
        <w:bottom w:val="single" w:color="auto" w:sz="6" w:space="1"/>
      </w:pBdr>
      <w:jc w:val="center"/>
    </w:pPr>
    <w:rPr>
      <w:rFonts w:ascii="Arial" w:hAnsi="Arial" w:cs="Arial"/>
      <w:vanish/>
      <w:sz w:val="16"/>
      <w:szCs w:val="16"/>
    </w:rPr>
  </w:style>
  <w:style w:type="character" w:customStyle="1" w:styleId="907">
    <w:name w:val="z-窗体顶端 Char4"/>
    <w:basedOn w:val="58"/>
    <w:link w:val="906"/>
    <w:qFormat/>
    <w:uiPriority w:val="99"/>
    <w:rPr>
      <w:rFonts w:ascii="Arial" w:hAnsi="Arial" w:cs="Arial"/>
      <w:vanish/>
      <w:kern w:val="2"/>
      <w:sz w:val="16"/>
      <w:szCs w:val="16"/>
    </w:rPr>
  </w:style>
  <w:style w:type="paragraph" w:customStyle="1" w:styleId="908">
    <w:name w:val="z-窗体底端3"/>
    <w:basedOn w:val="1"/>
    <w:next w:val="1"/>
    <w:link w:val="909"/>
    <w:qFormat/>
    <w:uiPriority w:val="99"/>
    <w:pPr>
      <w:pBdr>
        <w:top w:val="single" w:color="auto" w:sz="6" w:space="1"/>
      </w:pBdr>
      <w:jc w:val="center"/>
    </w:pPr>
    <w:rPr>
      <w:rFonts w:ascii="Arial" w:hAnsi="Arial" w:cs="Arial"/>
      <w:vanish/>
      <w:sz w:val="16"/>
      <w:szCs w:val="16"/>
    </w:rPr>
  </w:style>
  <w:style w:type="character" w:customStyle="1" w:styleId="909">
    <w:name w:val="z-窗体底端 Char4"/>
    <w:basedOn w:val="58"/>
    <w:link w:val="908"/>
    <w:qFormat/>
    <w:uiPriority w:val="99"/>
    <w:rPr>
      <w:rFonts w:ascii="Arial" w:hAnsi="Arial" w:cs="Arial"/>
      <w:vanish/>
      <w:kern w:val="2"/>
      <w:sz w:val="16"/>
      <w:szCs w:val="16"/>
    </w:rPr>
  </w:style>
  <w:style w:type="character" w:customStyle="1" w:styleId="910">
    <w:name w:val="明显强调3"/>
    <w:qFormat/>
    <w:uiPriority w:val="99"/>
    <w:rPr>
      <w:rFonts w:cs="Times New Roman"/>
      <w:b/>
      <w:i/>
      <w:sz w:val="24"/>
      <w:szCs w:val="24"/>
      <w:u w:val="single"/>
    </w:rPr>
  </w:style>
  <w:style w:type="character" w:customStyle="1" w:styleId="911">
    <w:name w:val="不明显参考3"/>
    <w:qFormat/>
    <w:uiPriority w:val="99"/>
    <w:rPr>
      <w:rFonts w:cs="Times New Roman"/>
      <w:sz w:val="24"/>
      <w:szCs w:val="24"/>
      <w:u w:val="single"/>
    </w:rPr>
  </w:style>
  <w:style w:type="character" w:customStyle="1" w:styleId="912">
    <w:name w:val="不明显强调3"/>
    <w:qFormat/>
    <w:uiPriority w:val="99"/>
    <w:rPr>
      <w:rFonts w:cs="Times New Roman"/>
      <w:i/>
      <w:color w:val="5A5A5A"/>
    </w:rPr>
  </w:style>
  <w:style w:type="character" w:customStyle="1" w:styleId="913">
    <w:name w:val="明显参考3"/>
    <w:qFormat/>
    <w:uiPriority w:val="99"/>
    <w:rPr>
      <w:rFonts w:cs="Times New Roman"/>
      <w:b/>
      <w:sz w:val="24"/>
      <w:u w:val="single"/>
    </w:rPr>
  </w:style>
  <w:style w:type="character" w:customStyle="1" w:styleId="914">
    <w:name w:val="书籍标题3"/>
    <w:qFormat/>
    <w:uiPriority w:val="99"/>
    <w:rPr>
      <w:rFonts w:ascii="Cambria" w:hAnsi="Cambria" w:eastAsia="宋体" w:cs="Times New Roman"/>
      <w:b/>
      <w:i/>
      <w:sz w:val="24"/>
      <w:szCs w:val="24"/>
    </w:rPr>
  </w:style>
  <w:style w:type="paragraph" w:customStyle="1" w:styleId="915">
    <w:name w:val="TOC 标题5"/>
    <w:basedOn w:val="2"/>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916">
    <w:name w:val="正文缩进3"/>
    <w:basedOn w:val="1"/>
    <w:qFormat/>
    <w:uiPriority w:val="0"/>
    <w:pPr>
      <w:widowControl/>
      <w:ind w:firstLine="420"/>
      <w:jc w:val="left"/>
    </w:pPr>
    <w:rPr>
      <w:kern w:val="0"/>
      <w:sz w:val="20"/>
      <w:szCs w:val="20"/>
    </w:rPr>
  </w:style>
  <w:style w:type="paragraph" w:customStyle="1" w:styleId="917">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918">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919">
    <w:name w:val="一、"/>
    <w:qFormat/>
    <w:uiPriority w:val="0"/>
    <w:pPr>
      <w:widowControl w:val="0"/>
      <w:adjustRightInd w:val="0"/>
      <w:snapToGrid w:val="0"/>
      <w:spacing w:beforeLines="50" w:line="380" w:lineRule="exact"/>
      <w:ind w:left="499"/>
      <w:jc w:val="both"/>
      <w:outlineLvl w:val="2"/>
    </w:pPr>
    <w:rPr>
      <w:rFonts w:ascii="仿宋_GB2312" w:hAnsi="宋体" w:eastAsia="仿宋_GB2312" w:cs="Times New Roman"/>
      <w:b/>
      <w:color w:val="000000"/>
      <w:sz w:val="30"/>
      <w:szCs w:val="30"/>
      <w:lang w:val="en-US" w:eastAsia="zh-CN" w:bidi="ar-SA"/>
    </w:rPr>
  </w:style>
  <w:style w:type="character" w:customStyle="1" w:styleId="920">
    <w:name w:val="style2"/>
    <w:basedOn w:val="58"/>
    <w:qFormat/>
    <w:uiPriority w:val="0"/>
  </w:style>
  <w:style w:type="paragraph" w:customStyle="1" w:styleId="921">
    <w:name w:val="章"/>
    <w:qFormat/>
    <w:uiPriority w:val="0"/>
    <w:pPr>
      <w:tabs>
        <w:tab w:val="left" w:pos="1720"/>
      </w:tabs>
      <w:adjustRightInd w:val="0"/>
      <w:snapToGrid w:val="0"/>
      <w:spacing w:before="360" w:after="360" w:line="380" w:lineRule="exact"/>
      <w:ind w:left="1718" w:hanging="1020"/>
      <w:jc w:val="center"/>
      <w:outlineLvl w:val="0"/>
    </w:pPr>
    <w:rPr>
      <w:rFonts w:ascii="仿宋_GB2312" w:hAnsi="Times New Roman" w:eastAsia="仿宋_GB2312" w:cs="Times New Roman"/>
      <w:b/>
      <w:color w:val="000000"/>
      <w:sz w:val="28"/>
      <w:lang w:val="el-GR" w:eastAsia="zh-CN" w:bidi="ar-SA"/>
    </w:rPr>
  </w:style>
  <w:style w:type="paragraph" w:customStyle="1" w:styleId="922">
    <w:name w:val="1."/>
    <w:basedOn w:val="919"/>
    <w:qFormat/>
    <w:uiPriority w:val="0"/>
    <w:pPr>
      <w:tabs>
        <w:tab w:val="left" w:pos="878"/>
      </w:tabs>
      <w:spacing w:before="156" w:afterLines="50"/>
      <w:ind w:left="34" w:hanging="420"/>
      <w:outlineLvl w:val="3"/>
    </w:pPr>
    <w:rPr>
      <w:rFonts w:ascii="Footlight MT Light" w:hAnsi="Footlight MT Light"/>
      <w:b w:val="0"/>
      <w:bCs/>
    </w:rPr>
  </w:style>
  <w:style w:type="table" w:customStyle="1" w:styleId="923">
    <w:name w:val="网格型5"/>
    <w:basedOn w:val="56"/>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4">
    <w:name w:val="Table Normal"/>
    <w:semiHidden/>
    <w:unhideWhenUsed/>
    <w:qFormat/>
    <w:uiPriority w:val="0"/>
    <w:rPr>
      <w:rFonts w:ascii="Arial" w:hAnsi="Arial" w:cs="Arial" w:eastAsiaTheme="minorEastAsia"/>
      <w:snapToGrid w:val="0"/>
      <w:color w:val="000000"/>
      <w:szCs w:val="21"/>
      <w:lang w:eastAsia="en-US"/>
    </w:rPr>
    <w:tblPr>
      <w:tblCellMar>
        <w:top w:w="0" w:type="dxa"/>
        <w:left w:w="0" w:type="dxa"/>
        <w:bottom w:w="0" w:type="dxa"/>
        <w:right w:w="0" w:type="dxa"/>
      </w:tblCellMar>
    </w:tblPr>
  </w:style>
  <w:style w:type="character" w:customStyle="1" w:styleId="925">
    <w:name w:val="结束语 Char"/>
    <w:basedOn w:val="58"/>
    <w:link w:val="20"/>
    <w:qFormat/>
    <w:uiPriority w:val="99"/>
    <w:rPr>
      <w:rFonts w:asciiTheme="minorHAnsi" w:hAnsiTheme="minorHAnsi" w:eastAsiaTheme="minorEastAsia" w:cstheme="minorBidi"/>
      <w:b/>
      <w:kern w:val="2"/>
      <w:sz w:val="28"/>
      <w:szCs w:val="28"/>
    </w:rPr>
  </w:style>
  <w:style w:type="paragraph" w:customStyle="1" w:styleId="926">
    <w:name w:val="标题 11"/>
    <w:basedOn w:val="1"/>
    <w:qFormat/>
    <w:uiPriority w:val="1"/>
    <w:pPr>
      <w:autoSpaceDE w:val="0"/>
      <w:autoSpaceDN w:val="0"/>
      <w:ind w:left="1269" w:right="1633" w:hanging="1760"/>
      <w:jc w:val="left"/>
      <w:outlineLvl w:val="1"/>
    </w:pPr>
    <w:rPr>
      <w:rFonts w:ascii="宋体" w:hAnsi="宋体" w:cs="宋体"/>
      <w:kern w:val="0"/>
      <w:sz w:val="43"/>
      <w:szCs w:val="43"/>
      <w:lang w:eastAsia="en-US"/>
    </w:rPr>
  </w:style>
  <w:style w:type="paragraph" w:customStyle="1" w:styleId="927">
    <w:name w:val="表格字体"/>
    <w:basedOn w:val="1"/>
    <w:next w:val="1"/>
    <w:qFormat/>
    <w:uiPriority w:val="0"/>
    <w:pPr>
      <w:widowControl/>
    </w:pPr>
    <w:rPr>
      <w:rFonts w:asciiTheme="minorHAnsi" w:hAnsiTheme="minorHAnsi" w:eastAsiaTheme="minorEastAsia" w:cstheme="minorBidi"/>
      <w:sz w:val="24"/>
      <w:szCs w:val="22"/>
    </w:rPr>
  </w:style>
  <w:style w:type="paragraph" w:customStyle="1" w:styleId="928">
    <w:name w:val="潘工3"/>
    <w:basedOn w:val="1"/>
    <w:qFormat/>
    <w:uiPriority w:val="0"/>
    <w:pPr>
      <w:spacing w:line="400" w:lineRule="exact"/>
      <w:ind w:left="-426" w:leftChars="-203"/>
      <w:jc w:val="center"/>
      <w:outlineLvl w:val="2"/>
    </w:pPr>
    <w:rPr>
      <w:rFonts w:ascii="仿宋_GB2312" w:hAnsi="宋体" w:eastAsia="仿宋_GB2312"/>
      <w:kern w:val="0"/>
      <w:sz w:val="32"/>
      <w:szCs w:val="32"/>
      <w:lang w:val="zh-CN"/>
    </w:rPr>
  </w:style>
  <w:style w:type="character" w:customStyle="1" w:styleId="929">
    <w:name w:val="font81"/>
    <w:basedOn w:val="58"/>
    <w:qFormat/>
    <w:uiPriority w:val="0"/>
    <w:rPr>
      <w:rFonts w:hint="eastAsia" w:ascii="宋体" w:hAnsi="宋体" w:eastAsia="宋体" w:cs="宋体"/>
      <w:color w:val="0066CC"/>
      <w:sz w:val="20"/>
      <w:szCs w:val="20"/>
      <w:u w:val="none"/>
    </w:rPr>
  </w:style>
  <w:style w:type="character" w:customStyle="1" w:styleId="930">
    <w:name w:val="Message Header Label"/>
    <w:qFormat/>
    <w:uiPriority w:val="0"/>
    <w:rPr>
      <w:rFonts w:ascii="Arial Black" w:hAnsi="Arial Black"/>
      <w:sz w:val="18"/>
    </w:rPr>
  </w:style>
  <w:style w:type="paragraph" w:customStyle="1" w:styleId="931">
    <w:name w:val="Table Text"/>
    <w:basedOn w:val="1"/>
    <w:semiHidden/>
    <w:qFormat/>
    <w:uiPriority w:val="0"/>
    <w:rPr>
      <w:rFonts w:ascii="宋体" w:hAnsi="宋体" w:eastAsia="宋体" w:cs="宋体"/>
      <w:sz w:val="20"/>
      <w:szCs w:val="20"/>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69.jpeg"/><Relationship Id="rId98" Type="http://schemas.openxmlformats.org/officeDocument/2006/relationships/image" Target="media/image68.jpeg"/><Relationship Id="rId97" Type="http://schemas.openxmlformats.org/officeDocument/2006/relationships/image" Target="media/image67.jpeg"/><Relationship Id="rId96" Type="http://schemas.openxmlformats.org/officeDocument/2006/relationships/image" Target="media/image66.jpeg"/><Relationship Id="rId95" Type="http://schemas.openxmlformats.org/officeDocument/2006/relationships/image" Target="media/image65.jpeg"/><Relationship Id="rId94" Type="http://schemas.openxmlformats.org/officeDocument/2006/relationships/image" Target="media/image64.jpeg"/><Relationship Id="rId93" Type="http://schemas.openxmlformats.org/officeDocument/2006/relationships/image" Target="media/image63.jpeg"/><Relationship Id="rId92" Type="http://schemas.openxmlformats.org/officeDocument/2006/relationships/image" Target="media/image62.jpeg"/><Relationship Id="rId91" Type="http://schemas.openxmlformats.org/officeDocument/2006/relationships/image" Target="media/image61.jpeg"/><Relationship Id="rId90" Type="http://schemas.openxmlformats.org/officeDocument/2006/relationships/image" Target="media/image60.jpeg"/><Relationship Id="rId9" Type="http://schemas.openxmlformats.org/officeDocument/2006/relationships/header" Target="header4.xml"/><Relationship Id="rId89" Type="http://schemas.openxmlformats.org/officeDocument/2006/relationships/image" Target="media/image59.jpeg"/><Relationship Id="rId88" Type="http://schemas.openxmlformats.org/officeDocument/2006/relationships/image" Target="media/image58.jpeg"/><Relationship Id="rId87" Type="http://schemas.openxmlformats.org/officeDocument/2006/relationships/image" Target="media/image57.jpeg"/><Relationship Id="rId86" Type="http://schemas.openxmlformats.org/officeDocument/2006/relationships/image" Target="media/image56.jpeg"/><Relationship Id="rId85" Type="http://schemas.openxmlformats.org/officeDocument/2006/relationships/image" Target="media/image55.jpeg"/><Relationship Id="rId84" Type="http://schemas.openxmlformats.org/officeDocument/2006/relationships/image" Target="media/image54.jpeg"/><Relationship Id="rId83" Type="http://schemas.openxmlformats.org/officeDocument/2006/relationships/image" Target="media/image53.png"/><Relationship Id="rId82" Type="http://schemas.openxmlformats.org/officeDocument/2006/relationships/image" Target="media/image52.jpeg"/><Relationship Id="rId81" Type="http://schemas.openxmlformats.org/officeDocument/2006/relationships/image" Target="media/image51.png"/><Relationship Id="rId80" Type="http://schemas.openxmlformats.org/officeDocument/2006/relationships/image" Target="media/image50.jpeg"/><Relationship Id="rId8" Type="http://schemas.openxmlformats.org/officeDocument/2006/relationships/footer" Target="footer3.xml"/><Relationship Id="rId79" Type="http://schemas.openxmlformats.org/officeDocument/2006/relationships/image" Target="media/image49.jpeg"/><Relationship Id="rId78" Type="http://schemas.openxmlformats.org/officeDocument/2006/relationships/image" Target="media/image48.png"/><Relationship Id="rId77" Type="http://schemas.openxmlformats.org/officeDocument/2006/relationships/image" Target="media/image47.png"/><Relationship Id="rId76" Type="http://schemas.openxmlformats.org/officeDocument/2006/relationships/image" Target="media/image46.png"/><Relationship Id="rId75" Type="http://schemas.openxmlformats.org/officeDocument/2006/relationships/image" Target="media/image45.png"/><Relationship Id="rId74" Type="http://schemas.openxmlformats.org/officeDocument/2006/relationships/image" Target="media/image44.png"/><Relationship Id="rId73" Type="http://schemas.openxmlformats.org/officeDocument/2006/relationships/image" Target="media/image43.png"/><Relationship Id="rId72" Type="http://schemas.openxmlformats.org/officeDocument/2006/relationships/image" Target="media/image42.jpeg"/><Relationship Id="rId71" Type="http://schemas.openxmlformats.org/officeDocument/2006/relationships/image" Target="media/image41.jpeg"/><Relationship Id="rId70" Type="http://schemas.openxmlformats.org/officeDocument/2006/relationships/image" Target="media/image40.png"/><Relationship Id="rId7" Type="http://schemas.openxmlformats.org/officeDocument/2006/relationships/header" Target="header3.xml"/><Relationship Id="rId69" Type="http://schemas.openxmlformats.org/officeDocument/2006/relationships/image" Target="media/image39.png"/><Relationship Id="rId68" Type="http://schemas.openxmlformats.org/officeDocument/2006/relationships/image" Target="media/image38.jpeg"/><Relationship Id="rId67" Type="http://schemas.openxmlformats.org/officeDocument/2006/relationships/image" Target="media/image37.png"/><Relationship Id="rId66" Type="http://schemas.openxmlformats.org/officeDocument/2006/relationships/image" Target="media/image36.png"/><Relationship Id="rId65" Type="http://schemas.openxmlformats.org/officeDocument/2006/relationships/image" Target="media/image35.png"/><Relationship Id="rId64" Type="http://schemas.openxmlformats.org/officeDocument/2006/relationships/image" Target="media/image34.png"/><Relationship Id="rId63" Type="http://schemas.openxmlformats.org/officeDocument/2006/relationships/image" Target="media/image33.png"/><Relationship Id="rId62" Type="http://schemas.openxmlformats.org/officeDocument/2006/relationships/image" Target="media/image32.png"/><Relationship Id="rId61" Type="http://schemas.openxmlformats.org/officeDocument/2006/relationships/image" Target="media/image31.png"/><Relationship Id="rId60" Type="http://schemas.openxmlformats.org/officeDocument/2006/relationships/image" Target="media/image30.png"/><Relationship Id="rId6" Type="http://schemas.openxmlformats.org/officeDocument/2006/relationships/footer" Target="footer2.xml"/><Relationship Id="rId59" Type="http://schemas.openxmlformats.org/officeDocument/2006/relationships/image" Target="media/image29.png"/><Relationship Id="rId58" Type="http://schemas.openxmlformats.org/officeDocument/2006/relationships/image" Target="media/image28.png"/><Relationship Id="rId57" Type="http://schemas.openxmlformats.org/officeDocument/2006/relationships/image" Target="http://www.qyjzjc.cn/UploadFiles/20127911410944.jpg" TargetMode="External"/><Relationship Id="rId56" Type="http://schemas.openxmlformats.org/officeDocument/2006/relationships/image" Target="media/image27.jpeg"/><Relationship Id="rId55" Type="http://schemas.openxmlformats.org/officeDocument/2006/relationships/image" Target="media/image26.png"/><Relationship Id="rId54" Type="http://schemas.openxmlformats.org/officeDocument/2006/relationships/image" Target="media/image25.wmf"/><Relationship Id="rId53" Type="http://schemas.openxmlformats.org/officeDocument/2006/relationships/image" Target="media/image24.wmf"/><Relationship Id="rId52" Type="http://schemas.openxmlformats.org/officeDocument/2006/relationships/image" Target="media/image23.wmf"/><Relationship Id="rId51" Type="http://schemas.openxmlformats.org/officeDocument/2006/relationships/image" Target="media/image22.wmf"/><Relationship Id="rId50" Type="http://schemas.openxmlformats.org/officeDocument/2006/relationships/image" Target="media/image21.wmf"/><Relationship Id="rId5" Type="http://schemas.openxmlformats.org/officeDocument/2006/relationships/header" Target="header2.xml"/><Relationship Id="rId49" Type="http://schemas.openxmlformats.org/officeDocument/2006/relationships/image" Target="media/image20.jpeg"/><Relationship Id="rId48" Type="http://schemas.openxmlformats.org/officeDocument/2006/relationships/image" Target="media/image19.jpeg"/><Relationship Id="rId47" Type="http://schemas.openxmlformats.org/officeDocument/2006/relationships/image" Target="media/image18.wmf"/><Relationship Id="rId46" Type="http://schemas.openxmlformats.org/officeDocument/2006/relationships/image" Target="media/image17.wmf"/><Relationship Id="rId45" Type="http://schemas.openxmlformats.org/officeDocument/2006/relationships/image" Target="media/image16.wmf"/><Relationship Id="rId44" Type="http://schemas.openxmlformats.org/officeDocument/2006/relationships/image" Target="media/image15.png"/><Relationship Id="rId43" Type="http://schemas.openxmlformats.org/officeDocument/2006/relationships/image" Target="media/image14.png"/><Relationship Id="rId42" Type="http://schemas.openxmlformats.org/officeDocument/2006/relationships/image" Target="media/image13.png"/><Relationship Id="rId41" Type="http://schemas.openxmlformats.org/officeDocument/2006/relationships/image" Target="media/image12.png"/><Relationship Id="rId40" Type="http://schemas.openxmlformats.org/officeDocument/2006/relationships/image" Target="media/image11.png"/><Relationship Id="rId4" Type="http://schemas.openxmlformats.org/officeDocument/2006/relationships/footer" Target="footer1.xml"/><Relationship Id="rId39" Type="http://schemas.openxmlformats.org/officeDocument/2006/relationships/image" Target="media/image10.png"/><Relationship Id="rId38" Type="http://schemas.openxmlformats.org/officeDocument/2006/relationships/image" Target="media/image9.png"/><Relationship Id="rId37" Type="http://schemas.openxmlformats.org/officeDocument/2006/relationships/image" Target="media/image8.png"/><Relationship Id="rId36" Type="http://schemas.openxmlformats.org/officeDocument/2006/relationships/image" Target="media/image7.png"/><Relationship Id="rId35" Type="http://schemas.openxmlformats.org/officeDocument/2006/relationships/oleObject" Target="embeddings/oleObject2.bin"/><Relationship Id="rId34" Type="http://schemas.openxmlformats.org/officeDocument/2006/relationships/image" Target="media/image6.png"/><Relationship Id="rId33" Type="http://schemas.openxmlformats.org/officeDocument/2006/relationships/oleObject" Target="embeddings/oleObject1.bin"/><Relationship Id="rId32" Type="http://schemas.openxmlformats.org/officeDocument/2006/relationships/image" Target="media/image5.png"/><Relationship Id="rId31" Type="http://schemas.openxmlformats.org/officeDocument/2006/relationships/image" Target="media/image4.png"/><Relationship Id="rId309" Type="http://schemas.openxmlformats.org/officeDocument/2006/relationships/fontTable" Target="fontTable.xml"/><Relationship Id="rId308" Type="http://schemas.openxmlformats.org/officeDocument/2006/relationships/numbering" Target="numbering.xml"/><Relationship Id="rId307" Type="http://schemas.openxmlformats.org/officeDocument/2006/relationships/customXml" Target="../customXml/item1.xml"/><Relationship Id="rId306" Type="http://schemas.openxmlformats.org/officeDocument/2006/relationships/image" Target="media/image276.jpeg"/><Relationship Id="rId305" Type="http://schemas.openxmlformats.org/officeDocument/2006/relationships/image" Target="media/image275.jpeg"/><Relationship Id="rId304" Type="http://schemas.openxmlformats.org/officeDocument/2006/relationships/image" Target="media/image274.jpeg"/><Relationship Id="rId303" Type="http://schemas.openxmlformats.org/officeDocument/2006/relationships/image" Target="media/image273.png"/><Relationship Id="rId302" Type="http://schemas.openxmlformats.org/officeDocument/2006/relationships/image" Target="media/image272.jpeg"/><Relationship Id="rId301" Type="http://schemas.openxmlformats.org/officeDocument/2006/relationships/image" Target="media/image271.jpeg"/><Relationship Id="rId300" Type="http://schemas.openxmlformats.org/officeDocument/2006/relationships/image" Target="media/image270.jpeg"/><Relationship Id="rId30" Type="http://schemas.openxmlformats.org/officeDocument/2006/relationships/image" Target="media/image3.png"/><Relationship Id="rId3" Type="http://schemas.openxmlformats.org/officeDocument/2006/relationships/header" Target="header1.xml"/><Relationship Id="rId299" Type="http://schemas.openxmlformats.org/officeDocument/2006/relationships/image" Target="media/image269.jpeg"/><Relationship Id="rId298" Type="http://schemas.openxmlformats.org/officeDocument/2006/relationships/image" Target="media/image268.jpeg"/><Relationship Id="rId297" Type="http://schemas.openxmlformats.org/officeDocument/2006/relationships/image" Target="media/image267.png"/><Relationship Id="rId296" Type="http://schemas.openxmlformats.org/officeDocument/2006/relationships/image" Target="media/image266.jpeg"/><Relationship Id="rId295" Type="http://schemas.openxmlformats.org/officeDocument/2006/relationships/image" Target="media/image265.png"/><Relationship Id="rId294" Type="http://schemas.openxmlformats.org/officeDocument/2006/relationships/image" Target="media/image264.png"/><Relationship Id="rId293" Type="http://schemas.openxmlformats.org/officeDocument/2006/relationships/image" Target="media/image263.jpeg"/><Relationship Id="rId292" Type="http://schemas.openxmlformats.org/officeDocument/2006/relationships/image" Target="media/image262.jpeg"/><Relationship Id="rId291" Type="http://schemas.openxmlformats.org/officeDocument/2006/relationships/image" Target="media/image261.jpeg"/><Relationship Id="rId290" Type="http://schemas.openxmlformats.org/officeDocument/2006/relationships/image" Target="media/image260.jpeg"/><Relationship Id="rId29" Type="http://schemas.openxmlformats.org/officeDocument/2006/relationships/image" Target="media/image2.png"/><Relationship Id="rId289" Type="http://schemas.openxmlformats.org/officeDocument/2006/relationships/image" Target="media/image259.jpeg"/><Relationship Id="rId288" Type="http://schemas.openxmlformats.org/officeDocument/2006/relationships/image" Target="media/image258.jpeg"/><Relationship Id="rId287" Type="http://schemas.openxmlformats.org/officeDocument/2006/relationships/image" Target="media/image257.jpeg"/><Relationship Id="rId286" Type="http://schemas.openxmlformats.org/officeDocument/2006/relationships/image" Target="media/image256.jpeg"/><Relationship Id="rId285" Type="http://schemas.openxmlformats.org/officeDocument/2006/relationships/image" Target="media/image255.jpeg"/><Relationship Id="rId284" Type="http://schemas.openxmlformats.org/officeDocument/2006/relationships/image" Target="media/image254.jpeg"/><Relationship Id="rId283" Type="http://schemas.openxmlformats.org/officeDocument/2006/relationships/image" Target="media/image253.jpeg"/><Relationship Id="rId282" Type="http://schemas.openxmlformats.org/officeDocument/2006/relationships/image" Target="media/image252.jpeg"/><Relationship Id="rId281" Type="http://schemas.openxmlformats.org/officeDocument/2006/relationships/image" Target="media/image251.png"/><Relationship Id="rId280" Type="http://schemas.openxmlformats.org/officeDocument/2006/relationships/image" Target="media/image250.jpeg"/><Relationship Id="rId28" Type="http://schemas.openxmlformats.org/officeDocument/2006/relationships/image" Target="media/image1.png"/><Relationship Id="rId279" Type="http://schemas.openxmlformats.org/officeDocument/2006/relationships/image" Target="media/image249.png"/><Relationship Id="rId278" Type="http://schemas.openxmlformats.org/officeDocument/2006/relationships/image" Target="media/image248.jpeg"/><Relationship Id="rId277" Type="http://schemas.openxmlformats.org/officeDocument/2006/relationships/image" Target="media/image247.jpeg"/><Relationship Id="rId276" Type="http://schemas.openxmlformats.org/officeDocument/2006/relationships/image" Target="media/image246.png"/><Relationship Id="rId275" Type="http://schemas.openxmlformats.org/officeDocument/2006/relationships/image" Target="media/image245.png"/><Relationship Id="rId274" Type="http://schemas.openxmlformats.org/officeDocument/2006/relationships/image" Target="media/image244.jpeg"/><Relationship Id="rId273" Type="http://schemas.openxmlformats.org/officeDocument/2006/relationships/image" Target="media/image243.png"/><Relationship Id="rId272" Type="http://schemas.openxmlformats.org/officeDocument/2006/relationships/image" Target="media/image242.png"/><Relationship Id="rId271" Type="http://schemas.openxmlformats.org/officeDocument/2006/relationships/image" Target="media/image241.png"/><Relationship Id="rId270" Type="http://schemas.openxmlformats.org/officeDocument/2006/relationships/image" Target="media/image240.png"/><Relationship Id="rId27" Type="http://schemas.openxmlformats.org/officeDocument/2006/relationships/theme" Target="theme/theme1.xml"/><Relationship Id="rId269" Type="http://schemas.openxmlformats.org/officeDocument/2006/relationships/image" Target="media/image239.jpeg"/><Relationship Id="rId268" Type="http://schemas.openxmlformats.org/officeDocument/2006/relationships/image" Target="media/image238.jpeg"/><Relationship Id="rId267" Type="http://schemas.openxmlformats.org/officeDocument/2006/relationships/image" Target="media/image237.jpeg"/><Relationship Id="rId266" Type="http://schemas.openxmlformats.org/officeDocument/2006/relationships/image" Target="media/image236.jpeg"/><Relationship Id="rId265" Type="http://schemas.openxmlformats.org/officeDocument/2006/relationships/image" Target="media/image235.png"/><Relationship Id="rId264" Type="http://schemas.openxmlformats.org/officeDocument/2006/relationships/image" Target="media/image234.png"/><Relationship Id="rId263" Type="http://schemas.openxmlformats.org/officeDocument/2006/relationships/image" Target="media/image233.png"/><Relationship Id="rId262" Type="http://schemas.openxmlformats.org/officeDocument/2006/relationships/image" Target="media/image232.png"/><Relationship Id="rId261" Type="http://schemas.openxmlformats.org/officeDocument/2006/relationships/image" Target="media/image231.png"/><Relationship Id="rId260" Type="http://schemas.openxmlformats.org/officeDocument/2006/relationships/image" Target="media/image230.png"/><Relationship Id="rId26" Type="http://schemas.openxmlformats.org/officeDocument/2006/relationships/footer" Target="footer16.xml"/><Relationship Id="rId259" Type="http://schemas.openxmlformats.org/officeDocument/2006/relationships/image" Target="media/image229.png"/><Relationship Id="rId258" Type="http://schemas.openxmlformats.org/officeDocument/2006/relationships/image" Target="media/image228.png"/><Relationship Id="rId257" Type="http://schemas.openxmlformats.org/officeDocument/2006/relationships/image" Target="media/image227.png"/><Relationship Id="rId256" Type="http://schemas.openxmlformats.org/officeDocument/2006/relationships/image" Target="media/image226.png"/><Relationship Id="rId255" Type="http://schemas.openxmlformats.org/officeDocument/2006/relationships/image" Target="media/image225.png"/><Relationship Id="rId254" Type="http://schemas.openxmlformats.org/officeDocument/2006/relationships/image" Target="media/image224.png"/><Relationship Id="rId253" Type="http://schemas.openxmlformats.org/officeDocument/2006/relationships/image" Target="media/image223.png"/><Relationship Id="rId252" Type="http://schemas.openxmlformats.org/officeDocument/2006/relationships/image" Target="media/image222.png"/><Relationship Id="rId251" Type="http://schemas.openxmlformats.org/officeDocument/2006/relationships/image" Target="media/image221.png"/><Relationship Id="rId250" Type="http://schemas.openxmlformats.org/officeDocument/2006/relationships/image" Target="media/image220.png"/><Relationship Id="rId25" Type="http://schemas.openxmlformats.org/officeDocument/2006/relationships/footer" Target="footer15.xml"/><Relationship Id="rId249" Type="http://schemas.openxmlformats.org/officeDocument/2006/relationships/image" Target="media/image219.png"/><Relationship Id="rId248" Type="http://schemas.openxmlformats.org/officeDocument/2006/relationships/image" Target="media/image218.png"/><Relationship Id="rId247" Type="http://schemas.openxmlformats.org/officeDocument/2006/relationships/image" Target="media/image217.png"/><Relationship Id="rId246" Type="http://schemas.openxmlformats.org/officeDocument/2006/relationships/image" Target="media/image216.png"/><Relationship Id="rId245" Type="http://schemas.openxmlformats.org/officeDocument/2006/relationships/image" Target="media/image215.png"/><Relationship Id="rId244" Type="http://schemas.openxmlformats.org/officeDocument/2006/relationships/image" Target="media/image214.png"/><Relationship Id="rId243" Type="http://schemas.openxmlformats.org/officeDocument/2006/relationships/image" Target="media/image213.png"/><Relationship Id="rId242" Type="http://schemas.openxmlformats.org/officeDocument/2006/relationships/image" Target="media/image212.png"/><Relationship Id="rId241" Type="http://schemas.openxmlformats.org/officeDocument/2006/relationships/image" Target="media/image211.png"/><Relationship Id="rId240" Type="http://schemas.openxmlformats.org/officeDocument/2006/relationships/image" Target="media/image210.png"/><Relationship Id="rId24" Type="http://schemas.openxmlformats.org/officeDocument/2006/relationships/footer" Target="footer14.xml"/><Relationship Id="rId239" Type="http://schemas.openxmlformats.org/officeDocument/2006/relationships/image" Target="media/image209.png"/><Relationship Id="rId238" Type="http://schemas.openxmlformats.org/officeDocument/2006/relationships/image" Target="media/image208.png"/><Relationship Id="rId237" Type="http://schemas.openxmlformats.org/officeDocument/2006/relationships/image" Target="media/image207.png"/><Relationship Id="rId236" Type="http://schemas.openxmlformats.org/officeDocument/2006/relationships/image" Target="media/image206.png"/><Relationship Id="rId235" Type="http://schemas.openxmlformats.org/officeDocument/2006/relationships/image" Target="media/image205.png"/><Relationship Id="rId234" Type="http://schemas.openxmlformats.org/officeDocument/2006/relationships/image" Target="media/image204.png"/><Relationship Id="rId233" Type="http://schemas.openxmlformats.org/officeDocument/2006/relationships/image" Target="media/image203.png"/><Relationship Id="rId232" Type="http://schemas.openxmlformats.org/officeDocument/2006/relationships/image" Target="media/image202.png"/><Relationship Id="rId231" Type="http://schemas.openxmlformats.org/officeDocument/2006/relationships/image" Target="media/image201.png"/><Relationship Id="rId230" Type="http://schemas.openxmlformats.org/officeDocument/2006/relationships/image" Target="media/image200.png"/><Relationship Id="rId23" Type="http://schemas.openxmlformats.org/officeDocument/2006/relationships/header" Target="header8.xml"/><Relationship Id="rId229" Type="http://schemas.openxmlformats.org/officeDocument/2006/relationships/image" Target="media/image199.png"/><Relationship Id="rId228" Type="http://schemas.openxmlformats.org/officeDocument/2006/relationships/image" Target="media/image198.png"/><Relationship Id="rId227" Type="http://schemas.openxmlformats.org/officeDocument/2006/relationships/image" Target="media/image197.png"/><Relationship Id="rId226" Type="http://schemas.openxmlformats.org/officeDocument/2006/relationships/image" Target="media/image196.png"/><Relationship Id="rId225" Type="http://schemas.openxmlformats.org/officeDocument/2006/relationships/image" Target="media/image195.png"/><Relationship Id="rId224" Type="http://schemas.openxmlformats.org/officeDocument/2006/relationships/image" Target="media/image194.png"/><Relationship Id="rId223" Type="http://schemas.openxmlformats.org/officeDocument/2006/relationships/image" Target="media/image193.png"/><Relationship Id="rId222" Type="http://schemas.openxmlformats.org/officeDocument/2006/relationships/image" Target="media/image192.png"/><Relationship Id="rId221" Type="http://schemas.openxmlformats.org/officeDocument/2006/relationships/image" Target="media/image191.png"/><Relationship Id="rId220" Type="http://schemas.openxmlformats.org/officeDocument/2006/relationships/image" Target="media/image190.png"/><Relationship Id="rId22" Type="http://schemas.openxmlformats.org/officeDocument/2006/relationships/header" Target="header7.xml"/><Relationship Id="rId219" Type="http://schemas.openxmlformats.org/officeDocument/2006/relationships/image" Target="media/image189.png"/><Relationship Id="rId218" Type="http://schemas.openxmlformats.org/officeDocument/2006/relationships/image" Target="media/image188.png"/><Relationship Id="rId217" Type="http://schemas.openxmlformats.org/officeDocument/2006/relationships/image" Target="media/image187.png"/><Relationship Id="rId216" Type="http://schemas.openxmlformats.org/officeDocument/2006/relationships/image" Target="media/image186.jpeg"/><Relationship Id="rId215" Type="http://schemas.openxmlformats.org/officeDocument/2006/relationships/image" Target="media/image185.jpeg"/><Relationship Id="rId214" Type="http://schemas.openxmlformats.org/officeDocument/2006/relationships/image" Target="media/image184.jpeg"/><Relationship Id="rId213" Type="http://schemas.openxmlformats.org/officeDocument/2006/relationships/image" Target="media/image183.jpeg"/><Relationship Id="rId212" Type="http://schemas.openxmlformats.org/officeDocument/2006/relationships/image" Target="media/image182.jpeg"/><Relationship Id="rId211" Type="http://schemas.openxmlformats.org/officeDocument/2006/relationships/image" Target="media/image181.jpeg"/><Relationship Id="rId210" Type="http://schemas.openxmlformats.org/officeDocument/2006/relationships/image" Target="media/image180.jpeg"/><Relationship Id="rId21" Type="http://schemas.openxmlformats.org/officeDocument/2006/relationships/footer" Target="footer13.xml"/><Relationship Id="rId209" Type="http://schemas.openxmlformats.org/officeDocument/2006/relationships/image" Target="media/image179.jpeg"/><Relationship Id="rId208" Type="http://schemas.openxmlformats.org/officeDocument/2006/relationships/image" Target="media/image178.jpeg"/><Relationship Id="rId207" Type="http://schemas.openxmlformats.org/officeDocument/2006/relationships/image" Target="media/image177.jpeg"/><Relationship Id="rId206" Type="http://schemas.openxmlformats.org/officeDocument/2006/relationships/image" Target="media/image176.jpeg"/><Relationship Id="rId205" Type="http://schemas.openxmlformats.org/officeDocument/2006/relationships/image" Target="media/image175.jpeg"/><Relationship Id="rId204" Type="http://schemas.openxmlformats.org/officeDocument/2006/relationships/image" Target="media/image174.jpeg"/><Relationship Id="rId203" Type="http://schemas.openxmlformats.org/officeDocument/2006/relationships/image" Target="media/image173.jpeg"/><Relationship Id="rId202" Type="http://schemas.openxmlformats.org/officeDocument/2006/relationships/image" Target="media/image172.jpeg"/><Relationship Id="rId201" Type="http://schemas.openxmlformats.org/officeDocument/2006/relationships/image" Target="media/image171.jpeg"/><Relationship Id="rId200" Type="http://schemas.openxmlformats.org/officeDocument/2006/relationships/image" Target="media/image170.jpeg"/><Relationship Id="rId20" Type="http://schemas.openxmlformats.org/officeDocument/2006/relationships/footer" Target="footer12.xml"/><Relationship Id="rId2" Type="http://schemas.openxmlformats.org/officeDocument/2006/relationships/settings" Target="settings.xml"/><Relationship Id="rId199" Type="http://schemas.openxmlformats.org/officeDocument/2006/relationships/image" Target="media/image169.jpeg"/><Relationship Id="rId198" Type="http://schemas.openxmlformats.org/officeDocument/2006/relationships/image" Target="media/image168.jpeg"/><Relationship Id="rId197" Type="http://schemas.openxmlformats.org/officeDocument/2006/relationships/image" Target="media/image167.jpeg"/><Relationship Id="rId196" Type="http://schemas.openxmlformats.org/officeDocument/2006/relationships/image" Target="media/image166.jpeg"/><Relationship Id="rId195" Type="http://schemas.openxmlformats.org/officeDocument/2006/relationships/image" Target="media/image165.jpeg"/><Relationship Id="rId194" Type="http://schemas.openxmlformats.org/officeDocument/2006/relationships/image" Target="media/image164.jpeg"/><Relationship Id="rId193" Type="http://schemas.openxmlformats.org/officeDocument/2006/relationships/image" Target="media/image163.jpeg"/><Relationship Id="rId192" Type="http://schemas.openxmlformats.org/officeDocument/2006/relationships/image" Target="media/image162.jpeg"/><Relationship Id="rId191" Type="http://schemas.openxmlformats.org/officeDocument/2006/relationships/image" Target="media/image161.jpeg"/><Relationship Id="rId190" Type="http://schemas.openxmlformats.org/officeDocument/2006/relationships/image" Target="media/image160.jpeg"/><Relationship Id="rId19" Type="http://schemas.openxmlformats.org/officeDocument/2006/relationships/footer" Target="footer11.xml"/><Relationship Id="rId189" Type="http://schemas.openxmlformats.org/officeDocument/2006/relationships/image" Target="media/image159.jpeg"/><Relationship Id="rId188" Type="http://schemas.openxmlformats.org/officeDocument/2006/relationships/image" Target="media/image158.jpeg"/><Relationship Id="rId187" Type="http://schemas.openxmlformats.org/officeDocument/2006/relationships/image" Target="media/image157.jpeg"/><Relationship Id="rId186" Type="http://schemas.openxmlformats.org/officeDocument/2006/relationships/image" Target="media/image156.jpeg"/><Relationship Id="rId185" Type="http://schemas.openxmlformats.org/officeDocument/2006/relationships/image" Target="media/image155.jpeg"/><Relationship Id="rId184" Type="http://schemas.openxmlformats.org/officeDocument/2006/relationships/image" Target="media/image154.jpeg"/><Relationship Id="rId183" Type="http://schemas.openxmlformats.org/officeDocument/2006/relationships/image" Target="media/image153.png"/><Relationship Id="rId182" Type="http://schemas.openxmlformats.org/officeDocument/2006/relationships/image" Target="media/image152.jpeg"/><Relationship Id="rId181" Type="http://schemas.openxmlformats.org/officeDocument/2006/relationships/image" Target="media/image151.jpeg"/><Relationship Id="rId180" Type="http://schemas.openxmlformats.org/officeDocument/2006/relationships/image" Target="media/image150.jpeg"/><Relationship Id="rId18" Type="http://schemas.openxmlformats.org/officeDocument/2006/relationships/footer" Target="footer10.xml"/><Relationship Id="rId179" Type="http://schemas.openxmlformats.org/officeDocument/2006/relationships/image" Target="media/image149.png"/><Relationship Id="rId178" Type="http://schemas.openxmlformats.org/officeDocument/2006/relationships/image" Target="media/image148.png"/><Relationship Id="rId177" Type="http://schemas.openxmlformats.org/officeDocument/2006/relationships/image" Target="media/image147.jpeg"/><Relationship Id="rId176" Type="http://schemas.openxmlformats.org/officeDocument/2006/relationships/image" Target="media/image146.png"/><Relationship Id="rId175" Type="http://schemas.openxmlformats.org/officeDocument/2006/relationships/image" Target="media/image145.png"/><Relationship Id="rId174" Type="http://schemas.openxmlformats.org/officeDocument/2006/relationships/image" Target="media/image144.png"/><Relationship Id="rId173" Type="http://schemas.openxmlformats.org/officeDocument/2006/relationships/image" Target="media/image143.png"/><Relationship Id="rId172" Type="http://schemas.openxmlformats.org/officeDocument/2006/relationships/image" Target="media/image142.png"/><Relationship Id="rId171" Type="http://schemas.openxmlformats.org/officeDocument/2006/relationships/image" Target="media/image141.png"/><Relationship Id="rId170" Type="http://schemas.openxmlformats.org/officeDocument/2006/relationships/image" Target="media/image140.png"/><Relationship Id="rId17" Type="http://schemas.openxmlformats.org/officeDocument/2006/relationships/footer" Target="footer9.xml"/><Relationship Id="rId169" Type="http://schemas.openxmlformats.org/officeDocument/2006/relationships/image" Target="media/image139.png"/><Relationship Id="rId168" Type="http://schemas.openxmlformats.org/officeDocument/2006/relationships/image" Target="media/image138.png"/><Relationship Id="rId167" Type="http://schemas.openxmlformats.org/officeDocument/2006/relationships/image" Target="media/image137.png"/><Relationship Id="rId166" Type="http://schemas.openxmlformats.org/officeDocument/2006/relationships/image" Target="media/image136.png"/><Relationship Id="rId165" Type="http://schemas.openxmlformats.org/officeDocument/2006/relationships/image" Target="media/image135.png"/><Relationship Id="rId164" Type="http://schemas.openxmlformats.org/officeDocument/2006/relationships/image" Target="media/image134.jpeg"/><Relationship Id="rId163" Type="http://schemas.openxmlformats.org/officeDocument/2006/relationships/image" Target="media/image133.png"/><Relationship Id="rId162" Type="http://schemas.openxmlformats.org/officeDocument/2006/relationships/image" Target="media/image132.jpeg"/><Relationship Id="rId161" Type="http://schemas.openxmlformats.org/officeDocument/2006/relationships/image" Target="media/image131.png"/><Relationship Id="rId160" Type="http://schemas.openxmlformats.org/officeDocument/2006/relationships/image" Target="media/image130.jpeg"/><Relationship Id="rId16" Type="http://schemas.openxmlformats.org/officeDocument/2006/relationships/footer" Target="footer8.xml"/><Relationship Id="rId159" Type="http://schemas.openxmlformats.org/officeDocument/2006/relationships/image" Target="media/image129.jpeg"/><Relationship Id="rId158" Type="http://schemas.openxmlformats.org/officeDocument/2006/relationships/image" Target="media/image128.jpeg"/><Relationship Id="rId157" Type="http://schemas.openxmlformats.org/officeDocument/2006/relationships/image" Target="media/image127.jpeg"/><Relationship Id="rId156" Type="http://schemas.openxmlformats.org/officeDocument/2006/relationships/image" Target="media/image126.jpeg"/><Relationship Id="rId155" Type="http://schemas.openxmlformats.org/officeDocument/2006/relationships/image" Target="media/image125.jpeg"/><Relationship Id="rId154" Type="http://schemas.openxmlformats.org/officeDocument/2006/relationships/image" Target="media/image124.png"/><Relationship Id="rId153" Type="http://schemas.openxmlformats.org/officeDocument/2006/relationships/image" Target="media/image123.png"/><Relationship Id="rId152" Type="http://schemas.openxmlformats.org/officeDocument/2006/relationships/image" Target="media/image122.jpeg"/><Relationship Id="rId151" Type="http://schemas.openxmlformats.org/officeDocument/2006/relationships/image" Target="media/image121.png"/><Relationship Id="rId150" Type="http://schemas.openxmlformats.org/officeDocument/2006/relationships/image" Target="media/image120.png"/><Relationship Id="rId15" Type="http://schemas.openxmlformats.org/officeDocument/2006/relationships/header" Target="header6.xml"/><Relationship Id="rId149" Type="http://schemas.openxmlformats.org/officeDocument/2006/relationships/image" Target="media/image119.png"/><Relationship Id="rId148" Type="http://schemas.openxmlformats.org/officeDocument/2006/relationships/image" Target="media/image118.png"/><Relationship Id="rId147" Type="http://schemas.openxmlformats.org/officeDocument/2006/relationships/image" Target="media/image117.jpeg"/><Relationship Id="rId146" Type="http://schemas.openxmlformats.org/officeDocument/2006/relationships/image" Target="media/image116.png"/><Relationship Id="rId145" Type="http://schemas.openxmlformats.org/officeDocument/2006/relationships/image" Target="media/image115.png"/><Relationship Id="rId144" Type="http://schemas.openxmlformats.org/officeDocument/2006/relationships/image" Target="media/image114.jpeg"/><Relationship Id="rId143" Type="http://schemas.openxmlformats.org/officeDocument/2006/relationships/image" Target="media/image113.jpeg"/><Relationship Id="rId142" Type="http://schemas.openxmlformats.org/officeDocument/2006/relationships/image" Target="media/image112.png"/><Relationship Id="rId141" Type="http://schemas.openxmlformats.org/officeDocument/2006/relationships/image" Target="media/image111.jpeg"/><Relationship Id="rId140" Type="http://schemas.openxmlformats.org/officeDocument/2006/relationships/image" Target="media/image110.png"/><Relationship Id="rId14" Type="http://schemas.openxmlformats.org/officeDocument/2006/relationships/header" Target="header5.xml"/><Relationship Id="rId139" Type="http://schemas.openxmlformats.org/officeDocument/2006/relationships/image" Target="media/image109.png"/><Relationship Id="rId138" Type="http://schemas.openxmlformats.org/officeDocument/2006/relationships/image" Target="media/image108.jpeg"/><Relationship Id="rId137" Type="http://schemas.openxmlformats.org/officeDocument/2006/relationships/image" Target="media/image107.jpeg"/><Relationship Id="rId136" Type="http://schemas.openxmlformats.org/officeDocument/2006/relationships/image" Target="media/image106.jpeg"/><Relationship Id="rId135" Type="http://schemas.openxmlformats.org/officeDocument/2006/relationships/image" Target="media/image105.png"/><Relationship Id="rId134" Type="http://schemas.openxmlformats.org/officeDocument/2006/relationships/image" Target="media/image104.png"/><Relationship Id="rId133" Type="http://schemas.openxmlformats.org/officeDocument/2006/relationships/image" Target="media/image103.jpeg"/><Relationship Id="rId132" Type="http://schemas.openxmlformats.org/officeDocument/2006/relationships/image" Target="media/image102.jpeg"/><Relationship Id="rId131" Type="http://schemas.openxmlformats.org/officeDocument/2006/relationships/image" Target="media/image101.png"/><Relationship Id="rId130" Type="http://schemas.openxmlformats.org/officeDocument/2006/relationships/image" Target="media/image100.png"/><Relationship Id="rId13" Type="http://schemas.openxmlformats.org/officeDocument/2006/relationships/footer" Target="footer7.xml"/><Relationship Id="rId129" Type="http://schemas.openxmlformats.org/officeDocument/2006/relationships/image" Target="media/image99.jpeg"/><Relationship Id="rId128" Type="http://schemas.openxmlformats.org/officeDocument/2006/relationships/image" Target="media/image98.jpeg"/><Relationship Id="rId127" Type="http://schemas.openxmlformats.org/officeDocument/2006/relationships/image" Target="media/image97.jpeg"/><Relationship Id="rId126" Type="http://schemas.openxmlformats.org/officeDocument/2006/relationships/image" Target="media/image96.jpeg"/><Relationship Id="rId125" Type="http://schemas.openxmlformats.org/officeDocument/2006/relationships/image" Target="media/image95.jpeg"/><Relationship Id="rId124" Type="http://schemas.openxmlformats.org/officeDocument/2006/relationships/image" Target="media/image94.jpeg"/><Relationship Id="rId123" Type="http://schemas.openxmlformats.org/officeDocument/2006/relationships/image" Target="media/image93.jpeg"/><Relationship Id="rId122" Type="http://schemas.openxmlformats.org/officeDocument/2006/relationships/image" Target="media/image92.jpeg"/><Relationship Id="rId121" Type="http://schemas.openxmlformats.org/officeDocument/2006/relationships/image" Target="media/image91.jpeg"/><Relationship Id="rId120" Type="http://schemas.openxmlformats.org/officeDocument/2006/relationships/image" Target="media/image90.png"/><Relationship Id="rId12" Type="http://schemas.openxmlformats.org/officeDocument/2006/relationships/footer" Target="footer6.xml"/><Relationship Id="rId119" Type="http://schemas.openxmlformats.org/officeDocument/2006/relationships/image" Target="media/image89.jpeg"/><Relationship Id="rId118" Type="http://schemas.openxmlformats.org/officeDocument/2006/relationships/image" Target="media/image88.jpeg"/><Relationship Id="rId117" Type="http://schemas.openxmlformats.org/officeDocument/2006/relationships/image" Target="media/image87.jpeg"/><Relationship Id="rId116" Type="http://schemas.openxmlformats.org/officeDocument/2006/relationships/image" Target="media/image86.jpeg"/><Relationship Id="rId115" Type="http://schemas.openxmlformats.org/officeDocument/2006/relationships/image" Target="media/image85.jpeg"/><Relationship Id="rId114" Type="http://schemas.openxmlformats.org/officeDocument/2006/relationships/image" Target="media/image84.jpeg"/><Relationship Id="rId113" Type="http://schemas.openxmlformats.org/officeDocument/2006/relationships/image" Target="media/image83.jpeg"/><Relationship Id="rId112" Type="http://schemas.openxmlformats.org/officeDocument/2006/relationships/image" Target="media/image82.jpeg"/><Relationship Id="rId111" Type="http://schemas.openxmlformats.org/officeDocument/2006/relationships/image" Target="media/image81.jpeg"/><Relationship Id="rId110" Type="http://schemas.openxmlformats.org/officeDocument/2006/relationships/image" Target="media/image80.jpeg"/><Relationship Id="rId11" Type="http://schemas.openxmlformats.org/officeDocument/2006/relationships/footer" Target="footer5.xml"/><Relationship Id="rId109" Type="http://schemas.openxmlformats.org/officeDocument/2006/relationships/image" Target="media/image79.jpeg"/><Relationship Id="rId108" Type="http://schemas.openxmlformats.org/officeDocument/2006/relationships/image" Target="media/image78.jpeg"/><Relationship Id="rId107" Type="http://schemas.openxmlformats.org/officeDocument/2006/relationships/image" Target="media/image77.jpeg"/><Relationship Id="rId106" Type="http://schemas.openxmlformats.org/officeDocument/2006/relationships/image" Target="media/image76.jpeg"/><Relationship Id="rId105" Type="http://schemas.openxmlformats.org/officeDocument/2006/relationships/image" Target="media/image75.jpeg"/><Relationship Id="rId104" Type="http://schemas.openxmlformats.org/officeDocument/2006/relationships/image" Target="media/image74.jpeg"/><Relationship Id="rId103" Type="http://schemas.openxmlformats.org/officeDocument/2006/relationships/image" Target="media/image73.jpeg"/><Relationship Id="rId102" Type="http://schemas.openxmlformats.org/officeDocument/2006/relationships/image" Target="media/image72.jpeg"/><Relationship Id="rId101" Type="http://schemas.openxmlformats.org/officeDocument/2006/relationships/image" Target="media/image71.jpeg"/><Relationship Id="rId100" Type="http://schemas.openxmlformats.org/officeDocument/2006/relationships/image" Target="media/image70.jpe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"/>
    </extobj>
    <extobj name="ECB019B1-382A-4266-B25C-5B523AA43C14-2">
      <extobjdata type="ECB019B1-382A-4266-B25C-5B523AA43C14" data="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539</Pages>
  <Words>6069</Words>
  <Characters>6773</Characters>
  <Lines>2938</Lines>
  <Paragraphs>827</Paragraphs>
  <TotalTime>138</TotalTime>
  <ScaleCrop>false</ScaleCrop>
  <LinksUpToDate>false</LinksUpToDate>
  <CharactersWithSpaces>6897</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2024-01-12T09:21:00Z</dcterms:created>
  <dc:creator>WPS_1496588499</dc:creator>
  <cp:lastModifiedBy>流星</cp:lastModifiedBy>
  <cp:lastPrinted>2024-03-04T11:30:00Z</cp:lastPrinted>
  <dcterms:modified xsi:type="dcterms:W3CDTF">2025-11-17T01:16:50Z</dcterms:modified>
  <cp:revision>102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2E360937B58747A9B66A117ADF798C51_13</vt:lpwstr>
  </property>
  <property fmtid="{D5CDD505-2E9C-101B-9397-08002B2CF9AE}" pid="4" name="KSOTemplateDocerSaveRecord">
    <vt:lpwstr>eyJoZGlkIjoiMDliMTBiY2U3MzliNzYyOGQ4NjA1MzljYWExYzQxZjUiLCJ1c2VySWQiOiI3NDQ4NjY5MjgifQ==</vt:lpwstr>
  </property>
</Properties>
</file>